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FB0A6" w14:textId="2E13EB87" w:rsidR="00127152" w:rsidRDefault="00192586">
      <w:bookmarkStart w:id="0" w:name="_GoBack"/>
      <w:bookmarkEnd w:id="0"/>
      <w:r>
        <w:rPr>
          <w:noProof/>
          <w:lang w:eastAsia="en-GB"/>
        </w:rPr>
        <w:drawing>
          <wp:anchor distT="0" distB="0" distL="114300" distR="114300" simplePos="0" relativeHeight="251671552" behindDoc="1" locked="0" layoutInCell="1" allowOverlap="1" wp14:anchorId="2F65FC0E" wp14:editId="76836D9D">
            <wp:simplePos x="0" y="0"/>
            <wp:positionH relativeFrom="page">
              <wp:posOffset>-9525</wp:posOffset>
            </wp:positionH>
            <wp:positionV relativeFrom="page">
              <wp:posOffset>0</wp:posOffset>
            </wp:positionV>
            <wp:extent cx="7590614" cy="10728000"/>
            <wp:effectExtent l="19050" t="0" r="0" b="0"/>
            <wp:wrapNone/>
            <wp:docPr id="2" name="Picture 1" descr="G:\Atkins\8755 Bid templates\8755 Design files\Production\Colourway 1\Covers\Covers_Kaleid_No Images 4 52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kins\8755 Bid templates\8755 Design files\Production\Colourway 1\Covers\Covers_Kaleid_No Images 4 52 copy.gif"/>
                    <pic:cNvPicPr>
                      <a:picLocks noChangeAspect="1" noChangeArrowheads="1"/>
                    </pic:cNvPicPr>
                  </pic:nvPicPr>
                  <pic:blipFill>
                    <a:blip r:embed="rId12" cstate="print"/>
                    <a:srcRect/>
                    <a:stretch>
                      <a:fillRect/>
                    </a:stretch>
                  </pic:blipFill>
                  <pic:spPr bwMode="auto">
                    <a:xfrm>
                      <a:off x="0" y="0"/>
                      <a:ext cx="7590614" cy="10728000"/>
                    </a:xfrm>
                    <a:prstGeom prst="rect">
                      <a:avLst/>
                    </a:prstGeom>
                    <a:noFill/>
                    <a:ln w="9525">
                      <a:noFill/>
                      <a:miter lim="800000"/>
                      <a:headEnd/>
                      <a:tailEnd/>
                    </a:ln>
                  </pic:spPr>
                </pic:pic>
              </a:graphicData>
            </a:graphic>
          </wp:anchor>
        </w:drawing>
      </w:r>
      <w:r w:rsidR="001039D3">
        <w:rPr>
          <w:noProof/>
          <w:lang w:eastAsia="en-GB"/>
        </w:rPr>
        <mc:AlternateContent>
          <mc:Choice Requires="wps">
            <w:drawing>
              <wp:anchor distT="0" distB="0" distL="114300" distR="114300" simplePos="0" relativeHeight="251665408" behindDoc="0" locked="1" layoutInCell="1" allowOverlap="1" wp14:anchorId="2B1119A5" wp14:editId="1607389F">
                <wp:simplePos x="0" y="0"/>
                <wp:positionH relativeFrom="page">
                  <wp:posOffset>632460</wp:posOffset>
                </wp:positionH>
                <wp:positionV relativeFrom="page">
                  <wp:posOffset>257810</wp:posOffset>
                </wp:positionV>
                <wp:extent cx="5206365" cy="39458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394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8126"/>
                            </w:tblGrid>
                            <w:tr w:rsidR="005319A7" w14:paraId="46DC2679" w14:textId="77777777" w:rsidTr="00FE339A">
                              <w:trPr>
                                <w:cnfStyle w:val="100000000000" w:firstRow="1" w:lastRow="0" w:firstColumn="0" w:lastColumn="0" w:oddVBand="0" w:evenVBand="0" w:oddHBand="0" w:evenHBand="0" w:firstRowFirstColumn="0" w:firstRowLastColumn="0" w:lastRowFirstColumn="0" w:lastRowLastColumn="0"/>
                              </w:trPr>
                              <w:tc>
                                <w:tcPr>
                                  <w:tcW w:w="9741" w:type="dxa"/>
                                  <w:shd w:val="clear" w:color="auto" w:fill="auto"/>
                                </w:tcPr>
                                <w:p w14:paraId="65E96BDF" w14:textId="77777777" w:rsidR="005319A7" w:rsidRPr="008051B6" w:rsidRDefault="005319A7" w:rsidP="00DE5903">
                                  <w:pPr>
                                    <w:pStyle w:val="CoverCompanyname"/>
                                    <w:jc w:val="left"/>
                                  </w:pPr>
                                  <w:r>
                                    <w:t>North East Lincolnshire Council</w:t>
                                  </w:r>
                                </w:p>
                              </w:tc>
                            </w:tr>
                            <w:tr w:rsidR="005319A7" w14:paraId="146B1F37" w14:textId="77777777" w:rsidTr="00FE339A">
                              <w:trPr>
                                <w:trHeight w:val="1002"/>
                              </w:trPr>
                              <w:tc>
                                <w:tcPr>
                                  <w:tcW w:w="9741" w:type="dxa"/>
                                  <w:shd w:val="clear" w:color="auto" w:fill="auto"/>
                                </w:tcPr>
                                <w:p w14:paraId="06BCCF58" w14:textId="77777777" w:rsidR="005319A7" w:rsidRPr="00F03511" w:rsidRDefault="005319A7" w:rsidP="00DE5903">
                                  <w:pPr>
                                    <w:pStyle w:val="CoverTitleofdocument"/>
                                    <w:jc w:val="left"/>
                                  </w:pPr>
                                  <w:r>
                                    <w:t>Economic Futures Report</w:t>
                                  </w:r>
                                </w:p>
                              </w:tc>
                            </w:tr>
                            <w:tr w:rsidR="005319A7" w14:paraId="4CB7BB97" w14:textId="77777777" w:rsidTr="00FE339A">
                              <w:tc>
                                <w:tcPr>
                                  <w:tcW w:w="9741" w:type="dxa"/>
                                  <w:shd w:val="clear" w:color="auto" w:fill="auto"/>
                                </w:tcPr>
                                <w:p w14:paraId="6C9935F4" w14:textId="77777777" w:rsidR="005319A7" w:rsidRDefault="005319A7" w:rsidP="00DE5903">
                                  <w:pPr>
                                    <w:pStyle w:val="CoverTendersubmission"/>
                                    <w:ind w:left="0" w:firstLine="0"/>
                                    <w:jc w:val="left"/>
                                  </w:pPr>
                                  <w:r>
                                    <w:t>Final Report</w:t>
                                  </w:r>
                                </w:p>
                              </w:tc>
                            </w:tr>
                            <w:tr w:rsidR="005319A7" w14:paraId="2091ADAF" w14:textId="77777777" w:rsidTr="00FE339A">
                              <w:trPr>
                                <w:trHeight w:val="609"/>
                              </w:trPr>
                              <w:tc>
                                <w:tcPr>
                                  <w:tcW w:w="9741" w:type="dxa"/>
                                  <w:shd w:val="clear" w:color="auto" w:fill="auto"/>
                                </w:tcPr>
                                <w:p w14:paraId="3FA463B3" w14:textId="77777777" w:rsidR="005319A7" w:rsidRPr="00F03511" w:rsidRDefault="005319A7" w:rsidP="00DE5903">
                                  <w:pPr>
                                    <w:pStyle w:val="Coverdate"/>
                                    <w:ind w:left="0" w:firstLine="0"/>
                                    <w:jc w:val="left"/>
                                  </w:pPr>
                                  <w:r>
                                    <w:t>July 2014</w:t>
                                  </w:r>
                                </w:p>
                              </w:tc>
                            </w:tr>
                          </w:tbl>
                          <w:p w14:paraId="0FC0DC62" w14:textId="77777777" w:rsidR="005319A7" w:rsidRPr="00FF1CAD" w:rsidRDefault="005319A7" w:rsidP="006A6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8pt;margin-top:20.3pt;width:409.95pt;height:31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vwuA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" filled="f" stroked="f">
                <v:textbox>
                  <w:txbxContent>
                    <w:tbl>
                      <w:tblPr>
                        <w:tblStyle w:val="TableGrid"/>
                        <w:tblW w:w="0" w:type="auto"/>
                        <w:tblLook w:val="04A0" w:firstRow="1" w:lastRow="0" w:firstColumn="1" w:lastColumn="0" w:noHBand="0" w:noVBand="1"/>
                      </w:tblPr>
                      <w:tblGrid>
                        <w:gridCol w:w="8126"/>
                      </w:tblGrid>
                      <w:tr w:rsidR="005319A7" w14:paraId="46DC2679" w14:textId="77777777" w:rsidTr="00FE339A">
                        <w:trPr>
                          <w:cnfStyle w:val="100000000000" w:firstRow="1" w:lastRow="0" w:firstColumn="0" w:lastColumn="0" w:oddVBand="0" w:evenVBand="0" w:oddHBand="0" w:evenHBand="0" w:firstRowFirstColumn="0" w:firstRowLastColumn="0" w:lastRowFirstColumn="0" w:lastRowLastColumn="0"/>
                        </w:trPr>
                        <w:tc>
                          <w:tcPr>
                            <w:tcW w:w="9741" w:type="dxa"/>
                            <w:shd w:val="clear" w:color="auto" w:fill="auto"/>
                          </w:tcPr>
                          <w:p w14:paraId="65E96BDF" w14:textId="77777777" w:rsidR="005319A7" w:rsidRPr="008051B6" w:rsidRDefault="005319A7" w:rsidP="00DE5903">
                            <w:pPr>
                              <w:pStyle w:val="CoverCompanyname"/>
                              <w:jc w:val="left"/>
                            </w:pPr>
                            <w:r>
                              <w:t>North East Lincolnshire Council</w:t>
                            </w:r>
                          </w:p>
                        </w:tc>
                      </w:tr>
                      <w:tr w:rsidR="005319A7" w14:paraId="146B1F37" w14:textId="77777777" w:rsidTr="00FE339A">
                        <w:trPr>
                          <w:trHeight w:val="1002"/>
                        </w:trPr>
                        <w:tc>
                          <w:tcPr>
                            <w:tcW w:w="9741" w:type="dxa"/>
                            <w:shd w:val="clear" w:color="auto" w:fill="auto"/>
                          </w:tcPr>
                          <w:p w14:paraId="06BCCF58" w14:textId="77777777" w:rsidR="005319A7" w:rsidRPr="00F03511" w:rsidRDefault="005319A7" w:rsidP="00DE5903">
                            <w:pPr>
                              <w:pStyle w:val="CoverTitleofdocument"/>
                              <w:jc w:val="left"/>
                            </w:pPr>
                            <w:r>
                              <w:t>Economic Futures Report</w:t>
                            </w:r>
                          </w:p>
                        </w:tc>
                      </w:tr>
                      <w:tr w:rsidR="005319A7" w14:paraId="4CB7BB97" w14:textId="77777777" w:rsidTr="00FE339A">
                        <w:tc>
                          <w:tcPr>
                            <w:tcW w:w="9741" w:type="dxa"/>
                            <w:shd w:val="clear" w:color="auto" w:fill="auto"/>
                          </w:tcPr>
                          <w:p w14:paraId="6C9935F4" w14:textId="77777777" w:rsidR="005319A7" w:rsidRDefault="005319A7" w:rsidP="00DE5903">
                            <w:pPr>
                              <w:pStyle w:val="CoverTendersubmission"/>
                              <w:ind w:left="0" w:firstLine="0"/>
                              <w:jc w:val="left"/>
                            </w:pPr>
                            <w:r>
                              <w:t>Final Report</w:t>
                            </w:r>
                          </w:p>
                        </w:tc>
                      </w:tr>
                      <w:tr w:rsidR="005319A7" w14:paraId="2091ADAF" w14:textId="77777777" w:rsidTr="00FE339A">
                        <w:trPr>
                          <w:trHeight w:val="609"/>
                        </w:trPr>
                        <w:tc>
                          <w:tcPr>
                            <w:tcW w:w="9741" w:type="dxa"/>
                            <w:shd w:val="clear" w:color="auto" w:fill="auto"/>
                          </w:tcPr>
                          <w:p w14:paraId="3FA463B3" w14:textId="77777777" w:rsidR="005319A7" w:rsidRPr="00F03511" w:rsidRDefault="005319A7" w:rsidP="00DE5903">
                            <w:pPr>
                              <w:pStyle w:val="Coverdate"/>
                              <w:ind w:left="0" w:firstLine="0"/>
                              <w:jc w:val="left"/>
                            </w:pPr>
                            <w:r>
                              <w:t>July 2014</w:t>
                            </w:r>
                          </w:p>
                        </w:tc>
                      </w:tr>
                    </w:tbl>
                    <w:p w14:paraId="0FC0DC62" w14:textId="77777777" w:rsidR="005319A7" w:rsidRPr="00FF1CAD" w:rsidRDefault="005319A7" w:rsidP="006A6B9C"/>
                  </w:txbxContent>
                </v:textbox>
                <w10:wrap anchorx="page" anchory="page"/>
                <w10:anchorlock/>
              </v:shape>
            </w:pict>
          </mc:Fallback>
        </mc:AlternateContent>
      </w:r>
      <w:r w:rsidR="0055423A">
        <w:t xml:space="preserve"> </w:t>
      </w:r>
      <w:r w:rsidR="0084635A">
        <w:t xml:space="preserve"> </w:t>
      </w:r>
      <w:r w:rsidR="00D64386">
        <w:t xml:space="preserve"> </w:t>
      </w:r>
    </w:p>
    <w:p w14:paraId="6988C1BE" w14:textId="77777777" w:rsidR="00AB5095" w:rsidRDefault="00AB5095" w:rsidP="00503DF9">
      <w:pPr>
        <w:pStyle w:val="Introductionheading"/>
      </w:pPr>
    </w:p>
    <w:p w14:paraId="3E7D9660" w14:textId="77777777" w:rsidR="00AB5095" w:rsidRDefault="00AB5095" w:rsidP="00AB5095">
      <w:pPr>
        <w:pStyle w:val="BodyText"/>
      </w:pPr>
    </w:p>
    <w:p w14:paraId="72FEC07B" w14:textId="77777777" w:rsidR="00AB5095" w:rsidRDefault="00AB5095" w:rsidP="00AB5095">
      <w:pPr>
        <w:pStyle w:val="BodyText"/>
      </w:pPr>
    </w:p>
    <w:p w14:paraId="322B2632" w14:textId="77777777" w:rsidR="00AB5095" w:rsidRPr="00AB5095" w:rsidRDefault="00AB5095" w:rsidP="00AB5095">
      <w:pPr>
        <w:pStyle w:val="BodyText"/>
        <w:sectPr w:rsidR="00AB5095" w:rsidRPr="00AB5095" w:rsidSect="006A6B9C">
          <w:type w:val="continuous"/>
          <w:pgSz w:w="11906" w:h="16838" w:code="9"/>
          <w:pgMar w:top="964" w:right="1134" w:bottom="964" w:left="1134" w:header="510" w:footer="510" w:gutter="0"/>
          <w:cols w:space="284"/>
          <w:formProt w:val="0"/>
          <w:docGrid w:linePitch="360"/>
        </w:sectPr>
      </w:pPr>
    </w:p>
    <w:sdt>
      <w:sdtPr>
        <w:rPr>
          <w:rFonts w:ascii="Times New Roman" w:hAnsi="Times New Roman"/>
          <w:b/>
          <w:color w:val="auto"/>
          <w:sz w:val="24"/>
        </w:rPr>
        <w:id w:val="1977509"/>
        <w:docPartObj>
          <w:docPartGallery w:val="Cover Pages"/>
        </w:docPartObj>
      </w:sdtPr>
      <w:sdtEndPr>
        <w:rPr>
          <w:b w:val="0"/>
          <w:color w:val="FFFFFF" w:themeColor="background1"/>
        </w:rPr>
      </w:sdtEndPr>
      <w:sdtContent>
        <w:p w14:paraId="3C651B37" w14:textId="77777777" w:rsidR="009F35D4" w:rsidRPr="00BC3E31" w:rsidRDefault="009F35D4" w:rsidP="009F35D4">
          <w:pPr>
            <w:pStyle w:val="Quotelarge"/>
          </w:pPr>
          <w:r w:rsidRPr="00BC3E31">
            <w:t>Notice</w:t>
          </w:r>
        </w:p>
        <w:p w14:paraId="0DD1D8A9" w14:textId="77777777" w:rsidR="009F35D4" w:rsidRPr="00BC3E31" w:rsidRDefault="009F35D4" w:rsidP="009F35D4">
          <w:pPr>
            <w:pStyle w:val="BodyText"/>
          </w:pPr>
          <w:r w:rsidRPr="00BC3E31">
            <w:t xml:space="preserve">This document and its contents have been prepared and are intended solely for </w:t>
          </w:r>
          <w:r w:rsidR="00187573">
            <w:rPr>
              <w:i/>
            </w:rPr>
            <w:t>Cofe</w:t>
          </w:r>
          <w:r w:rsidR="00856FDF">
            <w:rPr>
              <w:i/>
            </w:rPr>
            <w:t>l</w:t>
          </w:r>
          <w:r w:rsidR="00187573">
            <w:rPr>
              <w:i/>
            </w:rPr>
            <w:t>y / North East Lincolnshire’s Council</w:t>
          </w:r>
          <w:r w:rsidRPr="00BC3E31">
            <w:t xml:space="preserve"> information and </w:t>
          </w:r>
          <w:r>
            <w:t xml:space="preserve">use in relation </w:t>
          </w:r>
          <w:r w:rsidR="00187573">
            <w:t>to the Local Economic Audit and Employment Land Review.</w:t>
          </w:r>
        </w:p>
        <w:p w14:paraId="46719067" w14:textId="77777777" w:rsidR="009F35D4" w:rsidRPr="00BC3E31" w:rsidRDefault="00187573" w:rsidP="009F35D4">
          <w:pPr>
            <w:pStyle w:val="BodyText"/>
          </w:pPr>
          <w:r>
            <w:rPr>
              <w:i/>
            </w:rPr>
            <w:t>Atkins Ltd</w:t>
          </w:r>
          <w:r w:rsidR="009F35D4" w:rsidRPr="00BC3E31">
            <w:t xml:space="preserve"> assumes no responsibility to any other party in respect of or arising out of or in connection with this </w:t>
          </w:r>
          <w:r w:rsidR="009F35D4">
            <w:t>document and/or its contents.</w:t>
          </w:r>
        </w:p>
        <w:p w14:paraId="0DBDA46D" w14:textId="77777777" w:rsidR="009F35D4" w:rsidRPr="00BC3E31" w:rsidRDefault="009F35D4" w:rsidP="009F35D4">
          <w:pPr>
            <w:pStyle w:val="BodyText"/>
          </w:pPr>
        </w:p>
        <w:p w14:paraId="3F599761" w14:textId="77777777" w:rsidR="009F35D4" w:rsidRDefault="009F35D4" w:rsidP="009F35D4">
          <w:pPr>
            <w:pStyle w:val="Heading5"/>
            <w:numPr>
              <w:ilvl w:val="0"/>
              <w:numId w:val="0"/>
            </w:numPr>
          </w:pPr>
          <w:r w:rsidRPr="00BC3E31">
            <w:t>Document History</w:t>
          </w:r>
        </w:p>
        <w:p w14:paraId="6B113D67" w14:textId="77777777" w:rsidR="009F35D4" w:rsidRPr="00BC3E31" w:rsidRDefault="009F35D4" w:rsidP="009F35D4">
          <w:pPr>
            <w:pStyle w:val="BodyText"/>
          </w:pPr>
        </w:p>
        <w:tbl>
          <w:tblPr>
            <w:tblStyle w:val="AtkinsI"/>
            <w:tblW w:w="0" w:type="auto"/>
            <w:tblBorders>
              <w:top w:val="single" w:sz="4" w:space="0" w:color="394A58" w:themeColor="text2"/>
              <w:left w:val="single" w:sz="4" w:space="0" w:color="394A58" w:themeColor="text2"/>
              <w:bottom w:val="single" w:sz="4" w:space="0" w:color="394A58" w:themeColor="text2"/>
              <w:right w:val="single" w:sz="4" w:space="0" w:color="394A58" w:themeColor="text2"/>
              <w:insideH w:val="single" w:sz="4" w:space="0" w:color="394A58" w:themeColor="text2"/>
              <w:insideV w:val="single" w:sz="4" w:space="0" w:color="394A58" w:themeColor="text2"/>
            </w:tblBorders>
            <w:tblLayout w:type="fixed"/>
            <w:tblLook w:val="04A0" w:firstRow="1" w:lastRow="0" w:firstColumn="1" w:lastColumn="0" w:noHBand="0" w:noVBand="1"/>
          </w:tblPr>
          <w:tblGrid>
            <w:gridCol w:w="1038"/>
            <w:gridCol w:w="2409"/>
            <w:gridCol w:w="1418"/>
            <w:gridCol w:w="1323"/>
            <w:gridCol w:w="1323"/>
            <w:gridCol w:w="1181"/>
            <w:gridCol w:w="1036"/>
          </w:tblGrid>
          <w:tr w:rsidR="009F35D4" w:rsidRPr="006E1BD5" w14:paraId="62D32009" w14:textId="77777777" w:rsidTr="001A0DB9">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65" w:type="dxa"/>
                <w:gridSpan w:val="3"/>
                <w:tcBorders>
                  <w:bottom w:val="none" w:sz="0" w:space="0" w:color="auto"/>
                </w:tcBorders>
                <w:vAlign w:val="center"/>
              </w:tcPr>
              <w:p w14:paraId="0F6D781B" w14:textId="77777777" w:rsidR="009F35D4" w:rsidRPr="006E1BD5" w:rsidRDefault="009F35D4" w:rsidP="001A0DB9">
                <w:pPr>
                  <w:pStyle w:val="NoSpacing"/>
                </w:pPr>
                <w:r w:rsidRPr="006E1BD5">
                  <w:t>JOB NUMBER:</w:t>
                </w:r>
                <w:r w:rsidRPr="006E1BD5">
                  <w:rPr>
                    <w:b w:val="0"/>
                  </w:rPr>
                  <w:t xml:space="preserve"> </w:t>
                </w:r>
                <w:r w:rsidR="00187573">
                  <w:rPr>
                    <w:b w:val="0"/>
                  </w:rPr>
                  <w:t>5127325</w:t>
                </w:r>
              </w:p>
            </w:tc>
            <w:tc>
              <w:tcPr>
                <w:tcW w:w="4863" w:type="dxa"/>
                <w:gridSpan w:val="4"/>
                <w:tcBorders>
                  <w:bottom w:val="none" w:sz="0" w:space="0" w:color="auto"/>
                </w:tcBorders>
                <w:vAlign w:val="center"/>
              </w:tcPr>
              <w:p w14:paraId="75A555A2" w14:textId="77777777" w:rsidR="009F35D4" w:rsidRPr="006E1BD5" w:rsidRDefault="009F35D4" w:rsidP="001A0DB9">
                <w:pPr>
                  <w:pStyle w:val="NoSpacing"/>
                  <w:jc w:val="left"/>
                  <w:cnfStyle w:val="100000000000" w:firstRow="1" w:lastRow="0" w:firstColumn="0" w:lastColumn="0" w:oddVBand="0" w:evenVBand="0" w:oddHBand="0" w:evenHBand="0" w:firstRowFirstColumn="0" w:firstRowLastColumn="0" w:lastRowFirstColumn="0" w:lastRowLastColumn="0"/>
                </w:pPr>
                <w:r>
                  <w:t>DOCUMENT REF:</w:t>
                </w:r>
                <w:r w:rsidRPr="006E1BD5">
                  <w:rPr>
                    <w:b w:val="0"/>
                  </w:rPr>
                  <w:t xml:space="preserve"> </w:t>
                </w:r>
                <w:r w:rsidR="00187573">
                  <w:rPr>
                    <w:b w:val="0"/>
                  </w:rPr>
                  <w:t>Futures Report</w:t>
                </w:r>
              </w:p>
            </w:tc>
          </w:tr>
          <w:tr w:rsidR="009F35D4" w:rsidRPr="006E1BD5" w14:paraId="2EB2789B" w14:textId="77777777" w:rsidTr="00187573">
            <w:tc>
              <w:tcPr>
                <w:cnfStyle w:val="001000000000" w:firstRow="0" w:lastRow="0" w:firstColumn="1" w:lastColumn="0" w:oddVBand="0" w:evenVBand="0" w:oddHBand="0" w:evenHBand="0" w:firstRowFirstColumn="0" w:firstRowLastColumn="0" w:lastRowFirstColumn="0" w:lastRowLastColumn="0"/>
                <w:tcW w:w="1038" w:type="dxa"/>
              </w:tcPr>
              <w:p w14:paraId="5880E098" w14:textId="77777777" w:rsidR="009F35D4" w:rsidRPr="006E1BD5" w:rsidRDefault="009F35D4" w:rsidP="001A0DB9">
                <w:pPr>
                  <w:pStyle w:val="NoSpacing"/>
                  <w:rPr>
                    <w:b/>
                  </w:rPr>
                </w:pPr>
                <w:r w:rsidRPr="006E1BD5">
                  <w:rPr>
                    <w:b/>
                  </w:rPr>
                  <w:t>Revision</w:t>
                </w:r>
              </w:p>
            </w:tc>
            <w:tc>
              <w:tcPr>
                <w:tcW w:w="2409" w:type="dxa"/>
              </w:tcPr>
              <w:p w14:paraId="63351390" w14:textId="77777777" w:rsidR="009F35D4" w:rsidRPr="006E1BD5"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rPr>
                    <w:b/>
                  </w:rPr>
                </w:pPr>
                <w:r w:rsidRPr="006E1BD5">
                  <w:rPr>
                    <w:b/>
                  </w:rPr>
                  <w:t>Purpose Description</w:t>
                </w:r>
              </w:p>
            </w:tc>
            <w:tc>
              <w:tcPr>
                <w:tcW w:w="1418" w:type="dxa"/>
              </w:tcPr>
              <w:p w14:paraId="063C6E2E" w14:textId="77777777" w:rsidR="009F35D4" w:rsidRPr="006E1BD5"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rPr>
                    <w:b/>
                  </w:rPr>
                </w:pPr>
                <w:r w:rsidRPr="006E1BD5">
                  <w:rPr>
                    <w:b/>
                  </w:rPr>
                  <w:t>Originated</w:t>
                </w:r>
              </w:p>
            </w:tc>
            <w:tc>
              <w:tcPr>
                <w:tcW w:w="1323" w:type="dxa"/>
              </w:tcPr>
              <w:p w14:paraId="575B9FA5" w14:textId="77777777" w:rsidR="009F35D4" w:rsidRPr="006E1BD5"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rPr>
                    <w:b/>
                  </w:rPr>
                </w:pPr>
                <w:r w:rsidRPr="006E1BD5">
                  <w:rPr>
                    <w:b/>
                  </w:rPr>
                  <w:t>Checked</w:t>
                </w:r>
              </w:p>
            </w:tc>
            <w:tc>
              <w:tcPr>
                <w:tcW w:w="1323" w:type="dxa"/>
              </w:tcPr>
              <w:p w14:paraId="71085AF9" w14:textId="77777777" w:rsidR="009F35D4" w:rsidRPr="006E1BD5"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rPr>
                    <w:b/>
                  </w:rPr>
                </w:pPr>
                <w:r w:rsidRPr="006E1BD5">
                  <w:rPr>
                    <w:b/>
                  </w:rPr>
                  <w:t>Reviewed</w:t>
                </w:r>
              </w:p>
            </w:tc>
            <w:tc>
              <w:tcPr>
                <w:tcW w:w="1181" w:type="dxa"/>
              </w:tcPr>
              <w:p w14:paraId="68970115" w14:textId="77777777" w:rsidR="009F35D4" w:rsidRPr="006E1BD5"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rPr>
                    <w:b/>
                  </w:rPr>
                </w:pPr>
                <w:r w:rsidRPr="006E1BD5">
                  <w:rPr>
                    <w:b/>
                  </w:rPr>
                  <w:t>Authorised</w:t>
                </w:r>
              </w:p>
            </w:tc>
            <w:tc>
              <w:tcPr>
                <w:tcW w:w="1036" w:type="dxa"/>
              </w:tcPr>
              <w:p w14:paraId="041181F0" w14:textId="77777777" w:rsidR="009F35D4" w:rsidRPr="006E1BD5"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rPr>
                    <w:b/>
                  </w:rPr>
                </w:pPr>
                <w:r w:rsidRPr="006E1BD5">
                  <w:rPr>
                    <w:b/>
                  </w:rPr>
                  <w:t>Date</w:t>
                </w:r>
              </w:p>
            </w:tc>
          </w:tr>
          <w:tr w:rsidR="009F35D4" w:rsidRPr="00BC3E31" w14:paraId="148BB962" w14:textId="77777777" w:rsidTr="00187573">
            <w:tc>
              <w:tcPr>
                <w:cnfStyle w:val="001000000000" w:firstRow="0" w:lastRow="0" w:firstColumn="1" w:lastColumn="0" w:oddVBand="0" w:evenVBand="0" w:oddHBand="0" w:evenHBand="0" w:firstRowFirstColumn="0" w:firstRowLastColumn="0" w:lastRowFirstColumn="0" w:lastRowLastColumn="0"/>
                <w:tcW w:w="1038" w:type="dxa"/>
              </w:tcPr>
              <w:p w14:paraId="0FC9906D" w14:textId="77777777" w:rsidR="009F35D4" w:rsidRPr="00BC3E31" w:rsidRDefault="00187573" w:rsidP="001A0DB9">
                <w:pPr>
                  <w:pStyle w:val="NoSpacing"/>
                </w:pPr>
                <w:r>
                  <w:t>0</w:t>
                </w:r>
              </w:p>
            </w:tc>
            <w:tc>
              <w:tcPr>
                <w:tcW w:w="2409" w:type="dxa"/>
              </w:tcPr>
              <w:p w14:paraId="42B66F54" w14:textId="77777777" w:rsidR="009F35D4" w:rsidRPr="00BC3E31" w:rsidRDefault="00187573" w:rsidP="001A0DB9">
                <w:pPr>
                  <w:pStyle w:val="NoSpacing"/>
                  <w:jc w:val="left"/>
                  <w:cnfStyle w:val="000000000000" w:firstRow="0" w:lastRow="0" w:firstColumn="0" w:lastColumn="0" w:oddVBand="0" w:evenVBand="0" w:oddHBand="0" w:evenHBand="0" w:firstRowFirstColumn="0" w:firstRowLastColumn="0" w:lastRowFirstColumn="0" w:lastRowLastColumn="0"/>
                </w:pPr>
                <w:r>
                  <w:t>Draft Final</w:t>
                </w:r>
              </w:p>
            </w:tc>
            <w:tc>
              <w:tcPr>
                <w:tcW w:w="1418" w:type="dxa"/>
              </w:tcPr>
              <w:p w14:paraId="6BD9B929" w14:textId="77777777" w:rsidR="009F35D4" w:rsidRPr="00BC3E31" w:rsidRDefault="00187573" w:rsidP="001A0DB9">
                <w:pPr>
                  <w:pStyle w:val="NoSpacing"/>
                  <w:jc w:val="left"/>
                  <w:cnfStyle w:val="000000000000" w:firstRow="0" w:lastRow="0" w:firstColumn="0" w:lastColumn="0" w:oddVBand="0" w:evenVBand="0" w:oddHBand="0" w:evenHBand="0" w:firstRowFirstColumn="0" w:firstRowLastColumn="0" w:lastRowFirstColumn="0" w:lastRowLastColumn="0"/>
                </w:pPr>
                <w:r>
                  <w:t>RC</w:t>
                </w:r>
              </w:p>
            </w:tc>
            <w:tc>
              <w:tcPr>
                <w:tcW w:w="1323" w:type="dxa"/>
              </w:tcPr>
              <w:p w14:paraId="1AA15D52" w14:textId="77777777" w:rsidR="009F35D4" w:rsidRPr="00BC3E31" w:rsidRDefault="00187573" w:rsidP="001A0DB9">
                <w:pPr>
                  <w:pStyle w:val="NoSpacing"/>
                  <w:jc w:val="left"/>
                  <w:cnfStyle w:val="000000000000" w:firstRow="0" w:lastRow="0" w:firstColumn="0" w:lastColumn="0" w:oddVBand="0" w:evenVBand="0" w:oddHBand="0" w:evenHBand="0" w:firstRowFirstColumn="0" w:firstRowLastColumn="0" w:lastRowFirstColumn="0" w:lastRowLastColumn="0"/>
                </w:pPr>
                <w:r>
                  <w:t>JG</w:t>
                </w:r>
              </w:p>
            </w:tc>
            <w:tc>
              <w:tcPr>
                <w:tcW w:w="1323" w:type="dxa"/>
              </w:tcPr>
              <w:p w14:paraId="3B85DD58" w14:textId="77777777" w:rsidR="009F35D4" w:rsidRPr="00BC3E31" w:rsidRDefault="00187573" w:rsidP="001A0DB9">
                <w:pPr>
                  <w:pStyle w:val="NoSpacing"/>
                  <w:jc w:val="left"/>
                  <w:cnfStyle w:val="000000000000" w:firstRow="0" w:lastRow="0" w:firstColumn="0" w:lastColumn="0" w:oddVBand="0" w:evenVBand="0" w:oddHBand="0" w:evenHBand="0" w:firstRowFirstColumn="0" w:firstRowLastColumn="0" w:lastRowFirstColumn="0" w:lastRowLastColumn="0"/>
                </w:pPr>
                <w:r>
                  <w:t>ID</w:t>
                </w:r>
              </w:p>
            </w:tc>
            <w:tc>
              <w:tcPr>
                <w:tcW w:w="1181" w:type="dxa"/>
              </w:tcPr>
              <w:p w14:paraId="1989488C" w14:textId="77777777" w:rsidR="009F35D4" w:rsidRPr="00BC3E31" w:rsidRDefault="00187573" w:rsidP="001A0DB9">
                <w:pPr>
                  <w:pStyle w:val="NoSpacing"/>
                  <w:jc w:val="left"/>
                  <w:cnfStyle w:val="000000000000" w:firstRow="0" w:lastRow="0" w:firstColumn="0" w:lastColumn="0" w:oddVBand="0" w:evenVBand="0" w:oddHBand="0" w:evenHBand="0" w:firstRowFirstColumn="0" w:firstRowLastColumn="0" w:lastRowFirstColumn="0" w:lastRowLastColumn="0"/>
                </w:pPr>
                <w:r>
                  <w:t>RC</w:t>
                </w:r>
              </w:p>
            </w:tc>
            <w:tc>
              <w:tcPr>
                <w:tcW w:w="1036" w:type="dxa"/>
              </w:tcPr>
              <w:p w14:paraId="42B0D297" w14:textId="77777777" w:rsidR="009F35D4" w:rsidRPr="00BC3E31" w:rsidRDefault="00187573" w:rsidP="001A0DB9">
                <w:pPr>
                  <w:pStyle w:val="NoSpacing"/>
                  <w:jc w:val="left"/>
                  <w:cnfStyle w:val="000000000000" w:firstRow="0" w:lastRow="0" w:firstColumn="0" w:lastColumn="0" w:oddVBand="0" w:evenVBand="0" w:oddHBand="0" w:evenHBand="0" w:firstRowFirstColumn="0" w:firstRowLastColumn="0" w:lastRowFirstColumn="0" w:lastRowLastColumn="0"/>
                </w:pPr>
                <w:r>
                  <w:t>08/04/14</w:t>
                </w:r>
              </w:p>
            </w:tc>
          </w:tr>
          <w:tr w:rsidR="009F35D4" w:rsidRPr="00BC3E31" w14:paraId="58FE1CE5" w14:textId="77777777" w:rsidTr="00187573">
            <w:tc>
              <w:tcPr>
                <w:cnfStyle w:val="001000000000" w:firstRow="0" w:lastRow="0" w:firstColumn="1" w:lastColumn="0" w:oddVBand="0" w:evenVBand="0" w:oddHBand="0" w:evenHBand="0" w:firstRowFirstColumn="0" w:firstRowLastColumn="0" w:lastRowFirstColumn="0" w:lastRowLastColumn="0"/>
                <w:tcW w:w="1038" w:type="dxa"/>
              </w:tcPr>
              <w:p w14:paraId="4F53A5DD" w14:textId="77777777" w:rsidR="009F35D4" w:rsidRPr="00BC3E31" w:rsidRDefault="00CD3974" w:rsidP="001A0DB9">
                <w:pPr>
                  <w:pStyle w:val="NoSpacing"/>
                </w:pPr>
                <w:r>
                  <w:t>1</w:t>
                </w:r>
              </w:p>
            </w:tc>
            <w:tc>
              <w:tcPr>
                <w:tcW w:w="2409" w:type="dxa"/>
              </w:tcPr>
              <w:p w14:paraId="570EF124" w14:textId="77777777" w:rsidR="009F35D4" w:rsidRPr="00BC3E31" w:rsidRDefault="00CD3974" w:rsidP="001A0DB9">
                <w:pPr>
                  <w:pStyle w:val="NoSpacing"/>
                  <w:jc w:val="left"/>
                  <w:cnfStyle w:val="000000000000" w:firstRow="0" w:lastRow="0" w:firstColumn="0" w:lastColumn="0" w:oddVBand="0" w:evenVBand="0" w:oddHBand="0" w:evenHBand="0" w:firstRowFirstColumn="0" w:firstRowLastColumn="0" w:lastRowFirstColumn="0" w:lastRowLastColumn="0"/>
                </w:pPr>
                <w:r>
                  <w:t>Final</w:t>
                </w:r>
              </w:p>
            </w:tc>
            <w:tc>
              <w:tcPr>
                <w:tcW w:w="1418" w:type="dxa"/>
              </w:tcPr>
              <w:p w14:paraId="7345D475" w14:textId="77777777" w:rsidR="009F35D4" w:rsidRPr="00BC3E31" w:rsidRDefault="00CD3974" w:rsidP="001A0DB9">
                <w:pPr>
                  <w:pStyle w:val="NoSpacing"/>
                  <w:jc w:val="left"/>
                  <w:cnfStyle w:val="000000000000" w:firstRow="0" w:lastRow="0" w:firstColumn="0" w:lastColumn="0" w:oddVBand="0" w:evenVBand="0" w:oddHBand="0" w:evenHBand="0" w:firstRowFirstColumn="0" w:firstRowLastColumn="0" w:lastRowFirstColumn="0" w:lastRowLastColumn="0"/>
                </w:pPr>
                <w:r>
                  <w:t>RC</w:t>
                </w:r>
              </w:p>
            </w:tc>
            <w:tc>
              <w:tcPr>
                <w:tcW w:w="1323" w:type="dxa"/>
              </w:tcPr>
              <w:p w14:paraId="58F4794C" w14:textId="77777777" w:rsidR="009F35D4" w:rsidRPr="00BC3E31" w:rsidRDefault="00CD3974" w:rsidP="001A0DB9">
                <w:pPr>
                  <w:pStyle w:val="NoSpacing"/>
                  <w:jc w:val="left"/>
                  <w:cnfStyle w:val="000000000000" w:firstRow="0" w:lastRow="0" w:firstColumn="0" w:lastColumn="0" w:oddVBand="0" w:evenVBand="0" w:oddHBand="0" w:evenHBand="0" w:firstRowFirstColumn="0" w:firstRowLastColumn="0" w:lastRowFirstColumn="0" w:lastRowLastColumn="0"/>
                </w:pPr>
                <w:r>
                  <w:t>JG</w:t>
                </w:r>
              </w:p>
            </w:tc>
            <w:tc>
              <w:tcPr>
                <w:tcW w:w="1323" w:type="dxa"/>
              </w:tcPr>
              <w:p w14:paraId="35DE4EEC" w14:textId="77777777" w:rsidR="009F35D4" w:rsidRPr="00BC3E31" w:rsidRDefault="00CD3974" w:rsidP="001A0DB9">
                <w:pPr>
                  <w:pStyle w:val="NoSpacing"/>
                  <w:jc w:val="left"/>
                  <w:cnfStyle w:val="000000000000" w:firstRow="0" w:lastRow="0" w:firstColumn="0" w:lastColumn="0" w:oddVBand="0" w:evenVBand="0" w:oddHBand="0" w:evenHBand="0" w:firstRowFirstColumn="0" w:firstRowLastColumn="0" w:lastRowFirstColumn="0" w:lastRowLastColumn="0"/>
                </w:pPr>
                <w:r>
                  <w:t>ID</w:t>
                </w:r>
              </w:p>
            </w:tc>
            <w:tc>
              <w:tcPr>
                <w:tcW w:w="1181" w:type="dxa"/>
              </w:tcPr>
              <w:p w14:paraId="2C86864F" w14:textId="77777777" w:rsidR="009F35D4" w:rsidRPr="00BC3E31" w:rsidRDefault="00CD3974" w:rsidP="001A0DB9">
                <w:pPr>
                  <w:pStyle w:val="NoSpacing"/>
                  <w:jc w:val="left"/>
                  <w:cnfStyle w:val="000000000000" w:firstRow="0" w:lastRow="0" w:firstColumn="0" w:lastColumn="0" w:oddVBand="0" w:evenVBand="0" w:oddHBand="0" w:evenHBand="0" w:firstRowFirstColumn="0" w:firstRowLastColumn="0" w:lastRowFirstColumn="0" w:lastRowLastColumn="0"/>
                </w:pPr>
                <w:r>
                  <w:t>RC</w:t>
                </w:r>
              </w:p>
            </w:tc>
            <w:tc>
              <w:tcPr>
                <w:tcW w:w="1036" w:type="dxa"/>
              </w:tcPr>
              <w:p w14:paraId="3FDB3E9E" w14:textId="77777777" w:rsidR="009F35D4" w:rsidRPr="00BC3E31" w:rsidRDefault="00CD3974" w:rsidP="001A0DB9">
                <w:pPr>
                  <w:pStyle w:val="NoSpacing"/>
                  <w:jc w:val="left"/>
                  <w:cnfStyle w:val="000000000000" w:firstRow="0" w:lastRow="0" w:firstColumn="0" w:lastColumn="0" w:oddVBand="0" w:evenVBand="0" w:oddHBand="0" w:evenHBand="0" w:firstRowFirstColumn="0" w:firstRowLastColumn="0" w:lastRowFirstColumn="0" w:lastRowLastColumn="0"/>
                </w:pPr>
                <w:r>
                  <w:t>30/06/14</w:t>
                </w:r>
              </w:p>
            </w:tc>
          </w:tr>
          <w:tr w:rsidR="009F35D4" w:rsidRPr="00BC3E31" w14:paraId="22092B89" w14:textId="77777777" w:rsidTr="00187573">
            <w:tc>
              <w:tcPr>
                <w:cnfStyle w:val="001000000000" w:firstRow="0" w:lastRow="0" w:firstColumn="1" w:lastColumn="0" w:oddVBand="0" w:evenVBand="0" w:oddHBand="0" w:evenHBand="0" w:firstRowFirstColumn="0" w:firstRowLastColumn="0" w:lastRowFirstColumn="0" w:lastRowLastColumn="0"/>
                <w:tcW w:w="1038" w:type="dxa"/>
              </w:tcPr>
              <w:p w14:paraId="27A773CE" w14:textId="77777777" w:rsidR="009F35D4" w:rsidRPr="00BC3E31" w:rsidRDefault="00400D04" w:rsidP="001A0DB9">
                <w:pPr>
                  <w:pStyle w:val="NoSpacing"/>
                </w:pPr>
                <w:r>
                  <w:t>2</w:t>
                </w:r>
              </w:p>
            </w:tc>
            <w:tc>
              <w:tcPr>
                <w:tcW w:w="2409" w:type="dxa"/>
              </w:tcPr>
              <w:p w14:paraId="5E126DEA" w14:textId="77777777" w:rsidR="009F35D4" w:rsidRPr="00BC3E31" w:rsidRDefault="00400D04" w:rsidP="001A0DB9">
                <w:pPr>
                  <w:pStyle w:val="NoSpacing"/>
                  <w:jc w:val="left"/>
                  <w:cnfStyle w:val="000000000000" w:firstRow="0" w:lastRow="0" w:firstColumn="0" w:lastColumn="0" w:oddVBand="0" w:evenVBand="0" w:oddHBand="0" w:evenHBand="0" w:firstRowFirstColumn="0" w:firstRowLastColumn="0" w:lastRowFirstColumn="0" w:lastRowLastColumn="0"/>
                </w:pPr>
                <w:r>
                  <w:t>Final</w:t>
                </w:r>
              </w:p>
            </w:tc>
            <w:tc>
              <w:tcPr>
                <w:tcW w:w="1418" w:type="dxa"/>
              </w:tcPr>
              <w:p w14:paraId="040FA02C" w14:textId="77777777" w:rsidR="009F35D4" w:rsidRPr="00BC3E31" w:rsidRDefault="00400D04" w:rsidP="001A0DB9">
                <w:pPr>
                  <w:pStyle w:val="NoSpacing"/>
                  <w:jc w:val="left"/>
                  <w:cnfStyle w:val="000000000000" w:firstRow="0" w:lastRow="0" w:firstColumn="0" w:lastColumn="0" w:oddVBand="0" w:evenVBand="0" w:oddHBand="0" w:evenHBand="0" w:firstRowFirstColumn="0" w:firstRowLastColumn="0" w:lastRowFirstColumn="0" w:lastRowLastColumn="0"/>
                </w:pPr>
                <w:r>
                  <w:t>RC</w:t>
                </w:r>
              </w:p>
            </w:tc>
            <w:tc>
              <w:tcPr>
                <w:tcW w:w="1323" w:type="dxa"/>
              </w:tcPr>
              <w:p w14:paraId="66807C9E" w14:textId="77777777" w:rsidR="009F35D4" w:rsidRPr="00BC3E31" w:rsidRDefault="00400D04" w:rsidP="001A0DB9">
                <w:pPr>
                  <w:pStyle w:val="NoSpacing"/>
                  <w:jc w:val="left"/>
                  <w:cnfStyle w:val="000000000000" w:firstRow="0" w:lastRow="0" w:firstColumn="0" w:lastColumn="0" w:oddVBand="0" w:evenVBand="0" w:oddHBand="0" w:evenHBand="0" w:firstRowFirstColumn="0" w:firstRowLastColumn="0" w:lastRowFirstColumn="0" w:lastRowLastColumn="0"/>
                </w:pPr>
                <w:r>
                  <w:t>ES</w:t>
                </w:r>
              </w:p>
            </w:tc>
            <w:tc>
              <w:tcPr>
                <w:tcW w:w="1323" w:type="dxa"/>
              </w:tcPr>
              <w:p w14:paraId="6A39A1EC" w14:textId="77777777" w:rsidR="009F35D4" w:rsidRPr="00BC3E31" w:rsidRDefault="00400D04" w:rsidP="001A0DB9">
                <w:pPr>
                  <w:pStyle w:val="NoSpacing"/>
                  <w:jc w:val="left"/>
                  <w:cnfStyle w:val="000000000000" w:firstRow="0" w:lastRow="0" w:firstColumn="0" w:lastColumn="0" w:oddVBand="0" w:evenVBand="0" w:oddHBand="0" w:evenHBand="0" w:firstRowFirstColumn="0" w:firstRowLastColumn="0" w:lastRowFirstColumn="0" w:lastRowLastColumn="0"/>
                </w:pPr>
                <w:r>
                  <w:t>ID</w:t>
                </w:r>
              </w:p>
            </w:tc>
            <w:tc>
              <w:tcPr>
                <w:tcW w:w="1181" w:type="dxa"/>
              </w:tcPr>
              <w:p w14:paraId="4005C37C" w14:textId="77777777" w:rsidR="009F35D4" w:rsidRPr="00BC3E31" w:rsidRDefault="00400D04" w:rsidP="001A0DB9">
                <w:pPr>
                  <w:pStyle w:val="NoSpacing"/>
                  <w:jc w:val="left"/>
                  <w:cnfStyle w:val="000000000000" w:firstRow="0" w:lastRow="0" w:firstColumn="0" w:lastColumn="0" w:oddVBand="0" w:evenVBand="0" w:oddHBand="0" w:evenHBand="0" w:firstRowFirstColumn="0" w:firstRowLastColumn="0" w:lastRowFirstColumn="0" w:lastRowLastColumn="0"/>
                </w:pPr>
                <w:r>
                  <w:t>RC</w:t>
                </w:r>
              </w:p>
            </w:tc>
            <w:tc>
              <w:tcPr>
                <w:tcW w:w="1036" w:type="dxa"/>
              </w:tcPr>
              <w:p w14:paraId="38294357" w14:textId="77777777" w:rsidR="009F35D4" w:rsidRPr="00BC3E31" w:rsidRDefault="006518A5" w:rsidP="001A0DB9">
                <w:pPr>
                  <w:pStyle w:val="NoSpacing"/>
                  <w:jc w:val="left"/>
                  <w:cnfStyle w:val="000000000000" w:firstRow="0" w:lastRow="0" w:firstColumn="0" w:lastColumn="0" w:oddVBand="0" w:evenVBand="0" w:oddHBand="0" w:evenHBand="0" w:firstRowFirstColumn="0" w:firstRowLastColumn="0" w:lastRowFirstColumn="0" w:lastRowLastColumn="0"/>
                </w:pPr>
                <w:r>
                  <w:t>29</w:t>
                </w:r>
                <w:r w:rsidR="00400D04">
                  <w:t>/07/14</w:t>
                </w:r>
              </w:p>
            </w:tc>
          </w:tr>
          <w:tr w:rsidR="009F35D4" w:rsidRPr="00BC3E31" w14:paraId="5534EBDF" w14:textId="77777777" w:rsidTr="00187573">
            <w:tc>
              <w:tcPr>
                <w:cnfStyle w:val="001000000000" w:firstRow="0" w:lastRow="0" w:firstColumn="1" w:lastColumn="0" w:oddVBand="0" w:evenVBand="0" w:oddHBand="0" w:evenHBand="0" w:firstRowFirstColumn="0" w:firstRowLastColumn="0" w:lastRowFirstColumn="0" w:lastRowLastColumn="0"/>
                <w:tcW w:w="1038" w:type="dxa"/>
              </w:tcPr>
              <w:p w14:paraId="54D7F2D2" w14:textId="77777777" w:rsidR="009F35D4" w:rsidRPr="00BC3E31" w:rsidRDefault="009F35D4" w:rsidP="001A0DB9">
                <w:pPr>
                  <w:pStyle w:val="NoSpacing"/>
                </w:pPr>
              </w:p>
            </w:tc>
            <w:tc>
              <w:tcPr>
                <w:tcW w:w="2409" w:type="dxa"/>
              </w:tcPr>
              <w:p w14:paraId="7B8B4A23"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29A8177A"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3099796A"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0AD3A609"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181" w:type="dxa"/>
              </w:tcPr>
              <w:p w14:paraId="74956887"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036" w:type="dxa"/>
              </w:tcPr>
              <w:p w14:paraId="22D80B44"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r>
          <w:tr w:rsidR="009F35D4" w:rsidRPr="00BC3E31" w14:paraId="3B1574D9" w14:textId="77777777" w:rsidTr="00187573">
            <w:tc>
              <w:tcPr>
                <w:cnfStyle w:val="001000000000" w:firstRow="0" w:lastRow="0" w:firstColumn="1" w:lastColumn="0" w:oddVBand="0" w:evenVBand="0" w:oddHBand="0" w:evenHBand="0" w:firstRowFirstColumn="0" w:firstRowLastColumn="0" w:lastRowFirstColumn="0" w:lastRowLastColumn="0"/>
                <w:tcW w:w="1038" w:type="dxa"/>
              </w:tcPr>
              <w:p w14:paraId="6A499E61" w14:textId="77777777" w:rsidR="009F35D4" w:rsidRPr="00BC3E31" w:rsidRDefault="009F35D4" w:rsidP="001A0DB9">
                <w:pPr>
                  <w:pStyle w:val="NoSpacing"/>
                </w:pPr>
              </w:p>
            </w:tc>
            <w:tc>
              <w:tcPr>
                <w:tcW w:w="2409" w:type="dxa"/>
              </w:tcPr>
              <w:p w14:paraId="254DDD4F"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372FF305"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458AE00E"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7BC25FBC"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181" w:type="dxa"/>
              </w:tcPr>
              <w:p w14:paraId="6ADFA9A7"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036" w:type="dxa"/>
              </w:tcPr>
              <w:p w14:paraId="217C5D56"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r>
          <w:tr w:rsidR="009F35D4" w:rsidRPr="00BC3E31" w14:paraId="11CE08DF" w14:textId="77777777" w:rsidTr="00187573">
            <w:tc>
              <w:tcPr>
                <w:cnfStyle w:val="001000000000" w:firstRow="0" w:lastRow="0" w:firstColumn="1" w:lastColumn="0" w:oddVBand="0" w:evenVBand="0" w:oddHBand="0" w:evenHBand="0" w:firstRowFirstColumn="0" w:firstRowLastColumn="0" w:lastRowFirstColumn="0" w:lastRowLastColumn="0"/>
                <w:tcW w:w="1038" w:type="dxa"/>
              </w:tcPr>
              <w:p w14:paraId="4130830C" w14:textId="77777777" w:rsidR="009F35D4" w:rsidRPr="00BC3E31" w:rsidRDefault="009F35D4" w:rsidP="001A0DB9">
                <w:pPr>
                  <w:pStyle w:val="NoSpacing"/>
                </w:pPr>
              </w:p>
            </w:tc>
            <w:tc>
              <w:tcPr>
                <w:tcW w:w="2409" w:type="dxa"/>
              </w:tcPr>
              <w:p w14:paraId="7D203182"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5718335F"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5677BA1F"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4A2C25B5"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181" w:type="dxa"/>
              </w:tcPr>
              <w:p w14:paraId="1AAF608E"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036" w:type="dxa"/>
              </w:tcPr>
              <w:p w14:paraId="5517EC38"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r>
          <w:tr w:rsidR="009F35D4" w:rsidRPr="00BC3E31" w14:paraId="3E23B45C" w14:textId="77777777" w:rsidTr="00187573">
            <w:tc>
              <w:tcPr>
                <w:cnfStyle w:val="001000000000" w:firstRow="0" w:lastRow="0" w:firstColumn="1" w:lastColumn="0" w:oddVBand="0" w:evenVBand="0" w:oddHBand="0" w:evenHBand="0" w:firstRowFirstColumn="0" w:firstRowLastColumn="0" w:lastRowFirstColumn="0" w:lastRowLastColumn="0"/>
                <w:tcW w:w="1038" w:type="dxa"/>
              </w:tcPr>
              <w:p w14:paraId="28371566" w14:textId="77777777" w:rsidR="009F35D4" w:rsidRPr="00BC3E31" w:rsidRDefault="009F35D4" w:rsidP="001A0DB9">
                <w:pPr>
                  <w:pStyle w:val="NoSpacing"/>
                </w:pPr>
              </w:p>
            </w:tc>
            <w:tc>
              <w:tcPr>
                <w:tcW w:w="2409" w:type="dxa"/>
              </w:tcPr>
              <w:p w14:paraId="643CC158"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09D23E44"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61AB5C64"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0604502F"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181" w:type="dxa"/>
              </w:tcPr>
              <w:p w14:paraId="6E84C51B"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036" w:type="dxa"/>
              </w:tcPr>
              <w:p w14:paraId="768A9930"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r>
          <w:tr w:rsidR="009F35D4" w:rsidRPr="00BC3E31" w14:paraId="2EC0A786" w14:textId="77777777" w:rsidTr="00187573">
            <w:tc>
              <w:tcPr>
                <w:cnfStyle w:val="001000000000" w:firstRow="0" w:lastRow="0" w:firstColumn="1" w:lastColumn="0" w:oddVBand="0" w:evenVBand="0" w:oddHBand="0" w:evenHBand="0" w:firstRowFirstColumn="0" w:firstRowLastColumn="0" w:lastRowFirstColumn="0" w:lastRowLastColumn="0"/>
                <w:tcW w:w="1038" w:type="dxa"/>
              </w:tcPr>
              <w:p w14:paraId="7ACAF2E1" w14:textId="77777777" w:rsidR="009F35D4" w:rsidRPr="00BC3E31" w:rsidRDefault="009F35D4" w:rsidP="001A0DB9">
                <w:pPr>
                  <w:pStyle w:val="NoSpacing"/>
                </w:pPr>
              </w:p>
            </w:tc>
            <w:tc>
              <w:tcPr>
                <w:tcW w:w="2409" w:type="dxa"/>
              </w:tcPr>
              <w:p w14:paraId="56D48A30"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32C6355F"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78FA407F"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338930D0"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181" w:type="dxa"/>
              </w:tcPr>
              <w:p w14:paraId="31226BF6"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036" w:type="dxa"/>
              </w:tcPr>
              <w:p w14:paraId="10949263"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r>
          <w:tr w:rsidR="009F35D4" w:rsidRPr="00BC3E31" w14:paraId="35AB2267" w14:textId="77777777" w:rsidTr="00187573">
            <w:tc>
              <w:tcPr>
                <w:cnfStyle w:val="001000000000" w:firstRow="0" w:lastRow="0" w:firstColumn="1" w:lastColumn="0" w:oddVBand="0" w:evenVBand="0" w:oddHBand="0" w:evenHBand="0" w:firstRowFirstColumn="0" w:firstRowLastColumn="0" w:lastRowFirstColumn="0" w:lastRowLastColumn="0"/>
                <w:tcW w:w="1038" w:type="dxa"/>
              </w:tcPr>
              <w:p w14:paraId="2FE78511" w14:textId="77777777" w:rsidR="009F35D4" w:rsidRPr="00BC3E31" w:rsidRDefault="009F35D4" w:rsidP="001A0DB9">
                <w:pPr>
                  <w:pStyle w:val="NoSpacing"/>
                </w:pPr>
              </w:p>
            </w:tc>
            <w:tc>
              <w:tcPr>
                <w:tcW w:w="2409" w:type="dxa"/>
              </w:tcPr>
              <w:p w14:paraId="5FE8984B"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79275B25"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75E09BD7"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323" w:type="dxa"/>
              </w:tcPr>
              <w:p w14:paraId="44C77B9E"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181" w:type="dxa"/>
              </w:tcPr>
              <w:p w14:paraId="33DE479F"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c>
              <w:tcPr>
                <w:tcW w:w="1036" w:type="dxa"/>
              </w:tcPr>
              <w:p w14:paraId="716E75D3" w14:textId="77777777" w:rsidR="009F35D4" w:rsidRPr="00BC3E31" w:rsidRDefault="009F35D4" w:rsidP="001A0DB9">
                <w:pPr>
                  <w:pStyle w:val="NoSpacing"/>
                  <w:jc w:val="left"/>
                  <w:cnfStyle w:val="000000000000" w:firstRow="0" w:lastRow="0" w:firstColumn="0" w:lastColumn="0" w:oddVBand="0" w:evenVBand="0" w:oddHBand="0" w:evenHBand="0" w:firstRowFirstColumn="0" w:firstRowLastColumn="0" w:lastRowFirstColumn="0" w:lastRowLastColumn="0"/>
                </w:pPr>
              </w:p>
            </w:tc>
          </w:tr>
        </w:tbl>
        <w:p w14:paraId="0153A1EA" w14:textId="77777777" w:rsidR="009F35D4" w:rsidRDefault="009F35D4" w:rsidP="009F35D4">
          <w:pPr>
            <w:pStyle w:val="BodyText"/>
          </w:pPr>
        </w:p>
        <w:p w14:paraId="00772EFB" w14:textId="77777777" w:rsidR="009F35D4" w:rsidRDefault="009F35D4" w:rsidP="009F35D4">
          <w:pPr>
            <w:pStyle w:val="BodyText"/>
          </w:pPr>
        </w:p>
        <w:p w14:paraId="775203A9" w14:textId="77777777" w:rsidR="009F35D4" w:rsidRDefault="009F35D4" w:rsidP="009F35D4">
          <w:pPr>
            <w:pStyle w:val="BodyText"/>
          </w:pPr>
          <w:r>
            <w:br w:type="page"/>
          </w:r>
        </w:p>
        <w:p w14:paraId="206363BE" w14:textId="77777777" w:rsidR="007E364A" w:rsidRDefault="007E364A" w:rsidP="00F63D53">
          <w:pPr>
            <w:pStyle w:val="Heading1"/>
            <w:numPr>
              <w:ilvl w:val="0"/>
              <w:numId w:val="0"/>
            </w:numPr>
          </w:pPr>
          <w:r>
            <w:rPr>
              <w:noProof/>
              <w:lang w:eastAsia="en-GB"/>
            </w:rPr>
            <w:lastRenderedPageBreak/>
            <w:drawing>
              <wp:anchor distT="0" distB="0" distL="114300" distR="114300" simplePos="0" relativeHeight="251677696" behindDoc="1" locked="0" layoutInCell="0" allowOverlap="1" wp14:anchorId="4A11A14A" wp14:editId="21655F43">
                <wp:simplePos x="0" y="0"/>
                <wp:positionH relativeFrom="page">
                  <wp:posOffset>-9525</wp:posOffset>
                </wp:positionH>
                <wp:positionV relativeFrom="page">
                  <wp:posOffset>514350</wp:posOffset>
                </wp:positionV>
                <wp:extent cx="7581900" cy="10267950"/>
                <wp:effectExtent l="19050" t="0" r="0" b="0"/>
                <wp:wrapNone/>
                <wp:docPr id="5" name="Picture 4" descr="G:\Atkins\8755 Bid templates\8755 Design files\Production\Colourway 1\Contents\Contents Pages 2 4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kins\8755 Bid templates\8755 Design files\Production\Colourway 1\Contents\Contents Pages 2 4 copy.gif"/>
                        <pic:cNvPicPr>
                          <a:picLocks noChangeAspect="1" noChangeArrowheads="1"/>
                        </pic:cNvPicPr>
                      </pic:nvPicPr>
                      <pic:blipFill>
                        <a:blip r:embed="rId13" cstate="print"/>
                        <a:srcRect t="4263"/>
                        <a:stretch>
                          <a:fillRect/>
                        </a:stretch>
                      </pic:blipFill>
                      <pic:spPr bwMode="auto">
                        <a:xfrm>
                          <a:off x="0" y="0"/>
                          <a:ext cx="7581900" cy="10267950"/>
                        </a:xfrm>
                        <a:prstGeom prst="rect">
                          <a:avLst/>
                        </a:prstGeom>
                        <a:noFill/>
                        <a:ln w="9525">
                          <a:noFill/>
                          <a:miter lim="800000"/>
                          <a:headEnd/>
                          <a:tailEnd/>
                        </a:ln>
                      </pic:spPr>
                    </pic:pic>
                  </a:graphicData>
                </a:graphic>
              </wp:anchor>
            </w:drawing>
          </w:r>
          <w:r>
            <w:t xml:space="preserve"> </w:t>
          </w:r>
        </w:p>
        <w:p w14:paraId="1FF62633" w14:textId="77777777" w:rsidR="007E364A" w:rsidRPr="00147811" w:rsidRDefault="007E364A" w:rsidP="00F63D53">
          <w:pPr>
            <w:pStyle w:val="Introductionheading"/>
          </w:pPr>
          <w:r w:rsidRPr="00147811">
            <w:t xml:space="preserve"> </w:t>
          </w:r>
        </w:p>
        <w:p w14:paraId="41243284" w14:textId="77777777" w:rsidR="007E364A" w:rsidRDefault="007E364A" w:rsidP="00F63D53">
          <w:pPr>
            <w:pStyle w:val="Quotelarge"/>
            <w:rPr>
              <w:color w:val="FFFFFF" w:themeColor="background1"/>
            </w:rPr>
          </w:pPr>
        </w:p>
        <w:p w14:paraId="24B2D071" w14:textId="77777777" w:rsidR="007E364A" w:rsidRDefault="007E364A">
          <w:pPr>
            <w:jc w:val="left"/>
            <w:rPr>
              <w:color w:val="FFFFFF" w:themeColor="background1"/>
            </w:rPr>
          </w:pPr>
          <w:r>
            <w:rPr>
              <w:color w:val="FFFFFF" w:themeColor="background1"/>
            </w:rPr>
            <w:br w:type="page"/>
          </w:r>
        </w:p>
      </w:sdtContent>
    </w:sdt>
    <w:p w14:paraId="7AF33465" w14:textId="77777777" w:rsidR="00F469E0" w:rsidRDefault="00F469E0" w:rsidP="000A2AF4">
      <w:pPr>
        <w:pStyle w:val="Quotelarge"/>
        <w:spacing w:after="840"/>
      </w:pPr>
      <w:r>
        <w:t xml:space="preserve">Table of contents </w:t>
      </w:r>
    </w:p>
    <w:p w14:paraId="5F2E137B" w14:textId="77777777" w:rsidR="005B15FE" w:rsidRPr="006E7855" w:rsidRDefault="007C41C4" w:rsidP="006A6B9C">
      <w:pPr>
        <w:pStyle w:val="BodyText"/>
        <w:tabs>
          <w:tab w:val="right" w:pos="9639"/>
        </w:tabs>
        <w:spacing w:after="0"/>
        <w:rPr>
          <w:color w:val="096971" w:themeColor="accent1"/>
          <w:sz w:val="22"/>
        </w:rPr>
      </w:pPr>
      <w:r w:rsidRPr="006E7855">
        <w:rPr>
          <w:b/>
          <w:color w:val="096971" w:themeColor="accent1"/>
          <w:sz w:val="22"/>
        </w:rPr>
        <w:t>Chapter</w:t>
      </w:r>
      <w:r w:rsidR="004A7BA5" w:rsidRPr="006E7855">
        <w:rPr>
          <w:color w:val="096971" w:themeColor="accent1"/>
          <w:sz w:val="22"/>
        </w:rPr>
        <w:tab/>
        <w:t>pages</w:t>
      </w:r>
    </w:p>
    <w:p w14:paraId="05AE3B37" w14:textId="77777777" w:rsidR="00C6480C" w:rsidRDefault="00B46D1E">
      <w:pPr>
        <w:pStyle w:val="TOC1"/>
        <w:rPr>
          <w:rFonts w:asciiTheme="minorHAnsi" w:eastAsiaTheme="minorEastAsia" w:hAnsiTheme="minorHAnsi" w:cstheme="minorBidi"/>
          <w:b w:val="0"/>
          <w:noProof/>
          <w:color w:val="auto"/>
          <w:sz w:val="22"/>
          <w:szCs w:val="22"/>
          <w:lang w:eastAsia="en-GB"/>
        </w:rPr>
      </w:pPr>
      <w:r>
        <w:fldChar w:fldCharType="begin"/>
      </w:r>
      <w:r w:rsidR="00D76336">
        <w:instrText xml:space="preserve"> TOC \o "1-2" \h \z \u </w:instrText>
      </w:r>
      <w:r>
        <w:fldChar w:fldCharType="separate"/>
      </w:r>
      <w:hyperlink w:anchor="_Toc394668528" w:history="1">
        <w:r w:rsidR="00C6480C" w:rsidRPr="0043250D">
          <w:rPr>
            <w:rStyle w:val="Hyperlink"/>
            <w:noProof/>
          </w:rPr>
          <w:t>1.</w:t>
        </w:r>
        <w:r w:rsidR="00C6480C">
          <w:rPr>
            <w:rFonts w:asciiTheme="minorHAnsi" w:eastAsiaTheme="minorEastAsia" w:hAnsiTheme="minorHAnsi" w:cstheme="minorBidi"/>
            <w:b w:val="0"/>
            <w:noProof/>
            <w:color w:val="auto"/>
            <w:sz w:val="22"/>
            <w:szCs w:val="22"/>
            <w:lang w:eastAsia="en-GB"/>
          </w:rPr>
          <w:tab/>
        </w:r>
        <w:r w:rsidR="00C6480C" w:rsidRPr="0043250D">
          <w:rPr>
            <w:rStyle w:val="Hyperlink"/>
            <w:noProof/>
          </w:rPr>
          <w:t>Introduction</w:t>
        </w:r>
        <w:r w:rsidR="00C6480C">
          <w:rPr>
            <w:noProof/>
            <w:webHidden/>
          </w:rPr>
          <w:tab/>
        </w:r>
        <w:r w:rsidR="00C6480C">
          <w:rPr>
            <w:noProof/>
            <w:webHidden/>
          </w:rPr>
          <w:fldChar w:fldCharType="begin"/>
        </w:r>
        <w:r w:rsidR="00C6480C">
          <w:rPr>
            <w:noProof/>
            <w:webHidden/>
          </w:rPr>
          <w:instrText xml:space="preserve"> PAGEREF _Toc394668528 \h </w:instrText>
        </w:r>
        <w:r w:rsidR="00C6480C">
          <w:rPr>
            <w:noProof/>
            <w:webHidden/>
          </w:rPr>
        </w:r>
        <w:r w:rsidR="00C6480C">
          <w:rPr>
            <w:noProof/>
            <w:webHidden/>
          </w:rPr>
          <w:fldChar w:fldCharType="separate"/>
        </w:r>
        <w:r w:rsidR="00C6480C">
          <w:rPr>
            <w:noProof/>
            <w:webHidden/>
          </w:rPr>
          <w:t>7</w:t>
        </w:r>
        <w:r w:rsidR="00C6480C">
          <w:rPr>
            <w:noProof/>
            <w:webHidden/>
          </w:rPr>
          <w:fldChar w:fldCharType="end"/>
        </w:r>
      </w:hyperlink>
    </w:p>
    <w:p w14:paraId="0822652E"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29" w:history="1">
        <w:r w:rsidR="00C6480C" w:rsidRPr="0043250D">
          <w:rPr>
            <w:rStyle w:val="Hyperlink"/>
            <w:noProof/>
          </w:rPr>
          <w:t>1.1.</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Purpose</w:t>
        </w:r>
        <w:r w:rsidR="00C6480C">
          <w:rPr>
            <w:noProof/>
            <w:webHidden/>
          </w:rPr>
          <w:tab/>
        </w:r>
        <w:r w:rsidR="00C6480C">
          <w:rPr>
            <w:noProof/>
            <w:webHidden/>
          </w:rPr>
          <w:fldChar w:fldCharType="begin"/>
        </w:r>
        <w:r w:rsidR="00C6480C">
          <w:rPr>
            <w:noProof/>
            <w:webHidden/>
          </w:rPr>
          <w:instrText xml:space="preserve"> PAGEREF _Toc394668529 \h </w:instrText>
        </w:r>
        <w:r w:rsidR="00C6480C">
          <w:rPr>
            <w:noProof/>
            <w:webHidden/>
          </w:rPr>
        </w:r>
        <w:r w:rsidR="00C6480C">
          <w:rPr>
            <w:noProof/>
            <w:webHidden/>
          </w:rPr>
          <w:fldChar w:fldCharType="separate"/>
        </w:r>
        <w:r w:rsidR="00C6480C">
          <w:rPr>
            <w:noProof/>
            <w:webHidden/>
          </w:rPr>
          <w:t>7</w:t>
        </w:r>
        <w:r w:rsidR="00C6480C">
          <w:rPr>
            <w:noProof/>
            <w:webHidden/>
          </w:rPr>
          <w:fldChar w:fldCharType="end"/>
        </w:r>
      </w:hyperlink>
    </w:p>
    <w:p w14:paraId="2A905208"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30" w:history="1">
        <w:r w:rsidR="00C6480C" w:rsidRPr="0043250D">
          <w:rPr>
            <w:rStyle w:val="Hyperlink"/>
            <w:noProof/>
          </w:rPr>
          <w:t>1.2.</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Method</w:t>
        </w:r>
        <w:r w:rsidR="00C6480C">
          <w:rPr>
            <w:noProof/>
            <w:webHidden/>
          </w:rPr>
          <w:tab/>
        </w:r>
        <w:r w:rsidR="00C6480C">
          <w:rPr>
            <w:noProof/>
            <w:webHidden/>
          </w:rPr>
          <w:fldChar w:fldCharType="begin"/>
        </w:r>
        <w:r w:rsidR="00C6480C">
          <w:rPr>
            <w:noProof/>
            <w:webHidden/>
          </w:rPr>
          <w:instrText xml:space="preserve"> PAGEREF _Toc394668530 \h </w:instrText>
        </w:r>
        <w:r w:rsidR="00C6480C">
          <w:rPr>
            <w:noProof/>
            <w:webHidden/>
          </w:rPr>
        </w:r>
        <w:r w:rsidR="00C6480C">
          <w:rPr>
            <w:noProof/>
            <w:webHidden/>
          </w:rPr>
          <w:fldChar w:fldCharType="separate"/>
        </w:r>
        <w:r w:rsidR="00C6480C">
          <w:rPr>
            <w:noProof/>
            <w:webHidden/>
          </w:rPr>
          <w:t>7</w:t>
        </w:r>
        <w:r w:rsidR="00C6480C">
          <w:rPr>
            <w:noProof/>
            <w:webHidden/>
          </w:rPr>
          <w:fldChar w:fldCharType="end"/>
        </w:r>
      </w:hyperlink>
    </w:p>
    <w:p w14:paraId="7DA7B8D8"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31" w:history="1">
        <w:r w:rsidR="00C6480C" w:rsidRPr="0043250D">
          <w:rPr>
            <w:rStyle w:val="Hyperlink"/>
            <w:noProof/>
          </w:rPr>
          <w:t>1.3.</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Structure</w:t>
        </w:r>
        <w:r w:rsidR="00C6480C">
          <w:rPr>
            <w:noProof/>
            <w:webHidden/>
          </w:rPr>
          <w:tab/>
        </w:r>
        <w:r w:rsidR="00C6480C">
          <w:rPr>
            <w:noProof/>
            <w:webHidden/>
          </w:rPr>
          <w:fldChar w:fldCharType="begin"/>
        </w:r>
        <w:r w:rsidR="00C6480C">
          <w:rPr>
            <w:noProof/>
            <w:webHidden/>
          </w:rPr>
          <w:instrText xml:space="preserve"> PAGEREF _Toc394668531 \h </w:instrText>
        </w:r>
        <w:r w:rsidR="00C6480C">
          <w:rPr>
            <w:noProof/>
            <w:webHidden/>
          </w:rPr>
        </w:r>
        <w:r w:rsidR="00C6480C">
          <w:rPr>
            <w:noProof/>
            <w:webHidden/>
          </w:rPr>
          <w:fldChar w:fldCharType="separate"/>
        </w:r>
        <w:r w:rsidR="00C6480C">
          <w:rPr>
            <w:noProof/>
            <w:webHidden/>
          </w:rPr>
          <w:t>8</w:t>
        </w:r>
        <w:r w:rsidR="00C6480C">
          <w:rPr>
            <w:noProof/>
            <w:webHidden/>
          </w:rPr>
          <w:fldChar w:fldCharType="end"/>
        </w:r>
      </w:hyperlink>
    </w:p>
    <w:p w14:paraId="266B42A9" w14:textId="77777777" w:rsidR="00C6480C" w:rsidRDefault="004B31F9">
      <w:pPr>
        <w:pStyle w:val="TOC1"/>
        <w:rPr>
          <w:rFonts w:asciiTheme="minorHAnsi" w:eastAsiaTheme="minorEastAsia" w:hAnsiTheme="minorHAnsi" w:cstheme="minorBidi"/>
          <w:b w:val="0"/>
          <w:noProof/>
          <w:color w:val="auto"/>
          <w:sz w:val="22"/>
          <w:szCs w:val="22"/>
          <w:lang w:eastAsia="en-GB"/>
        </w:rPr>
      </w:pPr>
      <w:hyperlink w:anchor="_Toc394668532" w:history="1">
        <w:r w:rsidR="00C6480C" w:rsidRPr="0043250D">
          <w:rPr>
            <w:rStyle w:val="Hyperlink"/>
            <w:noProof/>
          </w:rPr>
          <w:t>2.</w:t>
        </w:r>
        <w:r w:rsidR="00C6480C">
          <w:rPr>
            <w:rFonts w:asciiTheme="minorHAnsi" w:eastAsiaTheme="minorEastAsia" w:hAnsiTheme="minorHAnsi" w:cstheme="minorBidi"/>
            <w:b w:val="0"/>
            <w:noProof/>
            <w:color w:val="auto"/>
            <w:sz w:val="22"/>
            <w:szCs w:val="22"/>
            <w:lang w:eastAsia="en-GB"/>
          </w:rPr>
          <w:tab/>
        </w:r>
        <w:r w:rsidR="00C6480C" w:rsidRPr="0043250D">
          <w:rPr>
            <w:rStyle w:val="Hyperlink"/>
            <w:noProof/>
          </w:rPr>
          <w:t>Policy &amp; Market Drivers</w:t>
        </w:r>
        <w:r w:rsidR="00C6480C">
          <w:rPr>
            <w:noProof/>
            <w:webHidden/>
          </w:rPr>
          <w:tab/>
        </w:r>
        <w:r w:rsidR="00C6480C">
          <w:rPr>
            <w:noProof/>
            <w:webHidden/>
          </w:rPr>
          <w:fldChar w:fldCharType="begin"/>
        </w:r>
        <w:r w:rsidR="00C6480C">
          <w:rPr>
            <w:noProof/>
            <w:webHidden/>
          </w:rPr>
          <w:instrText xml:space="preserve"> PAGEREF _Toc394668532 \h </w:instrText>
        </w:r>
        <w:r w:rsidR="00C6480C">
          <w:rPr>
            <w:noProof/>
            <w:webHidden/>
          </w:rPr>
        </w:r>
        <w:r w:rsidR="00C6480C">
          <w:rPr>
            <w:noProof/>
            <w:webHidden/>
          </w:rPr>
          <w:fldChar w:fldCharType="separate"/>
        </w:r>
        <w:r w:rsidR="00C6480C">
          <w:rPr>
            <w:noProof/>
            <w:webHidden/>
          </w:rPr>
          <w:t>9</w:t>
        </w:r>
        <w:r w:rsidR="00C6480C">
          <w:rPr>
            <w:noProof/>
            <w:webHidden/>
          </w:rPr>
          <w:fldChar w:fldCharType="end"/>
        </w:r>
      </w:hyperlink>
    </w:p>
    <w:p w14:paraId="7BE92189"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33" w:history="1">
        <w:r w:rsidR="00C6480C" w:rsidRPr="0043250D">
          <w:rPr>
            <w:rStyle w:val="Hyperlink"/>
            <w:noProof/>
          </w:rPr>
          <w:t>2.1.</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Introduction</w:t>
        </w:r>
        <w:r w:rsidR="00C6480C">
          <w:rPr>
            <w:noProof/>
            <w:webHidden/>
          </w:rPr>
          <w:tab/>
        </w:r>
        <w:r w:rsidR="00C6480C">
          <w:rPr>
            <w:noProof/>
            <w:webHidden/>
          </w:rPr>
          <w:fldChar w:fldCharType="begin"/>
        </w:r>
        <w:r w:rsidR="00C6480C">
          <w:rPr>
            <w:noProof/>
            <w:webHidden/>
          </w:rPr>
          <w:instrText xml:space="preserve"> PAGEREF _Toc394668533 \h </w:instrText>
        </w:r>
        <w:r w:rsidR="00C6480C">
          <w:rPr>
            <w:noProof/>
            <w:webHidden/>
          </w:rPr>
        </w:r>
        <w:r w:rsidR="00C6480C">
          <w:rPr>
            <w:noProof/>
            <w:webHidden/>
          </w:rPr>
          <w:fldChar w:fldCharType="separate"/>
        </w:r>
        <w:r w:rsidR="00C6480C">
          <w:rPr>
            <w:noProof/>
            <w:webHidden/>
          </w:rPr>
          <w:t>9</w:t>
        </w:r>
        <w:r w:rsidR="00C6480C">
          <w:rPr>
            <w:noProof/>
            <w:webHidden/>
          </w:rPr>
          <w:fldChar w:fldCharType="end"/>
        </w:r>
      </w:hyperlink>
    </w:p>
    <w:p w14:paraId="39B8844C" w14:textId="77777777" w:rsidR="00C6480C" w:rsidRDefault="004B31F9" w:rsidP="00C6480C">
      <w:pPr>
        <w:pStyle w:val="TOC2"/>
        <w:rPr>
          <w:rFonts w:asciiTheme="minorHAnsi" w:eastAsiaTheme="minorEastAsia" w:hAnsiTheme="minorHAnsi" w:cstheme="minorBidi"/>
          <w:noProof/>
          <w:color w:val="auto"/>
          <w:sz w:val="22"/>
          <w:szCs w:val="22"/>
          <w:lang w:eastAsia="en-GB"/>
        </w:rPr>
      </w:pPr>
      <w:hyperlink w:anchor="_Toc394668534" w:history="1">
        <w:r w:rsidR="00C6480C" w:rsidRPr="0043250D">
          <w:rPr>
            <w:rStyle w:val="Hyperlink"/>
            <w:noProof/>
          </w:rPr>
          <w:t>2.2.</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Policy Drivers</w:t>
        </w:r>
        <w:r w:rsidR="00C6480C">
          <w:rPr>
            <w:noProof/>
            <w:webHidden/>
          </w:rPr>
          <w:tab/>
        </w:r>
        <w:r w:rsidR="00C6480C">
          <w:rPr>
            <w:noProof/>
            <w:webHidden/>
          </w:rPr>
          <w:fldChar w:fldCharType="begin"/>
        </w:r>
        <w:r w:rsidR="00C6480C">
          <w:rPr>
            <w:noProof/>
            <w:webHidden/>
          </w:rPr>
          <w:instrText xml:space="preserve"> PAGEREF _Toc394668534 \h </w:instrText>
        </w:r>
        <w:r w:rsidR="00C6480C">
          <w:rPr>
            <w:noProof/>
            <w:webHidden/>
          </w:rPr>
        </w:r>
        <w:r w:rsidR="00C6480C">
          <w:rPr>
            <w:noProof/>
            <w:webHidden/>
          </w:rPr>
          <w:fldChar w:fldCharType="separate"/>
        </w:r>
        <w:r w:rsidR="00C6480C">
          <w:rPr>
            <w:noProof/>
            <w:webHidden/>
          </w:rPr>
          <w:t>9</w:t>
        </w:r>
        <w:r w:rsidR="00C6480C">
          <w:rPr>
            <w:noProof/>
            <w:webHidden/>
          </w:rPr>
          <w:fldChar w:fldCharType="end"/>
        </w:r>
      </w:hyperlink>
    </w:p>
    <w:p w14:paraId="76B83771"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81" w:history="1">
        <w:r w:rsidR="00C6480C" w:rsidRPr="0043250D">
          <w:rPr>
            <w:rStyle w:val="Hyperlink"/>
            <w:noProof/>
          </w:rPr>
          <w:t>2.3.</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Business Growth Drivers &amp; Threats</w:t>
        </w:r>
        <w:r w:rsidR="00C6480C">
          <w:rPr>
            <w:noProof/>
            <w:webHidden/>
          </w:rPr>
          <w:tab/>
        </w:r>
        <w:r w:rsidR="00C6480C">
          <w:rPr>
            <w:noProof/>
            <w:webHidden/>
          </w:rPr>
          <w:fldChar w:fldCharType="begin"/>
        </w:r>
        <w:r w:rsidR="00C6480C">
          <w:rPr>
            <w:noProof/>
            <w:webHidden/>
          </w:rPr>
          <w:instrText xml:space="preserve"> PAGEREF _Toc394668581 \h </w:instrText>
        </w:r>
        <w:r w:rsidR="00C6480C">
          <w:rPr>
            <w:noProof/>
            <w:webHidden/>
          </w:rPr>
        </w:r>
        <w:r w:rsidR="00C6480C">
          <w:rPr>
            <w:noProof/>
            <w:webHidden/>
          </w:rPr>
          <w:fldChar w:fldCharType="separate"/>
        </w:r>
        <w:r w:rsidR="00C6480C">
          <w:rPr>
            <w:noProof/>
            <w:webHidden/>
          </w:rPr>
          <w:t>15</w:t>
        </w:r>
        <w:r w:rsidR="00C6480C">
          <w:rPr>
            <w:noProof/>
            <w:webHidden/>
          </w:rPr>
          <w:fldChar w:fldCharType="end"/>
        </w:r>
      </w:hyperlink>
    </w:p>
    <w:p w14:paraId="1433D01B"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82" w:history="1">
        <w:r w:rsidR="00C6480C" w:rsidRPr="0043250D">
          <w:rPr>
            <w:rStyle w:val="Hyperlink"/>
            <w:noProof/>
          </w:rPr>
          <w:t>2.4.</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Market Drivers</w:t>
        </w:r>
        <w:r w:rsidR="00C6480C">
          <w:rPr>
            <w:noProof/>
            <w:webHidden/>
          </w:rPr>
          <w:tab/>
        </w:r>
        <w:r w:rsidR="00C6480C">
          <w:rPr>
            <w:noProof/>
            <w:webHidden/>
          </w:rPr>
          <w:fldChar w:fldCharType="begin"/>
        </w:r>
        <w:r w:rsidR="00C6480C">
          <w:rPr>
            <w:noProof/>
            <w:webHidden/>
          </w:rPr>
          <w:instrText xml:space="preserve"> PAGEREF _Toc394668582 \h </w:instrText>
        </w:r>
        <w:r w:rsidR="00C6480C">
          <w:rPr>
            <w:noProof/>
            <w:webHidden/>
          </w:rPr>
        </w:r>
        <w:r w:rsidR="00C6480C">
          <w:rPr>
            <w:noProof/>
            <w:webHidden/>
          </w:rPr>
          <w:fldChar w:fldCharType="separate"/>
        </w:r>
        <w:r w:rsidR="00C6480C">
          <w:rPr>
            <w:noProof/>
            <w:webHidden/>
          </w:rPr>
          <w:t>19</w:t>
        </w:r>
        <w:r w:rsidR="00C6480C">
          <w:rPr>
            <w:noProof/>
            <w:webHidden/>
          </w:rPr>
          <w:fldChar w:fldCharType="end"/>
        </w:r>
      </w:hyperlink>
    </w:p>
    <w:p w14:paraId="22C35E92" w14:textId="77777777" w:rsidR="00C6480C" w:rsidRDefault="004B31F9">
      <w:pPr>
        <w:pStyle w:val="TOC1"/>
        <w:rPr>
          <w:rFonts w:asciiTheme="minorHAnsi" w:eastAsiaTheme="minorEastAsia" w:hAnsiTheme="minorHAnsi" w:cstheme="minorBidi"/>
          <w:b w:val="0"/>
          <w:noProof/>
          <w:color w:val="auto"/>
          <w:sz w:val="22"/>
          <w:szCs w:val="22"/>
          <w:lang w:eastAsia="en-GB"/>
        </w:rPr>
      </w:pPr>
      <w:hyperlink w:anchor="_Toc394668583" w:history="1">
        <w:r w:rsidR="00C6480C" w:rsidRPr="0043250D">
          <w:rPr>
            <w:rStyle w:val="Hyperlink"/>
            <w:noProof/>
          </w:rPr>
          <w:t>3.</w:t>
        </w:r>
        <w:r w:rsidR="00C6480C">
          <w:rPr>
            <w:rFonts w:asciiTheme="minorHAnsi" w:eastAsiaTheme="minorEastAsia" w:hAnsiTheme="minorHAnsi" w:cstheme="minorBidi"/>
            <w:b w:val="0"/>
            <w:noProof/>
            <w:color w:val="auto"/>
            <w:sz w:val="22"/>
            <w:szCs w:val="22"/>
            <w:lang w:eastAsia="en-GB"/>
          </w:rPr>
          <w:tab/>
        </w:r>
        <w:r w:rsidR="00C6480C" w:rsidRPr="0043250D">
          <w:rPr>
            <w:rStyle w:val="Hyperlink"/>
            <w:noProof/>
          </w:rPr>
          <w:t>Scenario Development</w:t>
        </w:r>
        <w:r w:rsidR="00C6480C">
          <w:rPr>
            <w:noProof/>
            <w:webHidden/>
          </w:rPr>
          <w:tab/>
        </w:r>
        <w:r w:rsidR="00C6480C">
          <w:rPr>
            <w:noProof/>
            <w:webHidden/>
          </w:rPr>
          <w:fldChar w:fldCharType="begin"/>
        </w:r>
        <w:r w:rsidR="00C6480C">
          <w:rPr>
            <w:noProof/>
            <w:webHidden/>
          </w:rPr>
          <w:instrText xml:space="preserve"> PAGEREF _Toc394668583 \h </w:instrText>
        </w:r>
        <w:r w:rsidR="00C6480C">
          <w:rPr>
            <w:noProof/>
            <w:webHidden/>
          </w:rPr>
        </w:r>
        <w:r w:rsidR="00C6480C">
          <w:rPr>
            <w:noProof/>
            <w:webHidden/>
          </w:rPr>
          <w:fldChar w:fldCharType="separate"/>
        </w:r>
        <w:r w:rsidR="00C6480C">
          <w:rPr>
            <w:noProof/>
            <w:webHidden/>
          </w:rPr>
          <w:t>23</w:t>
        </w:r>
        <w:r w:rsidR="00C6480C">
          <w:rPr>
            <w:noProof/>
            <w:webHidden/>
          </w:rPr>
          <w:fldChar w:fldCharType="end"/>
        </w:r>
      </w:hyperlink>
    </w:p>
    <w:p w14:paraId="3C0FDACF"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84" w:history="1">
        <w:r w:rsidR="00C6480C" w:rsidRPr="0043250D">
          <w:rPr>
            <w:rStyle w:val="Hyperlink"/>
            <w:noProof/>
          </w:rPr>
          <w:t>3.1.</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Introduction</w:t>
        </w:r>
        <w:r w:rsidR="00C6480C">
          <w:rPr>
            <w:noProof/>
            <w:webHidden/>
          </w:rPr>
          <w:tab/>
        </w:r>
        <w:r w:rsidR="00C6480C">
          <w:rPr>
            <w:noProof/>
            <w:webHidden/>
          </w:rPr>
          <w:fldChar w:fldCharType="begin"/>
        </w:r>
        <w:r w:rsidR="00C6480C">
          <w:rPr>
            <w:noProof/>
            <w:webHidden/>
          </w:rPr>
          <w:instrText xml:space="preserve"> PAGEREF _Toc394668584 \h </w:instrText>
        </w:r>
        <w:r w:rsidR="00C6480C">
          <w:rPr>
            <w:noProof/>
            <w:webHidden/>
          </w:rPr>
        </w:r>
        <w:r w:rsidR="00C6480C">
          <w:rPr>
            <w:noProof/>
            <w:webHidden/>
          </w:rPr>
          <w:fldChar w:fldCharType="separate"/>
        </w:r>
        <w:r w:rsidR="00C6480C">
          <w:rPr>
            <w:noProof/>
            <w:webHidden/>
          </w:rPr>
          <w:t>23</w:t>
        </w:r>
        <w:r w:rsidR="00C6480C">
          <w:rPr>
            <w:noProof/>
            <w:webHidden/>
          </w:rPr>
          <w:fldChar w:fldCharType="end"/>
        </w:r>
      </w:hyperlink>
    </w:p>
    <w:p w14:paraId="474A13E3"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85" w:history="1">
        <w:r w:rsidR="00C6480C" w:rsidRPr="0043250D">
          <w:rPr>
            <w:rStyle w:val="Hyperlink"/>
            <w:noProof/>
          </w:rPr>
          <w:t>3.2.</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Scenario Methodology and Outputs</w:t>
        </w:r>
        <w:r w:rsidR="00C6480C">
          <w:rPr>
            <w:noProof/>
            <w:webHidden/>
          </w:rPr>
          <w:tab/>
        </w:r>
        <w:r w:rsidR="00C6480C">
          <w:rPr>
            <w:noProof/>
            <w:webHidden/>
          </w:rPr>
          <w:fldChar w:fldCharType="begin"/>
        </w:r>
        <w:r w:rsidR="00C6480C">
          <w:rPr>
            <w:noProof/>
            <w:webHidden/>
          </w:rPr>
          <w:instrText xml:space="preserve"> PAGEREF _Toc394668585 \h </w:instrText>
        </w:r>
        <w:r w:rsidR="00C6480C">
          <w:rPr>
            <w:noProof/>
            <w:webHidden/>
          </w:rPr>
        </w:r>
        <w:r w:rsidR="00C6480C">
          <w:rPr>
            <w:noProof/>
            <w:webHidden/>
          </w:rPr>
          <w:fldChar w:fldCharType="separate"/>
        </w:r>
        <w:r w:rsidR="00C6480C">
          <w:rPr>
            <w:noProof/>
            <w:webHidden/>
          </w:rPr>
          <w:t>24</w:t>
        </w:r>
        <w:r w:rsidR="00C6480C">
          <w:rPr>
            <w:noProof/>
            <w:webHidden/>
          </w:rPr>
          <w:fldChar w:fldCharType="end"/>
        </w:r>
      </w:hyperlink>
    </w:p>
    <w:p w14:paraId="7FE9B963"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86" w:history="1">
        <w:r w:rsidR="00C6480C" w:rsidRPr="0043250D">
          <w:rPr>
            <w:rStyle w:val="Hyperlink"/>
            <w:noProof/>
          </w:rPr>
          <w:t>3.3.</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Baseline Scenario</w:t>
        </w:r>
        <w:r w:rsidR="00C6480C">
          <w:rPr>
            <w:noProof/>
            <w:webHidden/>
          </w:rPr>
          <w:tab/>
        </w:r>
        <w:r w:rsidR="00C6480C">
          <w:rPr>
            <w:noProof/>
            <w:webHidden/>
          </w:rPr>
          <w:fldChar w:fldCharType="begin"/>
        </w:r>
        <w:r w:rsidR="00C6480C">
          <w:rPr>
            <w:noProof/>
            <w:webHidden/>
          </w:rPr>
          <w:instrText xml:space="preserve"> PAGEREF _Toc394668586 \h </w:instrText>
        </w:r>
        <w:r w:rsidR="00C6480C">
          <w:rPr>
            <w:noProof/>
            <w:webHidden/>
          </w:rPr>
        </w:r>
        <w:r w:rsidR="00C6480C">
          <w:rPr>
            <w:noProof/>
            <w:webHidden/>
          </w:rPr>
          <w:fldChar w:fldCharType="separate"/>
        </w:r>
        <w:r w:rsidR="00C6480C">
          <w:rPr>
            <w:noProof/>
            <w:webHidden/>
          </w:rPr>
          <w:t>25</w:t>
        </w:r>
        <w:r w:rsidR="00C6480C">
          <w:rPr>
            <w:noProof/>
            <w:webHidden/>
          </w:rPr>
          <w:fldChar w:fldCharType="end"/>
        </w:r>
      </w:hyperlink>
    </w:p>
    <w:p w14:paraId="447A0792"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87" w:history="1">
        <w:r w:rsidR="00C6480C" w:rsidRPr="0043250D">
          <w:rPr>
            <w:rStyle w:val="Hyperlink"/>
            <w:noProof/>
          </w:rPr>
          <w:t>3.4.</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Policy Scenarios</w:t>
        </w:r>
        <w:r w:rsidR="00C6480C">
          <w:rPr>
            <w:noProof/>
            <w:webHidden/>
          </w:rPr>
          <w:tab/>
        </w:r>
        <w:r w:rsidR="00C6480C">
          <w:rPr>
            <w:noProof/>
            <w:webHidden/>
          </w:rPr>
          <w:fldChar w:fldCharType="begin"/>
        </w:r>
        <w:r w:rsidR="00C6480C">
          <w:rPr>
            <w:noProof/>
            <w:webHidden/>
          </w:rPr>
          <w:instrText xml:space="preserve"> PAGEREF _Toc394668587 \h </w:instrText>
        </w:r>
        <w:r w:rsidR="00C6480C">
          <w:rPr>
            <w:noProof/>
            <w:webHidden/>
          </w:rPr>
        </w:r>
        <w:r w:rsidR="00C6480C">
          <w:rPr>
            <w:noProof/>
            <w:webHidden/>
          </w:rPr>
          <w:fldChar w:fldCharType="separate"/>
        </w:r>
        <w:r w:rsidR="00C6480C">
          <w:rPr>
            <w:noProof/>
            <w:webHidden/>
          </w:rPr>
          <w:t>28</w:t>
        </w:r>
        <w:r w:rsidR="00C6480C">
          <w:rPr>
            <w:noProof/>
            <w:webHidden/>
          </w:rPr>
          <w:fldChar w:fldCharType="end"/>
        </w:r>
      </w:hyperlink>
    </w:p>
    <w:p w14:paraId="18814894"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88" w:history="1">
        <w:r w:rsidR="00C6480C" w:rsidRPr="0043250D">
          <w:rPr>
            <w:rStyle w:val="Hyperlink"/>
            <w:noProof/>
          </w:rPr>
          <w:t>3.5.</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Employment Scenarios Summary</w:t>
        </w:r>
        <w:r w:rsidR="00C6480C">
          <w:rPr>
            <w:noProof/>
            <w:webHidden/>
          </w:rPr>
          <w:tab/>
        </w:r>
        <w:r w:rsidR="00C6480C">
          <w:rPr>
            <w:noProof/>
            <w:webHidden/>
          </w:rPr>
          <w:fldChar w:fldCharType="begin"/>
        </w:r>
        <w:r w:rsidR="00C6480C">
          <w:rPr>
            <w:noProof/>
            <w:webHidden/>
          </w:rPr>
          <w:instrText xml:space="preserve"> PAGEREF _Toc394668588 \h </w:instrText>
        </w:r>
        <w:r w:rsidR="00C6480C">
          <w:rPr>
            <w:noProof/>
            <w:webHidden/>
          </w:rPr>
        </w:r>
        <w:r w:rsidR="00C6480C">
          <w:rPr>
            <w:noProof/>
            <w:webHidden/>
          </w:rPr>
          <w:fldChar w:fldCharType="separate"/>
        </w:r>
        <w:r w:rsidR="00C6480C">
          <w:rPr>
            <w:noProof/>
            <w:webHidden/>
          </w:rPr>
          <w:t>30</w:t>
        </w:r>
        <w:r w:rsidR="00C6480C">
          <w:rPr>
            <w:noProof/>
            <w:webHidden/>
          </w:rPr>
          <w:fldChar w:fldCharType="end"/>
        </w:r>
      </w:hyperlink>
    </w:p>
    <w:p w14:paraId="32CA15C1" w14:textId="77777777" w:rsidR="00C6480C" w:rsidRDefault="004B31F9">
      <w:pPr>
        <w:pStyle w:val="TOC1"/>
        <w:rPr>
          <w:rFonts w:asciiTheme="minorHAnsi" w:eastAsiaTheme="minorEastAsia" w:hAnsiTheme="minorHAnsi" w:cstheme="minorBidi"/>
          <w:b w:val="0"/>
          <w:noProof/>
          <w:color w:val="auto"/>
          <w:sz w:val="22"/>
          <w:szCs w:val="22"/>
          <w:lang w:eastAsia="en-GB"/>
        </w:rPr>
      </w:pPr>
      <w:hyperlink w:anchor="_Toc394668589" w:history="1">
        <w:r w:rsidR="00C6480C" w:rsidRPr="0043250D">
          <w:rPr>
            <w:rStyle w:val="Hyperlink"/>
            <w:noProof/>
          </w:rPr>
          <w:t>4.</w:t>
        </w:r>
        <w:r w:rsidR="00C6480C">
          <w:rPr>
            <w:rFonts w:asciiTheme="minorHAnsi" w:eastAsiaTheme="minorEastAsia" w:hAnsiTheme="minorHAnsi" w:cstheme="minorBidi"/>
            <w:b w:val="0"/>
            <w:noProof/>
            <w:color w:val="auto"/>
            <w:sz w:val="22"/>
            <w:szCs w:val="22"/>
            <w:lang w:eastAsia="en-GB"/>
          </w:rPr>
          <w:tab/>
        </w:r>
        <w:r w:rsidR="00C6480C" w:rsidRPr="0043250D">
          <w:rPr>
            <w:rStyle w:val="Hyperlink"/>
            <w:noProof/>
          </w:rPr>
          <w:t>Future Employment Land Demand</w:t>
        </w:r>
        <w:r w:rsidR="00C6480C">
          <w:rPr>
            <w:noProof/>
            <w:webHidden/>
          </w:rPr>
          <w:tab/>
        </w:r>
        <w:r w:rsidR="00C6480C">
          <w:rPr>
            <w:noProof/>
            <w:webHidden/>
          </w:rPr>
          <w:fldChar w:fldCharType="begin"/>
        </w:r>
        <w:r w:rsidR="00C6480C">
          <w:rPr>
            <w:noProof/>
            <w:webHidden/>
          </w:rPr>
          <w:instrText xml:space="preserve"> PAGEREF _Toc394668589 \h </w:instrText>
        </w:r>
        <w:r w:rsidR="00C6480C">
          <w:rPr>
            <w:noProof/>
            <w:webHidden/>
          </w:rPr>
        </w:r>
        <w:r w:rsidR="00C6480C">
          <w:rPr>
            <w:noProof/>
            <w:webHidden/>
          </w:rPr>
          <w:fldChar w:fldCharType="separate"/>
        </w:r>
        <w:r w:rsidR="00C6480C">
          <w:rPr>
            <w:noProof/>
            <w:webHidden/>
          </w:rPr>
          <w:t>32</w:t>
        </w:r>
        <w:r w:rsidR="00C6480C">
          <w:rPr>
            <w:noProof/>
            <w:webHidden/>
          </w:rPr>
          <w:fldChar w:fldCharType="end"/>
        </w:r>
      </w:hyperlink>
    </w:p>
    <w:p w14:paraId="0DB16B9A"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90" w:history="1">
        <w:r w:rsidR="00C6480C" w:rsidRPr="0043250D">
          <w:rPr>
            <w:rStyle w:val="Hyperlink"/>
            <w:noProof/>
            <w:kern w:val="28"/>
          </w:rPr>
          <w:t>4.1.</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kern w:val="28"/>
          </w:rPr>
          <w:t>Introduction</w:t>
        </w:r>
        <w:r w:rsidR="00C6480C">
          <w:rPr>
            <w:noProof/>
            <w:webHidden/>
          </w:rPr>
          <w:tab/>
        </w:r>
        <w:r w:rsidR="00C6480C">
          <w:rPr>
            <w:noProof/>
            <w:webHidden/>
          </w:rPr>
          <w:fldChar w:fldCharType="begin"/>
        </w:r>
        <w:r w:rsidR="00C6480C">
          <w:rPr>
            <w:noProof/>
            <w:webHidden/>
          </w:rPr>
          <w:instrText xml:space="preserve"> PAGEREF _Toc394668590 \h </w:instrText>
        </w:r>
        <w:r w:rsidR="00C6480C">
          <w:rPr>
            <w:noProof/>
            <w:webHidden/>
          </w:rPr>
        </w:r>
        <w:r w:rsidR="00C6480C">
          <w:rPr>
            <w:noProof/>
            <w:webHidden/>
          </w:rPr>
          <w:fldChar w:fldCharType="separate"/>
        </w:r>
        <w:r w:rsidR="00C6480C">
          <w:rPr>
            <w:noProof/>
            <w:webHidden/>
          </w:rPr>
          <w:t>32</w:t>
        </w:r>
        <w:r w:rsidR="00C6480C">
          <w:rPr>
            <w:noProof/>
            <w:webHidden/>
          </w:rPr>
          <w:fldChar w:fldCharType="end"/>
        </w:r>
      </w:hyperlink>
    </w:p>
    <w:p w14:paraId="6A79A84B"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91" w:history="1">
        <w:r w:rsidR="00C6480C" w:rsidRPr="0043250D">
          <w:rPr>
            <w:rStyle w:val="Hyperlink"/>
            <w:noProof/>
            <w:kern w:val="28"/>
          </w:rPr>
          <w:t>4.2.</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kern w:val="28"/>
          </w:rPr>
          <w:t>Method</w:t>
        </w:r>
        <w:r w:rsidR="00C6480C">
          <w:rPr>
            <w:noProof/>
            <w:webHidden/>
          </w:rPr>
          <w:tab/>
        </w:r>
        <w:r w:rsidR="00C6480C">
          <w:rPr>
            <w:noProof/>
            <w:webHidden/>
          </w:rPr>
          <w:fldChar w:fldCharType="begin"/>
        </w:r>
        <w:r w:rsidR="00C6480C">
          <w:rPr>
            <w:noProof/>
            <w:webHidden/>
          </w:rPr>
          <w:instrText xml:space="preserve"> PAGEREF _Toc394668591 \h </w:instrText>
        </w:r>
        <w:r w:rsidR="00C6480C">
          <w:rPr>
            <w:noProof/>
            <w:webHidden/>
          </w:rPr>
        </w:r>
        <w:r w:rsidR="00C6480C">
          <w:rPr>
            <w:noProof/>
            <w:webHidden/>
          </w:rPr>
          <w:fldChar w:fldCharType="separate"/>
        </w:r>
        <w:r w:rsidR="00C6480C">
          <w:rPr>
            <w:noProof/>
            <w:webHidden/>
          </w:rPr>
          <w:t>32</w:t>
        </w:r>
        <w:r w:rsidR="00C6480C">
          <w:rPr>
            <w:noProof/>
            <w:webHidden/>
          </w:rPr>
          <w:fldChar w:fldCharType="end"/>
        </w:r>
      </w:hyperlink>
    </w:p>
    <w:p w14:paraId="583A2BAC"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92" w:history="1">
        <w:r w:rsidR="00C6480C" w:rsidRPr="0043250D">
          <w:rPr>
            <w:rStyle w:val="Hyperlink"/>
            <w:noProof/>
          </w:rPr>
          <w:t>4.3.</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Employment Land Demand Scenarios</w:t>
        </w:r>
        <w:r w:rsidR="00C6480C">
          <w:rPr>
            <w:noProof/>
            <w:webHidden/>
          </w:rPr>
          <w:tab/>
        </w:r>
        <w:r w:rsidR="00C6480C">
          <w:rPr>
            <w:noProof/>
            <w:webHidden/>
          </w:rPr>
          <w:fldChar w:fldCharType="begin"/>
        </w:r>
        <w:r w:rsidR="00C6480C">
          <w:rPr>
            <w:noProof/>
            <w:webHidden/>
          </w:rPr>
          <w:instrText xml:space="preserve"> PAGEREF _Toc394668592 \h </w:instrText>
        </w:r>
        <w:r w:rsidR="00C6480C">
          <w:rPr>
            <w:noProof/>
            <w:webHidden/>
          </w:rPr>
        </w:r>
        <w:r w:rsidR="00C6480C">
          <w:rPr>
            <w:noProof/>
            <w:webHidden/>
          </w:rPr>
          <w:fldChar w:fldCharType="separate"/>
        </w:r>
        <w:r w:rsidR="00C6480C">
          <w:rPr>
            <w:noProof/>
            <w:webHidden/>
          </w:rPr>
          <w:t>33</w:t>
        </w:r>
        <w:r w:rsidR="00C6480C">
          <w:rPr>
            <w:noProof/>
            <w:webHidden/>
          </w:rPr>
          <w:fldChar w:fldCharType="end"/>
        </w:r>
      </w:hyperlink>
    </w:p>
    <w:p w14:paraId="4AAA4AF0"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93" w:history="1">
        <w:r w:rsidR="00C6480C" w:rsidRPr="0043250D">
          <w:rPr>
            <w:rStyle w:val="Hyperlink"/>
            <w:noProof/>
          </w:rPr>
          <w:t>4.4.</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Site and Location Preferences</w:t>
        </w:r>
        <w:r w:rsidR="00C6480C">
          <w:rPr>
            <w:noProof/>
            <w:webHidden/>
          </w:rPr>
          <w:tab/>
        </w:r>
        <w:r w:rsidR="00C6480C">
          <w:rPr>
            <w:noProof/>
            <w:webHidden/>
          </w:rPr>
          <w:fldChar w:fldCharType="begin"/>
        </w:r>
        <w:r w:rsidR="00C6480C">
          <w:rPr>
            <w:noProof/>
            <w:webHidden/>
          </w:rPr>
          <w:instrText xml:space="preserve"> PAGEREF _Toc394668593 \h </w:instrText>
        </w:r>
        <w:r w:rsidR="00C6480C">
          <w:rPr>
            <w:noProof/>
            <w:webHidden/>
          </w:rPr>
        </w:r>
        <w:r w:rsidR="00C6480C">
          <w:rPr>
            <w:noProof/>
            <w:webHidden/>
          </w:rPr>
          <w:fldChar w:fldCharType="separate"/>
        </w:r>
        <w:r w:rsidR="00C6480C">
          <w:rPr>
            <w:noProof/>
            <w:webHidden/>
          </w:rPr>
          <w:t>35</w:t>
        </w:r>
        <w:r w:rsidR="00C6480C">
          <w:rPr>
            <w:noProof/>
            <w:webHidden/>
          </w:rPr>
          <w:fldChar w:fldCharType="end"/>
        </w:r>
      </w:hyperlink>
    </w:p>
    <w:p w14:paraId="0209B0C8" w14:textId="77777777" w:rsidR="00C6480C" w:rsidRDefault="004B31F9">
      <w:pPr>
        <w:pStyle w:val="TOC2"/>
        <w:rPr>
          <w:rFonts w:asciiTheme="minorHAnsi" w:eastAsiaTheme="minorEastAsia" w:hAnsiTheme="minorHAnsi" w:cstheme="minorBidi"/>
          <w:noProof/>
          <w:color w:val="auto"/>
          <w:sz w:val="22"/>
          <w:szCs w:val="22"/>
          <w:lang w:eastAsia="en-GB"/>
        </w:rPr>
      </w:pPr>
      <w:hyperlink w:anchor="_Toc394668594" w:history="1">
        <w:r w:rsidR="00C6480C" w:rsidRPr="0043250D">
          <w:rPr>
            <w:rStyle w:val="Hyperlink"/>
            <w:noProof/>
          </w:rPr>
          <w:t>4.5.</w:t>
        </w:r>
        <w:r w:rsidR="00C6480C">
          <w:rPr>
            <w:rFonts w:asciiTheme="minorHAnsi" w:eastAsiaTheme="minorEastAsia" w:hAnsiTheme="minorHAnsi" w:cstheme="minorBidi"/>
            <w:noProof/>
            <w:color w:val="auto"/>
            <w:sz w:val="22"/>
            <w:szCs w:val="22"/>
            <w:lang w:eastAsia="en-GB"/>
          </w:rPr>
          <w:tab/>
        </w:r>
        <w:r w:rsidR="00C6480C" w:rsidRPr="0043250D">
          <w:rPr>
            <w:rStyle w:val="Hyperlink"/>
            <w:noProof/>
          </w:rPr>
          <w:t>Land-Use Scenarios Summary</w:t>
        </w:r>
        <w:r w:rsidR="00C6480C">
          <w:rPr>
            <w:noProof/>
            <w:webHidden/>
          </w:rPr>
          <w:tab/>
        </w:r>
        <w:r w:rsidR="00C6480C">
          <w:rPr>
            <w:noProof/>
            <w:webHidden/>
          </w:rPr>
          <w:fldChar w:fldCharType="begin"/>
        </w:r>
        <w:r w:rsidR="00C6480C">
          <w:rPr>
            <w:noProof/>
            <w:webHidden/>
          </w:rPr>
          <w:instrText xml:space="preserve"> PAGEREF _Toc394668594 \h </w:instrText>
        </w:r>
        <w:r w:rsidR="00C6480C">
          <w:rPr>
            <w:noProof/>
            <w:webHidden/>
          </w:rPr>
        </w:r>
        <w:r w:rsidR="00C6480C">
          <w:rPr>
            <w:noProof/>
            <w:webHidden/>
          </w:rPr>
          <w:fldChar w:fldCharType="separate"/>
        </w:r>
        <w:r w:rsidR="00C6480C">
          <w:rPr>
            <w:noProof/>
            <w:webHidden/>
          </w:rPr>
          <w:t>37</w:t>
        </w:r>
        <w:r w:rsidR="00C6480C">
          <w:rPr>
            <w:noProof/>
            <w:webHidden/>
          </w:rPr>
          <w:fldChar w:fldCharType="end"/>
        </w:r>
      </w:hyperlink>
    </w:p>
    <w:p w14:paraId="48CFA918" w14:textId="77777777" w:rsidR="00C6480C" w:rsidRDefault="004B31F9">
      <w:pPr>
        <w:pStyle w:val="TOC1"/>
        <w:rPr>
          <w:rFonts w:asciiTheme="minorHAnsi" w:eastAsiaTheme="minorEastAsia" w:hAnsiTheme="minorHAnsi" w:cstheme="minorBidi"/>
          <w:b w:val="0"/>
          <w:noProof/>
          <w:color w:val="auto"/>
          <w:sz w:val="22"/>
          <w:szCs w:val="22"/>
          <w:lang w:eastAsia="en-GB"/>
        </w:rPr>
      </w:pPr>
      <w:hyperlink w:anchor="_Toc394668595" w:history="1">
        <w:r w:rsidR="00C6480C" w:rsidRPr="0043250D">
          <w:rPr>
            <w:rStyle w:val="Hyperlink"/>
            <w:noProof/>
          </w:rPr>
          <w:t>5.</w:t>
        </w:r>
        <w:r w:rsidR="00C6480C">
          <w:rPr>
            <w:rFonts w:asciiTheme="minorHAnsi" w:eastAsiaTheme="minorEastAsia" w:hAnsiTheme="minorHAnsi" w:cstheme="minorBidi"/>
            <w:b w:val="0"/>
            <w:noProof/>
            <w:color w:val="auto"/>
            <w:sz w:val="22"/>
            <w:szCs w:val="22"/>
            <w:lang w:eastAsia="en-GB"/>
          </w:rPr>
          <w:tab/>
        </w:r>
        <w:r w:rsidR="00C6480C" w:rsidRPr="0043250D">
          <w:rPr>
            <w:rStyle w:val="Hyperlink"/>
            <w:noProof/>
          </w:rPr>
          <w:t>Conclusions</w:t>
        </w:r>
        <w:r w:rsidR="00C6480C">
          <w:rPr>
            <w:noProof/>
            <w:webHidden/>
          </w:rPr>
          <w:tab/>
        </w:r>
        <w:r w:rsidR="00C6480C">
          <w:rPr>
            <w:noProof/>
            <w:webHidden/>
          </w:rPr>
          <w:fldChar w:fldCharType="begin"/>
        </w:r>
        <w:r w:rsidR="00C6480C">
          <w:rPr>
            <w:noProof/>
            <w:webHidden/>
          </w:rPr>
          <w:instrText xml:space="preserve"> PAGEREF _Toc394668595 \h </w:instrText>
        </w:r>
        <w:r w:rsidR="00C6480C">
          <w:rPr>
            <w:noProof/>
            <w:webHidden/>
          </w:rPr>
        </w:r>
        <w:r w:rsidR="00C6480C">
          <w:rPr>
            <w:noProof/>
            <w:webHidden/>
          </w:rPr>
          <w:fldChar w:fldCharType="separate"/>
        </w:r>
        <w:r w:rsidR="00C6480C">
          <w:rPr>
            <w:noProof/>
            <w:webHidden/>
          </w:rPr>
          <w:t>38</w:t>
        </w:r>
        <w:r w:rsidR="00C6480C">
          <w:rPr>
            <w:noProof/>
            <w:webHidden/>
          </w:rPr>
          <w:fldChar w:fldCharType="end"/>
        </w:r>
      </w:hyperlink>
    </w:p>
    <w:p w14:paraId="6196DFA7" w14:textId="77777777" w:rsidR="009503A7" w:rsidRDefault="00B46D1E" w:rsidP="00824FB3">
      <w:pPr>
        <w:pStyle w:val="BodyText"/>
      </w:pPr>
      <w:r>
        <w:fldChar w:fldCharType="end"/>
      </w:r>
    </w:p>
    <w:p w14:paraId="740EE3A7" w14:textId="77777777" w:rsidR="006E7855" w:rsidRPr="006E7855" w:rsidRDefault="006E7855" w:rsidP="00824FB3">
      <w:pPr>
        <w:pStyle w:val="BodyText"/>
        <w:rPr>
          <w:color w:val="096971" w:themeColor="accent1"/>
        </w:rPr>
      </w:pPr>
      <w:r w:rsidRPr="006E7855">
        <w:rPr>
          <w:b/>
          <w:color w:val="096971" w:themeColor="accent1"/>
          <w:sz w:val="22"/>
        </w:rPr>
        <w:t>Tables</w:t>
      </w:r>
    </w:p>
    <w:p w14:paraId="7A4083A3" w14:textId="77777777" w:rsidR="00C6480C" w:rsidRPr="00C6480C" w:rsidRDefault="00B46D1E">
      <w:pPr>
        <w:pStyle w:val="TableofFigures"/>
        <w:tabs>
          <w:tab w:val="left" w:pos="1100"/>
          <w:tab w:val="right" w:leader="dot" w:pos="9628"/>
        </w:tabs>
        <w:rPr>
          <w:rFonts w:eastAsiaTheme="minorEastAsia" w:cstheme="minorBidi"/>
          <w:noProof/>
          <w:color w:val="auto"/>
          <w:sz w:val="22"/>
          <w:szCs w:val="22"/>
          <w:lang w:eastAsia="en-GB"/>
        </w:rPr>
      </w:pPr>
      <w:r>
        <w:fldChar w:fldCharType="begin"/>
      </w:r>
      <w:r w:rsidR="0039020C">
        <w:instrText xml:space="preserve"> TOC \h \z \c "Table" </w:instrText>
      </w:r>
      <w:r>
        <w:fldChar w:fldCharType="separate"/>
      </w:r>
      <w:hyperlink w:anchor="_Toc394668596" w:history="1">
        <w:r w:rsidR="00C6480C" w:rsidRPr="00C6480C">
          <w:rPr>
            <w:rStyle w:val="Hyperlink"/>
            <w:noProof/>
          </w:rPr>
          <w:t>Table 2-1</w:t>
        </w:r>
        <w:r w:rsidR="00C6480C" w:rsidRPr="00C6480C">
          <w:rPr>
            <w:rFonts w:eastAsiaTheme="minorEastAsia" w:cstheme="minorBidi"/>
            <w:noProof/>
            <w:color w:val="auto"/>
            <w:sz w:val="22"/>
            <w:szCs w:val="22"/>
            <w:lang w:eastAsia="en-GB"/>
          </w:rPr>
          <w:tab/>
        </w:r>
        <w:r w:rsidR="00C6480C" w:rsidRPr="00C6480C">
          <w:rPr>
            <w:rStyle w:val="Hyperlink"/>
            <w:noProof/>
          </w:rPr>
          <w:t>Proposed actions by theme in Humber SEP</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_Toc394668596 \h </w:instrText>
        </w:r>
        <w:r w:rsidR="00C6480C" w:rsidRPr="00C6480C">
          <w:rPr>
            <w:noProof/>
            <w:webHidden/>
          </w:rPr>
        </w:r>
        <w:r w:rsidR="00C6480C" w:rsidRPr="00C6480C">
          <w:rPr>
            <w:noProof/>
            <w:webHidden/>
          </w:rPr>
          <w:fldChar w:fldCharType="separate"/>
        </w:r>
        <w:r w:rsidR="00C6480C" w:rsidRPr="00C6480C">
          <w:rPr>
            <w:noProof/>
            <w:webHidden/>
          </w:rPr>
          <w:t>10</w:t>
        </w:r>
        <w:r w:rsidR="00C6480C" w:rsidRPr="00C6480C">
          <w:rPr>
            <w:noProof/>
            <w:webHidden/>
          </w:rPr>
          <w:fldChar w:fldCharType="end"/>
        </w:r>
      </w:hyperlink>
    </w:p>
    <w:p w14:paraId="1806FBBA" w14:textId="77777777" w:rsidR="00C6480C" w:rsidRPr="00C6480C" w:rsidRDefault="004B31F9">
      <w:pPr>
        <w:pStyle w:val="TableofFigures"/>
        <w:tabs>
          <w:tab w:val="left" w:pos="1100"/>
          <w:tab w:val="right" w:leader="dot" w:pos="9628"/>
        </w:tabs>
        <w:rPr>
          <w:rFonts w:eastAsiaTheme="minorEastAsia" w:cstheme="minorBidi"/>
          <w:noProof/>
          <w:color w:val="auto"/>
          <w:sz w:val="22"/>
          <w:szCs w:val="22"/>
          <w:lang w:eastAsia="en-GB"/>
        </w:rPr>
      </w:pPr>
      <w:hyperlink w:anchor="_Toc394668597" w:history="1">
        <w:r w:rsidR="00C6480C" w:rsidRPr="00C6480C">
          <w:rPr>
            <w:rStyle w:val="Hyperlink"/>
            <w:noProof/>
          </w:rPr>
          <w:t>Table 2-2</w:t>
        </w:r>
        <w:r w:rsidR="00C6480C" w:rsidRPr="00C6480C">
          <w:rPr>
            <w:rFonts w:eastAsiaTheme="minorEastAsia" w:cstheme="minorBidi"/>
            <w:noProof/>
            <w:color w:val="auto"/>
            <w:sz w:val="22"/>
            <w:szCs w:val="22"/>
            <w:lang w:eastAsia="en-GB"/>
          </w:rPr>
          <w:tab/>
        </w:r>
        <w:r w:rsidR="00C6480C" w:rsidRPr="00C6480C">
          <w:rPr>
            <w:rStyle w:val="Hyperlink"/>
            <w:noProof/>
          </w:rPr>
          <w:t>Actions proposed for sectoral support in Greater Lincolnshire SEP</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_Toc394668597 \h </w:instrText>
        </w:r>
        <w:r w:rsidR="00C6480C" w:rsidRPr="00C6480C">
          <w:rPr>
            <w:noProof/>
            <w:webHidden/>
          </w:rPr>
        </w:r>
        <w:r w:rsidR="00C6480C" w:rsidRPr="00C6480C">
          <w:rPr>
            <w:noProof/>
            <w:webHidden/>
          </w:rPr>
          <w:fldChar w:fldCharType="separate"/>
        </w:r>
        <w:r w:rsidR="00C6480C" w:rsidRPr="00C6480C">
          <w:rPr>
            <w:noProof/>
            <w:webHidden/>
          </w:rPr>
          <w:t>11</w:t>
        </w:r>
        <w:r w:rsidR="00C6480C" w:rsidRPr="00C6480C">
          <w:rPr>
            <w:noProof/>
            <w:webHidden/>
          </w:rPr>
          <w:fldChar w:fldCharType="end"/>
        </w:r>
      </w:hyperlink>
    </w:p>
    <w:p w14:paraId="5EF3DD9E" w14:textId="77777777" w:rsidR="00C6480C" w:rsidRPr="00C6480C" w:rsidRDefault="004B31F9">
      <w:pPr>
        <w:pStyle w:val="TableofFigures"/>
        <w:tabs>
          <w:tab w:val="left" w:pos="1100"/>
          <w:tab w:val="right" w:leader="dot" w:pos="9628"/>
        </w:tabs>
        <w:rPr>
          <w:rFonts w:eastAsiaTheme="minorEastAsia" w:cstheme="minorBidi"/>
          <w:noProof/>
          <w:color w:val="auto"/>
          <w:sz w:val="22"/>
          <w:szCs w:val="22"/>
          <w:lang w:eastAsia="en-GB"/>
        </w:rPr>
      </w:pPr>
      <w:hyperlink w:anchor="_Toc394668598" w:history="1">
        <w:r w:rsidR="00C6480C" w:rsidRPr="00C6480C">
          <w:rPr>
            <w:rStyle w:val="Hyperlink"/>
            <w:noProof/>
          </w:rPr>
          <w:t>Table 2-3</w:t>
        </w:r>
        <w:r w:rsidR="00C6480C" w:rsidRPr="00C6480C">
          <w:rPr>
            <w:rFonts w:eastAsiaTheme="minorEastAsia" w:cstheme="minorBidi"/>
            <w:noProof/>
            <w:color w:val="auto"/>
            <w:sz w:val="22"/>
            <w:szCs w:val="22"/>
            <w:lang w:eastAsia="en-GB"/>
          </w:rPr>
          <w:tab/>
        </w:r>
        <w:r w:rsidR="00C6480C" w:rsidRPr="00C6480C">
          <w:rPr>
            <w:rStyle w:val="Hyperlink"/>
            <w:noProof/>
          </w:rPr>
          <w:t>North East Lincolnshire Development and Growth Plan</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_Toc394668598 \h </w:instrText>
        </w:r>
        <w:r w:rsidR="00C6480C" w:rsidRPr="00C6480C">
          <w:rPr>
            <w:noProof/>
            <w:webHidden/>
          </w:rPr>
        </w:r>
        <w:r w:rsidR="00C6480C" w:rsidRPr="00C6480C">
          <w:rPr>
            <w:noProof/>
            <w:webHidden/>
          </w:rPr>
          <w:fldChar w:fldCharType="separate"/>
        </w:r>
        <w:r w:rsidR="00C6480C" w:rsidRPr="00C6480C">
          <w:rPr>
            <w:noProof/>
            <w:webHidden/>
          </w:rPr>
          <w:t>13</w:t>
        </w:r>
        <w:r w:rsidR="00C6480C" w:rsidRPr="00C6480C">
          <w:rPr>
            <w:noProof/>
            <w:webHidden/>
          </w:rPr>
          <w:fldChar w:fldCharType="end"/>
        </w:r>
      </w:hyperlink>
    </w:p>
    <w:p w14:paraId="4C89E870"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599" w:history="1">
        <w:r w:rsidR="00C6480C" w:rsidRPr="00C6480C">
          <w:rPr>
            <w:rStyle w:val="Hyperlink"/>
            <w:noProof/>
          </w:rPr>
          <w:t>Table 2-4 - Major Project Investment Proposals – NE Lincolnshire &amp; Neighbouring Areas:  Baseline</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_Toc394668599 \h </w:instrText>
        </w:r>
        <w:r w:rsidR="00C6480C" w:rsidRPr="00C6480C">
          <w:rPr>
            <w:noProof/>
            <w:webHidden/>
          </w:rPr>
        </w:r>
        <w:r w:rsidR="00C6480C" w:rsidRPr="00C6480C">
          <w:rPr>
            <w:noProof/>
            <w:webHidden/>
          </w:rPr>
          <w:fldChar w:fldCharType="separate"/>
        </w:r>
        <w:r w:rsidR="00C6480C" w:rsidRPr="00C6480C">
          <w:rPr>
            <w:noProof/>
            <w:webHidden/>
          </w:rPr>
          <w:t>15</w:t>
        </w:r>
        <w:r w:rsidR="00C6480C" w:rsidRPr="00C6480C">
          <w:rPr>
            <w:noProof/>
            <w:webHidden/>
          </w:rPr>
          <w:fldChar w:fldCharType="end"/>
        </w:r>
      </w:hyperlink>
    </w:p>
    <w:p w14:paraId="61A6FC0F"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00" w:history="1">
        <w:r w:rsidR="00C6480C" w:rsidRPr="00C6480C">
          <w:rPr>
            <w:rStyle w:val="Hyperlink"/>
            <w:noProof/>
          </w:rPr>
          <w:t>Table 2-5 - Major Project Investment Proposals – NE Lincolnshire &amp; Neighbouring Areas:  Scenario 1</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_Toc394668600 \h </w:instrText>
        </w:r>
        <w:r w:rsidR="00C6480C" w:rsidRPr="00C6480C">
          <w:rPr>
            <w:noProof/>
            <w:webHidden/>
          </w:rPr>
        </w:r>
        <w:r w:rsidR="00C6480C" w:rsidRPr="00C6480C">
          <w:rPr>
            <w:noProof/>
            <w:webHidden/>
          </w:rPr>
          <w:fldChar w:fldCharType="separate"/>
        </w:r>
        <w:r w:rsidR="00C6480C" w:rsidRPr="00C6480C">
          <w:rPr>
            <w:noProof/>
            <w:webHidden/>
          </w:rPr>
          <w:t>16</w:t>
        </w:r>
        <w:r w:rsidR="00C6480C" w:rsidRPr="00C6480C">
          <w:rPr>
            <w:noProof/>
            <w:webHidden/>
          </w:rPr>
          <w:fldChar w:fldCharType="end"/>
        </w:r>
      </w:hyperlink>
    </w:p>
    <w:p w14:paraId="5E20B073"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01" w:history="1">
        <w:r w:rsidR="00C6480C" w:rsidRPr="00C6480C">
          <w:rPr>
            <w:rStyle w:val="Hyperlink"/>
            <w:noProof/>
          </w:rPr>
          <w:t>Table 2-6 - Major Project Investment Proposals – NE Lincolnshire &amp; Neighbouring Areas:  Scenario 2</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_Toc394668601 \h </w:instrText>
        </w:r>
        <w:r w:rsidR="00C6480C" w:rsidRPr="00C6480C">
          <w:rPr>
            <w:noProof/>
            <w:webHidden/>
          </w:rPr>
        </w:r>
        <w:r w:rsidR="00C6480C" w:rsidRPr="00C6480C">
          <w:rPr>
            <w:noProof/>
            <w:webHidden/>
          </w:rPr>
          <w:fldChar w:fldCharType="separate"/>
        </w:r>
        <w:r w:rsidR="00C6480C" w:rsidRPr="00C6480C">
          <w:rPr>
            <w:noProof/>
            <w:webHidden/>
          </w:rPr>
          <w:t>17</w:t>
        </w:r>
        <w:r w:rsidR="00C6480C" w:rsidRPr="00C6480C">
          <w:rPr>
            <w:noProof/>
            <w:webHidden/>
          </w:rPr>
          <w:fldChar w:fldCharType="end"/>
        </w:r>
      </w:hyperlink>
    </w:p>
    <w:p w14:paraId="271E2649"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02" w:history="1">
        <w:r w:rsidR="00C6480C" w:rsidRPr="00C6480C">
          <w:rPr>
            <w:rStyle w:val="Hyperlink"/>
            <w:noProof/>
          </w:rPr>
          <w:t>Table 2-7 – Key Sectors:  Market Opportunities &amp; Threats</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_Toc394668602 \h </w:instrText>
        </w:r>
        <w:r w:rsidR="00C6480C" w:rsidRPr="00C6480C">
          <w:rPr>
            <w:noProof/>
            <w:webHidden/>
          </w:rPr>
        </w:r>
        <w:r w:rsidR="00C6480C" w:rsidRPr="00C6480C">
          <w:rPr>
            <w:noProof/>
            <w:webHidden/>
          </w:rPr>
          <w:fldChar w:fldCharType="separate"/>
        </w:r>
        <w:r w:rsidR="00C6480C" w:rsidRPr="00C6480C">
          <w:rPr>
            <w:noProof/>
            <w:webHidden/>
          </w:rPr>
          <w:t>18</w:t>
        </w:r>
        <w:r w:rsidR="00C6480C" w:rsidRPr="00C6480C">
          <w:rPr>
            <w:noProof/>
            <w:webHidden/>
          </w:rPr>
          <w:fldChar w:fldCharType="end"/>
        </w:r>
      </w:hyperlink>
    </w:p>
    <w:p w14:paraId="4AAF97AF"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03" w:history="1">
        <w:r w:rsidR="00C6480C" w:rsidRPr="00C6480C">
          <w:rPr>
            <w:rStyle w:val="Hyperlink"/>
            <w:noProof/>
          </w:rPr>
          <w:t>Table 2-8 – Other Sectors:  Market Opportunities &amp; Threats</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_Toc394668603 \h </w:instrText>
        </w:r>
        <w:r w:rsidR="00C6480C" w:rsidRPr="00C6480C">
          <w:rPr>
            <w:noProof/>
            <w:webHidden/>
          </w:rPr>
        </w:r>
        <w:r w:rsidR="00C6480C" w:rsidRPr="00C6480C">
          <w:rPr>
            <w:noProof/>
            <w:webHidden/>
          </w:rPr>
          <w:fldChar w:fldCharType="separate"/>
        </w:r>
        <w:r w:rsidR="00C6480C" w:rsidRPr="00C6480C">
          <w:rPr>
            <w:noProof/>
            <w:webHidden/>
          </w:rPr>
          <w:t>20</w:t>
        </w:r>
        <w:r w:rsidR="00C6480C" w:rsidRPr="00C6480C">
          <w:rPr>
            <w:noProof/>
            <w:webHidden/>
          </w:rPr>
          <w:fldChar w:fldCharType="end"/>
        </w:r>
      </w:hyperlink>
    </w:p>
    <w:p w14:paraId="4D5AF442"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04" w:history="1">
        <w:r w:rsidR="00C6480C" w:rsidRPr="00C6480C">
          <w:rPr>
            <w:rStyle w:val="Hyperlink"/>
            <w:noProof/>
          </w:rPr>
          <w:t>Table 3-1   – Underlying Employment Growth Rates by Sector Group and Scenario 2013-2032</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_Toc394668604 \h </w:instrText>
        </w:r>
        <w:r w:rsidR="00C6480C" w:rsidRPr="00C6480C">
          <w:rPr>
            <w:noProof/>
            <w:webHidden/>
          </w:rPr>
        </w:r>
        <w:r w:rsidR="00C6480C" w:rsidRPr="00C6480C">
          <w:rPr>
            <w:noProof/>
            <w:webHidden/>
          </w:rPr>
          <w:fldChar w:fldCharType="separate"/>
        </w:r>
        <w:r w:rsidR="00C6480C" w:rsidRPr="00C6480C">
          <w:rPr>
            <w:noProof/>
            <w:webHidden/>
          </w:rPr>
          <w:t>24</w:t>
        </w:r>
        <w:r w:rsidR="00C6480C" w:rsidRPr="00C6480C">
          <w:rPr>
            <w:noProof/>
            <w:webHidden/>
          </w:rPr>
          <w:fldChar w:fldCharType="end"/>
        </w:r>
      </w:hyperlink>
    </w:p>
    <w:p w14:paraId="35596018"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05" w:history="1">
        <w:r w:rsidR="00C6480C" w:rsidRPr="00C6480C">
          <w:rPr>
            <w:rStyle w:val="Hyperlink"/>
            <w:noProof/>
          </w:rPr>
          <w:t>Table 3-2:  Employment Structure in North East Lincolnshire 2013</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_Toc394668605 \h </w:instrText>
        </w:r>
        <w:r w:rsidR="00C6480C" w:rsidRPr="00C6480C">
          <w:rPr>
            <w:noProof/>
            <w:webHidden/>
          </w:rPr>
        </w:r>
        <w:r w:rsidR="00C6480C" w:rsidRPr="00C6480C">
          <w:rPr>
            <w:noProof/>
            <w:webHidden/>
          </w:rPr>
          <w:fldChar w:fldCharType="separate"/>
        </w:r>
        <w:r w:rsidR="00C6480C" w:rsidRPr="00C6480C">
          <w:rPr>
            <w:noProof/>
            <w:webHidden/>
          </w:rPr>
          <w:t>25</w:t>
        </w:r>
        <w:r w:rsidR="00C6480C" w:rsidRPr="00C6480C">
          <w:rPr>
            <w:noProof/>
            <w:webHidden/>
          </w:rPr>
          <w:fldChar w:fldCharType="end"/>
        </w:r>
      </w:hyperlink>
    </w:p>
    <w:p w14:paraId="40C84393"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06" w:history="1">
        <w:r w:rsidR="00C6480C" w:rsidRPr="00C6480C">
          <w:rPr>
            <w:rStyle w:val="Hyperlink"/>
            <w:noProof/>
          </w:rPr>
          <w:t>Table 3-3: Projected Employment Change 2011-2031 (REM)</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_Toc394668606 \h </w:instrText>
        </w:r>
        <w:r w:rsidR="00C6480C" w:rsidRPr="00C6480C">
          <w:rPr>
            <w:noProof/>
            <w:webHidden/>
          </w:rPr>
        </w:r>
        <w:r w:rsidR="00C6480C" w:rsidRPr="00C6480C">
          <w:rPr>
            <w:noProof/>
            <w:webHidden/>
          </w:rPr>
          <w:fldChar w:fldCharType="separate"/>
        </w:r>
        <w:r w:rsidR="00C6480C" w:rsidRPr="00C6480C">
          <w:rPr>
            <w:noProof/>
            <w:webHidden/>
          </w:rPr>
          <w:t>26</w:t>
        </w:r>
        <w:r w:rsidR="00C6480C" w:rsidRPr="00C6480C">
          <w:rPr>
            <w:noProof/>
            <w:webHidden/>
          </w:rPr>
          <w:fldChar w:fldCharType="end"/>
        </w:r>
      </w:hyperlink>
    </w:p>
    <w:p w14:paraId="5DD5237C"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07" w:history="1">
        <w:r w:rsidR="00C6480C" w:rsidRPr="00C6480C">
          <w:rPr>
            <w:rStyle w:val="Hyperlink"/>
            <w:noProof/>
          </w:rPr>
          <w:t>Table 3-4:  Employment Forecast:  Atkins Baseline Scenario</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_Toc394668607 \h </w:instrText>
        </w:r>
        <w:r w:rsidR="00C6480C" w:rsidRPr="00C6480C">
          <w:rPr>
            <w:noProof/>
            <w:webHidden/>
          </w:rPr>
        </w:r>
        <w:r w:rsidR="00C6480C" w:rsidRPr="00C6480C">
          <w:rPr>
            <w:noProof/>
            <w:webHidden/>
          </w:rPr>
          <w:fldChar w:fldCharType="separate"/>
        </w:r>
        <w:r w:rsidR="00C6480C" w:rsidRPr="00C6480C">
          <w:rPr>
            <w:noProof/>
            <w:webHidden/>
          </w:rPr>
          <w:t>27</w:t>
        </w:r>
        <w:r w:rsidR="00C6480C" w:rsidRPr="00C6480C">
          <w:rPr>
            <w:noProof/>
            <w:webHidden/>
          </w:rPr>
          <w:fldChar w:fldCharType="end"/>
        </w:r>
      </w:hyperlink>
    </w:p>
    <w:p w14:paraId="54BF3805"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08" w:history="1">
        <w:r w:rsidR="00C6480C" w:rsidRPr="00C6480C">
          <w:rPr>
            <w:rStyle w:val="Hyperlink"/>
            <w:noProof/>
          </w:rPr>
          <w:t>Table 3-5:  Employment Forecast:  Policy Scenario 1</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_Toc394668608 \h </w:instrText>
        </w:r>
        <w:r w:rsidR="00C6480C" w:rsidRPr="00C6480C">
          <w:rPr>
            <w:noProof/>
            <w:webHidden/>
          </w:rPr>
        </w:r>
        <w:r w:rsidR="00C6480C" w:rsidRPr="00C6480C">
          <w:rPr>
            <w:noProof/>
            <w:webHidden/>
          </w:rPr>
          <w:fldChar w:fldCharType="separate"/>
        </w:r>
        <w:r w:rsidR="00C6480C" w:rsidRPr="00C6480C">
          <w:rPr>
            <w:noProof/>
            <w:webHidden/>
          </w:rPr>
          <w:t>28</w:t>
        </w:r>
        <w:r w:rsidR="00C6480C" w:rsidRPr="00C6480C">
          <w:rPr>
            <w:noProof/>
            <w:webHidden/>
          </w:rPr>
          <w:fldChar w:fldCharType="end"/>
        </w:r>
      </w:hyperlink>
    </w:p>
    <w:p w14:paraId="46D4E7D7"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09" w:history="1">
        <w:r w:rsidR="00C6480C" w:rsidRPr="00C6480C">
          <w:rPr>
            <w:rStyle w:val="Hyperlink"/>
            <w:noProof/>
          </w:rPr>
          <w:t>Table 3-6:  Employment Forecast:  Policy Scenario 2</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_Toc394668609 \h </w:instrText>
        </w:r>
        <w:r w:rsidR="00C6480C" w:rsidRPr="00C6480C">
          <w:rPr>
            <w:noProof/>
            <w:webHidden/>
          </w:rPr>
        </w:r>
        <w:r w:rsidR="00C6480C" w:rsidRPr="00C6480C">
          <w:rPr>
            <w:noProof/>
            <w:webHidden/>
          </w:rPr>
          <w:fldChar w:fldCharType="separate"/>
        </w:r>
        <w:r w:rsidR="00C6480C" w:rsidRPr="00C6480C">
          <w:rPr>
            <w:noProof/>
            <w:webHidden/>
          </w:rPr>
          <w:t>29</w:t>
        </w:r>
        <w:r w:rsidR="00C6480C" w:rsidRPr="00C6480C">
          <w:rPr>
            <w:noProof/>
            <w:webHidden/>
          </w:rPr>
          <w:fldChar w:fldCharType="end"/>
        </w:r>
      </w:hyperlink>
    </w:p>
    <w:p w14:paraId="70CEFCA4"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10" w:history="1">
        <w:r w:rsidR="00C6480C" w:rsidRPr="00C6480C">
          <w:rPr>
            <w:rStyle w:val="Hyperlink"/>
            <w:noProof/>
          </w:rPr>
          <w:t>Table 3-7:  Net Additional Employment Growth Scenarios 2013-2032</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_Toc394668610 \h </w:instrText>
        </w:r>
        <w:r w:rsidR="00C6480C" w:rsidRPr="00C6480C">
          <w:rPr>
            <w:noProof/>
            <w:webHidden/>
          </w:rPr>
        </w:r>
        <w:r w:rsidR="00C6480C" w:rsidRPr="00C6480C">
          <w:rPr>
            <w:noProof/>
            <w:webHidden/>
          </w:rPr>
          <w:fldChar w:fldCharType="separate"/>
        </w:r>
        <w:r w:rsidR="00C6480C" w:rsidRPr="00C6480C">
          <w:rPr>
            <w:noProof/>
            <w:webHidden/>
          </w:rPr>
          <w:t>30</w:t>
        </w:r>
        <w:r w:rsidR="00C6480C" w:rsidRPr="00C6480C">
          <w:rPr>
            <w:noProof/>
            <w:webHidden/>
          </w:rPr>
          <w:fldChar w:fldCharType="end"/>
        </w:r>
      </w:hyperlink>
    </w:p>
    <w:p w14:paraId="4FBF221A"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11" w:history="1">
        <w:r w:rsidR="00C6480C" w:rsidRPr="00C6480C">
          <w:rPr>
            <w:rStyle w:val="Hyperlink"/>
            <w:noProof/>
          </w:rPr>
          <w:t>Table 4-1:  Translating Employment SIC to B Use Class Categories (% employment by SIC)</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_Toc394668611 \h </w:instrText>
        </w:r>
        <w:r w:rsidR="00C6480C" w:rsidRPr="00C6480C">
          <w:rPr>
            <w:noProof/>
            <w:webHidden/>
          </w:rPr>
        </w:r>
        <w:r w:rsidR="00C6480C" w:rsidRPr="00C6480C">
          <w:rPr>
            <w:noProof/>
            <w:webHidden/>
          </w:rPr>
          <w:fldChar w:fldCharType="separate"/>
        </w:r>
        <w:r w:rsidR="00C6480C" w:rsidRPr="00C6480C">
          <w:rPr>
            <w:noProof/>
            <w:webHidden/>
          </w:rPr>
          <w:t>31</w:t>
        </w:r>
        <w:r w:rsidR="00C6480C" w:rsidRPr="00C6480C">
          <w:rPr>
            <w:noProof/>
            <w:webHidden/>
          </w:rPr>
          <w:fldChar w:fldCharType="end"/>
        </w:r>
      </w:hyperlink>
    </w:p>
    <w:p w14:paraId="728C2977"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12" w:history="1">
        <w:r w:rsidR="00C6480C" w:rsidRPr="00C6480C">
          <w:rPr>
            <w:rStyle w:val="Hyperlink"/>
            <w:noProof/>
          </w:rPr>
          <w:t>Table 4-2:  Employment density and plot ratio assumptions</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_Toc394668612 \h </w:instrText>
        </w:r>
        <w:r w:rsidR="00C6480C" w:rsidRPr="00C6480C">
          <w:rPr>
            <w:noProof/>
            <w:webHidden/>
          </w:rPr>
        </w:r>
        <w:r w:rsidR="00C6480C" w:rsidRPr="00C6480C">
          <w:rPr>
            <w:noProof/>
            <w:webHidden/>
          </w:rPr>
          <w:fldChar w:fldCharType="separate"/>
        </w:r>
        <w:r w:rsidR="00C6480C" w:rsidRPr="00C6480C">
          <w:rPr>
            <w:noProof/>
            <w:webHidden/>
          </w:rPr>
          <w:t>32</w:t>
        </w:r>
        <w:r w:rsidR="00C6480C" w:rsidRPr="00C6480C">
          <w:rPr>
            <w:noProof/>
            <w:webHidden/>
          </w:rPr>
          <w:fldChar w:fldCharType="end"/>
        </w:r>
      </w:hyperlink>
    </w:p>
    <w:p w14:paraId="061FBB43"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13" w:history="1">
        <w:r w:rsidR="00C6480C" w:rsidRPr="00C6480C">
          <w:rPr>
            <w:rStyle w:val="Hyperlink"/>
            <w:noProof/>
          </w:rPr>
          <w:t>Table 4-3:  Baseline B-Use Job Growth 2013-2032</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_Toc394668613 \h </w:instrText>
        </w:r>
        <w:r w:rsidR="00C6480C" w:rsidRPr="00C6480C">
          <w:rPr>
            <w:noProof/>
            <w:webHidden/>
          </w:rPr>
        </w:r>
        <w:r w:rsidR="00C6480C" w:rsidRPr="00C6480C">
          <w:rPr>
            <w:noProof/>
            <w:webHidden/>
          </w:rPr>
          <w:fldChar w:fldCharType="separate"/>
        </w:r>
        <w:r w:rsidR="00C6480C" w:rsidRPr="00C6480C">
          <w:rPr>
            <w:noProof/>
            <w:webHidden/>
          </w:rPr>
          <w:t>32</w:t>
        </w:r>
        <w:r w:rsidR="00C6480C" w:rsidRPr="00C6480C">
          <w:rPr>
            <w:noProof/>
            <w:webHidden/>
          </w:rPr>
          <w:fldChar w:fldCharType="end"/>
        </w:r>
      </w:hyperlink>
    </w:p>
    <w:p w14:paraId="0A5FA4BA"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14" w:history="1">
        <w:r w:rsidR="00C6480C" w:rsidRPr="00C6480C">
          <w:rPr>
            <w:rStyle w:val="Hyperlink"/>
            <w:noProof/>
          </w:rPr>
          <w:t>Table 4-4:  Gross B use class floorspace demand (sqm) 2013-32 – Baseline Scenario</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_Toc394668614 \h </w:instrText>
        </w:r>
        <w:r w:rsidR="00C6480C" w:rsidRPr="00C6480C">
          <w:rPr>
            <w:noProof/>
            <w:webHidden/>
          </w:rPr>
        </w:r>
        <w:r w:rsidR="00C6480C" w:rsidRPr="00C6480C">
          <w:rPr>
            <w:noProof/>
            <w:webHidden/>
          </w:rPr>
          <w:fldChar w:fldCharType="separate"/>
        </w:r>
        <w:r w:rsidR="00C6480C" w:rsidRPr="00C6480C">
          <w:rPr>
            <w:noProof/>
            <w:webHidden/>
          </w:rPr>
          <w:t>33</w:t>
        </w:r>
        <w:r w:rsidR="00C6480C" w:rsidRPr="00C6480C">
          <w:rPr>
            <w:noProof/>
            <w:webHidden/>
          </w:rPr>
          <w:fldChar w:fldCharType="end"/>
        </w:r>
      </w:hyperlink>
    </w:p>
    <w:p w14:paraId="123F2D91"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15" w:history="1">
        <w:r w:rsidR="00C6480C" w:rsidRPr="00C6480C">
          <w:rPr>
            <w:rStyle w:val="Hyperlink"/>
            <w:noProof/>
          </w:rPr>
          <w:t>Table 4-5:  Gross B use class land demand (ha) 2013-32 – Baseline Scenario</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_Toc394668615 \h </w:instrText>
        </w:r>
        <w:r w:rsidR="00C6480C" w:rsidRPr="00C6480C">
          <w:rPr>
            <w:noProof/>
            <w:webHidden/>
          </w:rPr>
        </w:r>
        <w:r w:rsidR="00C6480C" w:rsidRPr="00C6480C">
          <w:rPr>
            <w:noProof/>
            <w:webHidden/>
          </w:rPr>
          <w:fldChar w:fldCharType="separate"/>
        </w:r>
        <w:r w:rsidR="00C6480C" w:rsidRPr="00C6480C">
          <w:rPr>
            <w:noProof/>
            <w:webHidden/>
          </w:rPr>
          <w:t>33</w:t>
        </w:r>
        <w:r w:rsidR="00C6480C" w:rsidRPr="00C6480C">
          <w:rPr>
            <w:noProof/>
            <w:webHidden/>
          </w:rPr>
          <w:fldChar w:fldCharType="end"/>
        </w:r>
      </w:hyperlink>
    </w:p>
    <w:p w14:paraId="1CC3DDC8"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16" w:history="1">
        <w:r w:rsidR="00C6480C" w:rsidRPr="00C6480C">
          <w:rPr>
            <w:rStyle w:val="Hyperlink"/>
            <w:noProof/>
          </w:rPr>
          <w:t>Table 4-6:  Policy Scenario 1 - B-Use Job Growth 2013-2032</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_Toc394668616 \h </w:instrText>
        </w:r>
        <w:r w:rsidR="00C6480C" w:rsidRPr="00C6480C">
          <w:rPr>
            <w:noProof/>
            <w:webHidden/>
          </w:rPr>
        </w:r>
        <w:r w:rsidR="00C6480C" w:rsidRPr="00C6480C">
          <w:rPr>
            <w:noProof/>
            <w:webHidden/>
          </w:rPr>
          <w:fldChar w:fldCharType="separate"/>
        </w:r>
        <w:r w:rsidR="00C6480C" w:rsidRPr="00C6480C">
          <w:rPr>
            <w:noProof/>
            <w:webHidden/>
          </w:rPr>
          <w:t>33</w:t>
        </w:r>
        <w:r w:rsidR="00C6480C" w:rsidRPr="00C6480C">
          <w:rPr>
            <w:noProof/>
            <w:webHidden/>
          </w:rPr>
          <w:fldChar w:fldCharType="end"/>
        </w:r>
      </w:hyperlink>
    </w:p>
    <w:p w14:paraId="21200DC9"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17" w:history="1">
        <w:r w:rsidR="00C6480C" w:rsidRPr="00C6480C">
          <w:rPr>
            <w:rStyle w:val="Hyperlink"/>
            <w:noProof/>
          </w:rPr>
          <w:t>Table 4-7:  Gross B use class floorspace demand (sqm) 2013-32 – Policy Scenario 1</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_Toc394668617 \h </w:instrText>
        </w:r>
        <w:r w:rsidR="00C6480C" w:rsidRPr="00C6480C">
          <w:rPr>
            <w:noProof/>
            <w:webHidden/>
          </w:rPr>
        </w:r>
        <w:r w:rsidR="00C6480C" w:rsidRPr="00C6480C">
          <w:rPr>
            <w:noProof/>
            <w:webHidden/>
          </w:rPr>
          <w:fldChar w:fldCharType="separate"/>
        </w:r>
        <w:r w:rsidR="00C6480C" w:rsidRPr="00C6480C">
          <w:rPr>
            <w:noProof/>
            <w:webHidden/>
          </w:rPr>
          <w:t>33</w:t>
        </w:r>
        <w:r w:rsidR="00C6480C" w:rsidRPr="00C6480C">
          <w:rPr>
            <w:noProof/>
            <w:webHidden/>
          </w:rPr>
          <w:fldChar w:fldCharType="end"/>
        </w:r>
      </w:hyperlink>
    </w:p>
    <w:p w14:paraId="65BDA079"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18" w:history="1">
        <w:r w:rsidR="00C6480C" w:rsidRPr="00C6480C">
          <w:rPr>
            <w:rStyle w:val="Hyperlink"/>
            <w:noProof/>
          </w:rPr>
          <w:t>Table 4-8:  Gross B use class land demand (ha) 2013-32 – Policy Scenario 1</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_Toc394668618 \h </w:instrText>
        </w:r>
        <w:r w:rsidR="00C6480C" w:rsidRPr="00C6480C">
          <w:rPr>
            <w:noProof/>
            <w:webHidden/>
          </w:rPr>
        </w:r>
        <w:r w:rsidR="00C6480C" w:rsidRPr="00C6480C">
          <w:rPr>
            <w:noProof/>
            <w:webHidden/>
          </w:rPr>
          <w:fldChar w:fldCharType="separate"/>
        </w:r>
        <w:r w:rsidR="00C6480C" w:rsidRPr="00C6480C">
          <w:rPr>
            <w:noProof/>
            <w:webHidden/>
          </w:rPr>
          <w:t>34</w:t>
        </w:r>
        <w:r w:rsidR="00C6480C" w:rsidRPr="00C6480C">
          <w:rPr>
            <w:noProof/>
            <w:webHidden/>
          </w:rPr>
          <w:fldChar w:fldCharType="end"/>
        </w:r>
      </w:hyperlink>
    </w:p>
    <w:p w14:paraId="36C23499"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19" w:history="1">
        <w:r w:rsidR="00C6480C" w:rsidRPr="00C6480C">
          <w:rPr>
            <w:rStyle w:val="Hyperlink"/>
            <w:noProof/>
          </w:rPr>
          <w:t>Table 4-9:  Policy Scenario 2 - B-Use Job Growth 2013-2032</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_Toc394668619 \h </w:instrText>
        </w:r>
        <w:r w:rsidR="00C6480C" w:rsidRPr="00C6480C">
          <w:rPr>
            <w:noProof/>
            <w:webHidden/>
          </w:rPr>
        </w:r>
        <w:r w:rsidR="00C6480C" w:rsidRPr="00C6480C">
          <w:rPr>
            <w:noProof/>
            <w:webHidden/>
          </w:rPr>
          <w:fldChar w:fldCharType="separate"/>
        </w:r>
        <w:r w:rsidR="00C6480C" w:rsidRPr="00C6480C">
          <w:rPr>
            <w:noProof/>
            <w:webHidden/>
          </w:rPr>
          <w:t>34</w:t>
        </w:r>
        <w:r w:rsidR="00C6480C" w:rsidRPr="00C6480C">
          <w:rPr>
            <w:noProof/>
            <w:webHidden/>
          </w:rPr>
          <w:fldChar w:fldCharType="end"/>
        </w:r>
      </w:hyperlink>
    </w:p>
    <w:p w14:paraId="5368A7F9"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20" w:history="1">
        <w:r w:rsidR="00C6480C" w:rsidRPr="00C6480C">
          <w:rPr>
            <w:rStyle w:val="Hyperlink"/>
            <w:noProof/>
          </w:rPr>
          <w:t>Table 4-10:  Gross B use class floorspace demand (sqm) 2013-32 – Policy Scenario 2</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_Toc394668620 \h </w:instrText>
        </w:r>
        <w:r w:rsidR="00C6480C" w:rsidRPr="00C6480C">
          <w:rPr>
            <w:noProof/>
            <w:webHidden/>
          </w:rPr>
        </w:r>
        <w:r w:rsidR="00C6480C" w:rsidRPr="00C6480C">
          <w:rPr>
            <w:noProof/>
            <w:webHidden/>
          </w:rPr>
          <w:fldChar w:fldCharType="separate"/>
        </w:r>
        <w:r w:rsidR="00C6480C" w:rsidRPr="00C6480C">
          <w:rPr>
            <w:noProof/>
            <w:webHidden/>
          </w:rPr>
          <w:t>34</w:t>
        </w:r>
        <w:r w:rsidR="00C6480C" w:rsidRPr="00C6480C">
          <w:rPr>
            <w:noProof/>
            <w:webHidden/>
          </w:rPr>
          <w:fldChar w:fldCharType="end"/>
        </w:r>
      </w:hyperlink>
    </w:p>
    <w:p w14:paraId="7100E5DA" w14:textId="77777777" w:rsidR="00C6480C" w:rsidRPr="00C6480C" w:rsidRDefault="004B31F9">
      <w:pPr>
        <w:pStyle w:val="TableofFigures"/>
        <w:tabs>
          <w:tab w:val="right" w:leader="dot" w:pos="9628"/>
        </w:tabs>
        <w:rPr>
          <w:rFonts w:eastAsiaTheme="minorEastAsia" w:cstheme="minorBidi"/>
          <w:noProof/>
          <w:color w:val="auto"/>
          <w:sz w:val="22"/>
          <w:szCs w:val="22"/>
          <w:lang w:eastAsia="en-GB"/>
        </w:rPr>
      </w:pPr>
      <w:hyperlink w:anchor="_Toc394668621" w:history="1">
        <w:r w:rsidR="00C6480C" w:rsidRPr="00C6480C">
          <w:rPr>
            <w:rStyle w:val="Hyperlink"/>
            <w:noProof/>
          </w:rPr>
          <w:t>Table 4-11:  Gross B use class land demand (ha) 2013-32 – Policy Scenario 2</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_Toc394668621 \h </w:instrText>
        </w:r>
        <w:r w:rsidR="00C6480C" w:rsidRPr="00C6480C">
          <w:rPr>
            <w:noProof/>
            <w:webHidden/>
          </w:rPr>
        </w:r>
        <w:r w:rsidR="00C6480C" w:rsidRPr="00C6480C">
          <w:rPr>
            <w:noProof/>
            <w:webHidden/>
          </w:rPr>
          <w:fldChar w:fldCharType="separate"/>
        </w:r>
        <w:r w:rsidR="00C6480C" w:rsidRPr="00C6480C">
          <w:rPr>
            <w:noProof/>
            <w:webHidden/>
          </w:rPr>
          <w:t>34</w:t>
        </w:r>
        <w:r w:rsidR="00C6480C" w:rsidRPr="00C6480C">
          <w:rPr>
            <w:noProof/>
            <w:webHidden/>
          </w:rPr>
          <w:fldChar w:fldCharType="end"/>
        </w:r>
      </w:hyperlink>
    </w:p>
    <w:p w14:paraId="4A7ED9B3" w14:textId="77777777" w:rsidR="00C6480C" w:rsidRDefault="004B31F9">
      <w:pPr>
        <w:pStyle w:val="TableofFigures"/>
        <w:tabs>
          <w:tab w:val="right" w:leader="dot" w:pos="9628"/>
        </w:tabs>
        <w:rPr>
          <w:rFonts w:eastAsiaTheme="minorEastAsia" w:cstheme="minorBidi"/>
          <w:noProof/>
          <w:color w:val="auto"/>
          <w:sz w:val="22"/>
          <w:szCs w:val="22"/>
          <w:lang w:eastAsia="en-GB"/>
        </w:rPr>
      </w:pPr>
      <w:hyperlink w:anchor="_Toc394668622" w:history="1">
        <w:r w:rsidR="00C6480C" w:rsidRPr="00C6480C">
          <w:rPr>
            <w:rStyle w:val="Hyperlink"/>
            <w:noProof/>
          </w:rPr>
          <w:t>Table 4-12:  Typical Site and Location Preferences by Sector</w:t>
        </w:r>
        <w:r w:rsidR="00C6480C" w:rsidRPr="00C6480C">
          <w:rPr>
            <w:noProof/>
            <w:webHidden/>
          </w:rPr>
          <w:tab/>
        </w:r>
        <w:r w:rsidR="00C6480C" w:rsidRPr="00C6480C">
          <w:rPr>
            <w:noProof/>
            <w:webHidden/>
          </w:rPr>
          <w:fldChar w:fldCharType="begin"/>
        </w:r>
        <w:r w:rsidR="00C6480C" w:rsidRPr="00C6480C">
          <w:rPr>
            <w:noProof/>
            <w:webHidden/>
          </w:rPr>
          <w:instrText xml:space="preserve"> PAGEREF _Toc394668622 \h </w:instrText>
        </w:r>
        <w:r w:rsidR="00C6480C" w:rsidRPr="00C6480C">
          <w:rPr>
            <w:noProof/>
            <w:webHidden/>
          </w:rPr>
        </w:r>
        <w:r w:rsidR="00C6480C" w:rsidRPr="00C6480C">
          <w:rPr>
            <w:noProof/>
            <w:webHidden/>
          </w:rPr>
          <w:fldChar w:fldCharType="separate"/>
        </w:r>
        <w:r w:rsidR="00C6480C" w:rsidRPr="00C6480C">
          <w:rPr>
            <w:noProof/>
            <w:webHidden/>
          </w:rPr>
          <w:t>35</w:t>
        </w:r>
        <w:r w:rsidR="00C6480C" w:rsidRPr="00C6480C">
          <w:rPr>
            <w:noProof/>
            <w:webHidden/>
          </w:rPr>
          <w:fldChar w:fldCharType="end"/>
        </w:r>
      </w:hyperlink>
    </w:p>
    <w:p w14:paraId="7F728B74" w14:textId="77777777" w:rsidR="006E7855" w:rsidRDefault="00B46D1E" w:rsidP="00824FB3">
      <w:pPr>
        <w:pStyle w:val="BodyText"/>
      </w:pPr>
      <w:r>
        <w:fldChar w:fldCharType="end"/>
      </w:r>
    </w:p>
    <w:p w14:paraId="685CE2C4" w14:textId="77777777" w:rsidR="006E7855" w:rsidRPr="006518A5" w:rsidRDefault="006E7855" w:rsidP="00824FB3">
      <w:pPr>
        <w:pStyle w:val="BodyText"/>
        <w:rPr>
          <w:color w:val="096971" w:themeColor="accent1"/>
          <w:sz w:val="22"/>
        </w:rPr>
      </w:pPr>
      <w:r w:rsidRPr="006E7855">
        <w:rPr>
          <w:b/>
          <w:color w:val="096971" w:themeColor="accent1"/>
          <w:sz w:val="22"/>
        </w:rPr>
        <w:t>Figures</w:t>
      </w:r>
    </w:p>
    <w:p w14:paraId="4E745C55" w14:textId="77777777" w:rsidR="006518A5" w:rsidRPr="006518A5" w:rsidRDefault="00B46D1E">
      <w:pPr>
        <w:pStyle w:val="TableofFigures"/>
        <w:tabs>
          <w:tab w:val="right" w:leader="dot" w:pos="9628"/>
        </w:tabs>
        <w:rPr>
          <w:rFonts w:eastAsiaTheme="minorEastAsia" w:cstheme="minorBidi"/>
          <w:noProof/>
          <w:color w:val="auto"/>
          <w:sz w:val="22"/>
          <w:szCs w:val="22"/>
          <w:lang w:eastAsia="en-GB"/>
        </w:rPr>
      </w:pPr>
      <w:r w:rsidRPr="006518A5">
        <w:fldChar w:fldCharType="begin"/>
      </w:r>
      <w:r w:rsidR="0017653B" w:rsidRPr="006518A5">
        <w:instrText xml:space="preserve"> TOC \h \z \c "Figure" </w:instrText>
      </w:r>
      <w:r w:rsidRPr="006518A5">
        <w:fldChar w:fldCharType="separate"/>
      </w:r>
      <w:hyperlink w:anchor="_Toc394657981" w:history="1">
        <w:r w:rsidR="006518A5" w:rsidRPr="006518A5">
          <w:rPr>
            <w:rStyle w:val="Hyperlink"/>
            <w:noProof/>
            <w:kern w:val="28"/>
          </w:rPr>
          <w:t>Figure 3-1:  Annual Total Employment Growth Scenarios 2013-2032</w:t>
        </w:r>
        <w:r w:rsidR="006518A5" w:rsidRPr="006518A5">
          <w:rPr>
            <w:noProof/>
            <w:webHidden/>
          </w:rPr>
          <w:tab/>
        </w:r>
        <w:r w:rsidRPr="006518A5">
          <w:rPr>
            <w:noProof/>
            <w:webHidden/>
          </w:rPr>
          <w:fldChar w:fldCharType="begin"/>
        </w:r>
        <w:r w:rsidR="006518A5" w:rsidRPr="006518A5">
          <w:rPr>
            <w:noProof/>
            <w:webHidden/>
          </w:rPr>
          <w:instrText xml:space="preserve"> PAGEREF _Toc394657981 \h </w:instrText>
        </w:r>
        <w:r w:rsidRPr="006518A5">
          <w:rPr>
            <w:noProof/>
            <w:webHidden/>
          </w:rPr>
        </w:r>
        <w:r w:rsidRPr="006518A5">
          <w:rPr>
            <w:noProof/>
            <w:webHidden/>
          </w:rPr>
          <w:fldChar w:fldCharType="separate"/>
        </w:r>
        <w:r w:rsidR="00C6480C">
          <w:rPr>
            <w:noProof/>
            <w:webHidden/>
          </w:rPr>
          <w:t>30</w:t>
        </w:r>
        <w:r w:rsidRPr="006518A5">
          <w:rPr>
            <w:noProof/>
            <w:webHidden/>
          </w:rPr>
          <w:fldChar w:fldCharType="end"/>
        </w:r>
      </w:hyperlink>
    </w:p>
    <w:p w14:paraId="61070EA1" w14:textId="77777777" w:rsidR="006518A5" w:rsidRPr="006518A5" w:rsidRDefault="004B31F9">
      <w:pPr>
        <w:pStyle w:val="TableofFigures"/>
        <w:tabs>
          <w:tab w:val="right" w:leader="dot" w:pos="9628"/>
        </w:tabs>
        <w:rPr>
          <w:rFonts w:eastAsiaTheme="minorEastAsia" w:cstheme="minorBidi"/>
          <w:noProof/>
          <w:color w:val="auto"/>
          <w:sz w:val="22"/>
          <w:szCs w:val="22"/>
          <w:lang w:eastAsia="en-GB"/>
        </w:rPr>
      </w:pPr>
      <w:hyperlink w:anchor="_Toc394657982" w:history="1">
        <w:r w:rsidR="006518A5" w:rsidRPr="006518A5">
          <w:rPr>
            <w:rStyle w:val="Hyperlink"/>
            <w:noProof/>
            <w:kern w:val="28"/>
          </w:rPr>
          <w:t>Figure 4-1:  B Use Class Job Growth Scenarios 2013-2032 (FTE)</w:t>
        </w:r>
        <w:r w:rsidR="006518A5" w:rsidRPr="006518A5">
          <w:rPr>
            <w:noProof/>
            <w:webHidden/>
          </w:rPr>
          <w:tab/>
        </w:r>
        <w:r w:rsidR="00B46D1E" w:rsidRPr="006518A5">
          <w:rPr>
            <w:noProof/>
            <w:webHidden/>
          </w:rPr>
          <w:fldChar w:fldCharType="begin"/>
        </w:r>
        <w:r w:rsidR="006518A5" w:rsidRPr="006518A5">
          <w:rPr>
            <w:noProof/>
            <w:webHidden/>
          </w:rPr>
          <w:instrText xml:space="preserve"> PAGEREF _Toc394657982 \h </w:instrText>
        </w:r>
        <w:r w:rsidR="00B46D1E" w:rsidRPr="006518A5">
          <w:rPr>
            <w:noProof/>
            <w:webHidden/>
          </w:rPr>
        </w:r>
        <w:r w:rsidR="00B46D1E" w:rsidRPr="006518A5">
          <w:rPr>
            <w:noProof/>
            <w:webHidden/>
          </w:rPr>
          <w:fldChar w:fldCharType="separate"/>
        </w:r>
        <w:r w:rsidR="00C6480C">
          <w:rPr>
            <w:noProof/>
            <w:webHidden/>
          </w:rPr>
          <w:t>36</w:t>
        </w:r>
        <w:r w:rsidR="00B46D1E" w:rsidRPr="006518A5">
          <w:rPr>
            <w:noProof/>
            <w:webHidden/>
          </w:rPr>
          <w:fldChar w:fldCharType="end"/>
        </w:r>
      </w:hyperlink>
    </w:p>
    <w:p w14:paraId="66C929F3" w14:textId="77777777" w:rsidR="006518A5" w:rsidRPr="006518A5" w:rsidRDefault="004B31F9">
      <w:pPr>
        <w:pStyle w:val="TableofFigures"/>
        <w:tabs>
          <w:tab w:val="right" w:leader="dot" w:pos="9628"/>
        </w:tabs>
        <w:rPr>
          <w:rFonts w:eastAsiaTheme="minorEastAsia" w:cstheme="minorBidi"/>
          <w:noProof/>
          <w:color w:val="auto"/>
          <w:sz w:val="22"/>
          <w:szCs w:val="22"/>
          <w:lang w:eastAsia="en-GB"/>
        </w:rPr>
      </w:pPr>
      <w:hyperlink w:anchor="_Toc394657983" w:history="1">
        <w:r w:rsidR="006518A5" w:rsidRPr="006518A5">
          <w:rPr>
            <w:rStyle w:val="Hyperlink"/>
            <w:noProof/>
            <w:kern w:val="28"/>
          </w:rPr>
          <w:t>Figure 4-2:  Additional B Use Class Gross Land Demand Scenarios 2013-2032 (ha)</w:t>
        </w:r>
        <w:r w:rsidR="006518A5" w:rsidRPr="006518A5">
          <w:rPr>
            <w:noProof/>
            <w:webHidden/>
          </w:rPr>
          <w:tab/>
        </w:r>
        <w:r w:rsidR="00B46D1E" w:rsidRPr="006518A5">
          <w:rPr>
            <w:noProof/>
            <w:webHidden/>
          </w:rPr>
          <w:fldChar w:fldCharType="begin"/>
        </w:r>
        <w:r w:rsidR="006518A5" w:rsidRPr="006518A5">
          <w:rPr>
            <w:noProof/>
            <w:webHidden/>
          </w:rPr>
          <w:instrText xml:space="preserve"> PAGEREF _Toc394657983 \h </w:instrText>
        </w:r>
        <w:r w:rsidR="00B46D1E" w:rsidRPr="006518A5">
          <w:rPr>
            <w:noProof/>
            <w:webHidden/>
          </w:rPr>
        </w:r>
        <w:r w:rsidR="00B46D1E" w:rsidRPr="006518A5">
          <w:rPr>
            <w:noProof/>
            <w:webHidden/>
          </w:rPr>
          <w:fldChar w:fldCharType="separate"/>
        </w:r>
        <w:r w:rsidR="00C6480C">
          <w:rPr>
            <w:noProof/>
            <w:webHidden/>
          </w:rPr>
          <w:t>36</w:t>
        </w:r>
        <w:r w:rsidR="00B46D1E" w:rsidRPr="006518A5">
          <w:rPr>
            <w:noProof/>
            <w:webHidden/>
          </w:rPr>
          <w:fldChar w:fldCharType="end"/>
        </w:r>
      </w:hyperlink>
    </w:p>
    <w:p w14:paraId="4E5B4BF5" w14:textId="77777777" w:rsidR="006E7855" w:rsidRDefault="00B46D1E" w:rsidP="00824FB3">
      <w:pPr>
        <w:pStyle w:val="BodyText"/>
      </w:pPr>
      <w:r w:rsidRPr="006518A5">
        <w:fldChar w:fldCharType="end"/>
      </w:r>
    </w:p>
    <w:p w14:paraId="1F7DD970" w14:textId="77777777" w:rsidR="006E7855" w:rsidRDefault="006E7855" w:rsidP="00824FB3">
      <w:pPr>
        <w:pStyle w:val="BodyText"/>
      </w:pPr>
    </w:p>
    <w:p w14:paraId="3A0B5296" w14:textId="77777777" w:rsidR="00824FB3" w:rsidRPr="00824FB3" w:rsidRDefault="00DE5903" w:rsidP="005F7ED5">
      <w:pPr>
        <w:pStyle w:val="Heading1"/>
      </w:pPr>
      <w:bookmarkStart w:id="1" w:name="_Toc394668528"/>
      <w:r>
        <w:t>Introduction</w:t>
      </w:r>
      <w:bookmarkEnd w:id="1"/>
    </w:p>
    <w:p w14:paraId="5F6C2779" w14:textId="77777777" w:rsidR="00691F4C" w:rsidRPr="00691F4C" w:rsidRDefault="00DE5903" w:rsidP="00DF38AE">
      <w:pPr>
        <w:pStyle w:val="Heading2"/>
        <w:rPr>
          <w:rStyle w:val="BodyTextChar"/>
          <w:color w:val="156570"/>
        </w:rPr>
      </w:pPr>
      <w:bookmarkStart w:id="2" w:name="_Toc394668529"/>
      <w:bookmarkStart w:id="3" w:name="_Toc241492025"/>
      <w:bookmarkStart w:id="4" w:name="_Toc241559112"/>
      <w:bookmarkStart w:id="5" w:name="_Toc241571200"/>
      <w:r>
        <w:t>Purpose</w:t>
      </w:r>
      <w:bookmarkEnd w:id="2"/>
      <w:r>
        <w:t xml:space="preserve"> </w:t>
      </w:r>
      <w:bookmarkEnd w:id="3"/>
      <w:bookmarkEnd w:id="4"/>
      <w:bookmarkEnd w:id="5"/>
    </w:p>
    <w:p w14:paraId="533324C6" w14:textId="77777777" w:rsidR="00147F51" w:rsidRDefault="00147F51" w:rsidP="00147F51">
      <w:pPr>
        <w:pStyle w:val="Heading3"/>
        <w:numPr>
          <w:ilvl w:val="0"/>
          <w:numId w:val="0"/>
        </w:numPr>
        <w:rPr>
          <w:rStyle w:val="BodyTextChar"/>
        </w:rPr>
      </w:pPr>
      <w:r>
        <w:rPr>
          <w:rStyle w:val="BodyTextChar"/>
        </w:rPr>
        <w:t>Economic &amp; Employment Demand</w:t>
      </w:r>
    </w:p>
    <w:p w14:paraId="6C169545" w14:textId="77777777" w:rsidR="00691F4C" w:rsidRDefault="00691F4C" w:rsidP="00DF38AE">
      <w:pPr>
        <w:pStyle w:val="BodyText"/>
        <w:rPr>
          <w:rStyle w:val="BodyTextChar"/>
        </w:rPr>
      </w:pPr>
      <w:r>
        <w:rPr>
          <w:rStyle w:val="BodyTextChar"/>
        </w:rPr>
        <w:t>The primary purpose of this report is to provide estimates of future potential employment change in North East Lincolnshire in the period up to 203</w:t>
      </w:r>
      <w:r w:rsidR="00400D04">
        <w:rPr>
          <w:rStyle w:val="BodyTextChar"/>
        </w:rPr>
        <w:t>2</w:t>
      </w:r>
      <w:r>
        <w:rPr>
          <w:rStyle w:val="BodyTextChar"/>
        </w:rPr>
        <w:t>.  This builds on the findings of an associated study which provided a detailed assessment of five key sectors which have been identified as priorities by local economic development policies and strategies which are briefly described in section 2 of this report.   The five key sectors are:</w:t>
      </w:r>
    </w:p>
    <w:p w14:paraId="39697400" w14:textId="77777777" w:rsidR="00691F4C" w:rsidRDefault="00691F4C" w:rsidP="003B3A13">
      <w:pPr>
        <w:pStyle w:val="ListBullet"/>
        <w:spacing w:after="120"/>
        <w:rPr>
          <w:rStyle w:val="BodyTextChar"/>
        </w:rPr>
      </w:pPr>
      <w:r>
        <w:rPr>
          <w:rStyle w:val="BodyTextChar"/>
        </w:rPr>
        <w:t>Ports and logistics.</w:t>
      </w:r>
    </w:p>
    <w:p w14:paraId="1D93E843" w14:textId="77777777" w:rsidR="00691F4C" w:rsidRDefault="00691F4C" w:rsidP="003B3A13">
      <w:pPr>
        <w:pStyle w:val="ListBullet"/>
        <w:spacing w:after="120"/>
        <w:rPr>
          <w:rStyle w:val="BodyTextChar"/>
        </w:rPr>
      </w:pPr>
      <w:r>
        <w:rPr>
          <w:rStyle w:val="BodyTextChar"/>
        </w:rPr>
        <w:t>Food processing.</w:t>
      </w:r>
    </w:p>
    <w:p w14:paraId="4E421806" w14:textId="77777777" w:rsidR="00691F4C" w:rsidRDefault="00691F4C" w:rsidP="003B3A13">
      <w:pPr>
        <w:pStyle w:val="ListBullet"/>
        <w:spacing w:after="120"/>
        <w:rPr>
          <w:rStyle w:val="BodyTextChar"/>
        </w:rPr>
      </w:pPr>
      <w:r>
        <w:rPr>
          <w:rStyle w:val="BodyTextChar"/>
        </w:rPr>
        <w:t>Chemicals and process industries.</w:t>
      </w:r>
    </w:p>
    <w:p w14:paraId="58A0752C" w14:textId="77777777" w:rsidR="00691F4C" w:rsidRDefault="00691F4C" w:rsidP="003B3A13">
      <w:pPr>
        <w:pStyle w:val="ListBullet"/>
        <w:spacing w:after="120"/>
        <w:rPr>
          <w:rStyle w:val="BodyTextChar"/>
        </w:rPr>
      </w:pPr>
      <w:r>
        <w:rPr>
          <w:rStyle w:val="BodyTextChar"/>
        </w:rPr>
        <w:t>Renewables and energy.</w:t>
      </w:r>
    </w:p>
    <w:p w14:paraId="1EBBEE68" w14:textId="77777777" w:rsidR="00691F4C" w:rsidRDefault="00A51875" w:rsidP="003B3A13">
      <w:pPr>
        <w:pStyle w:val="ListBullet"/>
        <w:spacing w:after="120"/>
        <w:rPr>
          <w:rStyle w:val="BodyTextChar"/>
        </w:rPr>
      </w:pPr>
      <w:r>
        <w:rPr>
          <w:rStyle w:val="BodyTextChar"/>
        </w:rPr>
        <w:t xml:space="preserve">Visitor Economy, </w:t>
      </w:r>
      <w:r w:rsidR="00400D04">
        <w:rPr>
          <w:rStyle w:val="BodyTextChar"/>
        </w:rPr>
        <w:t>s</w:t>
      </w:r>
      <w:r>
        <w:rPr>
          <w:rStyle w:val="BodyTextChar"/>
        </w:rPr>
        <w:t xml:space="preserve">ervices and </w:t>
      </w:r>
      <w:r w:rsidR="00400D04">
        <w:rPr>
          <w:rStyle w:val="BodyTextChar"/>
        </w:rPr>
        <w:t>r</w:t>
      </w:r>
      <w:r>
        <w:rPr>
          <w:rStyle w:val="BodyTextChar"/>
        </w:rPr>
        <w:t>etai</w:t>
      </w:r>
      <w:r w:rsidR="00357B58">
        <w:rPr>
          <w:rStyle w:val="BodyTextChar"/>
        </w:rPr>
        <w:t>l.</w:t>
      </w:r>
    </w:p>
    <w:p w14:paraId="2AB5C1F5" w14:textId="77777777" w:rsidR="00DF38AE" w:rsidRDefault="00691F4C" w:rsidP="00DF38AE">
      <w:pPr>
        <w:pStyle w:val="BodyText"/>
        <w:rPr>
          <w:rStyle w:val="BodyTextChar"/>
        </w:rPr>
      </w:pPr>
      <w:r>
        <w:rPr>
          <w:rStyle w:val="BodyTextChar"/>
        </w:rPr>
        <w:t>Whilst prioritised in terms of warranting a full assessment to better understand the dynamics of each key sector and in targeting external and internal investment, it is important to highlight that the five sectors represent only a proportion of the whole North East Lincolnshir</w:t>
      </w:r>
      <w:r w:rsidR="0021123C">
        <w:rPr>
          <w:rStyle w:val="BodyTextChar"/>
        </w:rPr>
        <w:t xml:space="preserve">e economy.  As the sector study shows, collectively the five sectors contribute to the whole economy at least 30% in terms of employment and up to 60% of GDP.  Consequently, </w:t>
      </w:r>
      <w:r w:rsidR="009531DD">
        <w:rPr>
          <w:rStyle w:val="BodyTextChar"/>
        </w:rPr>
        <w:t>in preparing estimates of employment change in North East Lincolnshire, this report considers the prospects of the whole economy includin</w:t>
      </w:r>
      <w:r w:rsidR="00147F51">
        <w:rPr>
          <w:rStyle w:val="BodyTextChar"/>
        </w:rPr>
        <w:t>g major public sector services such as education, health and public administration alongside other large private sector services including business and financial services, real estate activities and information and communications.</w:t>
      </w:r>
    </w:p>
    <w:p w14:paraId="19DE93FF" w14:textId="77777777" w:rsidR="00147F51" w:rsidRDefault="00147F51" w:rsidP="00DF38AE">
      <w:pPr>
        <w:pStyle w:val="BodyText"/>
        <w:rPr>
          <w:rStyle w:val="BodyTextChar"/>
        </w:rPr>
      </w:pPr>
      <w:r>
        <w:rPr>
          <w:rStyle w:val="BodyTextChar"/>
        </w:rPr>
        <w:t>The main objective of preparing future employment scenarios for the authority is to inform a range of core policy responsibilities of the Council.  In particular, the scenarios will help shape estimates of employment land need and associated employment related policies in the forthcoming Local Plan.  In addition, they will be used to inform wider economic development, regeneration and inward investment priorities and related interventions by NEL and its public and private sector partners.</w:t>
      </w:r>
    </w:p>
    <w:p w14:paraId="0AE055C3" w14:textId="77777777" w:rsidR="009531DD" w:rsidRPr="004969A0" w:rsidRDefault="009531DD" w:rsidP="004969A0">
      <w:pPr>
        <w:pStyle w:val="Heading2"/>
      </w:pPr>
      <w:bookmarkStart w:id="6" w:name="_Toc394668530"/>
      <w:r w:rsidRPr="004969A0">
        <w:rPr>
          <w:rStyle w:val="BodyTextChar"/>
          <w:color w:val="156570"/>
        </w:rPr>
        <w:t>Method</w:t>
      </w:r>
      <w:bookmarkEnd w:id="6"/>
    </w:p>
    <w:p w14:paraId="5B46CF30" w14:textId="78D0A674" w:rsidR="00282ECE" w:rsidRDefault="00187573" w:rsidP="00DF38AE">
      <w:pPr>
        <w:pStyle w:val="BodyText"/>
      </w:pPr>
      <w:r>
        <w:t xml:space="preserve">The method employed by this study to prepare estimates of future employment </w:t>
      </w:r>
      <w:r w:rsidR="001039D3">
        <w:t>d</w:t>
      </w:r>
      <w:r>
        <w:t xml:space="preserve">emand has been driven largely by </w:t>
      </w:r>
      <w:r w:rsidR="002B1BFE">
        <w:t>a ‘bottom-up’ approach.  Unlike conventional, econometric forecasting models such as the Regional REM model (Leeds University) and those issued by Experian, Oxford Economics and other forecasting  houses, the methodology utilised here is significantly influenced by local, sub-regional and regional economic prospects.  This is not to say that national macro-economic influences or trend-based projections are excluded from the analysis.  Indeed, it is important that national and local trends and economic structures provide the starting point for the forecasts produced for this study.  However, a weakness of nationally-driven, econometric forecasting models is that they typically are not constructed in a manner which sufficiently builds in the effect of significant supply-side factors and planned project-specific investments.  It is only when such investments have taken place and had a recorded effect on the performance of a local economy are they usually reflected in trend-based forecasts.  Consequently, in the case of North East Lincolnshire, where dynamic changes are tak</w:t>
      </w:r>
      <w:r w:rsidR="001039D3">
        <w:t>ing</w:t>
      </w:r>
      <w:r w:rsidR="002B1BFE">
        <w:t xml:space="preserve">  place in a range of important sectors, we consider it imperative that a set of forecasts are made available which explicitly but realistically capture the potential effects of likely economic growth arising from substantial planned investment</w:t>
      </w:r>
      <w:r w:rsidR="00282ECE">
        <w:t xml:space="preserve"> in major projects.</w:t>
      </w:r>
    </w:p>
    <w:p w14:paraId="46874ADD" w14:textId="77777777" w:rsidR="00282ECE" w:rsidRDefault="00282ECE" w:rsidP="00DF38AE">
      <w:pPr>
        <w:pStyle w:val="BodyText"/>
      </w:pPr>
      <w:r>
        <w:t xml:space="preserve">Given the underlying methodology and associated assumptions which underpin the forecasts set out in this report, these should be considered as ‘policy-led’ estimates of change.  By their nature, such forecasts take a positive outlook as to the future performance of the economy albeit based on objective analysis of evidence and opportunity.  </w:t>
      </w:r>
      <w:r w:rsidR="00C85EE6">
        <w:t xml:space="preserve">As highlighted elsewhere, substantial primary and secondary evidence has been gathered and independently assessed to inform the findings of this study and the associated forecasts.   </w:t>
      </w:r>
      <w:r>
        <w:t>This evidence includes:</w:t>
      </w:r>
    </w:p>
    <w:p w14:paraId="4F4FE5BD" w14:textId="77777777" w:rsidR="003B3A13" w:rsidRDefault="003B3A13" w:rsidP="003B3A13">
      <w:pPr>
        <w:pStyle w:val="ListBullet"/>
        <w:spacing w:after="120"/>
      </w:pPr>
      <w:r>
        <w:t>A statistically significant sample survey of locally-established businesses (approximately 370 in total).</w:t>
      </w:r>
    </w:p>
    <w:p w14:paraId="472D5B40" w14:textId="77777777" w:rsidR="003B3A13" w:rsidRDefault="003B3A13" w:rsidP="003B3A13">
      <w:pPr>
        <w:pStyle w:val="ListBullet"/>
        <w:spacing w:after="120"/>
      </w:pPr>
      <w:r>
        <w:t>In-depth interviews with local employers and key stakeholders in the area (approximately 30).</w:t>
      </w:r>
    </w:p>
    <w:p w14:paraId="32128D0E" w14:textId="778EA088" w:rsidR="003B3A13" w:rsidRDefault="003B3A13" w:rsidP="003B3A13">
      <w:pPr>
        <w:pStyle w:val="ListBullet"/>
        <w:spacing w:after="120"/>
      </w:pPr>
      <w:r>
        <w:t>Analysis of government and locally generated secondary data and other relevant information includ</w:t>
      </w:r>
      <w:r w:rsidR="001039D3">
        <w:t>ing</w:t>
      </w:r>
      <w:r>
        <w:t xml:space="preserve"> other recent research.</w:t>
      </w:r>
    </w:p>
    <w:p w14:paraId="0CBA0DA8" w14:textId="77777777" w:rsidR="003B3A13" w:rsidRDefault="003B3A13" w:rsidP="003B3A13">
      <w:pPr>
        <w:pStyle w:val="ListBullet"/>
        <w:spacing w:after="120"/>
      </w:pPr>
      <w:r>
        <w:t xml:space="preserve">An assessment of local, sub-regional and regional socio-economic conditions and prospects including a review of up-to-date policy drivers and priorities which have already been established to </w:t>
      </w:r>
      <w:r w:rsidRPr="001E11A8">
        <w:t xml:space="preserve">underpin the economic development objectives for North East Lincolnshire. </w:t>
      </w:r>
    </w:p>
    <w:p w14:paraId="58AAA904" w14:textId="77777777" w:rsidR="004969A0" w:rsidRDefault="004969A0" w:rsidP="004969A0">
      <w:pPr>
        <w:pStyle w:val="Heading2"/>
      </w:pPr>
      <w:bookmarkStart w:id="7" w:name="_Toc394668531"/>
      <w:r>
        <w:t>Structure</w:t>
      </w:r>
      <w:bookmarkEnd w:id="7"/>
    </w:p>
    <w:p w14:paraId="2622E721" w14:textId="77777777" w:rsidR="004969A0" w:rsidRDefault="004969A0" w:rsidP="004969A0">
      <w:pPr>
        <w:pStyle w:val="BodyText"/>
      </w:pPr>
      <w:r>
        <w:t>This remainder of this report is structured as follows:</w:t>
      </w:r>
    </w:p>
    <w:p w14:paraId="2409AD50" w14:textId="77777777" w:rsidR="004969A0" w:rsidRDefault="004969A0" w:rsidP="004969A0">
      <w:pPr>
        <w:pStyle w:val="ListBullet"/>
      </w:pPr>
      <w:r>
        <w:t>Section 2 summarises the primary drivers of economic change and growth in North East Lincolnshire which includes consideration of the key opportunities and challenges facing the area.</w:t>
      </w:r>
    </w:p>
    <w:p w14:paraId="224AA51D" w14:textId="77777777" w:rsidR="004969A0" w:rsidRDefault="004969A0" w:rsidP="004969A0">
      <w:pPr>
        <w:pStyle w:val="ListBullet"/>
      </w:pPr>
      <w:r>
        <w:t>Section 3 sets out a series of future economic scenarios for the period up to 2032.</w:t>
      </w:r>
    </w:p>
    <w:p w14:paraId="24AD1537" w14:textId="35B16CEE" w:rsidR="004E6931" w:rsidRDefault="004969A0" w:rsidP="004969A0">
      <w:pPr>
        <w:pStyle w:val="ListBullet"/>
      </w:pPr>
      <w:r>
        <w:t xml:space="preserve">Section 4 </w:t>
      </w:r>
      <w:r w:rsidR="004E6931">
        <w:t xml:space="preserve">translates the employment growth scenarios into estimates of future requirements for additional employment floorspace and land for the period up to </w:t>
      </w:r>
      <w:r w:rsidR="001039D3">
        <w:t>2</w:t>
      </w:r>
      <w:r w:rsidR="004E6931">
        <w:t>032.</w:t>
      </w:r>
    </w:p>
    <w:p w14:paraId="1F13A3FE" w14:textId="77777777" w:rsidR="004E6931" w:rsidRDefault="004E6931" w:rsidP="004969A0">
      <w:pPr>
        <w:pStyle w:val="ListBullet"/>
      </w:pPr>
      <w:r>
        <w:t>Section 5 summarises the conclusion</w:t>
      </w:r>
      <w:r w:rsidR="00887E14">
        <w:t>s</w:t>
      </w:r>
      <w:r>
        <w:t xml:space="preserve"> of the study.  </w:t>
      </w:r>
    </w:p>
    <w:p w14:paraId="4F8705EA" w14:textId="77777777" w:rsidR="004969A0" w:rsidRPr="004969A0" w:rsidRDefault="004969A0" w:rsidP="004969A0">
      <w:pPr>
        <w:pStyle w:val="BodyText"/>
      </w:pPr>
    </w:p>
    <w:p w14:paraId="09FAB628" w14:textId="77777777" w:rsidR="009702D3" w:rsidRDefault="009702D3">
      <w:pPr>
        <w:jc w:val="left"/>
        <w:rPr>
          <w:rFonts w:ascii="Arial" w:hAnsi="Arial"/>
          <w:color w:val="394A58"/>
          <w:sz w:val="20"/>
        </w:rPr>
      </w:pPr>
      <w:r>
        <w:br w:type="page"/>
      </w:r>
    </w:p>
    <w:p w14:paraId="722ACF54" w14:textId="77777777" w:rsidR="004969A0" w:rsidRDefault="004969A0" w:rsidP="009702D3">
      <w:pPr>
        <w:pStyle w:val="Heading1"/>
      </w:pPr>
      <w:bookmarkStart w:id="8" w:name="_Toc394668532"/>
      <w:r>
        <w:t>Policy &amp; Market Drivers</w:t>
      </w:r>
      <w:bookmarkEnd w:id="8"/>
    </w:p>
    <w:p w14:paraId="6F60CF8F" w14:textId="77777777" w:rsidR="004969A0" w:rsidRDefault="004969A0" w:rsidP="004969A0">
      <w:pPr>
        <w:pStyle w:val="Heading2"/>
      </w:pPr>
      <w:bookmarkStart w:id="9" w:name="_Toc394668533"/>
      <w:r>
        <w:t>Introduction</w:t>
      </w:r>
      <w:bookmarkEnd w:id="9"/>
    </w:p>
    <w:p w14:paraId="70079F80" w14:textId="77777777" w:rsidR="004969A0" w:rsidRDefault="004969A0" w:rsidP="004969A0">
      <w:pPr>
        <w:pStyle w:val="BodyText"/>
      </w:pPr>
      <w:r>
        <w:t xml:space="preserve">This section considers the </w:t>
      </w:r>
      <w:r w:rsidR="00357B58">
        <w:t>main drivers of economic change</w:t>
      </w:r>
      <w:r>
        <w:t xml:space="preserve"> </w:t>
      </w:r>
      <w:r w:rsidR="00357B58">
        <w:t>and influencing factors which are likely to shape the future economy of</w:t>
      </w:r>
      <w:r>
        <w:t xml:space="preserve"> North East Lincolnshire</w:t>
      </w:r>
      <w:r w:rsidR="00357B58">
        <w:t xml:space="preserve">.  This includes both policy and market factors and an outline of the main opportunities and challenges facing the Borough at the time of writing.  </w:t>
      </w:r>
    </w:p>
    <w:p w14:paraId="6F7EE9C2" w14:textId="77777777" w:rsidR="00357B58" w:rsidRDefault="00357B58" w:rsidP="004969A0">
      <w:pPr>
        <w:pStyle w:val="BodyText"/>
      </w:pPr>
      <w:r>
        <w:t>Consideration of the key drivers and potential constraints to economic change and growth is important to the development of future economic scenarios which are set out in the subsequent section.</w:t>
      </w:r>
    </w:p>
    <w:p w14:paraId="72DAA5D8" w14:textId="77777777" w:rsidR="00357B58" w:rsidRDefault="00357B58" w:rsidP="00357B58">
      <w:pPr>
        <w:pStyle w:val="Heading2"/>
      </w:pPr>
      <w:bookmarkStart w:id="10" w:name="_Toc394668534"/>
      <w:r>
        <w:t>Policy Drivers</w:t>
      </w:r>
      <w:bookmarkEnd w:id="10"/>
    </w:p>
    <w:p w14:paraId="49193EBD" w14:textId="77777777" w:rsidR="00357B58" w:rsidRDefault="00357B58" w:rsidP="009B42FA">
      <w:pPr>
        <w:pStyle w:val="BodyText"/>
      </w:pPr>
      <w:r>
        <w:t xml:space="preserve">North East Lincolnshire form part of two Local Economic Partnerships (LEPs):  Humber and Greater Lincolnshire.  In their recently published Strategic Economic Plans (SEPs), clear economic visions and priorities are established by both LEPs.  These strategic objectives have a clear sector-focus with the Humber LEP aiming to become a leading national and international centre for renewable energy and, capitalising on the sub-region’s natural assets, establish a strong export-focused clusters of manufacturing and service-based activities.  </w:t>
      </w:r>
    </w:p>
    <w:p w14:paraId="6888A875" w14:textId="77777777" w:rsidR="00357B58" w:rsidRDefault="00357B58" w:rsidP="00357B58">
      <w:pPr>
        <w:pStyle w:val="Heading3"/>
      </w:pPr>
      <w:r>
        <w:t>Humber LEP’s Strategic Economic Plan 2014-2020</w:t>
      </w:r>
    </w:p>
    <w:p w14:paraId="5DB37B80" w14:textId="77777777" w:rsidR="00357B58" w:rsidRPr="00357B58" w:rsidRDefault="00357B58" w:rsidP="00C06E7F">
      <w:pPr>
        <w:pStyle w:val="Caption"/>
        <w:spacing w:before="0" w:after="0"/>
        <w:rPr>
          <w:sz w:val="22"/>
          <w:szCs w:val="22"/>
        </w:rPr>
      </w:pPr>
      <w:r w:rsidRPr="00357B58">
        <w:rPr>
          <w:sz w:val="22"/>
          <w:szCs w:val="22"/>
        </w:rPr>
        <w:t>Aims and vision</w:t>
      </w:r>
    </w:p>
    <w:p w14:paraId="4995C606" w14:textId="77777777" w:rsidR="00C06E7F" w:rsidRDefault="00357B58" w:rsidP="00C06E7F">
      <w:pPr>
        <w:pStyle w:val="BodyText"/>
        <w:spacing w:after="0"/>
      </w:pPr>
      <w:r>
        <w:t xml:space="preserve">The Humber SEP </w:t>
      </w:r>
      <w:r w:rsidR="00C06E7F">
        <w:t>identifies</w:t>
      </w:r>
      <w:r>
        <w:t xml:space="preserve"> the Humber estuary as a national asset and</w:t>
      </w:r>
      <w:r w:rsidR="00C06E7F">
        <w:t xml:space="preserve"> a key factor in shaping </w:t>
      </w:r>
      <w:r>
        <w:t xml:space="preserve">economic opportunities in the </w:t>
      </w:r>
      <w:r w:rsidR="00C06E7F">
        <w:t>area</w:t>
      </w:r>
      <w:r>
        <w:t xml:space="preserve">, particularly </w:t>
      </w:r>
      <w:r w:rsidR="00C06E7F">
        <w:t>in respect of the offshore renewables and ports sectors</w:t>
      </w:r>
      <w:r>
        <w:t>. The plan states an ambition for the Humber ‘Energy Estuary’ to become “a renowned national and international centre for renewable energy and an area whose economy is resilient and competitive”</w:t>
      </w:r>
      <w:r w:rsidR="00C06E7F">
        <w:t>.</w:t>
      </w:r>
    </w:p>
    <w:p w14:paraId="11DABCEF" w14:textId="77777777" w:rsidR="00C06E7F" w:rsidRDefault="00357B58" w:rsidP="00357B58">
      <w:pPr>
        <w:pStyle w:val="BodyText"/>
      </w:pPr>
      <w:r>
        <w:t xml:space="preserve">Feeding in to this ambition are three visions: </w:t>
      </w:r>
    </w:p>
    <w:p w14:paraId="0F8ECDC1" w14:textId="77777777" w:rsidR="00C06E7F" w:rsidRDefault="00C06E7F" w:rsidP="00C06E7F">
      <w:pPr>
        <w:pStyle w:val="ListBullet"/>
      </w:pPr>
      <w:r>
        <w:t>E</w:t>
      </w:r>
      <w:r w:rsidR="00357B58">
        <w:t xml:space="preserve">conomy - </w:t>
      </w:r>
      <w:r>
        <w:t>creating</w:t>
      </w:r>
      <w:r w:rsidR="00357B58">
        <w:t xml:space="preserve"> a thriving renewable</w:t>
      </w:r>
      <w:r>
        <w:t xml:space="preserve"> </w:t>
      </w:r>
      <w:r w:rsidR="00357B58">
        <w:t>sector supported by access</w:t>
      </w:r>
      <w:r>
        <w:t xml:space="preserve"> to finance and capital schemes.</w:t>
      </w:r>
    </w:p>
    <w:p w14:paraId="7478300A" w14:textId="77777777" w:rsidR="00C06E7F" w:rsidRDefault="00C06E7F" w:rsidP="00C06E7F">
      <w:pPr>
        <w:pStyle w:val="ListBullet"/>
      </w:pPr>
      <w:r>
        <w:t>S</w:t>
      </w:r>
      <w:r w:rsidR="00357B58">
        <w:t xml:space="preserve">kills - a better-aligned skills </w:t>
      </w:r>
      <w:r>
        <w:t>profile</w:t>
      </w:r>
      <w:r w:rsidR="00357B58">
        <w:t xml:space="preserve"> and reduction in the proportion of the po</w:t>
      </w:r>
      <w:r>
        <w:t xml:space="preserve">pulation with no qualifications. </w:t>
      </w:r>
    </w:p>
    <w:p w14:paraId="41D7E20C" w14:textId="77777777" w:rsidR="00357B58" w:rsidRDefault="00C06E7F" w:rsidP="00C06E7F">
      <w:pPr>
        <w:pStyle w:val="ListBullet"/>
      </w:pPr>
      <w:r>
        <w:t>P</w:t>
      </w:r>
      <w:r w:rsidR="00357B58">
        <w:t>lace –</w:t>
      </w:r>
      <w:r>
        <w:t xml:space="preserve"> </w:t>
      </w:r>
      <w:r w:rsidR="00357B58">
        <w:t xml:space="preserve">a strong visitor economy, increased civic pride and improved infrastructure and housing, including addressing flooding and coastal erosion. </w:t>
      </w:r>
    </w:p>
    <w:p w14:paraId="1207CE4A" w14:textId="77777777" w:rsidR="00357B58" w:rsidRDefault="00357B58" w:rsidP="00357B58">
      <w:pPr>
        <w:pStyle w:val="BodyText"/>
      </w:pPr>
      <w:r>
        <w:t xml:space="preserve">Barriers to growth identified in the SEP include: </w:t>
      </w:r>
    </w:p>
    <w:p w14:paraId="50819DE3" w14:textId="77777777" w:rsidR="00357B58" w:rsidRDefault="00357B58" w:rsidP="00357B58">
      <w:pPr>
        <w:pStyle w:val="ListBullet"/>
      </w:pPr>
      <w:r>
        <w:t xml:space="preserve">A low skill level amongst </w:t>
      </w:r>
      <w:r w:rsidR="00C06E7F">
        <w:t>a significant section of the workforce</w:t>
      </w:r>
      <w:r>
        <w:t xml:space="preserve"> with an overreliance on low-skilled employment. This </w:t>
      </w:r>
      <w:r w:rsidR="00C06E7F">
        <w:t>constraint is evident in North East Lincolnshire</w:t>
      </w:r>
      <w:r>
        <w:t>, which exhibits a particularly low proportion of the population with high-level qualifications, and an above average proportion of the p</w:t>
      </w:r>
      <w:r w:rsidR="00C06E7F">
        <w:t>opulation with no qualifications</w:t>
      </w:r>
      <w:r>
        <w:t xml:space="preserve"> (</w:t>
      </w:r>
      <w:r w:rsidR="00C06E7F">
        <w:t>see local economic audit report, 2014</w:t>
      </w:r>
      <w:r>
        <w:t xml:space="preserve">). </w:t>
      </w:r>
    </w:p>
    <w:p w14:paraId="1792DF5D" w14:textId="77777777" w:rsidR="00357B58" w:rsidRDefault="00357B58" w:rsidP="00357B58">
      <w:pPr>
        <w:pStyle w:val="ListBullet"/>
      </w:pPr>
      <w:r>
        <w:t>Relatively high levels of economic inactivity, unemployment and long-term sickness. Whilst economic activity</w:t>
      </w:r>
      <w:r w:rsidR="00C06E7F">
        <w:t xml:space="preserve"> in the Borough</w:t>
      </w:r>
      <w:r>
        <w:t xml:space="preserve"> </w:t>
      </w:r>
      <w:r w:rsidR="00C06E7F">
        <w:t>is not substantially lower than</w:t>
      </w:r>
      <w:r>
        <w:t xml:space="preserve"> the national average, the area does </w:t>
      </w:r>
      <w:r w:rsidR="009B42FA">
        <w:t>display relatively</w:t>
      </w:r>
      <w:r>
        <w:t xml:space="preserve"> high levels of unemployment and long-term sickness. </w:t>
      </w:r>
    </w:p>
    <w:p w14:paraId="788FBAB7" w14:textId="77777777" w:rsidR="00357B58" w:rsidRDefault="00357B58" w:rsidP="00357B58">
      <w:pPr>
        <w:pStyle w:val="ListBullet"/>
      </w:pPr>
      <w:r>
        <w:t>Poor business survival and growth</w:t>
      </w:r>
      <w:r w:rsidR="009B42FA">
        <w:t xml:space="preserve"> rates which are reinforced by</w:t>
      </w:r>
      <w:r>
        <w:t xml:space="preserve"> relatively low take-up of national busin</w:t>
      </w:r>
      <w:r w:rsidR="009B42FA">
        <w:t xml:space="preserve">ess support programmes. NEL </w:t>
      </w:r>
      <w:r>
        <w:t xml:space="preserve">particularly </w:t>
      </w:r>
      <w:r w:rsidR="009B42FA">
        <w:t xml:space="preserve">has experienced </w:t>
      </w:r>
      <w:r>
        <w:t xml:space="preserve">low rates of business survival in recent years, </w:t>
      </w:r>
      <w:r w:rsidR="009B42FA">
        <w:t>accounting for nearly 50% of all start-up ‘deaths’ in the Humber area.</w:t>
      </w:r>
    </w:p>
    <w:p w14:paraId="3CFAE6B5" w14:textId="77777777" w:rsidR="00357B58" w:rsidRPr="00357B58" w:rsidRDefault="00357B58" w:rsidP="009B42FA">
      <w:pPr>
        <w:pStyle w:val="Caption"/>
        <w:spacing w:before="0" w:after="0"/>
        <w:rPr>
          <w:sz w:val="22"/>
          <w:szCs w:val="22"/>
        </w:rPr>
      </w:pPr>
      <w:r w:rsidRPr="00357B58">
        <w:rPr>
          <w:sz w:val="22"/>
          <w:szCs w:val="22"/>
        </w:rPr>
        <w:t xml:space="preserve">Priority Sectors </w:t>
      </w:r>
    </w:p>
    <w:p w14:paraId="00717AB6" w14:textId="77777777" w:rsidR="009B42FA" w:rsidRDefault="009B42FA" w:rsidP="009B42FA">
      <w:pPr>
        <w:pStyle w:val="BodyText"/>
        <w:spacing w:after="0"/>
      </w:pPr>
      <w:r>
        <w:t>Seven key sectors are targeted by the Humber LEP:</w:t>
      </w:r>
    </w:p>
    <w:p w14:paraId="1C7D3A23" w14:textId="77777777" w:rsidR="009B42FA" w:rsidRDefault="009B42FA" w:rsidP="009B42FA">
      <w:pPr>
        <w:pStyle w:val="BodyText"/>
        <w:spacing w:after="0"/>
      </w:pPr>
    </w:p>
    <w:p w14:paraId="0B2C1607" w14:textId="77777777" w:rsidR="009B42FA" w:rsidRDefault="009B42FA" w:rsidP="009B42FA">
      <w:pPr>
        <w:pStyle w:val="ListBullet"/>
        <w:spacing w:after="120"/>
      </w:pPr>
      <w:r>
        <w:t>Renewables and energy.</w:t>
      </w:r>
    </w:p>
    <w:p w14:paraId="3555CA32" w14:textId="77777777" w:rsidR="009B42FA" w:rsidRDefault="009B42FA" w:rsidP="009B42FA">
      <w:pPr>
        <w:pStyle w:val="ListBullet"/>
        <w:spacing w:after="120"/>
      </w:pPr>
      <w:r>
        <w:t>Ports and logistics.</w:t>
      </w:r>
    </w:p>
    <w:p w14:paraId="373AB279" w14:textId="77777777" w:rsidR="009B42FA" w:rsidRDefault="009B42FA" w:rsidP="009B42FA">
      <w:pPr>
        <w:pStyle w:val="ListBullet"/>
        <w:spacing w:after="120"/>
      </w:pPr>
      <w:r>
        <w:t>Engineering and manufacturing.</w:t>
      </w:r>
    </w:p>
    <w:p w14:paraId="61DDA708" w14:textId="77777777" w:rsidR="009B42FA" w:rsidRDefault="009B42FA" w:rsidP="009B42FA">
      <w:pPr>
        <w:pStyle w:val="ListBullet"/>
        <w:spacing w:after="120"/>
      </w:pPr>
      <w:r>
        <w:t>Chemicals and processing.</w:t>
      </w:r>
    </w:p>
    <w:p w14:paraId="0F5DC29D" w14:textId="77777777" w:rsidR="009B42FA" w:rsidRDefault="009B42FA" w:rsidP="009B42FA">
      <w:pPr>
        <w:pStyle w:val="ListBullet"/>
        <w:spacing w:after="120"/>
      </w:pPr>
      <w:r>
        <w:t>Food and agriculture.</w:t>
      </w:r>
    </w:p>
    <w:p w14:paraId="1AFFB94F" w14:textId="77777777" w:rsidR="009B42FA" w:rsidRDefault="009B42FA" w:rsidP="009B42FA">
      <w:pPr>
        <w:pStyle w:val="ListBullet"/>
        <w:spacing w:after="120"/>
      </w:pPr>
      <w:r>
        <w:t>Digital and creative.</w:t>
      </w:r>
    </w:p>
    <w:p w14:paraId="5F74CEFC" w14:textId="77777777" w:rsidR="009B42FA" w:rsidRDefault="009B42FA" w:rsidP="009B42FA">
      <w:pPr>
        <w:pStyle w:val="ListBullet"/>
        <w:spacing w:after="120"/>
      </w:pPr>
      <w:r>
        <w:t>Visitor economy.</w:t>
      </w:r>
    </w:p>
    <w:p w14:paraId="1F3577BC" w14:textId="77777777" w:rsidR="009B42FA" w:rsidRDefault="009B42FA" w:rsidP="009B42FA">
      <w:pPr>
        <w:pStyle w:val="BodyText"/>
        <w:spacing w:after="0"/>
      </w:pPr>
      <w:r>
        <w:t>These priority sectors are of notable relevance to the future of the North East Lincolnshire economy</w:t>
      </w:r>
      <w:r w:rsidR="00357B58">
        <w:t>.</w:t>
      </w:r>
    </w:p>
    <w:p w14:paraId="613F2722" w14:textId="77777777" w:rsidR="00357B58" w:rsidRDefault="00357B58" w:rsidP="009B42FA">
      <w:pPr>
        <w:pStyle w:val="BodyText"/>
        <w:spacing w:after="0"/>
      </w:pPr>
      <w:r>
        <w:t xml:space="preserve"> </w:t>
      </w:r>
    </w:p>
    <w:p w14:paraId="4ECD3A43" w14:textId="77777777" w:rsidR="00357B58" w:rsidRDefault="00357B58" w:rsidP="00357B58">
      <w:pPr>
        <w:pStyle w:val="ListBullet"/>
      </w:pPr>
      <w:r>
        <w:t xml:space="preserve">For the ports and logistics sector, the SEP notes that the offshore renewable sector represents the greatest opportunity for growth. Key activities proposed to support the sector include developing the Grimsby Port Delivery Plan (to include several infrastructure improvements), stimulating the expansion of specialist businesses (including prioritising physical developments), business and supply chain support and skills development programmes for local residents. </w:t>
      </w:r>
    </w:p>
    <w:p w14:paraId="3241004C" w14:textId="77777777" w:rsidR="00357B58" w:rsidRDefault="00357B58" w:rsidP="00357B58">
      <w:pPr>
        <w:pStyle w:val="ListBullet"/>
      </w:pPr>
      <w:r>
        <w:t>For the chemicals</w:t>
      </w:r>
      <w:r w:rsidR="009B42FA">
        <w:t xml:space="preserve"> and process industries</w:t>
      </w:r>
      <w:r>
        <w:t xml:space="preserve"> sector, activities identified in the plan include fostering links between employers and skills providers in order to ensure labour supply meets demand and to promote innovation, skills development programmes and improving business support. </w:t>
      </w:r>
    </w:p>
    <w:p w14:paraId="02B522EE" w14:textId="77777777" w:rsidR="00357B58" w:rsidRDefault="00357B58" w:rsidP="00357B58">
      <w:pPr>
        <w:pStyle w:val="ListBullet"/>
      </w:pPr>
      <w:r>
        <w:t xml:space="preserve">Food is another key sector for both NEL and the Humber LEP. In particular, the SEP highlights the potential for encouraging linkages between NEL’s seafood cluster and the sector elsewhere in the </w:t>
      </w:r>
      <w:r w:rsidR="009B42FA">
        <w:t>area</w:t>
      </w:r>
      <w:r>
        <w:t>, including collaboration with the Greater Lincolnshire LEP. Key support activities for the sector include t</w:t>
      </w:r>
      <w:r w:rsidR="009B42FA">
        <w:t>argeted supply chain support and</w:t>
      </w:r>
      <w:r>
        <w:t xml:space="preserve"> </w:t>
      </w:r>
      <w:r w:rsidR="009B42FA">
        <w:t>assistance</w:t>
      </w:r>
      <w:r>
        <w:t xml:space="preserve"> in accessing international markets, cross-LEP projects and collaboration between local specialists, closer links with training providers and support to companies in accessing higher education expertise to facilitate innovation. </w:t>
      </w:r>
    </w:p>
    <w:p w14:paraId="7A09A43A" w14:textId="77777777" w:rsidR="00357B58" w:rsidRDefault="00357B58" w:rsidP="00357B58">
      <w:pPr>
        <w:pStyle w:val="ListBullet"/>
      </w:pPr>
      <w:r>
        <w:t xml:space="preserve">In terms of the visitor economy, the SEP notes the importance of heritage coastline and seaside resorts in NEL, and that Cleethorpes has witnessed one of the largest increases in coastal house prices in the past decade. Key support activities include skills development programmes, promotion of the Humber as a location for national and international events, development and promotion of the area’s natural and built environment, and supporting businesses in taking advantage of opportunities presented by the sector. </w:t>
      </w:r>
    </w:p>
    <w:p w14:paraId="5EEE45DF" w14:textId="77777777" w:rsidR="00357B58" w:rsidRPr="00357B58" w:rsidRDefault="00357B58" w:rsidP="00357B58">
      <w:pPr>
        <w:pStyle w:val="Caption"/>
        <w:rPr>
          <w:sz w:val="22"/>
          <w:szCs w:val="22"/>
        </w:rPr>
      </w:pPr>
      <w:r w:rsidRPr="00357B58">
        <w:rPr>
          <w:sz w:val="22"/>
          <w:szCs w:val="22"/>
        </w:rPr>
        <w:t>Proposed actions and developments</w:t>
      </w:r>
    </w:p>
    <w:p w14:paraId="75FB7611" w14:textId="77777777" w:rsidR="00357B58" w:rsidRPr="000C2D7F" w:rsidRDefault="00357B58" w:rsidP="00357B58">
      <w:pPr>
        <w:pStyle w:val="BodyText"/>
        <w:rPr>
          <w:rFonts w:asciiTheme="minorHAnsi" w:hAnsiTheme="minorHAnsi"/>
          <w:b/>
          <w:bCs/>
          <w:color w:val="156570"/>
        </w:rPr>
      </w:pPr>
      <w:r>
        <w:t xml:space="preserve">Proposed actions and developments are organised across five themes. These are presented in </w:t>
      </w:r>
      <w:r w:rsidR="00B46D1E">
        <w:rPr>
          <w:rFonts w:ascii="Times New Roman" w:hAnsi="Times New Roman"/>
          <w:color w:val="auto"/>
          <w:sz w:val="24"/>
        </w:rPr>
        <w:fldChar w:fldCharType="begin"/>
      </w:r>
      <w:r>
        <w:instrText xml:space="preserve"> REF _Ref393715528 \h </w:instrText>
      </w:r>
      <w:r w:rsidR="00B46D1E">
        <w:rPr>
          <w:rFonts w:ascii="Times New Roman" w:hAnsi="Times New Roman"/>
          <w:color w:val="auto"/>
          <w:sz w:val="24"/>
        </w:rPr>
      </w:r>
      <w:r w:rsidR="00B46D1E">
        <w:rPr>
          <w:rFonts w:ascii="Times New Roman" w:hAnsi="Times New Roman"/>
          <w:color w:val="auto"/>
          <w:sz w:val="24"/>
        </w:rPr>
        <w:fldChar w:fldCharType="separate"/>
      </w:r>
      <w:r w:rsidR="00E0327A" w:rsidRPr="00357B58">
        <w:t xml:space="preserve">Table </w:t>
      </w:r>
      <w:r w:rsidR="00E0327A">
        <w:rPr>
          <w:noProof/>
        </w:rPr>
        <w:t>2</w:t>
      </w:r>
      <w:r w:rsidR="00E0327A" w:rsidRPr="00357B58">
        <w:t>-</w:t>
      </w:r>
      <w:r w:rsidR="00E0327A">
        <w:rPr>
          <w:noProof/>
        </w:rPr>
        <w:t>1</w:t>
      </w:r>
      <w:r w:rsidR="00B46D1E">
        <w:fldChar w:fldCharType="end"/>
      </w:r>
      <w:r>
        <w:t xml:space="preserve"> along with selected </w:t>
      </w:r>
      <w:r w:rsidR="000C2D7F">
        <w:t xml:space="preserve">key </w:t>
      </w:r>
      <w:r>
        <w:t>projects</w:t>
      </w:r>
      <w:r w:rsidR="000C2D7F">
        <w:t xml:space="preserve"> of particular relevance to North East Lincolnshire</w:t>
      </w:r>
      <w:r>
        <w:t xml:space="preserve">. </w:t>
      </w:r>
    </w:p>
    <w:p w14:paraId="4AED6642" w14:textId="77777777" w:rsidR="00804B1E" w:rsidRDefault="00804B1E">
      <w:pPr>
        <w:jc w:val="left"/>
        <w:rPr>
          <w:rFonts w:asciiTheme="minorHAnsi" w:hAnsiTheme="minorHAnsi"/>
          <w:b/>
          <w:bCs/>
          <w:color w:val="156570"/>
          <w:sz w:val="20"/>
        </w:rPr>
      </w:pPr>
      <w:bookmarkStart w:id="11" w:name="_Ref393715528"/>
      <w:r>
        <w:rPr>
          <w:sz w:val="20"/>
        </w:rPr>
        <w:br w:type="page"/>
      </w:r>
    </w:p>
    <w:p w14:paraId="1078C407" w14:textId="77777777" w:rsidR="00357B58" w:rsidRPr="00357B58" w:rsidRDefault="00357B58" w:rsidP="00357B58">
      <w:pPr>
        <w:pStyle w:val="Caption"/>
        <w:rPr>
          <w:sz w:val="20"/>
          <w:szCs w:val="20"/>
        </w:rPr>
      </w:pPr>
      <w:bookmarkStart w:id="12" w:name="_Toc394668596"/>
      <w:r w:rsidRPr="00357B58">
        <w:rPr>
          <w:sz w:val="20"/>
          <w:szCs w:val="20"/>
        </w:rPr>
        <w:t xml:space="preserve">Table </w:t>
      </w:r>
      <w:fldSimple w:instr=" STYLEREF 1 \s  \* MERGEFORMAT ">
        <w:r w:rsidR="00E0327A">
          <w:rPr>
            <w:noProof/>
            <w:sz w:val="20"/>
            <w:szCs w:val="20"/>
          </w:rPr>
          <w:t>2</w:t>
        </w:r>
      </w:fldSimple>
      <w:r w:rsidRPr="00357B58">
        <w:rPr>
          <w:sz w:val="20"/>
          <w:szCs w:val="20"/>
        </w:rPr>
        <w:t>-</w:t>
      </w:r>
      <w:fldSimple w:instr=" SEQ Table \* ARABIC \s 1  \* MERGEFORMAT ">
        <w:r w:rsidR="00E0327A">
          <w:rPr>
            <w:noProof/>
            <w:sz w:val="20"/>
            <w:szCs w:val="20"/>
          </w:rPr>
          <w:t>1</w:t>
        </w:r>
      </w:fldSimple>
      <w:bookmarkEnd w:id="11"/>
      <w:r w:rsidRPr="00357B58">
        <w:rPr>
          <w:sz w:val="20"/>
          <w:szCs w:val="20"/>
        </w:rPr>
        <w:tab/>
        <w:t>Proposed actions by theme in Humber SEP</w:t>
      </w:r>
      <w:bookmarkEnd w:id="12"/>
      <w:r w:rsidRPr="00357B58">
        <w:rPr>
          <w:sz w:val="20"/>
          <w:szCs w:val="20"/>
        </w:rPr>
        <w:t xml:space="preserve"> </w:t>
      </w:r>
    </w:p>
    <w:tbl>
      <w:tblPr>
        <w:tblStyle w:val="Atkins14pt"/>
        <w:tblW w:w="0" w:type="auto"/>
        <w:tblLook w:val="04A0" w:firstRow="1" w:lastRow="0" w:firstColumn="1" w:lastColumn="0" w:noHBand="0" w:noVBand="1"/>
      </w:tblPr>
      <w:tblGrid>
        <w:gridCol w:w="2268"/>
        <w:gridCol w:w="3544"/>
        <w:gridCol w:w="2835"/>
      </w:tblGrid>
      <w:tr w:rsidR="00357B58" w14:paraId="763C4CF3" w14:textId="77777777" w:rsidTr="00C06E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shd w:val="clear" w:color="auto" w:fill="99BABF" w:themeFill="accent6" w:themeFillTint="99"/>
          </w:tcPr>
          <w:p w14:paraId="0404F00D" w14:textId="77777777" w:rsidR="00357B58" w:rsidRPr="00C06E7F" w:rsidRDefault="00357B58" w:rsidP="00357B58">
            <w:pPr>
              <w:rPr>
                <w:rFonts w:asciiTheme="minorHAnsi" w:hAnsiTheme="minorHAnsi" w:cstheme="minorHAnsi"/>
                <w:color w:val="394A58" w:themeColor="text2"/>
                <w:sz w:val="22"/>
                <w:szCs w:val="22"/>
              </w:rPr>
            </w:pPr>
            <w:r w:rsidRPr="00C06E7F">
              <w:rPr>
                <w:rFonts w:asciiTheme="minorHAnsi" w:hAnsiTheme="minorHAnsi" w:cstheme="minorHAnsi"/>
                <w:color w:val="394A58" w:themeColor="text2"/>
                <w:sz w:val="22"/>
                <w:szCs w:val="22"/>
              </w:rPr>
              <w:t>Theme</w:t>
            </w:r>
          </w:p>
        </w:tc>
        <w:tc>
          <w:tcPr>
            <w:tcW w:w="3544" w:type="dxa"/>
            <w:shd w:val="clear" w:color="auto" w:fill="99BABF" w:themeFill="accent6" w:themeFillTint="99"/>
          </w:tcPr>
          <w:p w14:paraId="4C79DC58" w14:textId="77777777" w:rsidR="00357B58" w:rsidRPr="00C06E7F" w:rsidRDefault="00357B58" w:rsidP="00357B5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 w:val="22"/>
                <w:szCs w:val="22"/>
              </w:rPr>
            </w:pPr>
            <w:r w:rsidRPr="00C06E7F">
              <w:rPr>
                <w:rFonts w:asciiTheme="minorHAnsi" w:hAnsiTheme="minorHAnsi" w:cstheme="minorHAnsi"/>
                <w:color w:val="394A58" w:themeColor="text2"/>
                <w:sz w:val="22"/>
                <w:szCs w:val="22"/>
              </w:rPr>
              <w:t>Direct relevance to NEL</w:t>
            </w:r>
          </w:p>
        </w:tc>
        <w:tc>
          <w:tcPr>
            <w:tcW w:w="2835" w:type="dxa"/>
            <w:shd w:val="clear" w:color="auto" w:fill="99BABF" w:themeFill="accent6" w:themeFillTint="99"/>
          </w:tcPr>
          <w:p w14:paraId="7A06E997" w14:textId="77777777" w:rsidR="00357B58" w:rsidRPr="00C06E7F" w:rsidRDefault="00357B58" w:rsidP="00357B5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 w:val="22"/>
                <w:szCs w:val="22"/>
              </w:rPr>
            </w:pPr>
            <w:r w:rsidRPr="00C06E7F">
              <w:rPr>
                <w:rFonts w:asciiTheme="minorHAnsi" w:hAnsiTheme="minorHAnsi" w:cstheme="minorHAnsi"/>
                <w:color w:val="394A58" w:themeColor="text2"/>
                <w:sz w:val="22"/>
                <w:szCs w:val="22"/>
              </w:rPr>
              <w:t xml:space="preserve">Indirect relevance </w:t>
            </w:r>
            <w:r w:rsidR="00C06E7F">
              <w:rPr>
                <w:rFonts w:asciiTheme="minorHAnsi" w:hAnsiTheme="minorHAnsi" w:cstheme="minorHAnsi"/>
                <w:color w:val="394A58" w:themeColor="text2"/>
                <w:sz w:val="22"/>
                <w:szCs w:val="22"/>
              </w:rPr>
              <w:t>to NEL</w:t>
            </w:r>
          </w:p>
        </w:tc>
      </w:tr>
      <w:tr w:rsidR="00357B58" w14:paraId="34630CF1" w14:textId="77777777" w:rsidTr="00C06E7F">
        <w:tc>
          <w:tcPr>
            <w:cnfStyle w:val="001000000000" w:firstRow="0" w:lastRow="0" w:firstColumn="1" w:lastColumn="0" w:oddVBand="0" w:evenVBand="0" w:oddHBand="0" w:evenHBand="0" w:firstRowFirstColumn="0" w:firstRowLastColumn="0" w:lastRowFirstColumn="0" w:lastRowLastColumn="0"/>
            <w:tcW w:w="2268" w:type="dxa"/>
          </w:tcPr>
          <w:p w14:paraId="0260F34D" w14:textId="77777777" w:rsidR="00357B58" w:rsidRPr="00C0699C" w:rsidRDefault="00357B58" w:rsidP="00C06E7F">
            <w:pPr>
              <w:jc w:val="left"/>
              <w:rPr>
                <w:rFonts w:asciiTheme="minorHAnsi" w:hAnsiTheme="minorHAnsi" w:cstheme="minorHAnsi"/>
                <w:color w:val="394A58" w:themeColor="text2"/>
                <w:sz w:val="20"/>
              </w:rPr>
            </w:pPr>
            <w:r w:rsidRPr="00C0699C">
              <w:rPr>
                <w:rFonts w:asciiTheme="minorHAnsi" w:hAnsiTheme="minorHAnsi" w:cstheme="minorHAnsi"/>
                <w:color w:val="394A58" w:themeColor="text2"/>
                <w:sz w:val="20"/>
              </w:rPr>
              <w:t>Creating an infrastructure that supports growth</w:t>
            </w:r>
          </w:p>
        </w:tc>
        <w:tc>
          <w:tcPr>
            <w:tcW w:w="3544" w:type="dxa"/>
          </w:tcPr>
          <w:p w14:paraId="5C628F89" w14:textId="77777777" w:rsidR="00357B58" w:rsidRPr="00C0699C" w:rsidRDefault="00357B58" w:rsidP="00357B58">
            <w:pPr>
              <w:pStyle w:val="ListParagraph"/>
              <w:numPr>
                <w:ilvl w:val="0"/>
                <w:numId w:val="16"/>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13" w:name="_Toc393983923"/>
            <w:bookmarkStart w:id="14" w:name="_Toc393984848"/>
            <w:bookmarkStart w:id="15" w:name="_Toc393985043"/>
            <w:bookmarkStart w:id="16" w:name="_Toc394657895"/>
            <w:bookmarkStart w:id="17" w:name="_Toc394668535"/>
            <w:r w:rsidRPr="00C0699C">
              <w:rPr>
                <w:rFonts w:asciiTheme="minorHAnsi" w:hAnsiTheme="minorHAnsi" w:cstheme="minorHAnsi"/>
                <w:color w:val="394A58" w:themeColor="text2"/>
                <w:szCs w:val="20"/>
              </w:rPr>
              <w:t>A160/A180 Port of Immingham improvement</w:t>
            </w:r>
            <w:r w:rsidR="00C06E7F" w:rsidRPr="00C0699C">
              <w:rPr>
                <w:rFonts w:asciiTheme="minorHAnsi" w:hAnsiTheme="minorHAnsi" w:cstheme="minorHAnsi"/>
                <w:color w:val="394A58" w:themeColor="text2"/>
                <w:szCs w:val="20"/>
              </w:rPr>
              <w:t>.</w:t>
            </w:r>
            <w:bookmarkEnd w:id="13"/>
            <w:bookmarkEnd w:id="14"/>
            <w:bookmarkEnd w:id="15"/>
            <w:bookmarkEnd w:id="16"/>
            <w:bookmarkEnd w:id="17"/>
          </w:p>
          <w:p w14:paraId="4C296E50" w14:textId="77777777" w:rsidR="00357B58" w:rsidRPr="00C0699C" w:rsidRDefault="00357B58" w:rsidP="00357B58">
            <w:pPr>
              <w:pStyle w:val="ListParagraph"/>
              <w:numPr>
                <w:ilvl w:val="0"/>
                <w:numId w:val="16"/>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18" w:name="_Toc393983924"/>
            <w:bookmarkStart w:id="19" w:name="_Toc393984849"/>
            <w:bookmarkStart w:id="20" w:name="_Toc393985044"/>
            <w:bookmarkStart w:id="21" w:name="_Toc394657896"/>
            <w:bookmarkStart w:id="22" w:name="_Toc394668536"/>
            <w:r w:rsidRPr="00C0699C">
              <w:rPr>
                <w:rFonts w:asciiTheme="minorHAnsi" w:hAnsiTheme="minorHAnsi" w:cstheme="minorHAnsi"/>
                <w:color w:val="394A58" w:themeColor="text2"/>
                <w:szCs w:val="20"/>
              </w:rPr>
              <w:t>Improving connectivity between port facilities and renewables development sites</w:t>
            </w:r>
            <w:r w:rsidR="00C06E7F" w:rsidRPr="00C0699C">
              <w:rPr>
                <w:rFonts w:asciiTheme="minorHAnsi" w:hAnsiTheme="minorHAnsi" w:cstheme="minorHAnsi"/>
                <w:color w:val="394A58" w:themeColor="text2"/>
                <w:szCs w:val="20"/>
              </w:rPr>
              <w:t>.</w:t>
            </w:r>
            <w:bookmarkEnd w:id="18"/>
            <w:bookmarkEnd w:id="19"/>
            <w:bookmarkEnd w:id="20"/>
            <w:bookmarkEnd w:id="21"/>
            <w:bookmarkEnd w:id="22"/>
          </w:p>
          <w:p w14:paraId="6C79C0FC" w14:textId="77777777" w:rsidR="00357B58" w:rsidRPr="00C0699C" w:rsidRDefault="00C06E7F" w:rsidP="00357B58">
            <w:pPr>
              <w:pStyle w:val="ListParagraph"/>
              <w:numPr>
                <w:ilvl w:val="0"/>
                <w:numId w:val="16"/>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23" w:name="_Toc393983925"/>
            <w:bookmarkStart w:id="24" w:name="_Toc393984850"/>
            <w:bookmarkStart w:id="25" w:name="_Toc393985045"/>
            <w:bookmarkStart w:id="26" w:name="_Toc394657897"/>
            <w:bookmarkStart w:id="27" w:name="_Toc394668537"/>
            <w:r w:rsidRPr="00C0699C">
              <w:rPr>
                <w:rFonts w:asciiTheme="minorHAnsi" w:hAnsiTheme="minorHAnsi" w:cstheme="minorHAnsi"/>
                <w:color w:val="394A58" w:themeColor="text2"/>
                <w:szCs w:val="20"/>
              </w:rPr>
              <w:t>Allocation and development of</w:t>
            </w:r>
            <w:r w:rsidR="00357B58" w:rsidRPr="00C0699C">
              <w:rPr>
                <w:rFonts w:asciiTheme="minorHAnsi" w:hAnsiTheme="minorHAnsi" w:cstheme="minorHAnsi"/>
                <w:color w:val="394A58" w:themeColor="text2"/>
                <w:szCs w:val="20"/>
              </w:rPr>
              <w:t xml:space="preserve"> strategic employment sites, including Europarc</w:t>
            </w:r>
            <w:r w:rsidRPr="00C0699C">
              <w:rPr>
                <w:rFonts w:asciiTheme="minorHAnsi" w:hAnsiTheme="minorHAnsi" w:cstheme="minorHAnsi"/>
                <w:color w:val="394A58" w:themeColor="text2"/>
                <w:szCs w:val="20"/>
              </w:rPr>
              <w:t>.</w:t>
            </w:r>
            <w:bookmarkEnd w:id="23"/>
            <w:bookmarkEnd w:id="24"/>
            <w:bookmarkEnd w:id="25"/>
            <w:bookmarkEnd w:id="26"/>
            <w:bookmarkEnd w:id="27"/>
          </w:p>
          <w:p w14:paraId="15ED8028" w14:textId="77777777" w:rsidR="00357B58" w:rsidRPr="00C0699C" w:rsidRDefault="00357B58" w:rsidP="00357B58">
            <w:pPr>
              <w:pStyle w:val="ListParagraph"/>
              <w:numPr>
                <w:ilvl w:val="0"/>
                <w:numId w:val="16"/>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28" w:name="_Toc393983926"/>
            <w:bookmarkStart w:id="29" w:name="_Toc393984851"/>
            <w:bookmarkStart w:id="30" w:name="_Toc393985046"/>
            <w:bookmarkStart w:id="31" w:name="_Toc394657898"/>
            <w:bookmarkStart w:id="32" w:name="_Toc394668538"/>
            <w:r w:rsidRPr="00C0699C">
              <w:rPr>
                <w:rFonts w:asciiTheme="minorHAnsi" w:hAnsiTheme="minorHAnsi" w:cstheme="minorHAnsi"/>
                <w:color w:val="394A58" w:themeColor="text2"/>
                <w:szCs w:val="20"/>
              </w:rPr>
              <w:t>Address quality of place issues to attract and retain skilled workers, including Grimsby town centre</w:t>
            </w:r>
            <w:r w:rsidR="00C06E7F" w:rsidRPr="00C0699C">
              <w:rPr>
                <w:rFonts w:asciiTheme="minorHAnsi" w:hAnsiTheme="minorHAnsi" w:cstheme="minorHAnsi"/>
                <w:color w:val="394A58" w:themeColor="text2"/>
                <w:szCs w:val="20"/>
              </w:rPr>
              <w:t>.</w:t>
            </w:r>
            <w:bookmarkEnd w:id="28"/>
            <w:bookmarkEnd w:id="29"/>
            <w:bookmarkEnd w:id="30"/>
            <w:bookmarkEnd w:id="31"/>
            <w:bookmarkEnd w:id="32"/>
          </w:p>
        </w:tc>
        <w:tc>
          <w:tcPr>
            <w:tcW w:w="2835" w:type="dxa"/>
          </w:tcPr>
          <w:p w14:paraId="535A34B4" w14:textId="77777777" w:rsidR="00357B58" w:rsidRPr="00C0699C" w:rsidRDefault="00357B58" w:rsidP="00357B58">
            <w:pPr>
              <w:pStyle w:val="ListParagraph"/>
              <w:numPr>
                <w:ilvl w:val="0"/>
                <w:numId w:val="16"/>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33" w:name="_Toc393983927"/>
            <w:bookmarkStart w:id="34" w:name="_Toc393984852"/>
            <w:bookmarkStart w:id="35" w:name="_Toc393985047"/>
            <w:bookmarkStart w:id="36" w:name="_Toc394657899"/>
            <w:bookmarkStart w:id="37" w:name="_Toc394668539"/>
            <w:r w:rsidRPr="00C0699C">
              <w:rPr>
                <w:rFonts w:asciiTheme="minorHAnsi" w:hAnsiTheme="minorHAnsi" w:cstheme="minorHAnsi"/>
                <w:color w:val="394A58" w:themeColor="text2"/>
                <w:szCs w:val="20"/>
              </w:rPr>
              <w:t>Reinstate services from Hull to Manchester Airport</w:t>
            </w:r>
            <w:bookmarkEnd w:id="33"/>
            <w:bookmarkEnd w:id="34"/>
            <w:bookmarkEnd w:id="35"/>
            <w:bookmarkEnd w:id="36"/>
            <w:bookmarkEnd w:id="37"/>
          </w:p>
          <w:p w14:paraId="46A4C3BE" w14:textId="77777777" w:rsidR="00357B58" w:rsidRPr="00C0699C" w:rsidRDefault="00357B58" w:rsidP="00357B58">
            <w:pPr>
              <w:pStyle w:val="ListParagraph"/>
              <w:numPr>
                <w:ilvl w:val="0"/>
                <w:numId w:val="16"/>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38" w:name="_Toc393983928"/>
            <w:bookmarkStart w:id="39" w:name="_Toc393984853"/>
            <w:bookmarkStart w:id="40" w:name="_Toc393985048"/>
            <w:bookmarkStart w:id="41" w:name="_Toc394657900"/>
            <w:bookmarkStart w:id="42" w:name="_Toc394668540"/>
            <w:r w:rsidRPr="00C0699C">
              <w:rPr>
                <w:rFonts w:asciiTheme="minorHAnsi" w:hAnsiTheme="minorHAnsi" w:cstheme="minorHAnsi"/>
                <w:color w:val="394A58" w:themeColor="text2"/>
                <w:szCs w:val="20"/>
              </w:rPr>
              <w:t>Improving broadband connectivity</w:t>
            </w:r>
            <w:r w:rsidR="00C06E7F" w:rsidRPr="00C0699C">
              <w:rPr>
                <w:rFonts w:asciiTheme="minorHAnsi" w:hAnsiTheme="minorHAnsi" w:cstheme="minorHAnsi"/>
                <w:color w:val="394A58" w:themeColor="text2"/>
                <w:szCs w:val="20"/>
              </w:rPr>
              <w:t>.</w:t>
            </w:r>
            <w:bookmarkEnd w:id="38"/>
            <w:bookmarkEnd w:id="39"/>
            <w:bookmarkEnd w:id="40"/>
            <w:bookmarkEnd w:id="41"/>
            <w:bookmarkEnd w:id="42"/>
          </w:p>
          <w:p w14:paraId="39F62E82" w14:textId="77777777" w:rsidR="00357B58" w:rsidRPr="00C0699C" w:rsidRDefault="00357B58" w:rsidP="00357B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 w:val="20"/>
              </w:rPr>
            </w:pPr>
          </w:p>
        </w:tc>
      </w:tr>
      <w:tr w:rsidR="00357B58" w14:paraId="01A1FA88" w14:textId="77777777" w:rsidTr="00C06E7F">
        <w:tc>
          <w:tcPr>
            <w:cnfStyle w:val="001000000000" w:firstRow="0" w:lastRow="0" w:firstColumn="1" w:lastColumn="0" w:oddVBand="0" w:evenVBand="0" w:oddHBand="0" w:evenHBand="0" w:firstRowFirstColumn="0" w:firstRowLastColumn="0" w:lastRowFirstColumn="0" w:lastRowLastColumn="0"/>
            <w:tcW w:w="2268" w:type="dxa"/>
          </w:tcPr>
          <w:p w14:paraId="56F4399D" w14:textId="77777777" w:rsidR="00357B58" w:rsidRPr="00C0699C" w:rsidRDefault="00357B58" w:rsidP="00C06E7F">
            <w:pPr>
              <w:jc w:val="left"/>
              <w:rPr>
                <w:rFonts w:asciiTheme="minorHAnsi" w:hAnsiTheme="minorHAnsi" w:cstheme="minorHAnsi"/>
                <w:color w:val="394A58" w:themeColor="text2"/>
                <w:sz w:val="20"/>
              </w:rPr>
            </w:pPr>
            <w:r w:rsidRPr="00C0699C">
              <w:rPr>
                <w:rFonts w:asciiTheme="minorHAnsi" w:hAnsiTheme="minorHAnsi" w:cstheme="minorHAnsi"/>
                <w:color w:val="394A58" w:themeColor="text2"/>
                <w:sz w:val="20"/>
              </w:rPr>
              <w:t xml:space="preserve">Supporting businesses to succeed </w:t>
            </w:r>
          </w:p>
        </w:tc>
        <w:tc>
          <w:tcPr>
            <w:tcW w:w="6379" w:type="dxa"/>
            <w:gridSpan w:val="2"/>
          </w:tcPr>
          <w:p w14:paraId="7253217C"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43" w:name="_Toc393983929"/>
            <w:bookmarkStart w:id="44" w:name="_Toc393984854"/>
            <w:bookmarkStart w:id="45" w:name="_Toc393985049"/>
            <w:bookmarkStart w:id="46" w:name="_Toc394657901"/>
            <w:bookmarkStart w:id="47" w:name="_Toc394668541"/>
            <w:r w:rsidRPr="00C0699C">
              <w:rPr>
                <w:rFonts w:asciiTheme="minorHAnsi" w:hAnsiTheme="minorHAnsi" w:cstheme="minorHAnsi"/>
                <w:color w:val="394A58" w:themeColor="text2"/>
                <w:szCs w:val="20"/>
              </w:rPr>
              <w:t>Humber LEP Growth Hub</w:t>
            </w:r>
            <w:r w:rsidR="00C06E7F" w:rsidRPr="00C0699C">
              <w:rPr>
                <w:rFonts w:asciiTheme="minorHAnsi" w:hAnsiTheme="minorHAnsi" w:cstheme="minorHAnsi"/>
                <w:color w:val="394A58" w:themeColor="text2"/>
                <w:szCs w:val="20"/>
              </w:rPr>
              <w:t>.</w:t>
            </w:r>
            <w:bookmarkEnd w:id="43"/>
            <w:bookmarkEnd w:id="44"/>
            <w:bookmarkEnd w:id="45"/>
            <w:bookmarkEnd w:id="46"/>
            <w:bookmarkEnd w:id="47"/>
          </w:p>
          <w:p w14:paraId="7A389000"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48" w:name="_Toc393983930"/>
            <w:bookmarkStart w:id="49" w:name="_Toc393984855"/>
            <w:bookmarkStart w:id="50" w:name="_Toc393985050"/>
            <w:bookmarkStart w:id="51" w:name="_Toc394657902"/>
            <w:bookmarkStart w:id="52" w:name="_Toc394668542"/>
            <w:r w:rsidRPr="00C0699C">
              <w:rPr>
                <w:rFonts w:asciiTheme="minorHAnsi" w:hAnsiTheme="minorHAnsi" w:cstheme="minorHAnsi"/>
                <w:color w:val="394A58" w:themeColor="text2"/>
                <w:szCs w:val="20"/>
              </w:rPr>
              <w:t>SME Growth and Innovation Programme</w:t>
            </w:r>
            <w:r w:rsidR="00C06E7F" w:rsidRPr="00C0699C">
              <w:rPr>
                <w:rFonts w:asciiTheme="minorHAnsi" w:hAnsiTheme="minorHAnsi" w:cstheme="minorHAnsi"/>
                <w:color w:val="394A58" w:themeColor="text2"/>
                <w:szCs w:val="20"/>
              </w:rPr>
              <w:t>.</w:t>
            </w:r>
            <w:bookmarkEnd w:id="48"/>
            <w:bookmarkEnd w:id="49"/>
            <w:bookmarkEnd w:id="50"/>
            <w:bookmarkEnd w:id="51"/>
            <w:bookmarkEnd w:id="52"/>
          </w:p>
          <w:p w14:paraId="66F936E0"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53" w:name="_Toc393983931"/>
            <w:bookmarkStart w:id="54" w:name="_Toc393984856"/>
            <w:bookmarkStart w:id="55" w:name="_Toc393985051"/>
            <w:bookmarkStart w:id="56" w:name="_Toc394657903"/>
            <w:bookmarkStart w:id="57" w:name="_Toc394668543"/>
            <w:r w:rsidRPr="00C0699C">
              <w:rPr>
                <w:rFonts w:asciiTheme="minorHAnsi" w:hAnsiTheme="minorHAnsi" w:cstheme="minorHAnsi"/>
                <w:color w:val="394A58" w:themeColor="text2"/>
                <w:szCs w:val="20"/>
              </w:rPr>
              <w:t>Providing finance to support entrepreneurship</w:t>
            </w:r>
            <w:r w:rsidR="00C06E7F" w:rsidRPr="00C0699C">
              <w:rPr>
                <w:rFonts w:asciiTheme="minorHAnsi" w:hAnsiTheme="minorHAnsi" w:cstheme="minorHAnsi"/>
                <w:color w:val="394A58" w:themeColor="text2"/>
                <w:szCs w:val="20"/>
              </w:rPr>
              <w:t>.</w:t>
            </w:r>
            <w:bookmarkEnd w:id="53"/>
            <w:bookmarkEnd w:id="54"/>
            <w:bookmarkEnd w:id="55"/>
            <w:bookmarkEnd w:id="56"/>
            <w:bookmarkEnd w:id="57"/>
          </w:p>
          <w:p w14:paraId="01BB185B"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58" w:name="_Toc393983932"/>
            <w:bookmarkStart w:id="59" w:name="_Toc393984857"/>
            <w:bookmarkStart w:id="60" w:name="_Toc393985052"/>
            <w:bookmarkStart w:id="61" w:name="_Toc394657904"/>
            <w:bookmarkStart w:id="62" w:name="_Toc394668544"/>
            <w:r w:rsidRPr="00C0699C">
              <w:rPr>
                <w:rFonts w:asciiTheme="minorHAnsi" w:hAnsiTheme="minorHAnsi" w:cstheme="minorHAnsi"/>
                <w:color w:val="394A58" w:themeColor="text2"/>
                <w:szCs w:val="20"/>
              </w:rPr>
              <w:t>Promoting and supporting research collaboration in priority sectors</w:t>
            </w:r>
            <w:r w:rsidR="00C06E7F" w:rsidRPr="00C0699C">
              <w:rPr>
                <w:rFonts w:asciiTheme="minorHAnsi" w:hAnsiTheme="minorHAnsi" w:cstheme="minorHAnsi"/>
                <w:color w:val="394A58" w:themeColor="text2"/>
                <w:szCs w:val="20"/>
              </w:rPr>
              <w:t>.</w:t>
            </w:r>
            <w:bookmarkEnd w:id="58"/>
            <w:bookmarkEnd w:id="59"/>
            <w:bookmarkEnd w:id="60"/>
            <w:bookmarkEnd w:id="61"/>
            <w:bookmarkEnd w:id="62"/>
            <w:r w:rsidRPr="00C0699C">
              <w:rPr>
                <w:rFonts w:asciiTheme="minorHAnsi" w:hAnsiTheme="minorHAnsi" w:cstheme="minorHAnsi"/>
                <w:color w:val="394A58" w:themeColor="text2"/>
                <w:szCs w:val="20"/>
              </w:rPr>
              <w:t xml:space="preserve"> </w:t>
            </w:r>
          </w:p>
        </w:tc>
      </w:tr>
      <w:tr w:rsidR="00357B58" w14:paraId="619B436E" w14:textId="77777777" w:rsidTr="00C06E7F">
        <w:tc>
          <w:tcPr>
            <w:cnfStyle w:val="001000000000" w:firstRow="0" w:lastRow="0" w:firstColumn="1" w:lastColumn="0" w:oddVBand="0" w:evenVBand="0" w:oddHBand="0" w:evenHBand="0" w:firstRowFirstColumn="0" w:firstRowLastColumn="0" w:lastRowFirstColumn="0" w:lastRowLastColumn="0"/>
            <w:tcW w:w="2268" w:type="dxa"/>
          </w:tcPr>
          <w:p w14:paraId="3E14F1F9" w14:textId="77777777" w:rsidR="00357B58" w:rsidRPr="00C0699C" w:rsidRDefault="00357B58" w:rsidP="00C06E7F">
            <w:pPr>
              <w:jc w:val="left"/>
              <w:rPr>
                <w:rFonts w:asciiTheme="minorHAnsi" w:hAnsiTheme="minorHAnsi" w:cstheme="minorHAnsi"/>
                <w:color w:val="394A58" w:themeColor="text2"/>
                <w:sz w:val="20"/>
              </w:rPr>
            </w:pPr>
            <w:r w:rsidRPr="00C0699C">
              <w:rPr>
                <w:rFonts w:asciiTheme="minorHAnsi" w:hAnsiTheme="minorHAnsi" w:cstheme="minorHAnsi"/>
                <w:color w:val="394A58" w:themeColor="text2"/>
                <w:sz w:val="20"/>
              </w:rPr>
              <w:t xml:space="preserve">A great place to live and visit </w:t>
            </w:r>
          </w:p>
        </w:tc>
        <w:tc>
          <w:tcPr>
            <w:tcW w:w="3544" w:type="dxa"/>
          </w:tcPr>
          <w:p w14:paraId="4493C1A1" w14:textId="77777777" w:rsidR="00357B58" w:rsidRPr="00C0699C" w:rsidRDefault="00357B58" w:rsidP="00357B58">
            <w:pPr>
              <w:pStyle w:val="ListParagraph"/>
              <w:numPr>
                <w:ilvl w:val="0"/>
                <w:numId w:val="18"/>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63" w:name="_Toc393983933"/>
            <w:bookmarkStart w:id="64" w:name="_Toc393984858"/>
            <w:bookmarkStart w:id="65" w:name="_Toc393985053"/>
            <w:bookmarkStart w:id="66" w:name="_Toc394657905"/>
            <w:bookmarkStart w:id="67" w:name="_Toc394668545"/>
            <w:r w:rsidRPr="00C0699C">
              <w:rPr>
                <w:rFonts w:asciiTheme="minorHAnsi" w:hAnsiTheme="minorHAnsi" w:cstheme="minorHAnsi"/>
                <w:color w:val="394A58" w:themeColor="text2"/>
                <w:szCs w:val="20"/>
              </w:rPr>
              <w:t>Sustainable urban extension for Grimsby</w:t>
            </w:r>
            <w:r w:rsidR="00C06E7F" w:rsidRPr="00C0699C">
              <w:rPr>
                <w:rFonts w:asciiTheme="minorHAnsi" w:hAnsiTheme="minorHAnsi" w:cstheme="minorHAnsi"/>
                <w:color w:val="394A58" w:themeColor="text2"/>
                <w:szCs w:val="20"/>
              </w:rPr>
              <w:t>.</w:t>
            </w:r>
            <w:bookmarkEnd w:id="63"/>
            <w:bookmarkEnd w:id="64"/>
            <w:bookmarkEnd w:id="65"/>
            <w:bookmarkEnd w:id="66"/>
            <w:bookmarkEnd w:id="67"/>
          </w:p>
          <w:p w14:paraId="737824F6" w14:textId="77777777" w:rsidR="00357B58" w:rsidRPr="00C0699C" w:rsidRDefault="00357B58" w:rsidP="00357B58">
            <w:pPr>
              <w:pStyle w:val="ListParagraph"/>
              <w:numPr>
                <w:ilvl w:val="0"/>
                <w:numId w:val="18"/>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68" w:name="_Toc393983934"/>
            <w:bookmarkStart w:id="69" w:name="_Toc393984859"/>
            <w:bookmarkStart w:id="70" w:name="_Toc393985054"/>
            <w:bookmarkStart w:id="71" w:name="_Toc394657906"/>
            <w:bookmarkStart w:id="72" w:name="_Toc394668546"/>
            <w:r w:rsidRPr="00C0699C">
              <w:rPr>
                <w:rFonts w:asciiTheme="minorHAnsi" w:hAnsiTheme="minorHAnsi" w:cstheme="minorHAnsi"/>
                <w:color w:val="394A58" w:themeColor="text2"/>
                <w:szCs w:val="20"/>
              </w:rPr>
              <w:t>Regeneration of Cleethorpes</w:t>
            </w:r>
            <w:r w:rsidR="00C06E7F" w:rsidRPr="00C0699C">
              <w:rPr>
                <w:rFonts w:asciiTheme="minorHAnsi" w:hAnsiTheme="minorHAnsi" w:cstheme="minorHAnsi"/>
                <w:color w:val="394A58" w:themeColor="text2"/>
                <w:szCs w:val="20"/>
              </w:rPr>
              <w:t>.</w:t>
            </w:r>
            <w:r w:rsidRPr="00C0699C">
              <w:rPr>
                <w:rFonts w:asciiTheme="minorHAnsi" w:hAnsiTheme="minorHAnsi" w:cstheme="minorHAnsi"/>
                <w:color w:val="394A58" w:themeColor="text2"/>
                <w:szCs w:val="20"/>
              </w:rPr>
              <w:t xml:space="preserve"> promenade</w:t>
            </w:r>
            <w:bookmarkEnd w:id="68"/>
            <w:bookmarkEnd w:id="69"/>
            <w:bookmarkEnd w:id="70"/>
            <w:bookmarkEnd w:id="71"/>
            <w:bookmarkEnd w:id="72"/>
          </w:p>
        </w:tc>
        <w:tc>
          <w:tcPr>
            <w:tcW w:w="2835" w:type="dxa"/>
          </w:tcPr>
          <w:p w14:paraId="632EEBA6"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73" w:name="_Toc393983935"/>
            <w:bookmarkStart w:id="74" w:name="_Toc393984860"/>
            <w:bookmarkStart w:id="75" w:name="_Toc393985055"/>
            <w:bookmarkStart w:id="76" w:name="_Toc394657907"/>
            <w:bookmarkStart w:id="77" w:name="_Toc394668547"/>
            <w:r w:rsidRPr="00C0699C">
              <w:rPr>
                <w:rFonts w:asciiTheme="minorHAnsi" w:hAnsiTheme="minorHAnsi" w:cstheme="minorHAnsi"/>
                <w:color w:val="394A58" w:themeColor="text2"/>
                <w:szCs w:val="20"/>
              </w:rPr>
              <w:t>Support plan-led housing growth</w:t>
            </w:r>
            <w:r w:rsidR="00C06E7F" w:rsidRPr="00C0699C">
              <w:rPr>
                <w:rFonts w:asciiTheme="minorHAnsi" w:hAnsiTheme="minorHAnsi" w:cstheme="minorHAnsi"/>
                <w:color w:val="394A58" w:themeColor="text2"/>
                <w:szCs w:val="20"/>
              </w:rPr>
              <w:t>.</w:t>
            </w:r>
            <w:bookmarkEnd w:id="73"/>
            <w:bookmarkEnd w:id="74"/>
            <w:bookmarkEnd w:id="75"/>
            <w:bookmarkEnd w:id="76"/>
            <w:bookmarkEnd w:id="77"/>
            <w:r w:rsidRPr="00C0699C">
              <w:rPr>
                <w:rFonts w:asciiTheme="minorHAnsi" w:hAnsiTheme="minorHAnsi" w:cstheme="minorHAnsi"/>
                <w:color w:val="394A58" w:themeColor="text2"/>
                <w:szCs w:val="20"/>
              </w:rPr>
              <w:t xml:space="preserve"> </w:t>
            </w:r>
          </w:p>
          <w:p w14:paraId="1A1329EE"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78" w:name="_Toc393983936"/>
            <w:bookmarkStart w:id="79" w:name="_Toc393984861"/>
            <w:bookmarkStart w:id="80" w:name="_Toc393985056"/>
            <w:bookmarkStart w:id="81" w:name="_Toc394657908"/>
            <w:bookmarkStart w:id="82" w:name="_Toc394668548"/>
            <w:r w:rsidRPr="00C0699C">
              <w:rPr>
                <w:rFonts w:asciiTheme="minorHAnsi" w:hAnsiTheme="minorHAnsi" w:cstheme="minorHAnsi"/>
                <w:color w:val="394A58" w:themeColor="text2"/>
                <w:szCs w:val="20"/>
              </w:rPr>
              <w:t>Ensure schemes delivered under Affordable Homes Programme</w:t>
            </w:r>
            <w:r w:rsidR="00C06E7F" w:rsidRPr="00C0699C">
              <w:rPr>
                <w:rFonts w:asciiTheme="minorHAnsi" w:hAnsiTheme="minorHAnsi" w:cstheme="minorHAnsi"/>
                <w:color w:val="394A58" w:themeColor="text2"/>
                <w:szCs w:val="20"/>
              </w:rPr>
              <w:t>.</w:t>
            </w:r>
            <w:bookmarkEnd w:id="78"/>
            <w:bookmarkEnd w:id="79"/>
            <w:bookmarkEnd w:id="80"/>
            <w:bookmarkEnd w:id="81"/>
            <w:bookmarkEnd w:id="82"/>
          </w:p>
          <w:p w14:paraId="6C3C5524"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83" w:name="_Toc393983937"/>
            <w:bookmarkStart w:id="84" w:name="_Toc393984862"/>
            <w:bookmarkStart w:id="85" w:name="_Toc393985057"/>
            <w:bookmarkStart w:id="86" w:name="_Toc394657909"/>
            <w:bookmarkStart w:id="87" w:name="_Toc394668549"/>
            <w:r w:rsidRPr="00C0699C">
              <w:rPr>
                <w:rFonts w:asciiTheme="minorHAnsi" w:hAnsiTheme="minorHAnsi" w:cstheme="minorHAnsi"/>
                <w:color w:val="394A58" w:themeColor="text2"/>
                <w:szCs w:val="20"/>
              </w:rPr>
              <w:t>Adapt existing homes in response to climate change, to improve energy efficiency and flood resilience</w:t>
            </w:r>
            <w:r w:rsidR="00C06E7F" w:rsidRPr="00C0699C">
              <w:rPr>
                <w:rFonts w:asciiTheme="minorHAnsi" w:hAnsiTheme="minorHAnsi" w:cstheme="minorHAnsi"/>
                <w:color w:val="394A58" w:themeColor="text2"/>
                <w:szCs w:val="20"/>
              </w:rPr>
              <w:t>.</w:t>
            </w:r>
            <w:bookmarkEnd w:id="83"/>
            <w:bookmarkEnd w:id="84"/>
            <w:bookmarkEnd w:id="85"/>
            <w:bookmarkEnd w:id="86"/>
            <w:bookmarkEnd w:id="87"/>
            <w:r w:rsidRPr="00C0699C">
              <w:rPr>
                <w:rFonts w:asciiTheme="minorHAnsi" w:hAnsiTheme="minorHAnsi" w:cstheme="minorHAnsi"/>
                <w:color w:val="394A58" w:themeColor="text2"/>
                <w:szCs w:val="20"/>
              </w:rPr>
              <w:t xml:space="preserve">  </w:t>
            </w:r>
          </w:p>
        </w:tc>
      </w:tr>
      <w:tr w:rsidR="00357B58" w14:paraId="1692B234" w14:textId="77777777" w:rsidTr="00C06E7F">
        <w:tc>
          <w:tcPr>
            <w:cnfStyle w:val="001000000000" w:firstRow="0" w:lastRow="0" w:firstColumn="1" w:lastColumn="0" w:oddVBand="0" w:evenVBand="0" w:oddHBand="0" w:evenHBand="0" w:firstRowFirstColumn="0" w:firstRowLastColumn="0" w:lastRowFirstColumn="0" w:lastRowLastColumn="0"/>
            <w:tcW w:w="2268" w:type="dxa"/>
          </w:tcPr>
          <w:p w14:paraId="1C76CED2" w14:textId="77777777" w:rsidR="00357B58" w:rsidRPr="00C0699C" w:rsidRDefault="00357B58" w:rsidP="00C06E7F">
            <w:pPr>
              <w:jc w:val="left"/>
              <w:rPr>
                <w:rFonts w:asciiTheme="minorHAnsi" w:hAnsiTheme="minorHAnsi" w:cstheme="minorHAnsi"/>
                <w:color w:val="394A58" w:themeColor="text2"/>
                <w:sz w:val="20"/>
              </w:rPr>
            </w:pPr>
            <w:r w:rsidRPr="00C0699C">
              <w:rPr>
                <w:rFonts w:asciiTheme="minorHAnsi" w:hAnsiTheme="minorHAnsi" w:cstheme="minorHAnsi"/>
                <w:color w:val="394A58" w:themeColor="text2"/>
                <w:sz w:val="20"/>
              </w:rPr>
              <w:t>A skilled and productive workforce</w:t>
            </w:r>
          </w:p>
        </w:tc>
        <w:tc>
          <w:tcPr>
            <w:tcW w:w="3544" w:type="dxa"/>
          </w:tcPr>
          <w:p w14:paraId="14E90B6F"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88" w:name="_Toc393983938"/>
            <w:bookmarkStart w:id="89" w:name="_Toc393984863"/>
            <w:bookmarkStart w:id="90" w:name="_Toc393985058"/>
            <w:bookmarkStart w:id="91" w:name="_Toc394657910"/>
            <w:bookmarkStart w:id="92" w:name="_Toc394668550"/>
            <w:r w:rsidRPr="00C0699C">
              <w:rPr>
                <w:rFonts w:asciiTheme="minorHAnsi" w:hAnsiTheme="minorHAnsi" w:cstheme="minorHAnsi"/>
                <w:color w:val="394A58" w:themeColor="text2"/>
                <w:szCs w:val="20"/>
              </w:rPr>
              <w:t>Environmental Logistics Learning Hub (Grimsby Institute)</w:t>
            </w:r>
            <w:r w:rsidR="00C06E7F" w:rsidRPr="00C0699C">
              <w:rPr>
                <w:rFonts w:asciiTheme="minorHAnsi" w:hAnsiTheme="minorHAnsi" w:cstheme="minorHAnsi"/>
                <w:color w:val="394A58" w:themeColor="text2"/>
                <w:szCs w:val="20"/>
              </w:rPr>
              <w:t>.</w:t>
            </w:r>
            <w:bookmarkEnd w:id="88"/>
            <w:bookmarkEnd w:id="89"/>
            <w:bookmarkEnd w:id="90"/>
            <w:bookmarkEnd w:id="91"/>
            <w:bookmarkEnd w:id="92"/>
          </w:p>
          <w:p w14:paraId="4B685D31"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93" w:name="_Toc393983939"/>
            <w:bookmarkStart w:id="94" w:name="_Toc393984864"/>
            <w:bookmarkStart w:id="95" w:name="_Toc393985059"/>
            <w:bookmarkStart w:id="96" w:name="_Toc394657911"/>
            <w:bookmarkStart w:id="97" w:name="_Toc394668551"/>
            <w:r w:rsidRPr="00C0699C">
              <w:rPr>
                <w:rFonts w:asciiTheme="minorHAnsi" w:hAnsiTheme="minorHAnsi" w:cstheme="minorHAnsi"/>
                <w:color w:val="394A58" w:themeColor="text2"/>
                <w:szCs w:val="20"/>
              </w:rPr>
              <w:t>CATCH Energy Offshore to support O&amp;M providers based in Port of Grimsby</w:t>
            </w:r>
            <w:r w:rsidR="00C06E7F" w:rsidRPr="00C0699C">
              <w:rPr>
                <w:rFonts w:asciiTheme="minorHAnsi" w:hAnsiTheme="minorHAnsi" w:cstheme="minorHAnsi"/>
                <w:color w:val="394A58" w:themeColor="text2"/>
                <w:szCs w:val="20"/>
              </w:rPr>
              <w:t>.</w:t>
            </w:r>
            <w:bookmarkEnd w:id="93"/>
            <w:bookmarkEnd w:id="94"/>
            <w:bookmarkEnd w:id="95"/>
            <w:bookmarkEnd w:id="96"/>
            <w:bookmarkEnd w:id="97"/>
          </w:p>
        </w:tc>
        <w:tc>
          <w:tcPr>
            <w:tcW w:w="2835" w:type="dxa"/>
          </w:tcPr>
          <w:p w14:paraId="7DCBFFA8"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98" w:name="_Toc393983940"/>
            <w:bookmarkStart w:id="99" w:name="_Toc393984865"/>
            <w:bookmarkStart w:id="100" w:name="_Toc393985060"/>
            <w:bookmarkStart w:id="101" w:name="_Toc394657912"/>
            <w:bookmarkStart w:id="102" w:name="_Toc394668552"/>
            <w:r w:rsidRPr="00C0699C">
              <w:rPr>
                <w:rFonts w:asciiTheme="minorHAnsi" w:hAnsiTheme="minorHAnsi" w:cstheme="minorHAnsi"/>
                <w:color w:val="394A58" w:themeColor="text2"/>
                <w:szCs w:val="20"/>
              </w:rPr>
              <w:t>Humber Skills Fund</w:t>
            </w:r>
            <w:bookmarkEnd w:id="98"/>
            <w:bookmarkEnd w:id="99"/>
            <w:bookmarkEnd w:id="100"/>
            <w:bookmarkEnd w:id="101"/>
            <w:bookmarkEnd w:id="102"/>
            <w:r w:rsidRPr="00C0699C">
              <w:rPr>
                <w:rFonts w:asciiTheme="minorHAnsi" w:hAnsiTheme="minorHAnsi" w:cstheme="minorHAnsi"/>
                <w:color w:val="394A58" w:themeColor="text2"/>
                <w:szCs w:val="20"/>
              </w:rPr>
              <w:t xml:space="preserve"> </w:t>
            </w:r>
          </w:p>
          <w:p w14:paraId="161BCE97"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103" w:name="_Toc393983941"/>
            <w:bookmarkStart w:id="104" w:name="_Toc393984866"/>
            <w:bookmarkStart w:id="105" w:name="_Toc393985061"/>
            <w:bookmarkStart w:id="106" w:name="_Toc394657913"/>
            <w:bookmarkStart w:id="107" w:name="_Toc394668553"/>
            <w:r w:rsidRPr="00C0699C">
              <w:rPr>
                <w:rFonts w:asciiTheme="minorHAnsi" w:hAnsiTheme="minorHAnsi" w:cstheme="minorHAnsi"/>
                <w:color w:val="394A58" w:themeColor="text2"/>
                <w:szCs w:val="20"/>
              </w:rPr>
              <w:t>Apprenticeship Hub</w:t>
            </w:r>
            <w:r w:rsidR="00C06E7F" w:rsidRPr="00C0699C">
              <w:rPr>
                <w:rFonts w:asciiTheme="minorHAnsi" w:hAnsiTheme="minorHAnsi" w:cstheme="minorHAnsi"/>
                <w:color w:val="394A58" w:themeColor="text2"/>
                <w:szCs w:val="20"/>
              </w:rPr>
              <w:t>.</w:t>
            </w:r>
            <w:bookmarkEnd w:id="103"/>
            <w:bookmarkEnd w:id="104"/>
            <w:bookmarkEnd w:id="105"/>
            <w:bookmarkEnd w:id="106"/>
            <w:bookmarkEnd w:id="107"/>
          </w:p>
          <w:p w14:paraId="43D12264"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108" w:name="_Toc393983942"/>
            <w:bookmarkStart w:id="109" w:name="_Toc393984867"/>
            <w:bookmarkStart w:id="110" w:name="_Toc393985062"/>
            <w:bookmarkStart w:id="111" w:name="_Toc394657914"/>
            <w:bookmarkStart w:id="112" w:name="_Toc394668554"/>
            <w:r w:rsidRPr="00C0699C">
              <w:rPr>
                <w:rFonts w:asciiTheme="minorHAnsi" w:hAnsiTheme="minorHAnsi" w:cstheme="minorHAnsi"/>
                <w:color w:val="394A58" w:themeColor="text2"/>
                <w:szCs w:val="20"/>
              </w:rPr>
              <w:t>Humber Energy Campus/Humb</w:t>
            </w:r>
            <w:r w:rsidR="00C06E7F" w:rsidRPr="00C0699C">
              <w:rPr>
                <w:rFonts w:asciiTheme="minorHAnsi" w:hAnsiTheme="minorHAnsi" w:cstheme="minorHAnsi"/>
                <w:color w:val="394A58" w:themeColor="text2"/>
                <w:szCs w:val="20"/>
              </w:rPr>
              <w:t>er University Technical College.</w:t>
            </w:r>
            <w:bookmarkEnd w:id="108"/>
            <w:bookmarkEnd w:id="109"/>
            <w:bookmarkEnd w:id="110"/>
            <w:bookmarkEnd w:id="111"/>
            <w:bookmarkEnd w:id="112"/>
          </w:p>
          <w:p w14:paraId="49211E42"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113" w:name="_Toc393983943"/>
            <w:bookmarkStart w:id="114" w:name="_Toc393984868"/>
            <w:bookmarkStart w:id="115" w:name="_Toc393985063"/>
            <w:bookmarkStart w:id="116" w:name="_Toc394657915"/>
            <w:bookmarkStart w:id="117" w:name="_Toc394668555"/>
            <w:r w:rsidRPr="00C0699C">
              <w:rPr>
                <w:rFonts w:asciiTheme="minorHAnsi" w:hAnsiTheme="minorHAnsi" w:cstheme="minorHAnsi"/>
                <w:color w:val="394A58" w:themeColor="text2"/>
                <w:szCs w:val="20"/>
              </w:rPr>
              <w:t>Provide support to skills providers to introduce new courses</w:t>
            </w:r>
            <w:r w:rsidR="00C06E7F" w:rsidRPr="00C0699C">
              <w:rPr>
                <w:rFonts w:asciiTheme="minorHAnsi" w:hAnsiTheme="minorHAnsi" w:cstheme="minorHAnsi"/>
                <w:color w:val="394A58" w:themeColor="text2"/>
                <w:szCs w:val="20"/>
              </w:rPr>
              <w:t>.</w:t>
            </w:r>
            <w:bookmarkEnd w:id="113"/>
            <w:bookmarkEnd w:id="114"/>
            <w:bookmarkEnd w:id="115"/>
            <w:bookmarkEnd w:id="116"/>
            <w:bookmarkEnd w:id="117"/>
            <w:r w:rsidRPr="00C0699C">
              <w:rPr>
                <w:rFonts w:asciiTheme="minorHAnsi" w:hAnsiTheme="minorHAnsi" w:cstheme="minorHAnsi"/>
                <w:color w:val="394A58" w:themeColor="text2"/>
                <w:szCs w:val="20"/>
              </w:rPr>
              <w:t xml:space="preserve"> </w:t>
            </w:r>
          </w:p>
        </w:tc>
      </w:tr>
      <w:tr w:rsidR="00357B58" w14:paraId="7C63F54F" w14:textId="77777777" w:rsidTr="00C06E7F">
        <w:tc>
          <w:tcPr>
            <w:cnfStyle w:val="001000000000" w:firstRow="0" w:lastRow="0" w:firstColumn="1" w:lastColumn="0" w:oddVBand="0" w:evenVBand="0" w:oddHBand="0" w:evenHBand="0" w:firstRowFirstColumn="0" w:firstRowLastColumn="0" w:lastRowFirstColumn="0" w:lastRowLastColumn="0"/>
            <w:tcW w:w="2268" w:type="dxa"/>
          </w:tcPr>
          <w:p w14:paraId="14CB41C5" w14:textId="77777777" w:rsidR="00357B58" w:rsidRPr="00C0699C" w:rsidRDefault="00357B58" w:rsidP="00C06E7F">
            <w:pPr>
              <w:jc w:val="left"/>
              <w:rPr>
                <w:rFonts w:asciiTheme="minorHAnsi" w:hAnsiTheme="minorHAnsi" w:cstheme="minorHAnsi"/>
                <w:color w:val="394A58" w:themeColor="text2"/>
                <w:sz w:val="20"/>
              </w:rPr>
            </w:pPr>
            <w:r w:rsidRPr="00C0699C">
              <w:rPr>
                <w:rFonts w:asciiTheme="minorHAnsi" w:hAnsiTheme="minorHAnsi" w:cstheme="minorHAnsi"/>
                <w:color w:val="394A58" w:themeColor="text2"/>
                <w:sz w:val="20"/>
              </w:rPr>
              <w:t xml:space="preserve">Flood risk and environmental management </w:t>
            </w:r>
          </w:p>
        </w:tc>
        <w:tc>
          <w:tcPr>
            <w:tcW w:w="3544" w:type="dxa"/>
          </w:tcPr>
          <w:p w14:paraId="54A6E3FA"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118" w:name="_Toc393983944"/>
            <w:bookmarkStart w:id="119" w:name="_Toc393984869"/>
            <w:bookmarkStart w:id="120" w:name="_Toc393985064"/>
            <w:bookmarkStart w:id="121" w:name="_Toc394657916"/>
            <w:bookmarkStart w:id="122" w:name="_Toc394668556"/>
            <w:r w:rsidRPr="00C0699C">
              <w:rPr>
                <w:rFonts w:asciiTheme="minorHAnsi" w:hAnsiTheme="minorHAnsi" w:cstheme="minorHAnsi"/>
                <w:color w:val="394A58" w:themeColor="text2"/>
                <w:szCs w:val="20"/>
              </w:rPr>
              <w:t>Maximise benefits of flood defence schemes by linking them with other proposals such as the Grimsby</w:t>
            </w:r>
            <w:r w:rsidR="00C06E7F" w:rsidRPr="00C0699C">
              <w:rPr>
                <w:rFonts w:asciiTheme="minorHAnsi" w:hAnsiTheme="minorHAnsi" w:cstheme="minorHAnsi"/>
                <w:color w:val="394A58" w:themeColor="text2"/>
                <w:szCs w:val="20"/>
              </w:rPr>
              <w:t>.</w:t>
            </w:r>
            <w:r w:rsidRPr="00C0699C">
              <w:rPr>
                <w:rFonts w:asciiTheme="minorHAnsi" w:hAnsiTheme="minorHAnsi" w:cstheme="minorHAnsi"/>
                <w:color w:val="394A58" w:themeColor="text2"/>
                <w:szCs w:val="20"/>
              </w:rPr>
              <w:t xml:space="preserve"> Docks Flood Defence Scheme.</w:t>
            </w:r>
            <w:bookmarkEnd w:id="118"/>
            <w:bookmarkEnd w:id="119"/>
            <w:bookmarkEnd w:id="120"/>
            <w:bookmarkEnd w:id="121"/>
            <w:bookmarkEnd w:id="122"/>
            <w:r w:rsidRPr="00C0699C">
              <w:rPr>
                <w:rFonts w:asciiTheme="minorHAnsi" w:hAnsiTheme="minorHAnsi" w:cstheme="minorHAnsi"/>
                <w:color w:val="394A58" w:themeColor="text2"/>
                <w:szCs w:val="20"/>
              </w:rPr>
              <w:t xml:space="preserve"> </w:t>
            </w:r>
          </w:p>
        </w:tc>
        <w:tc>
          <w:tcPr>
            <w:tcW w:w="2835" w:type="dxa"/>
          </w:tcPr>
          <w:p w14:paraId="2184DD9E"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123" w:name="_Toc393983945"/>
            <w:bookmarkStart w:id="124" w:name="_Toc393984870"/>
            <w:bookmarkStart w:id="125" w:name="_Toc393985065"/>
            <w:bookmarkStart w:id="126" w:name="_Toc394657917"/>
            <w:bookmarkStart w:id="127" w:name="_Toc394668557"/>
            <w:r w:rsidRPr="00C0699C">
              <w:rPr>
                <w:rFonts w:asciiTheme="minorHAnsi" w:hAnsiTheme="minorHAnsi" w:cstheme="minorHAnsi"/>
                <w:color w:val="394A58" w:themeColor="text2"/>
                <w:szCs w:val="20"/>
              </w:rPr>
              <w:t>Support studies to inform flood defence schemes</w:t>
            </w:r>
            <w:r w:rsidR="00C06E7F" w:rsidRPr="00C0699C">
              <w:rPr>
                <w:rFonts w:asciiTheme="minorHAnsi" w:hAnsiTheme="minorHAnsi" w:cstheme="minorHAnsi"/>
                <w:color w:val="394A58" w:themeColor="text2"/>
                <w:szCs w:val="20"/>
              </w:rPr>
              <w:t>.</w:t>
            </w:r>
            <w:bookmarkEnd w:id="123"/>
            <w:bookmarkEnd w:id="124"/>
            <w:bookmarkEnd w:id="125"/>
            <w:bookmarkEnd w:id="126"/>
            <w:bookmarkEnd w:id="127"/>
            <w:r w:rsidRPr="00C0699C">
              <w:rPr>
                <w:rFonts w:asciiTheme="minorHAnsi" w:hAnsiTheme="minorHAnsi" w:cstheme="minorHAnsi"/>
                <w:color w:val="394A58" w:themeColor="text2"/>
                <w:szCs w:val="20"/>
              </w:rPr>
              <w:t xml:space="preserve"> </w:t>
            </w:r>
          </w:p>
          <w:p w14:paraId="0136AA2E"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128" w:name="_Toc393983946"/>
            <w:bookmarkStart w:id="129" w:name="_Toc393984871"/>
            <w:bookmarkStart w:id="130" w:name="_Toc393985066"/>
            <w:bookmarkStart w:id="131" w:name="_Toc394657918"/>
            <w:bookmarkStart w:id="132" w:name="_Toc394668558"/>
            <w:r w:rsidRPr="00C0699C">
              <w:rPr>
                <w:rFonts w:asciiTheme="minorHAnsi" w:hAnsiTheme="minorHAnsi" w:cstheme="minorHAnsi"/>
                <w:color w:val="394A58" w:themeColor="text2"/>
                <w:szCs w:val="20"/>
              </w:rPr>
              <w:t>Continue with the Humber Flood Risk Management Strategy</w:t>
            </w:r>
            <w:r w:rsidR="00C06E7F" w:rsidRPr="00C0699C">
              <w:rPr>
                <w:rFonts w:asciiTheme="minorHAnsi" w:hAnsiTheme="minorHAnsi" w:cstheme="minorHAnsi"/>
                <w:color w:val="394A58" w:themeColor="text2"/>
                <w:szCs w:val="20"/>
              </w:rPr>
              <w:t>.</w:t>
            </w:r>
            <w:bookmarkEnd w:id="128"/>
            <w:bookmarkEnd w:id="129"/>
            <w:bookmarkEnd w:id="130"/>
            <w:bookmarkEnd w:id="131"/>
            <w:bookmarkEnd w:id="132"/>
          </w:p>
          <w:p w14:paraId="292B4788" w14:textId="77777777" w:rsidR="00357B58" w:rsidRPr="00C0699C" w:rsidRDefault="00357B58" w:rsidP="00357B58">
            <w:pPr>
              <w:pStyle w:val="ListParagraph"/>
              <w:numPr>
                <w:ilvl w:val="0"/>
                <w:numId w:val="17"/>
              </w:numPr>
              <w:spacing w:after="240"/>
              <w:ind w:left="357" w:hanging="357"/>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94A58" w:themeColor="text2"/>
                <w:szCs w:val="20"/>
              </w:rPr>
            </w:pPr>
            <w:bookmarkStart w:id="133" w:name="_Toc393983947"/>
            <w:bookmarkStart w:id="134" w:name="_Toc393984872"/>
            <w:bookmarkStart w:id="135" w:name="_Toc393985067"/>
            <w:bookmarkStart w:id="136" w:name="_Toc394657919"/>
            <w:bookmarkStart w:id="137" w:name="_Toc394668559"/>
            <w:r w:rsidRPr="00C0699C">
              <w:rPr>
                <w:rFonts w:asciiTheme="minorHAnsi" w:hAnsiTheme="minorHAnsi" w:cstheme="minorHAnsi"/>
                <w:color w:val="394A58" w:themeColor="text2"/>
                <w:szCs w:val="20"/>
              </w:rPr>
              <w:t>Promote sustainable development</w:t>
            </w:r>
            <w:r w:rsidR="00C06E7F" w:rsidRPr="00C0699C">
              <w:rPr>
                <w:rFonts w:asciiTheme="minorHAnsi" w:hAnsiTheme="minorHAnsi" w:cstheme="minorHAnsi"/>
                <w:color w:val="394A58" w:themeColor="text2"/>
                <w:szCs w:val="20"/>
              </w:rPr>
              <w:t>.</w:t>
            </w:r>
            <w:bookmarkEnd w:id="133"/>
            <w:bookmarkEnd w:id="134"/>
            <w:bookmarkEnd w:id="135"/>
            <w:bookmarkEnd w:id="136"/>
            <w:bookmarkEnd w:id="137"/>
          </w:p>
        </w:tc>
      </w:tr>
    </w:tbl>
    <w:p w14:paraId="21C6D94A" w14:textId="77777777" w:rsidR="00357B58" w:rsidRDefault="00357B58" w:rsidP="00357B58"/>
    <w:p w14:paraId="648AB83C" w14:textId="77777777" w:rsidR="00357B58" w:rsidRPr="00804B1E" w:rsidRDefault="00357B58" w:rsidP="00804B1E">
      <w:pPr>
        <w:pStyle w:val="Heading3"/>
      </w:pPr>
      <w:r w:rsidRPr="00804B1E">
        <w:t>Greater Lincolnshire LEP Strategic Economic Plan</w:t>
      </w:r>
    </w:p>
    <w:p w14:paraId="38CAB329" w14:textId="77777777" w:rsidR="00357B58" w:rsidRPr="00804B1E" w:rsidRDefault="00357B58" w:rsidP="00804B1E">
      <w:pPr>
        <w:pStyle w:val="Caption"/>
        <w:spacing w:before="0" w:after="0"/>
        <w:rPr>
          <w:sz w:val="22"/>
          <w:szCs w:val="22"/>
        </w:rPr>
      </w:pPr>
      <w:r w:rsidRPr="00804B1E">
        <w:rPr>
          <w:sz w:val="22"/>
          <w:szCs w:val="22"/>
        </w:rPr>
        <w:t>Aims and vision</w:t>
      </w:r>
    </w:p>
    <w:p w14:paraId="5347EBCF" w14:textId="77777777" w:rsidR="00C0699C" w:rsidRDefault="00357B58" w:rsidP="00C0699C">
      <w:pPr>
        <w:pStyle w:val="BodyText"/>
      </w:pPr>
      <w:r>
        <w:t xml:space="preserve">The Greater Lincolnshire SEP </w:t>
      </w:r>
      <w:r w:rsidR="00804B1E">
        <w:t>sets out a rang</w:t>
      </w:r>
      <w:r>
        <w:t>e of actions</w:t>
      </w:r>
      <w:r w:rsidR="00804B1E">
        <w:t xml:space="preserve"> which collectively area </w:t>
      </w:r>
      <w:r>
        <w:t>projected to</w:t>
      </w:r>
      <w:r w:rsidR="00804B1E">
        <w:t xml:space="preserve"> increase</w:t>
      </w:r>
      <w:r>
        <w:t xml:space="preserve"> the value of the area’s economy by £3.2 billion, assist 22,000 businesses and create 13,000 jobs</w:t>
      </w:r>
      <w:r w:rsidR="00804B1E">
        <w:t xml:space="preserve"> (assuming continued award of EU funding)</w:t>
      </w:r>
      <w:r>
        <w:t xml:space="preserve">. </w:t>
      </w:r>
      <w:r w:rsidR="00C0699C">
        <w:t xml:space="preserve">.  In doing so, it targets six main sectors: </w:t>
      </w:r>
    </w:p>
    <w:p w14:paraId="092E3BB8" w14:textId="77777777" w:rsidR="00C0699C" w:rsidRDefault="00C0699C" w:rsidP="00C0699C">
      <w:pPr>
        <w:pStyle w:val="ListBullet"/>
        <w:spacing w:after="120"/>
      </w:pPr>
      <w:r>
        <w:t>Agri-food.</w:t>
      </w:r>
    </w:p>
    <w:p w14:paraId="4DB5BB50" w14:textId="77777777" w:rsidR="00C0699C" w:rsidRDefault="00C0699C" w:rsidP="00C0699C">
      <w:pPr>
        <w:pStyle w:val="ListBullet"/>
        <w:spacing w:after="120"/>
      </w:pPr>
      <w:r>
        <w:t>Manufacturing.</w:t>
      </w:r>
    </w:p>
    <w:p w14:paraId="4FDFD21D" w14:textId="77777777" w:rsidR="00C0699C" w:rsidRDefault="00C0699C" w:rsidP="00C0699C">
      <w:pPr>
        <w:pStyle w:val="ListBullet"/>
        <w:spacing w:after="120"/>
      </w:pPr>
      <w:r>
        <w:t>Visitor economy.</w:t>
      </w:r>
    </w:p>
    <w:p w14:paraId="588C8B82" w14:textId="77777777" w:rsidR="00C0699C" w:rsidRDefault="00C0699C" w:rsidP="00C0699C">
      <w:pPr>
        <w:pStyle w:val="ListBullet"/>
        <w:spacing w:after="120"/>
      </w:pPr>
      <w:r>
        <w:t>Renewables.</w:t>
      </w:r>
    </w:p>
    <w:p w14:paraId="22D0E66D" w14:textId="77777777" w:rsidR="00C0699C" w:rsidRDefault="00C0699C" w:rsidP="00C0699C">
      <w:pPr>
        <w:pStyle w:val="ListBullet"/>
        <w:spacing w:after="120"/>
      </w:pPr>
      <w:r>
        <w:t>Ports and logistics.</w:t>
      </w:r>
    </w:p>
    <w:p w14:paraId="4324A22A" w14:textId="77777777" w:rsidR="00C0699C" w:rsidRDefault="00C0699C" w:rsidP="00C0699C">
      <w:pPr>
        <w:pStyle w:val="ListBullet"/>
        <w:spacing w:after="120"/>
      </w:pPr>
      <w:r>
        <w:t>Health and care.</w:t>
      </w:r>
    </w:p>
    <w:p w14:paraId="6F6DF26E" w14:textId="77777777" w:rsidR="00C0699C" w:rsidRDefault="00C0699C" w:rsidP="00804B1E">
      <w:pPr>
        <w:pStyle w:val="BodyText"/>
      </w:pPr>
      <w:r>
        <w:t>The first three sectors listed above are identified by the LEP as ‘existing’ sectors whilst the latter three are highlighted as ‘emerging/developing’.</w:t>
      </w:r>
    </w:p>
    <w:p w14:paraId="67FA699C" w14:textId="77777777" w:rsidR="00357B58" w:rsidRDefault="00357B58" w:rsidP="00C0699C">
      <w:pPr>
        <w:pStyle w:val="BodyText"/>
      </w:pPr>
      <w:r>
        <w:t xml:space="preserve">The plan identifies </w:t>
      </w:r>
      <w:r w:rsidR="00C0699C">
        <w:t>a range of key</w:t>
      </w:r>
      <w:r>
        <w:t xml:space="preserve"> challenges to growth in the area as including: </w:t>
      </w:r>
    </w:p>
    <w:p w14:paraId="0CB2650F" w14:textId="77777777" w:rsidR="00357B58" w:rsidRDefault="00357B58" w:rsidP="00C0699C">
      <w:pPr>
        <w:pStyle w:val="ListBullet"/>
      </w:pPr>
      <w:r>
        <w:t>Under-developed road and rail infrastructure, constraining supply chains, labour markets and access to markets.</w:t>
      </w:r>
    </w:p>
    <w:p w14:paraId="32DBACB1" w14:textId="77777777" w:rsidR="00357B58" w:rsidRDefault="00357B58" w:rsidP="00C0699C">
      <w:pPr>
        <w:pStyle w:val="ListBullet"/>
      </w:pPr>
      <w:r>
        <w:t>Investment in flood defences and water management is required to unlock economic and housing growth.</w:t>
      </w:r>
    </w:p>
    <w:p w14:paraId="307CDDA4" w14:textId="77777777" w:rsidR="00357B58" w:rsidRDefault="00357B58" w:rsidP="00C0699C">
      <w:pPr>
        <w:pStyle w:val="ListBullet"/>
      </w:pPr>
      <w:r>
        <w:t>Housing growth and community services provision is required to support economic growth</w:t>
      </w:r>
      <w:r w:rsidR="00C0699C">
        <w:t>.</w:t>
      </w:r>
      <w:r>
        <w:t xml:space="preserve"> </w:t>
      </w:r>
    </w:p>
    <w:p w14:paraId="414FA02A" w14:textId="77777777" w:rsidR="00357B58" w:rsidRDefault="00357B58" w:rsidP="00C0699C">
      <w:pPr>
        <w:pStyle w:val="ListBullet"/>
      </w:pPr>
      <w:r>
        <w:t>Youth unemployment and low skills levels in parts of Greater Lincolnshire constrain growth and limit the economic opportunities available to young people.</w:t>
      </w:r>
    </w:p>
    <w:p w14:paraId="26C03EF4" w14:textId="77777777" w:rsidR="00357B58" w:rsidRPr="00C0699C" w:rsidRDefault="00357B58" w:rsidP="00C0699C">
      <w:pPr>
        <w:pStyle w:val="Caption"/>
        <w:spacing w:before="0" w:after="0"/>
        <w:rPr>
          <w:sz w:val="22"/>
          <w:szCs w:val="22"/>
        </w:rPr>
      </w:pPr>
      <w:r w:rsidRPr="00C0699C">
        <w:rPr>
          <w:sz w:val="22"/>
          <w:szCs w:val="22"/>
        </w:rPr>
        <w:t xml:space="preserve">Priority Sectors </w:t>
      </w:r>
    </w:p>
    <w:p w14:paraId="383BEC5C" w14:textId="77777777" w:rsidR="00357B58" w:rsidRDefault="00357B58" w:rsidP="00C0699C">
      <w:pPr>
        <w:pStyle w:val="BodyText"/>
      </w:pPr>
      <w:r>
        <w:t xml:space="preserve">Various actions are proposed in the SEP to support existing and expanding sectors, many of which overlap with NEL’s priority sectors. These are presented in </w:t>
      </w:r>
      <w:r w:rsidR="00B46D1E">
        <w:fldChar w:fldCharType="begin"/>
      </w:r>
      <w:r>
        <w:instrText xml:space="preserve"> REF _Ref393719526 \h </w:instrText>
      </w:r>
      <w:r w:rsidR="00B46D1E">
        <w:fldChar w:fldCharType="separate"/>
      </w:r>
      <w:r w:rsidR="00E0327A" w:rsidRPr="00C0699C">
        <w:t xml:space="preserve">Table </w:t>
      </w:r>
      <w:r w:rsidR="00E0327A">
        <w:rPr>
          <w:noProof/>
        </w:rPr>
        <w:t>2</w:t>
      </w:r>
      <w:r w:rsidR="00E0327A" w:rsidRPr="00C0699C">
        <w:t>-</w:t>
      </w:r>
      <w:r w:rsidR="00E0327A">
        <w:rPr>
          <w:noProof/>
        </w:rPr>
        <w:t>2</w:t>
      </w:r>
      <w:r w:rsidR="00B46D1E">
        <w:fldChar w:fldCharType="end"/>
      </w:r>
      <w:r>
        <w:t xml:space="preserve"> </w:t>
      </w:r>
    </w:p>
    <w:p w14:paraId="6DE75777" w14:textId="77777777" w:rsidR="00357B58" w:rsidRPr="00C0699C" w:rsidRDefault="00357B58" w:rsidP="00357B58">
      <w:pPr>
        <w:pStyle w:val="Caption"/>
        <w:rPr>
          <w:sz w:val="20"/>
          <w:szCs w:val="20"/>
        </w:rPr>
      </w:pPr>
      <w:bookmarkStart w:id="138" w:name="_Ref393719526"/>
      <w:bookmarkStart w:id="139" w:name="_Toc394668597"/>
      <w:r w:rsidRPr="00C0699C">
        <w:rPr>
          <w:sz w:val="20"/>
          <w:szCs w:val="20"/>
        </w:rPr>
        <w:t xml:space="preserve">Table </w:t>
      </w:r>
      <w:fldSimple w:instr=" STYLEREF 1 \s  \* MERGEFORMAT ">
        <w:r w:rsidR="00E0327A">
          <w:rPr>
            <w:noProof/>
            <w:sz w:val="20"/>
            <w:szCs w:val="20"/>
          </w:rPr>
          <w:t>2</w:t>
        </w:r>
      </w:fldSimple>
      <w:r w:rsidRPr="00C0699C">
        <w:rPr>
          <w:sz w:val="20"/>
          <w:szCs w:val="20"/>
        </w:rPr>
        <w:t>-</w:t>
      </w:r>
      <w:fldSimple w:instr=" SEQ Table \* ARABIC \s 1  \* MERGEFORMAT ">
        <w:r w:rsidR="00E0327A">
          <w:rPr>
            <w:noProof/>
            <w:sz w:val="20"/>
            <w:szCs w:val="20"/>
          </w:rPr>
          <w:t>2</w:t>
        </w:r>
      </w:fldSimple>
      <w:bookmarkEnd w:id="138"/>
      <w:r w:rsidRPr="00C0699C">
        <w:rPr>
          <w:sz w:val="20"/>
          <w:szCs w:val="20"/>
        </w:rPr>
        <w:tab/>
        <w:t>Actions proposed for sectoral support in Greater Lincolnshire SEP</w:t>
      </w:r>
      <w:bookmarkEnd w:id="139"/>
    </w:p>
    <w:tbl>
      <w:tblPr>
        <w:tblW w:w="9637" w:type="dxa"/>
        <w:tblInd w:w="57" w:type="dxa"/>
        <w:tblBorders>
          <w:top w:val="single" w:sz="2" w:space="0" w:color="000000" w:themeColor="dark1"/>
          <w:left w:val="single" w:sz="2" w:space="0" w:color="000000" w:themeColor="dark1"/>
          <w:bottom w:val="single" w:sz="2" w:space="0" w:color="000000" w:themeColor="dark1"/>
          <w:right w:val="single" w:sz="2" w:space="0" w:color="000000" w:themeColor="dark1"/>
          <w:insideH w:val="single" w:sz="2" w:space="0" w:color="000000" w:themeColor="dark1"/>
          <w:insideV w:val="single" w:sz="2" w:space="0" w:color="000000" w:themeColor="dark1"/>
        </w:tblBorders>
        <w:tblLayout w:type="fixed"/>
        <w:tblCellMar>
          <w:left w:w="57" w:type="dxa"/>
          <w:right w:w="57" w:type="dxa"/>
        </w:tblCellMar>
        <w:tblLook w:val="0020" w:firstRow="1" w:lastRow="0" w:firstColumn="0" w:lastColumn="0" w:noHBand="0" w:noVBand="0"/>
      </w:tblPr>
      <w:tblGrid>
        <w:gridCol w:w="1985"/>
        <w:gridCol w:w="7652"/>
      </w:tblGrid>
      <w:tr w:rsidR="00357B58" w14:paraId="0F5C9A91" w14:textId="77777777" w:rsidTr="00357B58">
        <w:trPr>
          <w:tblHeader/>
        </w:trPr>
        <w:tc>
          <w:tcPr>
            <w:tcW w:w="1985" w:type="dxa"/>
            <w:shd w:val="clear" w:color="auto" w:fill="99BABF" w:themeFill="accent6" w:themeFillTint="99"/>
          </w:tcPr>
          <w:p w14:paraId="5F136C76" w14:textId="77777777" w:rsidR="00357B58" w:rsidRDefault="00357B58" w:rsidP="00357B58">
            <w:pPr>
              <w:pStyle w:val="TableHeading"/>
            </w:pPr>
            <w:r>
              <w:t>Sector</w:t>
            </w:r>
          </w:p>
        </w:tc>
        <w:tc>
          <w:tcPr>
            <w:tcW w:w="7652" w:type="dxa"/>
            <w:shd w:val="clear" w:color="auto" w:fill="99BABF" w:themeFill="accent6" w:themeFillTint="99"/>
          </w:tcPr>
          <w:p w14:paraId="0734CB01" w14:textId="77777777" w:rsidR="00357B58" w:rsidRDefault="00357B58" w:rsidP="00357B58">
            <w:pPr>
              <w:pStyle w:val="TableHeading"/>
            </w:pPr>
            <w:r>
              <w:t>Actions</w:t>
            </w:r>
          </w:p>
        </w:tc>
      </w:tr>
      <w:tr w:rsidR="00357B58" w14:paraId="1453F0FE" w14:textId="77777777" w:rsidTr="00357B58">
        <w:tc>
          <w:tcPr>
            <w:tcW w:w="1985" w:type="dxa"/>
            <w:shd w:val="clear" w:color="auto" w:fill="auto"/>
          </w:tcPr>
          <w:p w14:paraId="6EA25ECD" w14:textId="77777777" w:rsidR="00357B58" w:rsidRPr="00C0699C" w:rsidRDefault="00357B58" w:rsidP="00357B58">
            <w:pPr>
              <w:pStyle w:val="TableText"/>
            </w:pPr>
            <w:r w:rsidRPr="00C0699C">
              <w:t>Agri-food</w:t>
            </w:r>
          </w:p>
        </w:tc>
        <w:tc>
          <w:tcPr>
            <w:tcW w:w="7652" w:type="dxa"/>
            <w:shd w:val="clear" w:color="auto" w:fill="auto"/>
          </w:tcPr>
          <w:p w14:paraId="661BCC2A" w14:textId="77777777" w:rsidR="00357B58" w:rsidRPr="00C0699C" w:rsidRDefault="00357B58" w:rsidP="00C0699C">
            <w:pPr>
              <w:pStyle w:val="TableText"/>
              <w:numPr>
                <w:ilvl w:val="0"/>
                <w:numId w:val="26"/>
              </w:numPr>
              <w:ind w:left="360"/>
            </w:pPr>
            <w:r w:rsidRPr="00C0699C">
              <w:t>Drive product and process</w:t>
            </w:r>
            <w:r w:rsidR="00C0699C" w:rsidRPr="00C0699C">
              <w:t xml:space="preserve"> </w:t>
            </w:r>
            <w:r w:rsidRPr="00C0699C">
              <w:t>innovation through the development of innovation hubs, including Humber Seafood Institute</w:t>
            </w:r>
            <w:r w:rsidR="00C0699C" w:rsidRPr="00C0699C">
              <w:t>.</w:t>
            </w:r>
          </w:p>
          <w:p w14:paraId="53746476" w14:textId="77777777" w:rsidR="00357B58" w:rsidRPr="00C0699C" w:rsidRDefault="00357B58" w:rsidP="00C0699C">
            <w:pPr>
              <w:pStyle w:val="TableText"/>
              <w:numPr>
                <w:ilvl w:val="0"/>
                <w:numId w:val="26"/>
              </w:numPr>
              <w:ind w:left="360"/>
            </w:pPr>
            <w:r w:rsidRPr="00C0699C">
              <w:t>Invest in infrastructure, including at the Port of Immingham</w:t>
            </w:r>
            <w:r w:rsidR="00C0699C" w:rsidRPr="00C0699C">
              <w:t>.</w:t>
            </w:r>
          </w:p>
          <w:p w14:paraId="333EF0B7" w14:textId="77777777" w:rsidR="00357B58" w:rsidRPr="00C0699C" w:rsidRDefault="00357B58" w:rsidP="00C0699C">
            <w:pPr>
              <w:pStyle w:val="ListParagraph"/>
              <w:numPr>
                <w:ilvl w:val="0"/>
                <w:numId w:val="19"/>
              </w:numPr>
              <w:spacing w:after="240"/>
              <w:ind w:left="360"/>
              <w:outlineLvl w:val="1"/>
              <w:rPr>
                <w:color w:val="394A58" w:themeColor="text2"/>
              </w:rPr>
            </w:pPr>
            <w:bookmarkStart w:id="140" w:name="_Toc393983948"/>
            <w:bookmarkStart w:id="141" w:name="_Toc393984873"/>
            <w:bookmarkStart w:id="142" w:name="_Toc393985068"/>
            <w:bookmarkStart w:id="143" w:name="_Toc394657920"/>
            <w:bookmarkStart w:id="144" w:name="_Toc394668560"/>
            <w:r w:rsidRPr="00C0699C">
              <w:rPr>
                <w:color w:val="394A58" w:themeColor="text2"/>
              </w:rPr>
              <w:t>Increase supply of high-quality food-grade industrial accommodation</w:t>
            </w:r>
            <w:r w:rsidR="00C0699C" w:rsidRPr="00C0699C">
              <w:rPr>
                <w:color w:val="394A58" w:themeColor="text2"/>
              </w:rPr>
              <w:t>.</w:t>
            </w:r>
            <w:bookmarkEnd w:id="140"/>
            <w:bookmarkEnd w:id="141"/>
            <w:bookmarkEnd w:id="142"/>
            <w:bookmarkEnd w:id="143"/>
            <w:bookmarkEnd w:id="144"/>
            <w:r w:rsidRPr="00C0699C">
              <w:rPr>
                <w:color w:val="394A58" w:themeColor="text2"/>
              </w:rPr>
              <w:t xml:space="preserve"> </w:t>
            </w:r>
          </w:p>
          <w:p w14:paraId="10A55AE6" w14:textId="77777777" w:rsidR="00357B58" w:rsidRPr="00C0699C" w:rsidRDefault="00357B58" w:rsidP="00C0699C">
            <w:pPr>
              <w:pStyle w:val="ListParagraph"/>
              <w:numPr>
                <w:ilvl w:val="0"/>
                <w:numId w:val="19"/>
              </w:numPr>
              <w:spacing w:after="240"/>
              <w:ind w:left="360"/>
              <w:outlineLvl w:val="1"/>
              <w:rPr>
                <w:color w:val="394A58" w:themeColor="text2"/>
              </w:rPr>
            </w:pPr>
            <w:bookmarkStart w:id="145" w:name="_Toc393983949"/>
            <w:bookmarkStart w:id="146" w:name="_Toc393984874"/>
            <w:bookmarkStart w:id="147" w:name="_Toc393985069"/>
            <w:bookmarkStart w:id="148" w:name="_Toc394657921"/>
            <w:bookmarkStart w:id="149" w:name="_Toc394668561"/>
            <w:r w:rsidRPr="00C0699C">
              <w:rPr>
                <w:color w:val="394A58" w:themeColor="text2"/>
              </w:rPr>
              <w:t>Build capacity and competitiveness of supply chains to address issues around energy costs, water resource management and workforce skills</w:t>
            </w:r>
            <w:r w:rsidR="00C0699C" w:rsidRPr="00C0699C">
              <w:rPr>
                <w:color w:val="394A58" w:themeColor="text2"/>
              </w:rPr>
              <w:t>.</w:t>
            </w:r>
            <w:bookmarkEnd w:id="145"/>
            <w:bookmarkEnd w:id="146"/>
            <w:bookmarkEnd w:id="147"/>
            <w:bookmarkEnd w:id="148"/>
            <w:bookmarkEnd w:id="149"/>
          </w:p>
          <w:p w14:paraId="329CE8CC" w14:textId="77777777" w:rsidR="00357B58" w:rsidRPr="00C0699C" w:rsidRDefault="00357B58" w:rsidP="00C0699C">
            <w:pPr>
              <w:pStyle w:val="ListParagraph"/>
              <w:numPr>
                <w:ilvl w:val="0"/>
                <w:numId w:val="19"/>
              </w:numPr>
              <w:spacing w:after="240"/>
              <w:ind w:left="360"/>
              <w:outlineLvl w:val="1"/>
              <w:rPr>
                <w:color w:val="394A58" w:themeColor="text2"/>
              </w:rPr>
            </w:pPr>
            <w:bookmarkStart w:id="150" w:name="_Toc393983950"/>
            <w:bookmarkStart w:id="151" w:name="_Toc393984875"/>
            <w:bookmarkStart w:id="152" w:name="_Toc393985070"/>
            <w:bookmarkStart w:id="153" w:name="_Toc394657922"/>
            <w:bookmarkStart w:id="154" w:name="_Toc394668562"/>
            <w:r w:rsidRPr="00C0699C">
              <w:rPr>
                <w:color w:val="394A58" w:themeColor="text2"/>
              </w:rPr>
              <w:t>Develop skills base to facilitate access to apprenticeships and employment opportunities</w:t>
            </w:r>
            <w:r w:rsidR="00C0699C" w:rsidRPr="00C0699C">
              <w:rPr>
                <w:color w:val="394A58" w:themeColor="text2"/>
              </w:rPr>
              <w:t>.</w:t>
            </w:r>
            <w:bookmarkEnd w:id="150"/>
            <w:bookmarkEnd w:id="151"/>
            <w:bookmarkEnd w:id="152"/>
            <w:bookmarkEnd w:id="153"/>
            <w:bookmarkEnd w:id="154"/>
            <w:r w:rsidRPr="00C0699C">
              <w:rPr>
                <w:color w:val="394A58" w:themeColor="text2"/>
              </w:rPr>
              <w:t xml:space="preserve"> </w:t>
            </w:r>
          </w:p>
          <w:p w14:paraId="489B9946" w14:textId="77777777" w:rsidR="00357B58" w:rsidRPr="00C0699C" w:rsidRDefault="00357B58" w:rsidP="00C0699C">
            <w:pPr>
              <w:pStyle w:val="ListParagraph"/>
              <w:numPr>
                <w:ilvl w:val="0"/>
                <w:numId w:val="19"/>
              </w:numPr>
              <w:spacing w:after="240"/>
              <w:ind w:left="360"/>
              <w:outlineLvl w:val="1"/>
              <w:rPr>
                <w:color w:val="394A58" w:themeColor="text2"/>
              </w:rPr>
            </w:pPr>
            <w:bookmarkStart w:id="155" w:name="_Toc393983951"/>
            <w:bookmarkStart w:id="156" w:name="_Toc393984876"/>
            <w:bookmarkStart w:id="157" w:name="_Toc393985071"/>
            <w:bookmarkStart w:id="158" w:name="_Toc394657923"/>
            <w:bookmarkStart w:id="159" w:name="_Toc394668563"/>
            <w:r w:rsidRPr="00C0699C">
              <w:rPr>
                <w:color w:val="394A58" w:themeColor="text2"/>
              </w:rPr>
              <w:t>Local Growth Fund priorities include expanding Europarc through infrastructure investment, in collaboration with Humber LEP</w:t>
            </w:r>
            <w:r w:rsidR="00C0699C" w:rsidRPr="00C0699C">
              <w:rPr>
                <w:color w:val="394A58" w:themeColor="text2"/>
              </w:rPr>
              <w:t>.</w:t>
            </w:r>
            <w:bookmarkEnd w:id="155"/>
            <w:bookmarkEnd w:id="156"/>
            <w:bookmarkEnd w:id="157"/>
            <w:bookmarkEnd w:id="158"/>
            <w:bookmarkEnd w:id="159"/>
            <w:r w:rsidRPr="00C0699C">
              <w:rPr>
                <w:color w:val="394A58" w:themeColor="text2"/>
              </w:rPr>
              <w:t xml:space="preserve"> </w:t>
            </w:r>
          </w:p>
        </w:tc>
      </w:tr>
      <w:tr w:rsidR="00357B58" w14:paraId="13176839" w14:textId="77777777" w:rsidTr="00357B58">
        <w:tc>
          <w:tcPr>
            <w:tcW w:w="1985" w:type="dxa"/>
            <w:shd w:val="clear" w:color="auto" w:fill="auto"/>
          </w:tcPr>
          <w:p w14:paraId="7350FC97" w14:textId="77777777" w:rsidR="00357B58" w:rsidRPr="00C0699C" w:rsidRDefault="00357B58" w:rsidP="00357B58">
            <w:pPr>
              <w:pStyle w:val="TableText"/>
            </w:pPr>
            <w:r w:rsidRPr="00C0699C">
              <w:t xml:space="preserve">Manufacturing &amp; engineering </w:t>
            </w:r>
          </w:p>
        </w:tc>
        <w:tc>
          <w:tcPr>
            <w:tcW w:w="7652" w:type="dxa"/>
            <w:shd w:val="clear" w:color="auto" w:fill="auto"/>
          </w:tcPr>
          <w:p w14:paraId="04F70F2A" w14:textId="77777777" w:rsidR="00357B58" w:rsidRPr="00C0699C" w:rsidRDefault="00357B58" w:rsidP="00357B58">
            <w:pPr>
              <w:pStyle w:val="ListParagraph"/>
              <w:numPr>
                <w:ilvl w:val="0"/>
                <w:numId w:val="20"/>
              </w:numPr>
              <w:spacing w:after="240"/>
              <w:outlineLvl w:val="1"/>
              <w:rPr>
                <w:color w:val="394A58" w:themeColor="text2"/>
              </w:rPr>
            </w:pPr>
            <w:bookmarkStart w:id="160" w:name="_Toc393983952"/>
            <w:bookmarkStart w:id="161" w:name="_Toc393984877"/>
            <w:bookmarkStart w:id="162" w:name="_Toc393985072"/>
            <w:bookmarkStart w:id="163" w:name="_Toc394657924"/>
            <w:bookmarkStart w:id="164" w:name="_Toc394668564"/>
            <w:r w:rsidRPr="00C0699C">
              <w:rPr>
                <w:color w:val="394A58" w:themeColor="text2"/>
              </w:rPr>
              <w:t>Maintain supply of high-quality serviced employment sites and premises across Greater Lincolnshire, including promoting Enterprise Zones in NEL</w:t>
            </w:r>
            <w:r w:rsidR="00C0699C" w:rsidRPr="00C0699C">
              <w:rPr>
                <w:color w:val="394A58" w:themeColor="text2"/>
              </w:rPr>
              <w:t>.</w:t>
            </w:r>
            <w:bookmarkEnd w:id="160"/>
            <w:bookmarkEnd w:id="161"/>
            <w:bookmarkEnd w:id="162"/>
            <w:bookmarkEnd w:id="163"/>
            <w:bookmarkEnd w:id="164"/>
            <w:r w:rsidRPr="00C0699C">
              <w:rPr>
                <w:color w:val="394A58" w:themeColor="text2"/>
              </w:rPr>
              <w:t xml:space="preserve"> </w:t>
            </w:r>
          </w:p>
          <w:p w14:paraId="150D7DBA" w14:textId="77777777" w:rsidR="00357B58" w:rsidRPr="00C0699C" w:rsidRDefault="00357B58" w:rsidP="00357B58">
            <w:pPr>
              <w:pStyle w:val="ListParagraph"/>
              <w:numPr>
                <w:ilvl w:val="0"/>
                <w:numId w:val="20"/>
              </w:numPr>
              <w:spacing w:after="240"/>
              <w:outlineLvl w:val="1"/>
              <w:rPr>
                <w:color w:val="394A58" w:themeColor="text2"/>
              </w:rPr>
            </w:pPr>
            <w:bookmarkStart w:id="165" w:name="_Toc393983953"/>
            <w:bookmarkStart w:id="166" w:name="_Toc393984878"/>
            <w:bookmarkStart w:id="167" w:name="_Toc393985073"/>
            <w:bookmarkStart w:id="168" w:name="_Toc394657925"/>
            <w:bookmarkStart w:id="169" w:name="_Toc394668565"/>
            <w:r w:rsidRPr="00C0699C">
              <w:rPr>
                <w:color w:val="394A58" w:themeColor="text2"/>
              </w:rPr>
              <w:t>Encourage employer engagement in apprenticeships and workforce developments through de-risking investment in training</w:t>
            </w:r>
            <w:r w:rsidR="00C0699C" w:rsidRPr="00C0699C">
              <w:rPr>
                <w:color w:val="394A58" w:themeColor="text2"/>
              </w:rPr>
              <w:t>.</w:t>
            </w:r>
            <w:bookmarkEnd w:id="165"/>
            <w:bookmarkEnd w:id="166"/>
            <w:bookmarkEnd w:id="167"/>
            <w:bookmarkEnd w:id="168"/>
            <w:bookmarkEnd w:id="169"/>
          </w:p>
          <w:p w14:paraId="419CF647" w14:textId="77777777" w:rsidR="00357B58" w:rsidRPr="00C0699C" w:rsidRDefault="00357B58" w:rsidP="00357B58">
            <w:pPr>
              <w:pStyle w:val="ListParagraph"/>
              <w:numPr>
                <w:ilvl w:val="0"/>
                <w:numId w:val="20"/>
              </w:numPr>
              <w:spacing w:after="240"/>
              <w:outlineLvl w:val="1"/>
              <w:rPr>
                <w:color w:val="394A58" w:themeColor="text2"/>
              </w:rPr>
            </w:pPr>
            <w:bookmarkStart w:id="170" w:name="_Toc393983954"/>
            <w:bookmarkStart w:id="171" w:name="_Toc393984879"/>
            <w:bookmarkStart w:id="172" w:name="_Toc393985074"/>
            <w:bookmarkStart w:id="173" w:name="_Toc394657926"/>
            <w:bookmarkStart w:id="174" w:name="_Toc394668566"/>
            <w:r w:rsidRPr="00C0699C">
              <w:rPr>
                <w:color w:val="394A58" w:themeColor="text2"/>
              </w:rPr>
              <w:t>Unlock development and housing land, including in Grimsby</w:t>
            </w:r>
            <w:r w:rsidR="00C0699C" w:rsidRPr="00C0699C">
              <w:rPr>
                <w:color w:val="394A58" w:themeColor="text2"/>
              </w:rPr>
              <w:t>.</w:t>
            </w:r>
            <w:bookmarkEnd w:id="170"/>
            <w:bookmarkEnd w:id="171"/>
            <w:bookmarkEnd w:id="172"/>
            <w:bookmarkEnd w:id="173"/>
            <w:bookmarkEnd w:id="174"/>
            <w:r w:rsidRPr="00C0699C">
              <w:rPr>
                <w:color w:val="394A58" w:themeColor="text2"/>
              </w:rPr>
              <w:t xml:space="preserve"> </w:t>
            </w:r>
          </w:p>
          <w:p w14:paraId="3DA0D3FD" w14:textId="77777777" w:rsidR="00357B58" w:rsidRPr="00C0699C" w:rsidRDefault="00357B58" w:rsidP="00357B58">
            <w:pPr>
              <w:pStyle w:val="ListParagraph"/>
              <w:numPr>
                <w:ilvl w:val="0"/>
                <w:numId w:val="20"/>
              </w:numPr>
              <w:spacing w:after="240"/>
              <w:outlineLvl w:val="1"/>
              <w:rPr>
                <w:color w:val="394A58" w:themeColor="text2"/>
              </w:rPr>
            </w:pPr>
            <w:bookmarkStart w:id="175" w:name="_Toc393983955"/>
            <w:bookmarkStart w:id="176" w:name="_Toc393984880"/>
            <w:bookmarkStart w:id="177" w:name="_Toc393985075"/>
            <w:bookmarkStart w:id="178" w:name="_Toc394657927"/>
            <w:bookmarkStart w:id="179" w:name="_Toc394668567"/>
            <w:r w:rsidRPr="00C0699C">
              <w:rPr>
                <w:color w:val="394A58" w:themeColor="text2"/>
              </w:rPr>
              <w:t>Unlock development of key sites on the South Humber Bank to support the renewable and chemicals sectors</w:t>
            </w:r>
            <w:r w:rsidR="00C0699C" w:rsidRPr="00C0699C">
              <w:rPr>
                <w:color w:val="394A58" w:themeColor="text2"/>
              </w:rPr>
              <w:t>.</w:t>
            </w:r>
            <w:bookmarkEnd w:id="175"/>
            <w:bookmarkEnd w:id="176"/>
            <w:bookmarkEnd w:id="177"/>
            <w:bookmarkEnd w:id="178"/>
            <w:bookmarkEnd w:id="179"/>
            <w:r w:rsidRPr="00C0699C">
              <w:rPr>
                <w:color w:val="394A58" w:themeColor="text2"/>
              </w:rPr>
              <w:t xml:space="preserve"> </w:t>
            </w:r>
          </w:p>
          <w:p w14:paraId="5DF174B7" w14:textId="77777777" w:rsidR="00357B58" w:rsidRPr="00C0699C" w:rsidRDefault="00357B58" w:rsidP="00357B58">
            <w:pPr>
              <w:pStyle w:val="ListParagraph"/>
              <w:numPr>
                <w:ilvl w:val="0"/>
                <w:numId w:val="20"/>
              </w:numPr>
              <w:spacing w:after="240"/>
              <w:outlineLvl w:val="1"/>
              <w:rPr>
                <w:color w:val="394A58" w:themeColor="text2"/>
              </w:rPr>
            </w:pPr>
            <w:bookmarkStart w:id="180" w:name="_Toc393983956"/>
            <w:bookmarkStart w:id="181" w:name="_Toc393984881"/>
            <w:bookmarkStart w:id="182" w:name="_Toc393985076"/>
            <w:bookmarkStart w:id="183" w:name="_Toc394657928"/>
            <w:bookmarkStart w:id="184" w:name="_Toc394668568"/>
            <w:r w:rsidRPr="00C0699C">
              <w:rPr>
                <w:color w:val="394A58" w:themeColor="text2"/>
              </w:rPr>
              <w:t>Rail gauge investment between Immingham and the East Coast mainline at Doncaster to enhance rail freight capacity</w:t>
            </w:r>
            <w:r w:rsidR="00C0699C" w:rsidRPr="00C0699C">
              <w:rPr>
                <w:color w:val="394A58" w:themeColor="text2"/>
              </w:rPr>
              <w:t>.</w:t>
            </w:r>
            <w:bookmarkEnd w:id="180"/>
            <w:bookmarkEnd w:id="181"/>
            <w:bookmarkEnd w:id="182"/>
            <w:bookmarkEnd w:id="183"/>
            <w:bookmarkEnd w:id="184"/>
            <w:r w:rsidRPr="00C0699C">
              <w:rPr>
                <w:color w:val="394A58" w:themeColor="text2"/>
              </w:rPr>
              <w:t xml:space="preserve"> </w:t>
            </w:r>
          </w:p>
        </w:tc>
      </w:tr>
      <w:tr w:rsidR="00357B58" w14:paraId="0CA99168" w14:textId="77777777" w:rsidTr="00357B58">
        <w:tc>
          <w:tcPr>
            <w:tcW w:w="1985" w:type="dxa"/>
            <w:shd w:val="clear" w:color="auto" w:fill="auto"/>
          </w:tcPr>
          <w:p w14:paraId="04062116" w14:textId="77777777" w:rsidR="00357B58" w:rsidRPr="00C0699C" w:rsidRDefault="00357B58" w:rsidP="00357B58">
            <w:pPr>
              <w:pStyle w:val="TableText"/>
            </w:pPr>
            <w:r w:rsidRPr="00C0699C">
              <w:t>Visitor economy</w:t>
            </w:r>
          </w:p>
        </w:tc>
        <w:tc>
          <w:tcPr>
            <w:tcW w:w="7652" w:type="dxa"/>
            <w:shd w:val="clear" w:color="auto" w:fill="auto"/>
          </w:tcPr>
          <w:p w14:paraId="7A2FFC51" w14:textId="77777777" w:rsidR="00357B58" w:rsidRPr="00C0699C" w:rsidRDefault="00357B58" w:rsidP="00357B58">
            <w:pPr>
              <w:pStyle w:val="ListParagraph"/>
              <w:numPr>
                <w:ilvl w:val="0"/>
                <w:numId w:val="21"/>
              </w:numPr>
              <w:spacing w:after="240"/>
              <w:outlineLvl w:val="1"/>
              <w:rPr>
                <w:color w:val="394A58" w:themeColor="text2"/>
              </w:rPr>
            </w:pPr>
            <w:bookmarkStart w:id="185" w:name="_Toc393983957"/>
            <w:bookmarkStart w:id="186" w:name="_Toc393984882"/>
            <w:bookmarkStart w:id="187" w:name="_Toc393985077"/>
            <w:bookmarkStart w:id="188" w:name="_Toc394657929"/>
            <w:bookmarkStart w:id="189" w:name="_Toc394668569"/>
            <w:r w:rsidRPr="00C0699C">
              <w:rPr>
                <w:color w:val="394A58" w:themeColor="text2"/>
              </w:rPr>
              <w:t>Work with public and private sector partners to extend network of visitor attractions across Greater Lincolnshire</w:t>
            </w:r>
            <w:r w:rsidR="00C0699C" w:rsidRPr="00C0699C">
              <w:rPr>
                <w:color w:val="394A58" w:themeColor="text2"/>
              </w:rPr>
              <w:t>.</w:t>
            </w:r>
            <w:bookmarkEnd w:id="185"/>
            <w:bookmarkEnd w:id="186"/>
            <w:bookmarkEnd w:id="187"/>
            <w:bookmarkEnd w:id="188"/>
            <w:bookmarkEnd w:id="189"/>
          </w:p>
          <w:p w14:paraId="1DEF9987" w14:textId="77777777" w:rsidR="00357B58" w:rsidRPr="00C0699C" w:rsidRDefault="00357B58" w:rsidP="00357B58">
            <w:pPr>
              <w:pStyle w:val="ListParagraph"/>
              <w:numPr>
                <w:ilvl w:val="0"/>
                <w:numId w:val="21"/>
              </w:numPr>
              <w:spacing w:after="240"/>
              <w:outlineLvl w:val="1"/>
              <w:rPr>
                <w:color w:val="394A58" w:themeColor="text2"/>
              </w:rPr>
            </w:pPr>
            <w:bookmarkStart w:id="190" w:name="_Toc393983958"/>
            <w:bookmarkStart w:id="191" w:name="_Toc393984883"/>
            <w:bookmarkStart w:id="192" w:name="_Toc393985078"/>
            <w:bookmarkStart w:id="193" w:name="_Toc394657930"/>
            <w:bookmarkStart w:id="194" w:name="_Toc394668570"/>
            <w:r w:rsidRPr="00C0699C">
              <w:rPr>
                <w:color w:val="394A58" w:themeColor="text2"/>
              </w:rPr>
              <w:t>Simplify and coordinate online presence in partnership with Visit England</w:t>
            </w:r>
            <w:r w:rsidR="00C0699C" w:rsidRPr="00C0699C">
              <w:rPr>
                <w:color w:val="394A58" w:themeColor="text2"/>
              </w:rPr>
              <w:t>.</w:t>
            </w:r>
            <w:bookmarkEnd w:id="190"/>
            <w:bookmarkEnd w:id="191"/>
            <w:bookmarkEnd w:id="192"/>
            <w:bookmarkEnd w:id="193"/>
            <w:bookmarkEnd w:id="194"/>
            <w:r w:rsidRPr="00C0699C">
              <w:rPr>
                <w:color w:val="394A58" w:themeColor="text2"/>
              </w:rPr>
              <w:t xml:space="preserve"> </w:t>
            </w:r>
          </w:p>
          <w:p w14:paraId="0BE18B51" w14:textId="77777777" w:rsidR="00357B58" w:rsidRPr="00C0699C" w:rsidRDefault="00357B58" w:rsidP="00357B58">
            <w:pPr>
              <w:pStyle w:val="ListParagraph"/>
              <w:numPr>
                <w:ilvl w:val="0"/>
                <w:numId w:val="21"/>
              </w:numPr>
              <w:spacing w:after="240"/>
              <w:outlineLvl w:val="1"/>
              <w:rPr>
                <w:color w:val="394A58" w:themeColor="text2"/>
              </w:rPr>
            </w:pPr>
            <w:bookmarkStart w:id="195" w:name="_Toc393983959"/>
            <w:bookmarkStart w:id="196" w:name="_Toc393984884"/>
            <w:bookmarkStart w:id="197" w:name="_Toc393985079"/>
            <w:bookmarkStart w:id="198" w:name="_Toc394657931"/>
            <w:bookmarkStart w:id="199" w:name="_Toc394668571"/>
            <w:r w:rsidRPr="00C0699C">
              <w:rPr>
                <w:color w:val="394A58" w:themeColor="text2"/>
              </w:rPr>
              <w:t>Enhance quality of visitor experience through supporting the development of the visitor accommodation/hospitality sectors and delivering investment in local visitor infrastructure</w:t>
            </w:r>
            <w:r w:rsidR="00C0699C" w:rsidRPr="00C0699C">
              <w:rPr>
                <w:color w:val="394A58" w:themeColor="text2"/>
              </w:rPr>
              <w:t>.</w:t>
            </w:r>
            <w:bookmarkEnd w:id="195"/>
            <w:bookmarkEnd w:id="196"/>
            <w:bookmarkEnd w:id="197"/>
            <w:bookmarkEnd w:id="198"/>
            <w:bookmarkEnd w:id="199"/>
          </w:p>
          <w:p w14:paraId="66AA4989" w14:textId="77777777" w:rsidR="00357B58" w:rsidRPr="00C0699C" w:rsidRDefault="00357B58" w:rsidP="00357B58">
            <w:pPr>
              <w:pStyle w:val="ListParagraph"/>
              <w:numPr>
                <w:ilvl w:val="0"/>
                <w:numId w:val="21"/>
              </w:numPr>
              <w:spacing w:after="240"/>
              <w:outlineLvl w:val="1"/>
              <w:rPr>
                <w:color w:val="394A58" w:themeColor="text2"/>
              </w:rPr>
            </w:pPr>
            <w:bookmarkStart w:id="200" w:name="_Toc393983960"/>
            <w:bookmarkStart w:id="201" w:name="_Toc393984885"/>
            <w:bookmarkStart w:id="202" w:name="_Toc393985080"/>
            <w:bookmarkStart w:id="203" w:name="_Toc394657932"/>
            <w:bookmarkStart w:id="204" w:name="_Toc394668572"/>
            <w:r w:rsidRPr="00C0699C">
              <w:rPr>
                <w:color w:val="394A58" w:themeColor="text2"/>
              </w:rPr>
              <w:t>Develop customer service and other skills of workforce</w:t>
            </w:r>
            <w:r w:rsidR="00C0699C" w:rsidRPr="00C0699C">
              <w:rPr>
                <w:color w:val="394A58" w:themeColor="text2"/>
              </w:rPr>
              <w:t>.</w:t>
            </w:r>
            <w:bookmarkEnd w:id="200"/>
            <w:bookmarkEnd w:id="201"/>
            <w:bookmarkEnd w:id="202"/>
            <w:bookmarkEnd w:id="203"/>
            <w:bookmarkEnd w:id="204"/>
            <w:r w:rsidRPr="00C0699C">
              <w:rPr>
                <w:color w:val="394A58" w:themeColor="text2"/>
              </w:rPr>
              <w:t xml:space="preserve"> </w:t>
            </w:r>
          </w:p>
          <w:p w14:paraId="2DD405EE" w14:textId="77777777" w:rsidR="00357B58" w:rsidRPr="00C0699C" w:rsidRDefault="00357B58" w:rsidP="00357B58">
            <w:pPr>
              <w:pStyle w:val="ListParagraph"/>
              <w:numPr>
                <w:ilvl w:val="0"/>
                <w:numId w:val="21"/>
              </w:numPr>
              <w:spacing w:after="240"/>
              <w:outlineLvl w:val="1"/>
              <w:rPr>
                <w:color w:val="394A58" w:themeColor="text2"/>
              </w:rPr>
            </w:pPr>
            <w:bookmarkStart w:id="205" w:name="_Toc393983961"/>
            <w:bookmarkStart w:id="206" w:name="_Toc393984886"/>
            <w:bookmarkStart w:id="207" w:name="_Toc393985081"/>
            <w:bookmarkStart w:id="208" w:name="_Toc394657933"/>
            <w:bookmarkStart w:id="209" w:name="_Toc394668573"/>
            <w:r w:rsidRPr="00C0699C">
              <w:rPr>
                <w:color w:val="394A58" w:themeColor="text2"/>
              </w:rPr>
              <w:t>Resort renaissance programme for Cleethorpes, including providing a site for major hotel, conference and leisure developments and integrating public-realm improvements with upgrades to flood defences</w:t>
            </w:r>
            <w:r w:rsidR="00C0699C" w:rsidRPr="00C0699C">
              <w:rPr>
                <w:color w:val="394A58" w:themeColor="text2"/>
              </w:rPr>
              <w:t>.</w:t>
            </w:r>
            <w:bookmarkEnd w:id="205"/>
            <w:bookmarkEnd w:id="206"/>
            <w:bookmarkEnd w:id="207"/>
            <w:bookmarkEnd w:id="208"/>
            <w:bookmarkEnd w:id="209"/>
            <w:r w:rsidRPr="00C0699C">
              <w:rPr>
                <w:color w:val="394A58" w:themeColor="text2"/>
              </w:rPr>
              <w:t xml:space="preserve"> </w:t>
            </w:r>
          </w:p>
          <w:p w14:paraId="39F44A49" w14:textId="77777777" w:rsidR="00357B58" w:rsidRPr="00C0699C" w:rsidRDefault="00357B58" w:rsidP="00357B58">
            <w:pPr>
              <w:pStyle w:val="ListParagraph"/>
              <w:numPr>
                <w:ilvl w:val="0"/>
                <w:numId w:val="21"/>
              </w:numPr>
              <w:spacing w:after="240"/>
              <w:outlineLvl w:val="1"/>
              <w:rPr>
                <w:color w:val="394A58" w:themeColor="text2"/>
              </w:rPr>
            </w:pPr>
            <w:bookmarkStart w:id="210" w:name="_Toc393983962"/>
            <w:bookmarkStart w:id="211" w:name="_Toc393984887"/>
            <w:bookmarkStart w:id="212" w:name="_Toc393985082"/>
            <w:bookmarkStart w:id="213" w:name="_Toc394657934"/>
            <w:bookmarkStart w:id="214" w:name="_Toc394668574"/>
            <w:r w:rsidRPr="00C0699C">
              <w:rPr>
                <w:color w:val="394A58" w:themeColor="text2"/>
              </w:rPr>
              <w:t>Improve frequency of services between Doncaster and Cleethorpes</w:t>
            </w:r>
            <w:r w:rsidR="00C0699C" w:rsidRPr="00C0699C">
              <w:rPr>
                <w:color w:val="394A58" w:themeColor="text2"/>
              </w:rPr>
              <w:t>.</w:t>
            </w:r>
            <w:bookmarkEnd w:id="210"/>
            <w:bookmarkEnd w:id="211"/>
            <w:bookmarkEnd w:id="212"/>
            <w:bookmarkEnd w:id="213"/>
            <w:bookmarkEnd w:id="214"/>
          </w:p>
          <w:p w14:paraId="6BD2AFA7" w14:textId="77777777" w:rsidR="00357B58" w:rsidRPr="00C0699C" w:rsidRDefault="00357B58" w:rsidP="00357B58">
            <w:pPr>
              <w:pStyle w:val="ListParagraph"/>
              <w:numPr>
                <w:ilvl w:val="0"/>
                <w:numId w:val="21"/>
              </w:numPr>
              <w:spacing w:after="240"/>
              <w:outlineLvl w:val="1"/>
              <w:rPr>
                <w:color w:val="394A58" w:themeColor="text2"/>
              </w:rPr>
            </w:pPr>
            <w:bookmarkStart w:id="215" w:name="_Toc393983963"/>
            <w:bookmarkStart w:id="216" w:name="_Toc393984888"/>
            <w:bookmarkStart w:id="217" w:name="_Toc393985083"/>
            <w:bookmarkStart w:id="218" w:name="_Toc394657935"/>
            <w:bookmarkStart w:id="219" w:name="_Toc394668575"/>
            <w:r w:rsidRPr="00C0699C">
              <w:rPr>
                <w:color w:val="394A58" w:themeColor="text2"/>
              </w:rPr>
              <w:t>Development of Ice Factory in Grimsby as major new attraction</w:t>
            </w:r>
            <w:r w:rsidR="00C0699C" w:rsidRPr="00C0699C">
              <w:rPr>
                <w:color w:val="394A58" w:themeColor="text2"/>
              </w:rPr>
              <w:t>.</w:t>
            </w:r>
            <w:bookmarkEnd w:id="215"/>
            <w:bookmarkEnd w:id="216"/>
            <w:bookmarkEnd w:id="217"/>
            <w:bookmarkEnd w:id="218"/>
            <w:bookmarkEnd w:id="219"/>
          </w:p>
        </w:tc>
      </w:tr>
      <w:tr w:rsidR="00357B58" w14:paraId="59D1539A" w14:textId="77777777" w:rsidTr="00357B58">
        <w:tc>
          <w:tcPr>
            <w:tcW w:w="1985" w:type="dxa"/>
            <w:shd w:val="clear" w:color="auto" w:fill="auto"/>
          </w:tcPr>
          <w:p w14:paraId="603C0072" w14:textId="77777777" w:rsidR="00357B58" w:rsidRPr="00C0699C" w:rsidRDefault="00357B58" w:rsidP="00357B58">
            <w:pPr>
              <w:pStyle w:val="TableText"/>
            </w:pPr>
            <w:r w:rsidRPr="00C0699C">
              <w:t>Low carbon</w:t>
            </w:r>
          </w:p>
        </w:tc>
        <w:tc>
          <w:tcPr>
            <w:tcW w:w="7652" w:type="dxa"/>
            <w:shd w:val="clear" w:color="auto" w:fill="auto"/>
          </w:tcPr>
          <w:p w14:paraId="78EA020F" w14:textId="77777777" w:rsidR="00357B58" w:rsidRPr="00C0699C" w:rsidRDefault="00357B58" w:rsidP="00C0699C">
            <w:pPr>
              <w:pStyle w:val="TableText"/>
              <w:numPr>
                <w:ilvl w:val="0"/>
                <w:numId w:val="27"/>
              </w:numPr>
              <w:ind w:left="360"/>
            </w:pPr>
            <w:r w:rsidRPr="00C0699C">
              <w:t>Raise awareness of supply chain opportunities and build capacity and capability of local firms to secure contracts</w:t>
            </w:r>
            <w:r w:rsidR="00C0699C" w:rsidRPr="00C0699C">
              <w:t>.</w:t>
            </w:r>
            <w:r w:rsidRPr="00C0699C">
              <w:t xml:space="preserve"> </w:t>
            </w:r>
          </w:p>
          <w:p w14:paraId="445DE1D3" w14:textId="77777777" w:rsidR="00357B58" w:rsidRPr="00C0699C" w:rsidRDefault="00357B58" w:rsidP="00C0699C">
            <w:pPr>
              <w:pStyle w:val="ListParagraph"/>
              <w:numPr>
                <w:ilvl w:val="0"/>
                <w:numId w:val="22"/>
              </w:numPr>
              <w:spacing w:after="240"/>
              <w:ind w:left="360"/>
              <w:outlineLvl w:val="1"/>
              <w:rPr>
                <w:color w:val="394A58" w:themeColor="text2"/>
              </w:rPr>
            </w:pPr>
            <w:bookmarkStart w:id="220" w:name="_Toc393983964"/>
            <w:bookmarkStart w:id="221" w:name="_Toc393984889"/>
            <w:bookmarkStart w:id="222" w:name="_Toc393985084"/>
            <w:bookmarkStart w:id="223" w:name="_Toc394657936"/>
            <w:bookmarkStart w:id="224" w:name="_Toc394668576"/>
            <w:r w:rsidRPr="00C0699C">
              <w:rPr>
                <w:color w:val="394A58" w:themeColor="text2"/>
              </w:rPr>
              <w:t>Work with skills providers to deliver increased low carbon apprenticeships and training opportunities</w:t>
            </w:r>
            <w:r w:rsidR="00C0699C" w:rsidRPr="00C0699C">
              <w:rPr>
                <w:color w:val="394A58" w:themeColor="text2"/>
              </w:rPr>
              <w:t>.</w:t>
            </w:r>
            <w:bookmarkEnd w:id="220"/>
            <w:bookmarkEnd w:id="221"/>
            <w:bookmarkEnd w:id="222"/>
            <w:bookmarkEnd w:id="223"/>
            <w:bookmarkEnd w:id="224"/>
          </w:p>
          <w:p w14:paraId="60AD368A" w14:textId="77777777" w:rsidR="00357B58" w:rsidRPr="00C0699C" w:rsidRDefault="00357B58" w:rsidP="00C0699C">
            <w:pPr>
              <w:pStyle w:val="ListParagraph"/>
              <w:numPr>
                <w:ilvl w:val="0"/>
                <w:numId w:val="22"/>
              </w:numPr>
              <w:spacing w:after="240"/>
              <w:ind w:left="360"/>
              <w:outlineLvl w:val="1"/>
              <w:rPr>
                <w:color w:val="394A58" w:themeColor="text2"/>
              </w:rPr>
            </w:pPr>
            <w:bookmarkStart w:id="225" w:name="_Toc393983965"/>
            <w:bookmarkStart w:id="226" w:name="_Toc393984890"/>
            <w:bookmarkStart w:id="227" w:name="_Toc393985085"/>
            <w:bookmarkStart w:id="228" w:name="_Toc394657937"/>
            <w:bookmarkStart w:id="229" w:name="_Toc394668577"/>
            <w:r w:rsidRPr="00C0699C">
              <w:rPr>
                <w:color w:val="394A58" w:themeColor="text2"/>
              </w:rPr>
              <w:t>Support research and development and technology transfer</w:t>
            </w:r>
            <w:r w:rsidR="00C0699C" w:rsidRPr="00C0699C">
              <w:rPr>
                <w:color w:val="394A58" w:themeColor="text2"/>
              </w:rPr>
              <w:t>.</w:t>
            </w:r>
            <w:bookmarkEnd w:id="225"/>
            <w:bookmarkEnd w:id="226"/>
            <w:bookmarkEnd w:id="227"/>
            <w:bookmarkEnd w:id="228"/>
            <w:bookmarkEnd w:id="229"/>
            <w:r w:rsidRPr="00C0699C">
              <w:rPr>
                <w:color w:val="394A58" w:themeColor="text2"/>
              </w:rPr>
              <w:t xml:space="preserve"> </w:t>
            </w:r>
          </w:p>
          <w:p w14:paraId="701232A2" w14:textId="77777777" w:rsidR="00357B58" w:rsidRPr="00C0699C" w:rsidRDefault="00357B58" w:rsidP="00C0699C">
            <w:pPr>
              <w:pStyle w:val="ListParagraph"/>
              <w:numPr>
                <w:ilvl w:val="0"/>
                <w:numId w:val="22"/>
              </w:numPr>
              <w:spacing w:after="240"/>
              <w:ind w:left="360"/>
              <w:outlineLvl w:val="1"/>
              <w:rPr>
                <w:color w:val="394A58" w:themeColor="text2"/>
              </w:rPr>
            </w:pPr>
            <w:bookmarkStart w:id="230" w:name="_Toc393983966"/>
            <w:bookmarkStart w:id="231" w:name="_Toc393984891"/>
            <w:bookmarkStart w:id="232" w:name="_Toc393985086"/>
            <w:bookmarkStart w:id="233" w:name="_Toc394657938"/>
            <w:bookmarkStart w:id="234" w:name="_Toc394668578"/>
            <w:r w:rsidRPr="00C0699C">
              <w:rPr>
                <w:color w:val="394A58" w:themeColor="text2"/>
              </w:rPr>
              <w:t>Develop the Humber Energy Campus and CATCH facility</w:t>
            </w:r>
            <w:r w:rsidR="00C0699C" w:rsidRPr="00C0699C">
              <w:rPr>
                <w:color w:val="394A58" w:themeColor="text2"/>
              </w:rPr>
              <w:t>.</w:t>
            </w:r>
            <w:bookmarkEnd w:id="230"/>
            <w:bookmarkEnd w:id="231"/>
            <w:bookmarkEnd w:id="232"/>
            <w:bookmarkEnd w:id="233"/>
            <w:bookmarkEnd w:id="234"/>
          </w:p>
          <w:p w14:paraId="052D5D47" w14:textId="77777777" w:rsidR="00357B58" w:rsidRPr="00C0699C" w:rsidRDefault="00357B58" w:rsidP="00C0699C">
            <w:pPr>
              <w:pStyle w:val="ListParagraph"/>
              <w:numPr>
                <w:ilvl w:val="0"/>
                <w:numId w:val="22"/>
              </w:numPr>
              <w:spacing w:after="240"/>
              <w:ind w:left="360"/>
              <w:outlineLvl w:val="1"/>
              <w:rPr>
                <w:color w:val="394A58" w:themeColor="text2"/>
              </w:rPr>
            </w:pPr>
            <w:bookmarkStart w:id="235" w:name="_Toc393983967"/>
            <w:bookmarkStart w:id="236" w:name="_Toc393984892"/>
            <w:bookmarkStart w:id="237" w:name="_Toc393985087"/>
            <w:bookmarkStart w:id="238" w:name="_Toc394657939"/>
            <w:bookmarkStart w:id="239" w:name="_Toc394668579"/>
            <w:r w:rsidRPr="00C0699C">
              <w:rPr>
                <w:color w:val="394A58" w:themeColor="text2"/>
              </w:rPr>
              <w:t>Deliver an integrated supply-chain development programme</w:t>
            </w:r>
            <w:r w:rsidR="00C0699C" w:rsidRPr="00C0699C">
              <w:rPr>
                <w:color w:val="394A58" w:themeColor="text2"/>
              </w:rPr>
              <w:t>.</w:t>
            </w:r>
            <w:bookmarkEnd w:id="235"/>
            <w:bookmarkEnd w:id="236"/>
            <w:bookmarkEnd w:id="237"/>
            <w:bookmarkEnd w:id="238"/>
            <w:bookmarkEnd w:id="239"/>
          </w:p>
          <w:p w14:paraId="386019FA" w14:textId="77777777" w:rsidR="00357B58" w:rsidRPr="00C0699C" w:rsidRDefault="00357B58" w:rsidP="00C0699C">
            <w:pPr>
              <w:pStyle w:val="ListParagraph"/>
              <w:numPr>
                <w:ilvl w:val="0"/>
                <w:numId w:val="22"/>
              </w:numPr>
              <w:spacing w:after="240"/>
              <w:ind w:left="360"/>
              <w:outlineLvl w:val="1"/>
              <w:rPr>
                <w:color w:val="394A58" w:themeColor="text2"/>
              </w:rPr>
            </w:pPr>
            <w:bookmarkStart w:id="240" w:name="_Toc393983968"/>
            <w:bookmarkStart w:id="241" w:name="_Toc393984893"/>
            <w:bookmarkStart w:id="242" w:name="_Toc393985088"/>
            <w:bookmarkStart w:id="243" w:name="_Toc394657940"/>
            <w:bookmarkStart w:id="244" w:name="_Toc394668580"/>
            <w:r w:rsidRPr="00C0699C">
              <w:rPr>
                <w:color w:val="394A58" w:themeColor="text2"/>
              </w:rPr>
              <w:t>Improve infrastructure at the Port of Grimsby Enterprise Zone</w:t>
            </w:r>
            <w:r w:rsidR="00C0699C" w:rsidRPr="00C0699C">
              <w:rPr>
                <w:color w:val="394A58" w:themeColor="text2"/>
              </w:rPr>
              <w:t>.</w:t>
            </w:r>
            <w:bookmarkEnd w:id="240"/>
            <w:bookmarkEnd w:id="241"/>
            <w:bookmarkEnd w:id="242"/>
            <w:bookmarkEnd w:id="243"/>
            <w:bookmarkEnd w:id="244"/>
          </w:p>
        </w:tc>
      </w:tr>
      <w:tr w:rsidR="00357B58" w14:paraId="24783203" w14:textId="77777777" w:rsidTr="00357B58">
        <w:tc>
          <w:tcPr>
            <w:tcW w:w="1985" w:type="dxa"/>
            <w:shd w:val="clear" w:color="auto" w:fill="auto"/>
          </w:tcPr>
          <w:p w14:paraId="4E81153C" w14:textId="77777777" w:rsidR="00357B58" w:rsidRPr="00C0699C" w:rsidRDefault="00357B58" w:rsidP="00357B58">
            <w:pPr>
              <w:pStyle w:val="TableText"/>
            </w:pPr>
            <w:r w:rsidRPr="00C0699C">
              <w:t xml:space="preserve">Ports &amp; logistics </w:t>
            </w:r>
          </w:p>
        </w:tc>
        <w:tc>
          <w:tcPr>
            <w:tcW w:w="7652" w:type="dxa"/>
            <w:shd w:val="clear" w:color="auto" w:fill="auto"/>
          </w:tcPr>
          <w:p w14:paraId="491873EA" w14:textId="77777777" w:rsidR="00357B58" w:rsidRPr="00C0699C" w:rsidRDefault="00357B58" w:rsidP="00357B58">
            <w:pPr>
              <w:pStyle w:val="TableText"/>
              <w:numPr>
                <w:ilvl w:val="0"/>
                <w:numId w:val="28"/>
              </w:numPr>
            </w:pPr>
            <w:r w:rsidRPr="00C0699C">
              <w:t xml:space="preserve">Port of Grimsby </w:t>
            </w:r>
            <w:r w:rsidR="00C0699C" w:rsidRPr="00C0699C">
              <w:t>access and employment programme.</w:t>
            </w:r>
          </w:p>
          <w:p w14:paraId="4A23BF09" w14:textId="77777777" w:rsidR="00357B58" w:rsidRPr="00C0699C" w:rsidRDefault="00357B58" w:rsidP="00357B58">
            <w:pPr>
              <w:pStyle w:val="TableText"/>
              <w:numPr>
                <w:ilvl w:val="0"/>
                <w:numId w:val="28"/>
              </w:numPr>
            </w:pPr>
            <w:r w:rsidRPr="00C0699C">
              <w:t>Rail gauge investmen</w:t>
            </w:r>
            <w:r w:rsidR="00C0699C" w:rsidRPr="00C0699C">
              <w:t>t between Immingham and Doncaste</w:t>
            </w:r>
            <w:r w:rsidRPr="00C0699C">
              <w:t>r</w:t>
            </w:r>
            <w:r w:rsidR="00C0699C" w:rsidRPr="00C0699C">
              <w:t>.</w:t>
            </w:r>
          </w:p>
          <w:p w14:paraId="58648CBE" w14:textId="77777777" w:rsidR="00357B58" w:rsidRPr="00C0699C" w:rsidRDefault="00357B58" w:rsidP="00357B58">
            <w:pPr>
              <w:pStyle w:val="TableText"/>
              <w:numPr>
                <w:ilvl w:val="0"/>
                <w:numId w:val="28"/>
              </w:numPr>
            </w:pPr>
            <w:r w:rsidRPr="00C0699C">
              <w:t>Humberside Airport surface access improvements</w:t>
            </w:r>
            <w:r w:rsidR="00C0699C" w:rsidRPr="00C0699C">
              <w:t>.</w:t>
            </w:r>
            <w:r w:rsidRPr="00C0699C">
              <w:t xml:space="preserve"> </w:t>
            </w:r>
          </w:p>
        </w:tc>
      </w:tr>
    </w:tbl>
    <w:p w14:paraId="32236087" w14:textId="77777777" w:rsidR="00357B58" w:rsidRDefault="00357B58" w:rsidP="00357B58"/>
    <w:p w14:paraId="123AE0CE" w14:textId="77777777" w:rsidR="00357B58" w:rsidRPr="00C0699C" w:rsidRDefault="00357B58" w:rsidP="00C0699C">
      <w:pPr>
        <w:pStyle w:val="Caption"/>
        <w:spacing w:before="0" w:after="0"/>
        <w:rPr>
          <w:sz w:val="22"/>
          <w:szCs w:val="22"/>
        </w:rPr>
      </w:pPr>
      <w:r w:rsidRPr="00C0699C">
        <w:rPr>
          <w:sz w:val="22"/>
          <w:szCs w:val="22"/>
        </w:rPr>
        <w:t xml:space="preserve">Proposed Actions and Developments </w:t>
      </w:r>
    </w:p>
    <w:p w14:paraId="77CEF66E" w14:textId="77777777" w:rsidR="00357B58" w:rsidRDefault="00357B58" w:rsidP="00C0699C">
      <w:pPr>
        <w:pStyle w:val="BodyText"/>
      </w:pPr>
      <w:r>
        <w:t>The SEP proposes various infrastructure, housing and business support projects and initiatives to</w:t>
      </w:r>
      <w:r w:rsidR="00C0699C">
        <w:t xml:space="preserve"> promote growth across sectors, of </w:t>
      </w:r>
      <w:r>
        <w:t xml:space="preserve">particular relevance </w:t>
      </w:r>
      <w:r w:rsidR="00C0699C">
        <w:t>to North East Lincolnshire</w:t>
      </w:r>
      <w:r>
        <w:t xml:space="preserve">. </w:t>
      </w:r>
    </w:p>
    <w:p w14:paraId="59D0D19F" w14:textId="77777777" w:rsidR="00357B58" w:rsidRDefault="00357B58" w:rsidP="00C0699C">
      <w:pPr>
        <w:pStyle w:val="BodyText"/>
      </w:pPr>
      <w:r>
        <w:t>In terms of improving the availability of hou</w:t>
      </w:r>
      <w:r w:rsidR="00C0699C">
        <w:t>sing</w:t>
      </w:r>
      <w:r>
        <w:t xml:space="preserve"> and employment land, the SEP proposes:</w:t>
      </w:r>
    </w:p>
    <w:p w14:paraId="3B069DC0" w14:textId="77777777" w:rsidR="00357B58" w:rsidRDefault="00C0699C" w:rsidP="00C0699C">
      <w:pPr>
        <w:pStyle w:val="ListBullet"/>
      </w:pPr>
      <w:r>
        <w:t>D</w:t>
      </w:r>
      <w:r w:rsidR="00357B58">
        <w:t>evelopment of Freeman Street and West &amp; East Marsh Road in Grimsby, to assist 166 businesses and create 280 housing units.</w:t>
      </w:r>
    </w:p>
    <w:p w14:paraId="07DE9230" w14:textId="77777777" w:rsidR="00357B58" w:rsidRDefault="00C0699C" w:rsidP="00C0699C">
      <w:pPr>
        <w:pStyle w:val="ListBullet"/>
      </w:pPr>
      <w:r>
        <w:t>Delivering</w:t>
      </w:r>
      <w:r w:rsidR="00357B58">
        <w:t xml:space="preserve"> 600 housing units and creating employment land elsewhere in key employment zones in North East Lincolnshire. </w:t>
      </w:r>
    </w:p>
    <w:p w14:paraId="009B0133" w14:textId="77777777" w:rsidR="00357B58" w:rsidRDefault="00357B58" w:rsidP="00C0699C">
      <w:pPr>
        <w:pStyle w:val="ListBullet"/>
      </w:pPr>
      <w:r>
        <w:t xml:space="preserve">The Lincolnshire Lakes development in North Lincolnshire will also create employment land and provide 600 housing units. </w:t>
      </w:r>
    </w:p>
    <w:p w14:paraId="5589B920" w14:textId="77777777" w:rsidR="00357B58" w:rsidRDefault="00357B58" w:rsidP="0036742B">
      <w:pPr>
        <w:pStyle w:val="BodyText"/>
      </w:pPr>
      <w:r>
        <w:t xml:space="preserve">Proposed infrastructure investment includes several growth corridors within NEL: </w:t>
      </w:r>
    </w:p>
    <w:p w14:paraId="1F8FD1ED" w14:textId="77777777" w:rsidR="00357B58" w:rsidRDefault="00357B58" w:rsidP="0036742B">
      <w:pPr>
        <w:pStyle w:val="ListBullet"/>
      </w:pPr>
      <w:r>
        <w:t>The M180/A180 Scunthorpe to Grimsby route.</w:t>
      </w:r>
    </w:p>
    <w:p w14:paraId="6B75331B" w14:textId="77777777" w:rsidR="00357B58" w:rsidRDefault="00357B58" w:rsidP="0036742B">
      <w:pPr>
        <w:pStyle w:val="ListBullet"/>
      </w:pPr>
      <w:r>
        <w:t xml:space="preserve">The A16 Grimsby to Louth route.  </w:t>
      </w:r>
    </w:p>
    <w:p w14:paraId="0A3693FD" w14:textId="77777777" w:rsidR="00357B58" w:rsidRDefault="00357B58" w:rsidP="0036742B">
      <w:pPr>
        <w:pStyle w:val="ListBullet"/>
      </w:pPr>
      <w:r>
        <w:t xml:space="preserve">As mentioned, rail routes between Doncaster and Cleethorpes will receive gauge improvements, allowing for </w:t>
      </w:r>
      <w:r w:rsidR="0036742B">
        <w:t>enhanced</w:t>
      </w:r>
      <w:r>
        <w:t xml:space="preserve"> freight transport</w:t>
      </w:r>
      <w:r w:rsidR="0036742B">
        <w:t xml:space="preserve"> opportunities</w:t>
      </w:r>
      <w:r>
        <w:t>.</w:t>
      </w:r>
    </w:p>
    <w:p w14:paraId="6AD80A14" w14:textId="77777777" w:rsidR="00357B58" w:rsidRDefault="00357B58" w:rsidP="0036742B">
      <w:pPr>
        <w:pStyle w:val="BodyText"/>
      </w:pPr>
      <w:r>
        <w:t xml:space="preserve">The LEP also intends to support small businesses by improving the provision of information and support in accessing finance, to be implemented and coordinated through a one-stop Growth Hub. </w:t>
      </w:r>
    </w:p>
    <w:p w14:paraId="7D0791CE" w14:textId="77777777" w:rsidR="00357B58" w:rsidRDefault="00357B58" w:rsidP="00357B58">
      <w:pPr>
        <w:pStyle w:val="ListBullet"/>
        <w:numPr>
          <w:ilvl w:val="0"/>
          <w:numId w:val="0"/>
        </w:numPr>
        <w:spacing w:after="120"/>
        <w:ind w:left="1021" w:hanging="454"/>
      </w:pPr>
    </w:p>
    <w:p w14:paraId="26718572" w14:textId="77777777" w:rsidR="0036742B" w:rsidRDefault="00357B58" w:rsidP="0036742B">
      <w:pPr>
        <w:pStyle w:val="Heading3"/>
      </w:pPr>
      <w:r w:rsidRPr="00787147">
        <w:t>Development and Growth Plan for North East Lincolnshire</w:t>
      </w:r>
      <w:r w:rsidR="0036742B">
        <w:t>, 2012</w:t>
      </w:r>
      <w:r w:rsidRPr="00787147">
        <w:t xml:space="preserve"> </w:t>
      </w:r>
    </w:p>
    <w:p w14:paraId="6C1938C2" w14:textId="77777777" w:rsidR="00357B58" w:rsidRDefault="00357B58" w:rsidP="0036742B">
      <w:pPr>
        <w:pStyle w:val="BodyText"/>
      </w:pPr>
      <w:r>
        <w:t xml:space="preserve">Complementing other economic development strategies for the area, the Development and Growth Plan reinforces the prioritisation of investment in five key sectors.  </w:t>
      </w:r>
      <w:r w:rsidR="0036742B">
        <w:t>The</w:t>
      </w:r>
      <w:r>
        <w:t xml:space="preserve"> main aims </w:t>
      </w:r>
      <w:r w:rsidR="0036742B">
        <w:t xml:space="preserve">for each sector identified within the Plan are summarised in Table 2-3 below.  </w:t>
      </w:r>
    </w:p>
    <w:p w14:paraId="1EA35C38" w14:textId="77777777" w:rsidR="00357B58" w:rsidRDefault="00357B58" w:rsidP="00357B58">
      <w:pPr>
        <w:jc w:val="left"/>
        <w:rPr>
          <w:rFonts w:ascii="Arial" w:hAnsi="Arial"/>
          <w:b/>
          <w:color w:val="394A58"/>
          <w:sz w:val="20"/>
        </w:rPr>
      </w:pPr>
      <w:r>
        <w:rPr>
          <w:b/>
        </w:rPr>
        <w:br w:type="page"/>
      </w:r>
    </w:p>
    <w:p w14:paraId="7C159FFD" w14:textId="77777777" w:rsidR="0036742B" w:rsidRPr="0036742B" w:rsidRDefault="0036742B" w:rsidP="00357B58">
      <w:pPr>
        <w:pStyle w:val="BodyText"/>
        <w:rPr>
          <w:b/>
          <w:color w:val="096971" w:themeColor="accent1"/>
        </w:rPr>
      </w:pPr>
      <w:bookmarkStart w:id="245" w:name="_Toc394668598"/>
      <w:r w:rsidRPr="0036742B">
        <w:rPr>
          <w:b/>
          <w:color w:val="096971" w:themeColor="accent1"/>
        </w:rPr>
        <w:t xml:space="preserve">Table </w:t>
      </w:r>
      <w:fldSimple w:instr=" STYLEREF 1 \s  \* MERGEFORMAT ">
        <w:r w:rsidR="00E0327A">
          <w:rPr>
            <w:b/>
            <w:noProof/>
            <w:color w:val="096971" w:themeColor="accent1"/>
          </w:rPr>
          <w:t>2</w:t>
        </w:r>
      </w:fldSimple>
      <w:r w:rsidRPr="0036742B">
        <w:rPr>
          <w:b/>
          <w:color w:val="096971" w:themeColor="accent1"/>
        </w:rPr>
        <w:t>-</w:t>
      </w:r>
      <w:fldSimple w:instr=" SEQ Table \* ARABIC \s 1  \* MERGEFORMAT ">
        <w:r w:rsidR="00E0327A">
          <w:rPr>
            <w:b/>
            <w:noProof/>
            <w:color w:val="096971" w:themeColor="accent1"/>
          </w:rPr>
          <w:t>3</w:t>
        </w:r>
      </w:fldSimple>
      <w:r w:rsidRPr="0036742B">
        <w:rPr>
          <w:b/>
          <w:color w:val="096971" w:themeColor="accent1"/>
        </w:rPr>
        <w:tab/>
      </w:r>
      <w:r>
        <w:rPr>
          <w:b/>
          <w:color w:val="096971" w:themeColor="accent1"/>
        </w:rPr>
        <w:t>North East Lincolnshire Development and Growth Plan</w:t>
      </w:r>
      <w:bookmarkEnd w:id="245"/>
    </w:p>
    <w:tbl>
      <w:tblPr>
        <w:tblStyle w:val="Atkins14pt"/>
        <w:tblW w:w="0" w:type="auto"/>
        <w:tblLook w:val="04A0" w:firstRow="1" w:lastRow="0" w:firstColumn="1" w:lastColumn="0" w:noHBand="0" w:noVBand="1"/>
      </w:tblPr>
      <w:tblGrid>
        <w:gridCol w:w="3544"/>
        <w:gridCol w:w="6097"/>
      </w:tblGrid>
      <w:tr w:rsidR="00357B58" w:rsidRPr="008E22E9" w14:paraId="67C66AAE" w14:textId="77777777" w:rsidTr="00357B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Pr>
          <w:p w14:paraId="64A7B055" w14:textId="77777777" w:rsidR="00357B58" w:rsidRPr="008E22E9" w:rsidRDefault="00357B58" w:rsidP="00357B58">
            <w:pPr>
              <w:pStyle w:val="TableText"/>
              <w:rPr>
                <w:rFonts w:eastAsiaTheme="minorHAnsi" w:cstheme="minorBidi"/>
                <w:szCs w:val="22"/>
                <w:lang w:eastAsia="en-US"/>
              </w:rPr>
            </w:pPr>
            <w:r>
              <w:t xml:space="preserve">   </w:t>
            </w:r>
            <w:r w:rsidRPr="008E22E9">
              <w:rPr>
                <w:rFonts w:eastAsiaTheme="minorHAnsi" w:cstheme="minorBidi"/>
                <w:szCs w:val="22"/>
                <w:lang w:eastAsia="en-US"/>
              </w:rPr>
              <w:t>Sector</w:t>
            </w:r>
          </w:p>
        </w:tc>
        <w:tc>
          <w:tcPr>
            <w:tcW w:w="6097" w:type="dxa"/>
          </w:tcPr>
          <w:p w14:paraId="10249DCD" w14:textId="77777777" w:rsidR="00357B58" w:rsidRPr="008E22E9" w:rsidRDefault="00357B58" w:rsidP="00357B58">
            <w:pPr>
              <w:pStyle w:val="TableText"/>
              <w:cnfStyle w:val="100000000000" w:firstRow="1" w:lastRow="0" w:firstColumn="0" w:lastColumn="0" w:oddVBand="0" w:evenVBand="0" w:oddHBand="0" w:evenHBand="0" w:firstRowFirstColumn="0" w:firstRowLastColumn="0" w:lastRowFirstColumn="0" w:lastRowLastColumn="0"/>
              <w:rPr>
                <w:rFonts w:eastAsiaTheme="minorHAnsi" w:cstheme="minorBidi"/>
                <w:szCs w:val="22"/>
                <w:lang w:eastAsia="en-US"/>
              </w:rPr>
            </w:pPr>
            <w:r w:rsidRPr="008E22E9">
              <w:rPr>
                <w:rFonts w:eastAsiaTheme="minorHAnsi" w:cstheme="minorBidi"/>
                <w:szCs w:val="22"/>
                <w:lang w:eastAsia="en-US"/>
              </w:rPr>
              <w:t>Aim</w:t>
            </w:r>
          </w:p>
        </w:tc>
      </w:tr>
      <w:tr w:rsidR="00357B58" w:rsidRPr="003B1195" w14:paraId="6CDD7091" w14:textId="77777777" w:rsidTr="00357B58">
        <w:tc>
          <w:tcPr>
            <w:cnfStyle w:val="001000000000" w:firstRow="0" w:lastRow="0" w:firstColumn="1" w:lastColumn="0" w:oddVBand="0" w:evenVBand="0" w:oddHBand="0" w:evenHBand="0" w:firstRowFirstColumn="0" w:firstRowLastColumn="0" w:lastRowFirstColumn="0" w:lastRowLastColumn="0"/>
            <w:tcW w:w="3544" w:type="dxa"/>
          </w:tcPr>
          <w:p w14:paraId="41F791AB" w14:textId="77777777" w:rsidR="00357B58" w:rsidRPr="003B1195" w:rsidRDefault="00357B58" w:rsidP="00357B58">
            <w:pPr>
              <w:pStyle w:val="BodyText"/>
              <w:rPr>
                <w:lang w:eastAsia="en-US"/>
              </w:rPr>
            </w:pPr>
            <w:r>
              <w:rPr>
                <w:lang w:eastAsia="en-US"/>
              </w:rPr>
              <w:t>P</w:t>
            </w:r>
            <w:r w:rsidRPr="003B1195">
              <w:rPr>
                <w:lang w:eastAsia="en-US"/>
              </w:rPr>
              <w:t>orts &amp; logistics</w:t>
            </w:r>
          </w:p>
        </w:tc>
        <w:tc>
          <w:tcPr>
            <w:tcW w:w="6097" w:type="dxa"/>
          </w:tcPr>
          <w:p w14:paraId="519C1BA5" w14:textId="77777777" w:rsidR="00357B58" w:rsidRPr="003B1195" w:rsidRDefault="00357B58" w:rsidP="00357B58">
            <w:pPr>
              <w:pStyle w:val="BodyText"/>
              <w:cnfStyle w:val="000000000000" w:firstRow="0" w:lastRow="0" w:firstColumn="0" w:lastColumn="0" w:oddVBand="0" w:evenVBand="0" w:oddHBand="0" w:evenHBand="0" w:firstRowFirstColumn="0" w:firstRowLastColumn="0" w:lastRowFirstColumn="0" w:lastRowLastColumn="0"/>
            </w:pPr>
            <w:r w:rsidRPr="003B1195">
              <w:t>Promote the Humber Port complex with a focus on Immingham and Grimsby together</w:t>
            </w:r>
            <w:r>
              <w:t xml:space="preserve"> </w:t>
            </w:r>
            <w:r w:rsidRPr="003B1195">
              <w:t>with developing the logistics offer.</w:t>
            </w:r>
          </w:p>
        </w:tc>
      </w:tr>
      <w:tr w:rsidR="00357B58" w:rsidRPr="003B1195" w14:paraId="1563CE8F" w14:textId="77777777" w:rsidTr="00357B58">
        <w:tc>
          <w:tcPr>
            <w:cnfStyle w:val="001000000000" w:firstRow="0" w:lastRow="0" w:firstColumn="1" w:lastColumn="0" w:oddVBand="0" w:evenVBand="0" w:oddHBand="0" w:evenHBand="0" w:firstRowFirstColumn="0" w:firstRowLastColumn="0" w:lastRowFirstColumn="0" w:lastRowLastColumn="0"/>
            <w:tcW w:w="3544" w:type="dxa"/>
          </w:tcPr>
          <w:p w14:paraId="06344C89" w14:textId="77777777" w:rsidR="00357B58" w:rsidRPr="003B1195" w:rsidRDefault="00357B58" w:rsidP="00357B58">
            <w:pPr>
              <w:pStyle w:val="BodyText"/>
              <w:rPr>
                <w:lang w:eastAsia="en-US"/>
              </w:rPr>
            </w:pPr>
            <w:r w:rsidRPr="003B1195">
              <w:rPr>
                <w:lang w:eastAsia="en-US"/>
              </w:rPr>
              <w:t>Food manufacturing</w:t>
            </w:r>
          </w:p>
        </w:tc>
        <w:tc>
          <w:tcPr>
            <w:tcW w:w="6097" w:type="dxa"/>
          </w:tcPr>
          <w:p w14:paraId="1F68DFF0" w14:textId="77777777" w:rsidR="00357B58" w:rsidRPr="003B1195" w:rsidRDefault="00357B58" w:rsidP="00357B58">
            <w:pPr>
              <w:pStyle w:val="BodyText"/>
              <w:cnfStyle w:val="000000000000" w:firstRow="0" w:lastRow="0" w:firstColumn="0" w:lastColumn="0" w:oddVBand="0" w:evenVBand="0" w:oddHBand="0" w:evenHBand="0" w:firstRowFirstColumn="0" w:firstRowLastColumn="0" w:lastRowFirstColumn="0" w:lastRowLastColumn="0"/>
            </w:pPr>
            <w:r w:rsidRPr="003B1195">
              <w:t>Secure, sustain and grow this primary</w:t>
            </w:r>
            <w:r>
              <w:t xml:space="preserve"> </w:t>
            </w:r>
            <w:r w:rsidRPr="003B1195">
              <w:t>sector within North East Lincolnshire</w:t>
            </w:r>
            <w:r>
              <w:t xml:space="preserve"> </w:t>
            </w:r>
            <w:r w:rsidRPr="003B1195">
              <w:t>to become the UK’s leading food</w:t>
            </w:r>
            <w:r>
              <w:t xml:space="preserve"> </w:t>
            </w:r>
            <w:r w:rsidRPr="003B1195">
              <w:t>manufacturing cluste</w:t>
            </w:r>
            <w:r>
              <w:t>r</w:t>
            </w:r>
          </w:p>
        </w:tc>
      </w:tr>
      <w:tr w:rsidR="00357B58" w:rsidRPr="003B1195" w14:paraId="63C7F8EF" w14:textId="77777777" w:rsidTr="00357B58">
        <w:tc>
          <w:tcPr>
            <w:cnfStyle w:val="001000000000" w:firstRow="0" w:lastRow="0" w:firstColumn="1" w:lastColumn="0" w:oddVBand="0" w:evenVBand="0" w:oddHBand="0" w:evenHBand="0" w:firstRowFirstColumn="0" w:firstRowLastColumn="0" w:lastRowFirstColumn="0" w:lastRowLastColumn="0"/>
            <w:tcW w:w="3544" w:type="dxa"/>
          </w:tcPr>
          <w:p w14:paraId="30F80BA8" w14:textId="77777777" w:rsidR="00357B58" w:rsidRPr="003B1195" w:rsidRDefault="00357B58" w:rsidP="00357B58">
            <w:pPr>
              <w:pStyle w:val="BodyText"/>
              <w:rPr>
                <w:lang w:eastAsia="en-US"/>
              </w:rPr>
            </w:pPr>
            <w:r w:rsidRPr="003B1195">
              <w:rPr>
                <w:lang w:eastAsia="en-US"/>
              </w:rPr>
              <w:t>Renewables &amp; Energy</w:t>
            </w:r>
          </w:p>
        </w:tc>
        <w:tc>
          <w:tcPr>
            <w:tcW w:w="6097" w:type="dxa"/>
          </w:tcPr>
          <w:p w14:paraId="36E3FF5A" w14:textId="77777777" w:rsidR="00357B58" w:rsidRPr="003B1195" w:rsidRDefault="00357B58" w:rsidP="00357B58">
            <w:pPr>
              <w:pStyle w:val="BodyText"/>
              <w:cnfStyle w:val="000000000000" w:firstRow="0" w:lastRow="0" w:firstColumn="0" w:lastColumn="0" w:oddVBand="0" w:evenVBand="0" w:oddHBand="0" w:evenHBand="0" w:firstRowFirstColumn="0" w:firstRowLastColumn="0" w:lastRowFirstColumn="0" w:lastRowLastColumn="0"/>
              <w:rPr>
                <w:lang w:eastAsia="en-US"/>
              </w:rPr>
            </w:pPr>
            <w:r w:rsidRPr="003B1195">
              <w:rPr>
                <w:lang w:eastAsia="en-US"/>
              </w:rPr>
              <w:t>Establish North East Lincolnshire as the leading operations and maintenance centre</w:t>
            </w:r>
            <w:r>
              <w:rPr>
                <w:lang w:eastAsia="en-US"/>
              </w:rPr>
              <w:t xml:space="preserve"> </w:t>
            </w:r>
            <w:r w:rsidRPr="003B1195">
              <w:rPr>
                <w:lang w:eastAsia="en-US"/>
              </w:rPr>
              <w:t>for offshore wind and to facilitate the provision of energy security to industry.</w:t>
            </w:r>
            <w:r>
              <w:rPr>
                <w:lang w:eastAsia="en-US"/>
              </w:rPr>
              <w:t xml:space="preserve">   Forming a major component of the Humber as the ‘energy estuary’.</w:t>
            </w:r>
          </w:p>
        </w:tc>
      </w:tr>
      <w:tr w:rsidR="00357B58" w:rsidRPr="003B1195" w14:paraId="0190A1A8" w14:textId="77777777" w:rsidTr="00357B58">
        <w:tc>
          <w:tcPr>
            <w:cnfStyle w:val="001000000000" w:firstRow="0" w:lastRow="0" w:firstColumn="1" w:lastColumn="0" w:oddVBand="0" w:evenVBand="0" w:oddHBand="0" w:evenHBand="0" w:firstRowFirstColumn="0" w:firstRowLastColumn="0" w:lastRowFirstColumn="0" w:lastRowLastColumn="0"/>
            <w:tcW w:w="3544" w:type="dxa"/>
          </w:tcPr>
          <w:p w14:paraId="09A5CF7B" w14:textId="77777777" w:rsidR="00357B58" w:rsidRPr="003B1195" w:rsidRDefault="00357B58" w:rsidP="00357B58">
            <w:pPr>
              <w:pStyle w:val="BodyText"/>
              <w:rPr>
                <w:lang w:eastAsia="en-US"/>
              </w:rPr>
            </w:pPr>
            <w:r>
              <w:rPr>
                <w:lang w:eastAsia="en-US"/>
              </w:rPr>
              <w:t>C</w:t>
            </w:r>
            <w:r w:rsidRPr="003B1195">
              <w:rPr>
                <w:lang w:eastAsia="en-US"/>
              </w:rPr>
              <w:t>hemicals</w:t>
            </w:r>
          </w:p>
        </w:tc>
        <w:tc>
          <w:tcPr>
            <w:tcW w:w="6097" w:type="dxa"/>
          </w:tcPr>
          <w:p w14:paraId="39154F51" w14:textId="77777777" w:rsidR="00357B58" w:rsidRPr="003B1195" w:rsidRDefault="00357B58" w:rsidP="00357B58">
            <w:pPr>
              <w:pStyle w:val="BodyText"/>
              <w:cnfStyle w:val="000000000000" w:firstRow="0" w:lastRow="0" w:firstColumn="0" w:lastColumn="0" w:oddVBand="0" w:evenVBand="0" w:oddHBand="0" w:evenHBand="0" w:firstRowFirstColumn="0" w:firstRowLastColumn="0" w:lastRowFirstColumn="0" w:lastRowLastColumn="0"/>
              <w:rPr>
                <w:lang w:eastAsia="en-US"/>
              </w:rPr>
            </w:pPr>
            <w:r w:rsidRPr="003B1195">
              <w:rPr>
                <w:lang w:eastAsia="en-US"/>
              </w:rPr>
              <w:t>Support our global and local partners</w:t>
            </w:r>
            <w:r>
              <w:rPr>
                <w:lang w:eastAsia="en-US"/>
              </w:rPr>
              <w:t xml:space="preserve"> </w:t>
            </w:r>
            <w:r w:rsidRPr="003B1195">
              <w:rPr>
                <w:lang w:eastAsia="en-US"/>
              </w:rPr>
              <w:t>to sustain and grow this established</w:t>
            </w:r>
            <w:r>
              <w:rPr>
                <w:lang w:eastAsia="en-US"/>
              </w:rPr>
              <w:t xml:space="preserve"> </w:t>
            </w:r>
            <w:r w:rsidRPr="003B1195">
              <w:rPr>
                <w:lang w:eastAsia="en-US"/>
              </w:rPr>
              <w:t>sector within North East Lincolnshire.</w:t>
            </w:r>
          </w:p>
        </w:tc>
      </w:tr>
      <w:tr w:rsidR="00357B58" w:rsidRPr="003B1195" w14:paraId="5CA0C0E4" w14:textId="77777777" w:rsidTr="00357B58">
        <w:tc>
          <w:tcPr>
            <w:cnfStyle w:val="001000000000" w:firstRow="0" w:lastRow="0" w:firstColumn="1" w:lastColumn="0" w:oddVBand="0" w:evenVBand="0" w:oddHBand="0" w:evenHBand="0" w:firstRowFirstColumn="0" w:firstRowLastColumn="0" w:lastRowFirstColumn="0" w:lastRowLastColumn="0"/>
            <w:tcW w:w="3544" w:type="dxa"/>
            <w:tcBorders>
              <w:bottom w:val="single" w:sz="2" w:space="0" w:color="000000" w:themeColor="text1"/>
            </w:tcBorders>
          </w:tcPr>
          <w:p w14:paraId="24966B98" w14:textId="77777777" w:rsidR="00357B58" w:rsidRPr="003B1195" w:rsidRDefault="00357B58" w:rsidP="00357B58">
            <w:pPr>
              <w:pStyle w:val="BodyText"/>
            </w:pPr>
            <w:r>
              <w:t>V</w:t>
            </w:r>
            <w:r w:rsidRPr="003B1195">
              <w:t>isitor economy, service &amp; retail</w:t>
            </w:r>
          </w:p>
        </w:tc>
        <w:tc>
          <w:tcPr>
            <w:tcW w:w="6097" w:type="dxa"/>
            <w:tcBorders>
              <w:bottom w:val="single" w:sz="2" w:space="0" w:color="000000" w:themeColor="text1"/>
            </w:tcBorders>
          </w:tcPr>
          <w:p w14:paraId="39AA7D96" w14:textId="77777777" w:rsidR="00357B58" w:rsidRPr="003B1195" w:rsidRDefault="00357B58" w:rsidP="00357B58">
            <w:pPr>
              <w:pStyle w:val="BodyText"/>
              <w:cnfStyle w:val="000000000000" w:firstRow="0" w:lastRow="0" w:firstColumn="0" w:lastColumn="0" w:oddVBand="0" w:evenVBand="0" w:oddHBand="0" w:evenHBand="0" w:firstRowFirstColumn="0" w:firstRowLastColumn="0" w:lastRowFirstColumn="0" w:lastRowLastColumn="0"/>
            </w:pPr>
            <w:r w:rsidRPr="003B1195">
              <w:t>Enhance the visitor economy and retail offer in North East Lincolnshire. This</w:t>
            </w:r>
            <w:r>
              <w:t xml:space="preserve"> </w:t>
            </w:r>
            <w:r w:rsidRPr="003B1195">
              <w:t>sector is essential for developing quality of life benefits for the community and</w:t>
            </w:r>
            <w:r>
              <w:t xml:space="preserve"> </w:t>
            </w:r>
            <w:r w:rsidRPr="003B1195">
              <w:t>businesses, making it a good place to live as well as offering excellent development</w:t>
            </w:r>
            <w:r>
              <w:t xml:space="preserve"> </w:t>
            </w:r>
            <w:r w:rsidRPr="003B1195">
              <w:t>opportunities.</w:t>
            </w:r>
          </w:p>
        </w:tc>
      </w:tr>
      <w:tr w:rsidR="00357B58" w:rsidRPr="008E22E9" w14:paraId="56166CD6" w14:textId="77777777" w:rsidTr="00357B58">
        <w:tc>
          <w:tcPr>
            <w:cnfStyle w:val="001000000000" w:firstRow="0" w:lastRow="0" w:firstColumn="1" w:lastColumn="0" w:oddVBand="0" w:evenVBand="0" w:oddHBand="0" w:evenHBand="0" w:firstRowFirstColumn="0" w:firstRowLastColumn="0" w:lastRowFirstColumn="0" w:lastRowLastColumn="0"/>
            <w:tcW w:w="3544" w:type="dxa"/>
            <w:shd w:val="clear" w:color="auto" w:fill="D9D9D9" w:themeFill="background1" w:themeFillShade="D9"/>
          </w:tcPr>
          <w:p w14:paraId="1E14C173" w14:textId="77777777" w:rsidR="00357B58" w:rsidRPr="00553A80" w:rsidRDefault="00357B58" w:rsidP="00357B58">
            <w:pPr>
              <w:pStyle w:val="BodyText"/>
              <w:rPr>
                <w:b/>
              </w:rPr>
            </w:pPr>
            <w:r>
              <w:rPr>
                <w:b/>
              </w:rPr>
              <w:t>Cross Sector</w:t>
            </w:r>
            <w:r w:rsidRPr="00553A80">
              <w:rPr>
                <w:b/>
              </w:rPr>
              <w:t xml:space="preserve"> Themes</w:t>
            </w:r>
          </w:p>
        </w:tc>
        <w:tc>
          <w:tcPr>
            <w:tcW w:w="6097" w:type="dxa"/>
            <w:shd w:val="clear" w:color="auto" w:fill="D9D9D9" w:themeFill="background1" w:themeFillShade="D9"/>
          </w:tcPr>
          <w:p w14:paraId="1D4E0B5B" w14:textId="77777777" w:rsidR="00357B58" w:rsidRPr="008E22E9" w:rsidRDefault="00357B58" w:rsidP="00357B58">
            <w:pPr>
              <w:pStyle w:val="BodyText"/>
              <w:cnfStyle w:val="000000000000" w:firstRow="0" w:lastRow="0" w:firstColumn="0" w:lastColumn="0" w:oddVBand="0" w:evenVBand="0" w:oddHBand="0" w:evenHBand="0" w:firstRowFirstColumn="0" w:firstRowLastColumn="0" w:lastRowFirstColumn="0" w:lastRowLastColumn="0"/>
            </w:pPr>
          </w:p>
        </w:tc>
      </w:tr>
      <w:tr w:rsidR="00357B58" w:rsidRPr="003B1195" w14:paraId="65105E56" w14:textId="77777777" w:rsidTr="00357B58">
        <w:tc>
          <w:tcPr>
            <w:cnfStyle w:val="001000000000" w:firstRow="0" w:lastRow="0" w:firstColumn="1" w:lastColumn="0" w:oddVBand="0" w:evenVBand="0" w:oddHBand="0" w:evenHBand="0" w:firstRowFirstColumn="0" w:firstRowLastColumn="0" w:lastRowFirstColumn="0" w:lastRowLastColumn="0"/>
            <w:tcW w:w="3544" w:type="dxa"/>
          </w:tcPr>
          <w:p w14:paraId="355A3239" w14:textId="77777777" w:rsidR="00357B58" w:rsidRPr="003B1195" w:rsidRDefault="00357B58" w:rsidP="00357B58">
            <w:pPr>
              <w:pStyle w:val="BodyText"/>
            </w:pPr>
            <w:r w:rsidRPr="008E22E9">
              <w:rPr>
                <w:rFonts w:cstheme="minorBidi"/>
                <w:szCs w:val="22"/>
              </w:rPr>
              <w:t>Environment &amp; Infrastructure</w:t>
            </w:r>
          </w:p>
        </w:tc>
        <w:tc>
          <w:tcPr>
            <w:tcW w:w="6097" w:type="dxa"/>
          </w:tcPr>
          <w:p w14:paraId="60457E6F" w14:textId="77777777" w:rsidR="00357B58" w:rsidRPr="003B1195" w:rsidRDefault="00357B58" w:rsidP="00357B58">
            <w:pPr>
              <w:pStyle w:val="BodyText"/>
              <w:cnfStyle w:val="000000000000" w:firstRow="0" w:lastRow="0" w:firstColumn="0" w:lastColumn="0" w:oddVBand="0" w:evenVBand="0" w:oddHBand="0" w:evenHBand="0" w:firstRowFirstColumn="0" w:firstRowLastColumn="0" w:lastRowFirstColumn="0" w:lastRowLastColumn="0"/>
            </w:pPr>
            <w:r w:rsidRPr="008E22E9">
              <w:rPr>
                <w:rFonts w:cstheme="minorBidi"/>
                <w:szCs w:val="22"/>
              </w:rPr>
              <w:t>Create the environment for growth.</w:t>
            </w:r>
          </w:p>
        </w:tc>
      </w:tr>
      <w:tr w:rsidR="00357B58" w:rsidRPr="003B1195" w14:paraId="5BE322A9" w14:textId="77777777" w:rsidTr="00357B58">
        <w:tc>
          <w:tcPr>
            <w:cnfStyle w:val="001000000000" w:firstRow="0" w:lastRow="0" w:firstColumn="1" w:lastColumn="0" w:oddVBand="0" w:evenVBand="0" w:oddHBand="0" w:evenHBand="0" w:firstRowFirstColumn="0" w:firstRowLastColumn="0" w:lastRowFirstColumn="0" w:lastRowLastColumn="0"/>
            <w:tcW w:w="3544" w:type="dxa"/>
          </w:tcPr>
          <w:p w14:paraId="3FFFE64E" w14:textId="77777777" w:rsidR="00357B58" w:rsidRPr="008E22E9" w:rsidRDefault="00357B58" w:rsidP="00357B58">
            <w:pPr>
              <w:pStyle w:val="BodyText"/>
              <w:rPr>
                <w:rFonts w:cstheme="minorBidi"/>
                <w:szCs w:val="22"/>
              </w:rPr>
            </w:pPr>
            <w:r w:rsidRPr="008E22E9">
              <w:rPr>
                <w:rFonts w:cstheme="minorBidi"/>
                <w:szCs w:val="22"/>
              </w:rPr>
              <w:t>Employment &amp; Skills</w:t>
            </w:r>
          </w:p>
        </w:tc>
        <w:tc>
          <w:tcPr>
            <w:tcW w:w="6097" w:type="dxa"/>
          </w:tcPr>
          <w:p w14:paraId="573308BD" w14:textId="77777777" w:rsidR="00357B58" w:rsidRPr="003B1195" w:rsidRDefault="00357B58" w:rsidP="00357B58">
            <w:pPr>
              <w:pStyle w:val="BodyText"/>
              <w:cnfStyle w:val="000000000000" w:firstRow="0" w:lastRow="0" w:firstColumn="0" w:lastColumn="0" w:oddVBand="0" w:evenVBand="0" w:oddHBand="0" w:evenHBand="0" w:firstRowFirstColumn="0" w:firstRowLastColumn="0" w:lastRowFirstColumn="0" w:lastRowLastColumn="0"/>
            </w:pPr>
            <w:r w:rsidRPr="008E22E9">
              <w:rPr>
                <w:rFonts w:cstheme="minorBidi"/>
                <w:szCs w:val="22"/>
              </w:rPr>
              <w:t>Develop a workforce fit for industry.</w:t>
            </w:r>
          </w:p>
        </w:tc>
      </w:tr>
      <w:tr w:rsidR="00357B58" w:rsidRPr="003B1195" w14:paraId="5E77D86C" w14:textId="77777777" w:rsidTr="00357B58">
        <w:tc>
          <w:tcPr>
            <w:cnfStyle w:val="001000000000" w:firstRow="0" w:lastRow="0" w:firstColumn="1" w:lastColumn="0" w:oddVBand="0" w:evenVBand="0" w:oddHBand="0" w:evenHBand="0" w:firstRowFirstColumn="0" w:firstRowLastColumn="0" w:lastRowFirstColumn="0" w:lastRowLastColumn="0"/>
            <w:tcW w:w="3544" w:type="dxa"/>
          </w:tcPr>
          <w:p w14:paraId="33B58BBB" w14:textId="77777777" w:rsidR="00357B58" w:rsidRPr="008E22E9" w:rsidRDefault="00357B58" w:rsidP="00357B58">
            <w:pPr>
              <w:pStyle w:val="BodyText"/>
              <w:rPr>
                <w:rFonts w:cstheme="minorBidi"/>
                <w:szCs w:val="22"/>
              </w:rPr>
            </w:pPr>
            <w:r w:rsidRPr="008E22E9">
              <w:rPr>
                <w:rFonts w:cstheme="minorBidi"/>
                <w:szCs w:val="22"/>
              </w:rPr>
              <w:t>Investment &amp; Trade</w:t>
            </w:r>
          </w:p>
        </w:tc>
        <w:tc>
          <w:tcPr>
            <w:tcW w:w="6097" w:type="dxa"/>
          </w:tcPr>
          <w:p w14:paraId="56BE52B5" w14:textId="77777777" w:rsidR="00357B58" w:rsidRPr="003B1195" w:rsidRDefault="00357B58" w:rsidP="00357B58">
            <w:pPr>
              <w:pStyle w:val="BodyText"/>
              <w:cnfStyle w:val="000000000000" w:firstRow="0" w:lastRow="0" w:firstColumn="0" w:lastColumn="0" w:oddVBand="0" w:evenVBand="0" w:oddHBand="0" w:evenHBand="0" w:firstRowFirstColumn="0" w:firstRowLastColumn="0" w:lastRowFirstColumn="0" w:lastRowLastColumn="0"/>
            </w:pPr>
            <w:r w:rsidRPr="008E22E9">
              <w:rPr>
                <w:rFonts w:cstheme="minorBidi"/>
                <w:szCs w:val="22"/>
              </w:rPr>
              <w:t>Establish North East Lincolnshire as the location</w:t>
            </w:r>
            <w:r>
              <w:t xml:space="preserve"> </w:t>
            </w:r>
            <w:r w:rsidRPr="008E22E9">
              <w:rPr>
                <w:rFonts w:cstheme="minorBidi"/>
                <w:szCs w:val="22"/>
              </w:rPr>
              <w:t>for investment.</w:t>
            </w:r>
          </w:p>
        </w:tc>
      </w:tr>
      <w:tr w:rsidR="00357B58" w:rsidRPr="003B1195" w14:paraId="2A79E5F1" w14:textId="77777777" w:rsidTr="00357B58">
        <w:tc>
          <w:tcPr>
            <w:cnfStyle w:val="001000000000" w:firstRow="0" w:lastRow="0" w:firstColumn="1" w:lastColumn="0" w:oddVBand="0" w:evenVBand="0" w:oddHBand="0" w:evenHBand="0" w:firstRowFirstColumn="0" w:firstRowLastColumn="0" w:lastRowFirstColumn="0" w:lastRowLastColumn="0"/>
            <w:tcW w:w="3544" w:type="dxa"/>
          </w:tcPr>
          <w:p w14:paraId="36B68BF0" w14:textId="77777777" w:rsidR="00357B58" w:rsidRPr="008E22E9" w:rsidRDefault="00357B58" w:rsidP="00357B58">
            <w:pPr>
              <w:pStyle w:val="BodyText"/>
              <w:rPr>
                <w:rFonts w:cstheme="minorBidi"/>
                <w:szCs w:val="22"/>
              </w:rPr>
            </w:pPr>
            <w:r w:rsidRPr="008E22E9">
              <w:rPr>
                <w:rFonts w:cstheme="minorBidi"/>
                <w:szCs w:val="22"/>
              </w:rPr>
              <w:t>SME Business Support</w:t>
            </w:r>
          </w:p>
        </w:tc>
        <w:tc>
          <w:tcPr>
            <w:tcW w:w="6097" w:type="dxa"/>
          </w:tcPr>
          <w:p w14:paraId="142354D3" w14:textId="77777777" w:rsidR="00357B58" w:rsidRPr="003B1195" w:rsidRDefault="00357B58" w:rsidP="00357B58">
            <w:pPr>
              <w:pStyle w:val="BodyText"/>
              <w:cnfStyle w:val="000000000000" w:firstRow="0" w:lastRow="0" w:firstColumn="0" w:lastColumn="0" w:oddVBand="0" w:evenVBand="0" w:oddHBand="0" w:evenHBand="0" w:firstRowFirstColumn="0" w:firstRowLastColumn="0" w:lastRowFirstColumn="0" w:lastRowLastColumn="0"/>
            </w:pPr>
            <w:r w:rsidRPr="008E22E9">
              <w:rPr>
                <w:rFonts w:cstheme="minorBidi"/>
                <w:szCs w:val="22"/>
              </w:rPr>
              <w:t>Build a diverse and resilient SME population.</w:t>
            </w:r>
          </w:p>
        </w:tc>
      </w:tr>
    </w:tbl>
    <w:p w14:paraId="21770660" w14:textId="77777777" w:rsidR="00357B58" w:rsidRDefault="00357B58" w:rsidP="00357B58"/>
    <w:p w14:paraId="6E3C50B6" w14:textId="77777777" w:rsidR="00357B58" w:rsidRDefault="0036742B" w:rsidP="0036742B">
      <w:pPr>
        <w:pStyle w:val="Heading3"/>
      </w:pPr>
      <w:r>
        <w:t>Humber Enterprise Zones</w:t>
      </w:r>
    </w:p>
    <w:p w14:paraId="1AF14D08" w14:textId="77777777" w:rsidR="00357B58" w:rsidRDefault="00357B58" w:rsidP="00357B58">
      <w:pPr>
        <w:pStyle w:val="BodyText"/>
      </w:pPr>
      <w:r>
        <w:t xml:space="preserve">Reflecting the economic growth potential of the </w:t>
      </w:r>
      <w:r w:rsidR="0036742B">
        <w:t>area</w:t>
      </w:r>
      <w:r>
        <w:t>, the Humber LEP was successful in having eight areas designated as Enterprise Zones (EZs) which enable accelerated planning procedures and discounted business rates to incentivise business investment in the area.  The EZs include:</w:t>
      </w:r>
    </w:p>
    <w:p w14:paraId="3624E993" w14:textId="72ACB31C" w:rsidR="00357B58" w:rsidRDefault="00357B58" w:rsidP="00357B58">
      <w:pPr>
        <w:pStyle w:val="ListBullet"/>
        <w:spacing w:after="120"/>
      </w:pPr>
      <w:r>
        <w:t>Port of Grimsby Enterprise Zone:  Targeting operations and maintenance (O&amp;M) and associated supply ch</w:t>
      </w:r>
      <w:r w:rsidR="001039D3">
        <w:t>ain</w:t>
      </w:r>
      <w:r>
        <w:t xml:space="preserve"> activity for the renewables industry.</w:t>
      </w:r>
    </w:p>
    <w:p w14:paraId="412172AF" w14:textId="77777777" w:rsidR="00357B58" w:rsidRDefault="00357B58" w:rsidP="00357B58">
      <w:pPr>
        <w:pStyle w:val="ListBullet"/>
        <w:spacing w:after="120"/>
      </w:pPr>
      <w:r>
        <w:t>Able Marine Energy Park Enterprise Zone:  The largest EZ in the country, offshore windfarm manufacturing and O&amp;M activities are targeted for this major port proposal.</w:t>
      </w:r>
    </w:p>
    <w:p w14:paraId="3B398BF3" w14:textId="77777777" w:rsidR="00E008F4" w:rsidRDefault="00E008F4" w:rsidP="00E008F4">
      <w:pPr>
        <w:pStyle w:val="Heading3"/>
      </w:pPr>
      <w:r>
        <w:t>Implications</w:t>
      </w:r>
    </w:p>
    <w:p w14:paraId="29BAC418" w14:textId="77777777" w:rsidR="00357B58" w:rsidRDefault="00357B58" w:rsidP="00357B58">
      <w:pPr>
        <w:pStyle w:val="BodyText"/>
      </w:pPr>
      <w:r>
        <w:t xml:space="preserve">This brief review of the economic policy context in North East Lincolnshire demonstrate a clear and well established focus on driving forward growth and diversification of the five key priority sectors. As discussed in the sector report, each of the key sectors is dynamic in nature and is a strong focus for external and internal investment (especially renewables and energy).  Furthermore, substantial industry and public-sector driven initiatives and plans have been put in place to help facilitate the economic growth and diversification of the sectors over the next 10 or 20 years.  </w:t>
      </w:r>
    </w:p>
    <w:p w14:paraId="7D0185E3" w14:textId="77777777" w:rsidR="00357B58" w:rsidRDefault="00357B58" w:rsidP="00357B58">
      <w:pPr>
        <w:pStyle w:val="BodyText"/>
      </w:pPr>
      <w:r>
        <w:t xml:space="preserve">Importantly, expansion of the key sectors will be an important driver for other sectors of the economy including increasing demand for business-to-business (producer) services, retail and leisure (consumer) services and public services (including education and health).  Moreover, stimulation of intertwined supply chains and the capturing of purchasing activity within the local economy will also drive up demand for other forms of production and manufacturing (such as machinery, equipment and components).  Finally, it is necessary to highlight that much of the latent growth of economic activity generated by the key sectors will directly increase the demand for transport and logistics services which are central to the economy of North East Lincolnshire and the wider Humber </w:t>
      </w:r>
      <w:r w:rsidR="00E008F4">
        <w:t>area</w:t>
      </w:r>
      <w:r>
        <w:t xml:space="preserve">. </w:t>
      </w:r>
    </w:p>
    <w:p w14:paraId="3E7A4602" w14:textId="77777777" w:rsidR="00357B58" w:rsidRDefault="00357B58" w:rsidP="00357B58">
      <w:pPr>
        <w:pStyle w:val="Heading2"/>
      </w:pPr>
      <w:bookmarkStart w:id="246" w:name="_Toc393983969"/>
      <w:bookmarkStart w:id="247" w:name="_Toc393984894"/>
      <w:bookmarkStart w:id="248" w:name="_Toc393985089"/>
      <w:bookmarkStart w:id="249" w:name="_Toc394668581"/>
      <w:r>
        <w:t>Business Growth Drivers &amp; Threats</w:t>
      </w:r>
      <w:bookmarkEnd w:id="246"/>
      <w:bookmarkEnd w:id="247"/>
      <w:bookmarkEnd w:id="248"/>
      <w:bookmarkEnd w:id="249"/>
    </w:p>
    <w:p w14:paraId="73DC8DF8" w14:textId="77777777" w:rsidR="00357B58" w:rsidRDefault="00357B58" w:rsidP="00357B58">
      <w:pPr>
        <w:pStyle w:val="BodyText"/>
      </w:pPr>
      <w:r>
        <w:t>In addition to well established policy drivers for the five priority sectors in enabling economic growth and diversification in North East Lincolnshire, the sectors are also characterised by substantial planned and potential investments which will be central to delivering growth.  Moreover, wider market trends and opportunities indicate that the sectors offer significant latent economic growth potential over the next two decades.</w:t>
      </w:r>
    </w:p>
    <w:p w14:paraId="6F3F5BBA" w14:textId="77777777" w:rsidR="00357B58" w:rsidRDefault="00357B58" w:rsidP="00357B58">
      <w:pPr>
        <w:pStyle w:val="Heading3"/>
      </w:pPr>
      <w:r>
        <w:t>Major Investment Proposals</w:t>
      </w:r>
    </w:p>
    <w:p w14:paraId="6CAED97E" w14:textId="77777777" w:rsidR="00357B58" w:rsidRDefault="00357B58" w:rsidP="00357B58">
      <w:pPr>
        <w:pStyle w:val="BodyText"/>
      </w:pPr>
      <w:r>
        <w:t xml:space="preserve">The importance of the five key sectors both now and in the future is further reinforced by the fact that substantial investment projects are planned or proposed in North East Lincolnshire and adjoining areas in neighbouring authorities.  Whilst the planned timescales and risks to </w:t>
      </w:r>
      <w:r w:rsidR="00161265">
        <w:t>delivery</w:t>
      </w:r>
      <w:r>
        <w:t xml:space="preserve"> are not fully assessed in this report, the scale and mix of pipeline projects demonstrates confidence amongst both the private and public sectors regarding the collective future growth and diversification potential of the key sectors.</w:t>
      </w:r>
    </w:p>
    <w:p w14:paraId="0ADA9869" w14:textId="77777777" w:rsidR="005A46F9" w:rsidRDefault="00887E14" w:rsidP="00687CE6">
      <w:pPr>
        <w:pStyle w:val="BodyText"/>
      </w:pPr>
      <w:r w:rsidRPr="00687CE6">
        <w:rPr>
          <w:bCs/>
        </w:rPr>
        <w:t>Tables 2-4 to 2-6</w:t>
      </w:r>
      <w:r>
        <w:t xml:space="preserve"> summarise the main major project proposals at the time of writing.  Also provided are indicative estimates of the gross job creation potential associated with each main project.   The table also includes estimates of</w:t>
      </w:r>
      <w:r w:rsidR="005A46F9">
        <w:t xml:space="preserve"> temporary</w:t>
      </w:r>
      <w:r>
        <w:t xml:space="preserve"> construction employment in the development sector.  These are derived from estimates of the capital build value of planned housing developments as well as that of the employment projects listed by sector in the rest of the table. </w:t>
      </w:r>
      <w:r w:rsidR="005A46F9">
        <w:t>It should be noted that the construction job estimates are excluded from the total job estimates given that they will be time-limited in nature and cannot directly be compared with full time equivalent or permanent jobs associated with the individually specified projects.</w:t>
      </w:r>
    </w:p>
    <w:p w14:paraId="7F159B54" w14:textId="77777777" w:rsidR="00887E14" w:rsidRDefault="00887E14" w:rsidP="00687CE6">
      <w:pPr>
        <w:pStyle w:val="BodyText"/>
        <w:rPr>
          <w:b/>
          <w:bCs/>
        </w:rPr>
      </w:pPr>
      <w:r>
        <w:t xml:space="preserve">Table 2-4 considers the scenario where substantial public funding is not secured to deliver the infrastructure and environmental conditions that allow major new developments to proceed and consequently there is a reliance on existing infrastructure and assets. Table 2-5 considers Scenario 1 where there is a moderate level of success in securing public investment to create the conditions for growth and enable development. Table </w:t>
      </w:r>
      <w:r w:rsidR="00161265">
        <w:t>2</w:t>
      </w:r>
      <w:r>
        <w:t>-</w:t>
      </w:r>
      <w:r w:rsidR="00161265">
        <w:t>6 sets out</w:t>
      </w:r>
      <w:r>
        <w:t xml:space="preserve"> Scenario 2</w:t>
      </w:r>
      <w:r w:rsidR="00161265">
        <w:t xml:space="preserve"> which</w:t>
      </w:r>
      <w:r>
        <w:t xml:space="preserve"> assumes that there is a high degree of success in securing public funding that enables, captures and accelerates growth.</w:t>
      </w:r>
    </w:p>
    <w:p w14:paraId="7AF4E5A4" w14:textId="77777777" w:rsidR="00887E14" w:rsidRDefault="00887E14" w:rsidP="00687CE6">
      <w:pPr>
        <w:pStyle w:val="BodyText"/>
      </w:pPr>
    </w:p>
    <w:p w14:paraId="201AB5CC" w14:textId="77777777" w:rsidR="00E0327A" w:rsidRDefault="00E0327A">
      <w:pPr>
        <w:jc w:val="left"/>
        <w:rPr>
          <w:rFonts w:ascii="Arial" w:hAnsi="Arial"/>
          <w:b/>
          <w:color w:val="096971" w:themeColor="accent1"/>
          <w:sz w:val="20"/>
        </w:rPr>
      </w:pPr>
      <w:r>
        <w:rPr>
          <w:b/>
          <w:color w:val="096971" w:themeColor="accent1"/>
        </w:rPr>
        <w:br w:type="page"/>
      </w:r>
    </w:p>
    <w:p w14:paraId="3BBD1845" w14:textId="77777777" w:rsidR="00E0327A" w:rsidRDefault="00E0327A" w:rsidP="00357B58">
      <w:pPr>
        <w:pStyle w:val="BodyText"/>
        <w:rPr>
          <w:b/>
          <w:color w:val="096971" w:themeColor="accent1"/>
        </w:rPr>
        <w:sectPr w:rsidR="00E0327A" w:rsidSect="00CD1AFD">
          <w:headerReference w:type="default" r:id="rId14"/>
          <w:footerReference w:type="default" r:id="rId15"/>
          <w:pgSz w:w="11906" w:h="16838" w:code="9"/>
          <w:pgMar w:top="964" w:right="1134" w:bottom="964" w:left="1134" w:header="510" w:footer="510" w:gutter="0"/>
          <w:cols w:space="284"/>
          <w:formProt w:val="0"/>
          <w:docGrid w:linePitch="360"/>
        </w:sectPr>
      </w:pPr>
    </w:p>
    <w:p w14:paraId="6058DBA4" w14:textId="77777777" w:rsidR="00357B58" w:rsidRDefault="00E0327A" w:rsidP="00357B58">
      <w:pPr>
        <w:pStyle w:val="BodyText"/>
        <w:rPr>
          <w:b/>
          <w:color w:val="096971" w:themeColor="accent1"/>
        </w:rPr>
      </w:pPr>
      <w:bookmarkStart w:id="250" w:name="_Toc394668599"/>
      <w:r w:rsidRPr="0036742B">
        <w:rPr>
          <w:b/>
          <w:color w:val="096971" w:themeColor="accent1"/>
        </w:rPr>
        <w:t xml:space="preserve">Table </w:t>
      </w:r>
      <w:fldSimple w:instr=" STYLEREF 1 \s  \* MERGEFORMAT ">
        <w:r>
          <w:rPr>
            <w:b/>
            <w:noProof/>
            <w:color w:val="096971" w:themeColor="accent1"/>
          </w:rPr>
          <w:t>2</w:t>
        </w:r>
      </w:fldSimple>
      <w:r w:rsidRPr="0036742B">
        <w:rPr>
          <w:b/>
          <w:color w:val="096971" w:themeColor="accent1"/>
        </w:rPr>
        <w:t>-</w:t>
      </w:r>
      <w:fldSimple w:instr=" SEQ Table \* ARABIC \s 1  \* MERGEFORMAT ">
        <w:r>
          <w:rPr>
            <w:b/>
            <w:noProof/>
            <w:color w:val="096971" w:themeColor="accent1"/>
          </w:rPr>
          <w:t>4</w:t>
        </w:r>
      </w:fldSimple>
      <w:r>
        <w:rPr>
          <w:b/>
          <w:color w:val="096971" w:themeColor="accent1"/>
        </w:rPr>
        <w:t xml:space="preserve"> - </w:t>
      </w:r>
      <w:r w:rsidR="00357B58" w:rsidRPr="00E0327A">
        <w:rPr>
          <w:b/>
          <w:color w:val="096971" w:themeColor="accent1"/>
        </w:rPr>
        <w:t>Major Project Investment Proposals – NE Lincolnshire &amp; Neighbouring Areas</w:t>
      </w:r>
      <w:r w:rsidR="005319A7">
        <w:rPr>
          <w:b/>
          <w:color w:val="096971" w:themeColor="accent1"/>
        </w:rPr>
        <w:t>:  Baseline Scenario</w:t>
      </w:r>
      <w:bookmarkEnd w:id="250"/>
    </w:p>
    <w:p w14:paraId="4BEF14D8" w14:textId="77777777" w:rsidR="00E0327A" w:rsidRPr="00E0327A" w:rsidRDefault="005319A7" w:rsidP="00357B58">
      <w:pPr>
        <w:pStyle w:val="BodyText"/>
        <w:rPr>
          <w:b/>
          <w:color w:val="096971" w:themeColor="accent1"/>
        </w:rPr>
      </w:pPr>
      <w:r w:rsidRPr="005319A7">
        <w:rPr>
          <w:noProof/>
          <w:lang w:eastAsia="en-GB"/>
        </w:rPr>
        <w:drawing>
          <wp:inline distT="0" distB="0" distL="0" distR="0" wp14:anchorId="49045CD7" wp14:editId="476A733B">
            <wp:extent cx="9933215" cy="4049963"/>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9933215" cy="4049963"/>
                    </a:xfrm>
                    <a:prstGeom prst="rect">
                      <a:avLst/>
                    </a:prstGeom>
                    <a:noFill/>
                    <a:ln w="9525">
                      <a:noFill/>
                      <a:miter lim="800000"/>
                      <a:headEnd/>
                      <a:tailEnd/>
                    </a:ln>
                  </pic:spPr>
                </pic:pic>
              </a:graphicData>
            </a:graphic>
          </wp:inline>
        </w:drawing>
      </w:r>
    </w:p>
    <w:p w14:paraId="2DFF7C62" w14:textId="77777777" w:rsidR="00357B58" w:rsidRPr="003B3A13" w:rsidRDefault="00357B58" w:rsidP="00357B58">
      <w:pPr>
        <w:pStyle w:val="BodyText"/>
        <w:rPr>
          <w:sz w:val="18"/>
          <w:szCs w:val="18"/>
        </w:rPr>
      </w:pPr>
      <w:r>
        <w:rPr>
          <w:sz w:val="18"/>
          <w:szCs w:val="18"/>
        </w:rPr>
        <w:t>Source:  Atkins / Cofely / North East Lincolnshire Council.</w:t>
      </w:r>
    </w:p>
    <w:p w14:paraId="3D53943E" w14:textId="77777777" w:rsidR="005319A7" w:rsidRDefault="005319A7">
      <w:pPr>
        <w:jc w:val="left"/>
        <w:rPr>
          <w:rFonts w:ascii="Arial" w:hAnsi="Arial"/>
          <w:b/>
          <w:color w:val="096971" w:themeColor="accent1"/>
          <w:sz w:val="20"/>
        </w:rPr>
      </w:pPr>
      <w:r>
        <w:rPr>
          <w:b/>
          <w:color w:val="096971" w:themeColor="accent1"/>
        </w:rPr>
        <w:br w:type="page"/>
      </w:r>
    </w:p>
    <w:p w14:paraId="4A6AE3CB" w14:textId="77777777" w:rsidR="005319A7" w:rsidRDefault="005319A7" w:rsidP="005319A7">
      <w:pPr>
        <w:pStyle w:val="BodyText"/>
        <w:rPr>
          <w:b/>
          <w:color w:val="096971" w:themeColor="accent1"/>
        </w:rPr>
      </w:pPr>
      <w:bookmarkStart w:id="251" w:name="_Toc394668600"/>
      <w:r w:rsidRPr="0036742B">
        <w:rPr>
          <w:b/>
          <w:color w:val="096971" w:themeColor="accent1"/>
        </w:rPr>
        <w:t xml:space="preserve">Table </w:t>
      </w:r>
      <w:fldSimple w:instr=" STYLEREF 1 \s  \* MERGEFORMAT ">
        <w:r w:rsidRPr="005319A7">
          <w:rPr>
            <w:b/>
            <w:noProof/>
            <w:color w:val="096971" w:themeColor="accent1"/>
          </w:rPr>
          <w:t>2</w:t>
        </w:r>
      </w:fldSimple>
      <w:r w:rsidRPr="0036742B">
        <w:rPr>
          <w:b/>
          <w:color w:val="096971" w:themeColor="accent1"/>
        </w:rPr>
        <w:t>-</w:t>
      </w:r>
      <w:fldSimple w:instr=" SEQ Table \* ARABIC \s 1  \* MERGEFORMAT ">
        <w:r w:rsidRPr="005319A7">
          <w:rPr>
            <w:b/>
            <w:noProof/>
            <w:color w:val="096971" w:themeColor="accent1"/>
          </w:rPr>
          <w:t>5</w:t>
        </w:r>
      </w:fldSimple>
      <w:r>
        <w:rPr>
          <w:b/>
          <w:color w:val="096971" w:themeColor="accent1"/>
        </w:rPr>
        <w:t xml:space="preserve"> - </w:t>
      </w:r>
      <w:r w:rsidRPr="00E0327A">
        <w:rPr>
          <w:b/>
          <w:color w:val="096971" w:themeColor="accent1"/>
        </w:rPr>
        <w:t>Major Project Investment Proposals – NE Lincolnshire &amp; Neighbouring Areas</w:t>
      </w:r>
      <w:r>
        <w:rPr>
          <w:b/>
          <w:color w:val="096971" w:themeColor="accent1"/>
        </w:rPr>
        <w:t>:  Scenario 1</w:t>
      </w:r>
      <w:bookmarkEnd w:id="251"/>
    </w:p>
    <w:p w14:paraId="01B1B15A" w14:textId="77777777" w:rsidR="00357B58" w:rsidRPr="00B56C37" w:rsidRDefault="005319A7" w:rsidP="00357B58">
      <w:r w:rsidRPr="005319A7">
        <w:rPr>
          <w:noProof/>
          <w:lang w:eastAsia="en-GB"/>
        </w:rPr>
        <w:drawing>
          <wp:inline distT="0" distB="0" distL="0" distR="0" wp14:anchorId="59D37114" wp14:editId="1FA5F385">
            <wp:extent cx="9772951" cy="3657600"/>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9774566" cy="3658204"/>
                    </a:xfrm>
                    <a:prstGeom prst="rect">
                      <a:avLst/>
                    </a:prstGeom>
                    <a:noFill/>
                    <a:ln w="9525">
                      <a:noFill/>
                      <a:miter lim="800000"/>
                      <a:headEnd/>
                      <a:tailEnd/>
                    </a:ln>
                  </pic:spPr>
                </pic:pic>
              </a:graphicData>
            </a:graphic>
          </wp:inline>
        </w:drawing>
      </w:r>
    </w:p>
    <w:p w14:paraId="18ED6B91" w14:textId="77777777" w:rsidR="00E0327A" w:rsidRDefault="00E0327A">
      <w:pPr>
        <w:jc w:val="left"/>
        <w:rPr>
          <w:rFonts w:ascii="Arial" w:hAnsi="Arial"/>
          <w:b/>
          <w:color w:val="156570"/>
          <w:sz w:val="22"/>
        </w:rPr>
      </w:pPr>
    </w:p>
    <w:p w14:paraId="6744510C" w14:textId="77777777" w:rsidR="005319A7" w:rsidRPr="003B3A13" w:rsidRDefault="005319A7" w:rsidP="005319A7">
      <w:pPr>
        <w:pStyle w:val="BodyText"/>
        <w:rPr>
          <w:sz w:val="18"/>
          <w:szCs w:val="18"/>
        </w:rPr>
      </w:pPr>
      <w:r>
        <w:rPr>
          <w:sz w:val="18"/>
          <w:szCs w:val="18"/>
        </w:rPr>
        <w:t>Source:  Atkins / Cofely / North East Lincolnshire Council.</w:t>
      </w:r>
    </w:p>
    <w:p w14:paraId="42E6331E" w14:textId="77777777" w:rsidR="005A46F9" w:rsidRDefault="005A46F9">
      <w:pPr>
        <w:jc w:val="left"/>
        <w:rPr>
          <w:rFonts w:ascii="Arial" w:hAnsi="Arial"/>
          <w:b/>
          <w:color w:val="096971" w:themeColor="accent1"/>
          <w:sz w:val="20"/>
        </w:rPr>
      </w:pPr>
      <w:r>
        <w:rPr>
          <w:b/>
          <w:color w:val="096971" w:themeColor="accent1"/>
        </w:rPr>
        <w:br w:type="page"/>
      </w:r>
    </w:p>
    <w:p w14:paraId="1443E61C" w14:textId="77777777" w:rsidR="005319A7" w:rsidRDefault="005319A7" w:rsidP="005319A7">
      <w:pPr>
        <w:pStyle w:val="BodyText"/>
        <w:rPr>
          <w:b/>
          <w:color w:val="096971" w:themeColor="accent1"/>
        </w:rPr>
      </w:pPr>
      <w:bookmarkStart w:id="252" w:name="_Toc394668601"/>
      <w:r w:rsidRPr="0036742B">
        <w:rPr>
          <w:b/>
          <w:color w:val="096971" w:themeColor="accent1"/>
        </w:rPr>
        <w:t xml:space="preserve">Table </w:t>
      </w:r>
      <w:fldSimple w:instr=" STYLEREF 1 \s  \* MERGEFORMAT ">
        <w:r w:rsidRPr="005319A7">
          <w:rPr>
            <w:b/>
            <w:noProof/>
            <w:color w:val="096971" w:themeColor="accent1"/>
          </w:rPr>
          <w:t>2</w:t>
        </w:r>
      </w:fldSimple>
      <w:r w:rsidRPr="0036742B">
        <w:rPr>
          <w:b/>
          <w:color w:val="096971" w:themeColor="accent1"/>
        </w:rPr>
        <w:t>-</w:t>
      </w:r>
      <w:fldSimple w:instr=" SEQ Table \* ARABIC \s 1  \* MERGEFORMAT ">
        <w:r w:rsidRPr="005319A7">
          <w:rPr>
            <w:b/>
            <w:noProof/>
            <w:color w:val="096971" w:themeColor="accent1"/>
          </w:rPr>
          <w:t>6</w:t>
        </w:r>
      </w:fldSimple>
      <w:r>
        <w:rPr>
          <w:b/>
          <w:color w:val="096971" w:themeColor="accent1"/>
        </w:rPr>
        <w:t xml:space="preserve"> - </w:t>
      </w:r>
      <w:r w:rsidRPr="00E0327A">
        <w:rPr>
          <w:b/>
          <w:color w:val="096971" w:themeColor="accent1"/>
        </w:rPr>
        <w:t>Major Project Investment Proposals – NE Lincolnshire &amp; Neighbouring Areas</w:t>
      </w:r>
      <w:r>
        <w:rPr>
          <w:b/>
          <w:color w:val="096971" w:themeColor="accent1"/>
        </w:rPr>
        <w:t>:  Scenario 2</w:t>
      </w:r>
      <w:bookmarkEnd w:id="252"/>
    </w:p>
    <w:p w14:paraId="0BDF7C58" w14:textId="77777777" w:rsidR="005319A7" w:rsidRDefault="005A46F9" w:rsidP="005319A7">
      <w:pPr>
        <w:pStyle w:val="BodyText"/>
        <w:rPr>
          <w:b/>
          <w:color w:val="096971" w:themeColor="accent1"/>
        </w:rPr>
      </w:pPr>
      <w:r w:rsidRPr="005A46F9">
        <w:rPr>
          <w:noProof/>
          <w:lang w:eastAsia="en-GB"/>
        </w:rPr>
        <w:drawing>
          <wp:inline distT="0" distB="0" distL="0" distR="0" wp14:anchorId="3C7BF455" wp14:editId="7A593180">
            <wp:extent cx="9628138" cy="4324350"/>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9637677" cy="4328634"/>
                    </a:xfrm>
                    <a:prstGeom prst="rect">
                      <a:avLst/>
                    </a:prstGeom>
                    <a:noFill/>
                    <a:ln w="9525">
                      <a:noFill/>
                      <a:miter lim="800000"/>
                      <a:headEnd/>
                      <a:tailEnd/>
                    </a:ln>
                  </pic:spPr>
                </pic:pic>
              </a:graphicData>
            </a:graphic>
          </wp:inline>
        </w:drawing>
      </w:r>
    </w:p>
    <w:p w14:paraId="17B1E9FA" w14:textId="77777777" w:rsidR="005319A7" w:rsidRPr="003B3A13" w:rsidRDefault="005319A7" w:rsidP="005319A7">
      <w:pPr>
        <w:pStyle w:val="BodyText"/>
        <w:rPr>
          <w:sz w:val="18"/>
          <w:szCs w:val="18"/>
        </w:rPr>
      </w:pPr>
      <w:r>
        <w:rPr>
          <w:sz w:val="18"/>
          <w:szCs w:val="18"/>
        </w:rPr>
        <w:t>Source:  Atkins / Cofely / North East Lincolnshire Council.</w:t>
      </w:r>
    </w:p>
    <w:p w14:paraId="1F69E387" w14:textId="77777777" w:rsidR="005319A7" w:rsidRDefault="005319A7" w:rsidP="005319A7">
      <w:pPr>
        <w:pStyle w:val="BodyText"/>
        <w:rPr>
          <w:b/>
          <w:color w:val="096971" w:themeColor="accent1"/>
        </w:rPr>
      </w:pPr>
    </w:p>
    <w:p w14:paraId="3C4A855D" w14:textId="77777777" w:rsidR="005319A7" w:rsidRDefault="005319A7" w:rsidP="005319A7">
      <w:pPr>
        <w:pStyle w:val="Heading3"/>
        <w:numPr>
          <w:ilvl w:val="0"/>
          <w:numId w:val="0"/>
        </w:numPr>
        <w:ind w:left="1021" w:hanging="1021"/>
      </w:pPr>
    </w:p>
    <w:p w14:paraId="11EB1A07" w14:textId="77777777" w:rsidR="005319A7" w:rsidRDefault="005319A7" w:rsidP="005319A7">
      <w:pPr>
        <w:pStyle w:val="BodyText"/>
      </w:pPr>
    </w:p>
    <w:p w14:paraId="03523ED6" w14:textId="77777777" w:rsidR="005319A7" w:rsidRPr="005319A7" w:rsidRDefault="005319A7" w:rsidP="005319A7">
      <w:pPr>
        <w:pStyle w:val="BodyText"/>
        <w:sectPr w:rsidR="005319A7" w:rsidRPr="005319A7" w:rsidSect="00704CF0">
          <w:pgSz w:w="16838" w:h="11906" w:orient="landscape" w:code="9"/>
          <w:pgMar w:top="1134" w:right="964" w:bottom="1134" w:left="964" w:header="510" w:footer="510" w:gutter="0"/>
          <w:cols w:space="284"/>
          <w:formProt w:val="0"/>
          <w:docGrid w:linePitch="360"/>
        </w:sectPr>
      </w:pPr>
    </w:p>
    <w:p w14:paraId="05414561" w14:textId="77777777" w:rsidR="00357B58" w:rsidRDefault="004A67F8" w:rsidP="004A67F8">
      <w:pPr>
        <w:pStyle w:val="Heading2"/>
      </w:pPr>
      <w:bookmarkStart w:id="253" w:name="_Toc394668582"/>
      <w:r>
        <w:t>Market Drivers</w:t>
      </w:r>
      <w:bookmarkEnd w:id="253"/>
    </w:p>
    <w:p w14:paraId="340F3F1B" w14:textId="77777777" w:rsidR="00357B58" w:rsidRDefault="00357B58" w:rsidP="00357B58">
      <w:pPr>
        <w:pStyle w:val="BodyText"/>
      </w:pPr>
      <w:r>
        <w:t xml:space="preserve">Table </w:t>
      </w:r>
      <w:r w:rsidR="00687CE6">
        <w:t>2-7</w:t>
      </w:r>
      <w:r w:rsidR="00C72743">
        <w:t xml:space="preserve"> </w:t>
      </w:r>
      <w:r>
        <w:t>summarises the main market demand drivers which are shaping opportunities for economic growth and diversification</w:t>
      </w:r>
      <w:r w:rsidR="00C72743">
        <w:t xml:space="preserve"> in North East Lincolnshire and the surrounding area</w:t>
      </w:r>
      <w:r>
        <w:t xml:space="preserve">.  The table also highlights the main threats to the realisation of these market opportunities. </w:t>
      </w:r>
    </w:p>
    <w:p w14:paraId="47F4C75D" w14:textId="77777777" w:rsidR="00357B58" w:rsidRDefault="00357B58" w:rsidP="00357B58">
      <w:pPr>
        <w:pStyle w:val="BodyText"/>
      </w:pPr>
      <w:r>
        <w:t xml:space="preserve">Similarly, Table </w:t>
      </w:r>
      <w:r w:rsidR="00C72743">
        <w:t>2-</w:t>
      </w:r>
      <w:r w:rsidR="00687CE6">
        <w:t>8</w:t>
      </w:r>
      <w:r>
        <w:t xml:space="preserve"> summarises the critical factors which underpin growth opportunities in other sectors of the economy.</w:t>
      </w:r>
    </w:p>
    <w:p w14:paraId="14912034" w14:textId="77777777" w:rsidR="00F14B38" w:rsidRPr="00F14B38" w:rsidRDefault="00F14B38" w:rsidP="00F14B38">
      <w:pPr>
        <w:pStyle w:val="BodyText"/>
        <w:rPr>
          <w:color w:val="096971" w:themeColor="accent1"/>
        </w:rPr>
      </w:pPr>
      <w:bookmarkStart w:id="254" w:name="_Toc394668602"/>
      <w:r w:rsidRPr="00F14B38">
        <w:rPr>
          <w:b/>
          <w:color w:val="096971" w:themeColor="accent1"/>
        </w:rPr>
        <w:t xml:space="preserve">Table </w:t>
      </w:r>
      <w:fldSimple w:instr=" STYLEREF 1 \s  \* MERGEFORMAT ">
        <w:r w:rsidR="00161265" w:rsidRPr="00161265">
          <w:rPr>
            <w:b/>
            <w:noProof/>
            <w:color w:val="096971" w:themeColor="accent1"/>
          </w:rPr>
          <w:t>2</w:t>
        </w:r>
      </w:fldSimple>
      <w:r w:rsidRPr="00F14B38">
        <w:rPr>
          <w:b/>
          <w:color w:val="096971" w:themeColor="accent1"/>
        </w:rPr>
        <w:t>-</w:t>
      </w:r>
      <w:fldSimple w:instr=" SEQ Table \* ARABIC \s 1  \* MERGEFORMAT ">
        <w:r w:rsidR="00161265" w:rsidRPr="00161265">
          <w:rPr>
            <w:b/>
            <w:noProof/>
            <w:color w:val="096971" w:themeColor="accent1"/>
          </w:rPr>
          <w:t>7</w:t>
        </w:r>
      </w:fldSimple>
      <w:r w:rsidRPr="00F14B38">
        <w:rPr>
          <w:b/>
          <w:color w:val="096971" w:themeColor="accent1"/>
        </w:rPr>
        <w:t xml:space="preserve"> – Key Sectors:  Market Opportunities &amp; Threats</w:t>
      </w:r>
      <w:bookmarkEnd w:id="254"/>
    </w:p>
    <w:tbl>
      <w:tblPr>
        <w:tblStyle w:val="Atkins14pt"/>
        <w:tblW w:w="0" w:type="auto"/>
        <w:tblLook w:val="04A0" w:firstRow="1" w:lastRow="0" w:firstColumn="1" w:lastColumn="0" w:noHBand="0" w:noVBand="1"/>
      </w:tblPr>
      <w:tblGrid>
        <w:gridCol w:w="1701"/>
        <w:gridCol w:w="4111"/>
        <w:gridCol w:w="3686"/>
      </w:tblGrid>
      <w:tr w:rsidR="00F14B38" w:rsidRPr="008E22E9" w14:paraId="6C7E57BB" w14:textId="77777777" w:rsidTr="00D1320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01" w:type="dxa"/>
          </w:tcPr>
          <w:p w14:paraId="1E8D2BC8" w14:textId="77777777" w:rsidR="00F14B38" w:rsidRPr="008E22E9" w:rsidRDefault="00F14B38" w:rsidP="00D1320B">
            <w:pPr>
              <w:pStyle w:val="TableText"/>
              <w:rPr>
                <w:rFonts w:eastAsiaTheme="minorHAnsi" w:cstheme="minorBidi"/>
                <w:szCs w:val="22"/>
                <w:lang w:eastAsia="en-US"/>
              </w:rPr>
            </w:pPr>
            <w:r>
              <w:rPr>
                <w:b w:val="0"/>
              </w:rPr>
              <w:br w:type="page"/>
            </w:r>
            <w:r w:rsidRPr="008E22E9">
              <w:rPr>
                <w:rFonts w:eastAsiaTheme="minorHAnsi" w:cstheme="minorBidi"/>
                <w:szCs w:val="22"/>
                <w:lang w:eastAsia="en-US"/>
              </w:rPr>
              <w:t>Sector</w:t>
            </w:r>
          </w:p>
        </w:tc>
        <w:tc>
          <w:tcPr>
            <w:tcW w:w="4111" w:type="dxa"/>
          </w:tcPr>
          <w:p w14:paraId="28D556AC" w14:textId="77777777" w:rsidR="00F14B38" w:rsidRPr="008E22E9" w:rsidRDefault="00F14B38" w:rsidP="00D1320B">
            <w:pPr>
              <w:pStyle w:val="TableText"/>
              <w:cnfStyle w:val="100000000000" w:firstRow="1"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Market Trends &amp; Opportunities</w:t>
            </w:r>
          </w:p>
        </w:tc>
        <w:tc>
          <w:tcPr>
            <w:tcW w:w="3686" w:type="dxa"/>
          </w:tcPr>
          <w:p w14:paraId="1B6AD51C" w14:textId="77777777" w:rsidR="00F14B38" w:rsidRPr="008E22E9" w:rsidRDefault="00F14B38" w:rsidP="00D1320B">
            <w:pPr>
              <w:pStyle w:val="TableText"/>
              <w:cnfStyle w:val="100000000000" w:firstRow="1"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Threats to Growth</w:t>
            </w:r>
          </w:p>
        </w:tc>
      </w:tr>
      <w:tr w:rsidR="00F14B38" w:rsidRPr="003B1195" w14:paraId="7F749158" w14:textId="77777777" w:rsidTr="00D1320B">
        <w:tc>
          <w:tcPr>
            <w:cnfStyle w:val="001000000000" w:firstRow="0" w:lastRow="0" w:firstColumn="1" w:lastColumn="0" w:oddVBand="0" w:evenVBand="0" w:oddHBand="0" w:evenHBand="0" w:firstRowFirstColumn="0" w:firstRowLastColumn="0" w:lastRowFirstColumn="0" w:lastRowLastColumn="0"/>
            <w:tcW w:w="1701" w:type="dxa"/>
          </w:tcPr>
          <w:p w14:paraId="45F8827D" w14:textId="77777777" w:rsidR="00F14B38" w:rsidRPr="006F3818" w:rsidRDefault="00F14B38" w:rsidP="00D1320B">
            <w:pPr>
              <w:pStyle w:val="BodyText"/>
              <w:rPr>
                <w:b/>
                <w:lang w:eastAsia="en-US"/>
              </w:rPr>
            </w:pPr>
            <w:r w:rsidRPr="006F3818">
              <w:rPr>
                <w:b/>
                <w:lang w:eastAsia="en-US"/>
              </w:rPr>
              <w:t>Ports &amp; logistics</w:t>
            </w:r>
          </w:p>
        </w:tc>
        <w:tc>
          <w:tcPr>
            <w:tcW w:w="4111" w:type="dxa"/>
          </w:tcPr>
          <w:p w14:paraId="69B2E26E"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Continued investment in port infrastructure at Grimsby &amp; Immingham (e.g. new two birth RoRo facility handling up to 3,000 vehicles).</w:t>
            </w:r>
          </w:p>
          <w:p w14:paraId="0EA57AD1"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High levels of projected growth up to 2030, especially containers and RoRo (DfT, 2012) driven by domestic consumption demand.</w:t>
            </w:r>
          </w:p>
          <w:p w14:paraId="7D656A21"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Renewables boom – ‘energy estuary’.</w:t>
            </w:r>
          </w:p>
          <w:p w14:paraId="36A57BC2"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Growth in bio-economy and import / export of fuel and related products.</w:t>
            </w:r>
          </w:p>
          <w:p w14:paraId="0589A06A"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Growth in logistics demand including short-sea shipping.</w:t>
            </w:r>
          </w:p>
          <w:p w14:paraId="0BDBBB4F"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Able Marine Energy Park &amp; Logistics Park</w:t>
            </w:r>
          </w:p>
          <w:p w14:paraId="07AD6D0A"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Hull Greenport</w:t>
            </w:r>
          </w:p>
          <w:p w14:paraId="233CD9F9"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Enterprise Zones – Port of Grimsby (NEL) &amp; ABLE Marine Energy Park (North Lincolnshire.</w:t>
            </w:r>
          </w:p>
          <w:p w14:paraId="7082E7EA" w14:textId="77777777" w:rsidR="00F14B38" w:rsidRPr="003B1195"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 xml:space="preserve">Government policy supportive of port capacity investment and expansion. </w:t>
            </w:r>
          </w:p>
        </w:tc>
        <w:tc>
          <w:tcPr>
            <w:tcW w:w="3686" w:type="dxa"/>
          </w:tcPr>
          <w:p w14:paraId="690800A1"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Lack of good quality, modern warehousing and industrial premises.</w:t>
            </w:r>
          </w:p>
          <w:p w14:paraId="730D0DCE"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Lack of readily available, good quality sites for expansion and inward investment (including freehold options).</w:t>
            </w:r>
          </w:p>
          <w:p w14:paraId="56D79890"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Concentrations of skills shortages (e.g. engineering and HGV drivers).</w:t>
            </w:r>
          </w:p>
          <w:p w14:paraId="2804A88D"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Land ownership constraints.</w:t>
            </w:r>
          </w:p>
          <w:p w14:paraId="55C2F3B3"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Some local road infrastructure and accessibility constraints.</w:t>
            </w:r>
          </w:p>
          <w:p w14:paraId="330C08FF" w14:textId="77777777" w:rsidR="00F14B38" w:rsidRDefault="00586A1D" w:rsidP="00D1320B">
            <w:pPr>
              <w:pStyle w:val="BodyText"/>
              <w:spacing w:after="120"/>
              <w:cnfStyle w:val="000000000000" w:firstRow="0" w:lastRow="0" w:firstColumn="0" w:lastColumn="0" w:oddVBand="0" w:evenVBand="0" w:oddHBand="0" w:evenHBand="0" w:firstRowFirstColumn="0" w:firstRowLastColumn="0" w:lastRowFirstColumn="0" w:lastRowLastColumn="0"/>
            </w:pPr>
            <w:r>
              <w:t>Competition from other</w:t>
            </w:r>
            <w:r w:rsidR="00F14B38">
              <w:t xml:space="preserve"> ports</w:t>
            </w:r>
            <w:r>
              <w:t xml:space="preserve"> with fewer development constraints.</w:t>
            </w:r>
          </w:p>
          <w:p w14:paraId="6FC1F8D9" w14:textId="77777777" w:rsidR="00586A1D" w:rsidRPr="003B1195" w:rsidRDefault="00586A1D" w:rsidP="00586A1D">
            <w:pPr>
              <w:pStyle w:val="BodyText"/>
              <w:spacing w:after="120"/>
              <w:cnfStyle w:val="000000000000" w:firstRow="0" w:lastRow="0" w:firstColumn="0" w:lastColumn="0" w:oddVBand="0" w:evenVBand="0" w:oddHBand="0" w:evenHBand="0" w:firstRowFirstColumn="0" w:firstRowLastColumn="0" w:lastRowFirstColumn="0" w:lastRowLastColumn="0"/>
            </w:pPr>
            <w:r>
              <w:t>Environmental constraints linked to EU legislation and potential impacts on development (e.g. flooding).</w:t>
            </w:r>
          </w:p>
        </w:tc>
      </w:tr>
      <w:tr w:rsidR="00F14B38" w:rsidRPr="003B1195" w14:paraId="0DB139D2" w14:textId="77777777" w:rsidTr="00D1320B">
        <w:tc>
          <w:tcPr>
            <w:cnfStyle w:val="001000000000" w:firstRow="0" w:lastRow="0" w:firstColumn="1" w:lastColumn="0" w:oddVBand="0" w:evenVBand="0" w:oddHBand="0" w:evenHBand="0" w:firstRowFirstColumn="0" w:firstRowLastColumn="0" w:lastRowFirstColumn="0" w:lastRowLastColumn="0"/>
            <w:tcW w:w="1701" w:type="dxa"/>
          </w:tcPr>
          <w:p w14:paraId="35F8C831" w14:textId="77777777" w:rsidR="00F14B38" w:rsidRPr="006F3818" w:rsidRDefault="00F14B38" w:rsidP="00D1320B">
            <w:pPr>
              <w:pStyle w:val="BodyText"/>
              <w:rPr>
                <w:b/>
                <w:lang w:eastAsia="en-US"/>
              </w:rPr>
            </w:pPr>
            <w:r w:rsidRPr="006F3818">
              <w:rPr>
                <w:b/>
                <w:lang w:eastAsia="en-US"/>
              </w:rPr>
              <w:t>Food manufacturing</w:t>
            </w:r>
          </w:p>
        </w:tc>
        <w:tc>
          <w:tcPr>
            <w:tcW w:w="4111" w:type="dxa"/>
          </w:tcPr>
          <w:p w14:paraId="2424D6F2" w14:textId="77777777" w:rsidR="00586A1D" w:rsidRDefault="00586A1D" w:rsidP="00D1320B">
            <w:pPr>
              <w:pStyle w:val="BodyText"/>
              <w:spacing w:after="120"/>
              <w:cnfStyle w:val="000000000000" w:firstRow="0" w:lastRow="0" w:firstColumn="0" w:lastColumn="0" w:oddVBand="0" w:evenVBand="0" w:oddHBand="0" w:evenHBand="0" w:firstRowFirstColumn="0" w:firstRowLastColumn="0" w:lastRowFirstColumn="0" w:lastRowLastColumn="0"/>
            </w:pPr>
            <w:r>
              <w:t>No.1 fish processing locality in Europe.</w:t>
            </w:r>
          </w:p>
          <w:p w14:paraId="3456BEE8"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Increasing consumption demand.</w:t>
            </w:r>
          </w:p>
          <w:p w14:paraId="7EE69E92"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 xml:space="preserve">Well established and increasingly diversified fish / food processing cluster.  </w:t>
            </w:r>
          </w:p>
          <w:p w14:paraId="705E5480"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Mature supply chain linkages in local economy.</w:t>
            </w:r>
          </w:p>
          <w:p w14:paraId="6DDCB04D"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Grimsby hosting World Seafood Congress 2015.</w:t>
            </w:r>
          </w:p>
          <w:p w14:paraId="46647947"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Strong local business networks, R&amp;D, knowledge-transfer and business enterprise activities embedded in North East Lincolnshire economy (e.g. Seafood village, Food Refrigeration &amp; Process Engineering Research Centre – FRPERC).</w:t>
            </w:r>
          </w:p>
          <w:p w14:paraId="178D63A6" w14:textId="77777777" w:rsidR="00F14B38" w:rsidRPr="003B1195"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Good local skills based match to industry requirements.</w:t>
            </w:r>
          </w:p>
        </w:tc>
        <w:tc>
          <w:tcPr>
            <w:tcW w:w="3686" w:type="dxa"/>
          </w:tcPr>
          <w:p w14:paraId="26349C64"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Price/demand volatility.</w:t>
            </w:r>
          </w:p>
          <w:p w14:paraId="4B606DF0"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Increasing foreign competition.</w:t>
            </w:r>
          </w:p>
          <w:p w14:paraId="4D666036"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 xml:space="preserve">Increasingly restricted access to industry funding. </w:t>
            </w:r>
          </w:p>
          <w:p w14:paraId="6B85D127" w14:textId="77777777" w:rsidR="00F14B38" w:rsidRDefault="00F14B38" w:rsidP="00586A1D">
            <w:pPr>
              <w:pStyle w:val="BodyText"/>
              <w:spacing w:after="120"/>
              <w:cnfStyle w:val="000000000000" w:firstRow="0" w:lastRow="0" w:firstColumn="0" w:lastColumn="0" w:oddVBand="0" w:evenVBand="0" w:oddHBand="0" w:evenHBand="0" w:firstRowFirstColumn="0" w:firstRowLastColumn="0" w:lastRowFirstColumn="0" w:lastRowLastColumn="0"/>
            </w:pPr>
            <w:r>
              <w:t>Need for food grade manufacturing/processing/storage  facilities in good quality accommodation</w:t>
            </w:r>
            <w:r w:rsidR="00586A1D">
              <w:t>.</w:t>
            </w:r>
          </w:p>
          <w:p w14:paraId="07B5C7B2" w14:textId="77777777" w:rsidR="00586A1D" w:rsidRDefault="00586A1D" w:rsidP="00586A1D">
            <w:pPr>
              <w:pStyle w:val="BodyText"/>
              <w:spacing w:after="120"/>
              <w:cnfStyle w:val="000000000000" w:firstRow="0" w:lastRow="0" w:firstColumn="0" w:lastColumn="0" w:oddVBand="0" w:evenVBand="0" w:oddHBand="0" w:evenHBand="0" w:firstRowFirstColumn="0" w:firstRowLastColumn="0" w:lastRowFirstColumn="0" w:lastRowLastColumn="0"/>
            </w:pPr>
            <w:r>
              <w:t>Difficulty in accessing funding.</w:t>
            </w:r>
          </w:p>
          <w:p w14:paraId="63BABB53" w14:textId="77777777" w:rsidR="00586A1D" w:rsidRPr="003B1195" w:rsidRDefault="00586A1D" w:rsidP="00586A1D">
            <w:pPr>
              <w:pStyle w:val="BodyText"/>
              <w:spacing w:after="120"/>
              <w:cnfStyle w:val="000000000000" w:firstRow="0" w:lastRow="0" w:firstColumn="0" w:lastColumn="0" w:oddVBand="0" w:evenVBand="0" w:oddHBand="0" w:evenHBand="0" w:firstRowFirstColumn="0" w:firstRowLastColumn="0" w:lastRowFirstColumn="0" w:lastRowLastColumn="0"/>
            </w:pPr>
            <w:r>
              <w:t>Economic protectionism in key trading markets.</w:t>
            </w:r>
          </w:p>
        </w:tc>
      </w:tr>
      <w:tr w:rsidR="00F14B38" w:rsidRPr="003B1195" w14:paraId="72E31853" w14:textId="77777777" w:rsidTr="00D1320B">
        <w:tc>
          <w:tcPr>
            <w:cnfStyle w:val="001000000000" w:firstRow="0" w:lastRow="0" w:firstColumn="1" w:lastColumn="0" w:oddVBand="0" w:evenVBand="0" w:oddHBand="0" w:evenHBand="0" w:firstRowFirstColumn="0" w:firstRowLastColumn="0" w:lastRowFirstColumn="0" w:lastRowLastColumn="0"/>
            <w:tcW w:w="1701" w:type="dxa"/>
          </w:tcPr>
          <w:p w14:paraId="6303D885" w14:textId="77777777" w:rsidR="00F14B38" w:rsidRPr="006F3818" w:rsidRDefault="00F14B38" w:rsidP="00D1320B">
            <w:pPr>
              <w:pStyle w:val="BodyText"/>
              <w:rPr>
                <w:b/>
                <w:lang w:eastAsia="en-US"/>
              </w:rPr>
            </w:pPr>
            <w:r w:rsidRPr="006F3818">
              <w:rPr>
                <w:b/>
                <w:lang w:eastAsia="en-US"/>
              </w:rPr>
              <w:t>Renewables &amp; Energy</w:t>
            </w:r>
          </w:p>
        </w:tc>
        <w:tc>
          <w:tcPr>
            <w:tcW w:w="4111" w:type="dxa"/>
          </w:tcPr>
          <w:p w14:paraId="25965F1A"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North East Lincolnshire forms part of wider Humber renewables cluster which is considered as one the main energy producers in the UK – ‘energy estuary’:  wind, tidal, biofuels and renewables which builds on the area’s credentials in terms of ports, chemicals, offshore energy and marine engineering.</w:t>
            </w:r>
          </w:p>
          <w:p w14:paraId="14CB3ACB"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Major port infrastructure suitable to servicing offshore windfarm industry.  </w:t>
            </w:r>
          </w:p>
          <w:p w14:paraId="539B4920"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Central to Round 3 Offshore Wind plans focussed on Dogger Bank and Hornsea.  </w:t>
            </w:r>
          </w:p>
          <w:p w14:paraId="07512021"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Rapidly emerging O&amp;M cluster on back of Westermost Rough.</w:t>
            </w:r>
          </w:p>
          <w:p w14:paraId="4E4A3AC0"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Major industry players already well established in the sub-region including Siemens, Centrica, Dong and E-on.</w:t>
            </w:r>
          </w:p>
          <w:p w14:paraId="10BCAA66"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Conversion of power plants to biomass and biofuel. </w:t>
            </w:r>
          </w:p>
          <w:p w14:paraId="30E1CBF2"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Able Marine Energy Park &amp; Logistics Park</w:t>
            </w:r>
          </w:p>
          <w:p w14:paraId="6159C1ED"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Hull Greenport</w:t>
            </w:r>
          </w:p>
          <w:p w14:paraId="4B719815"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Enterpr</w:t>
            </w:r>
            <w:r w:rsidR="00586A1D">
              <w:t>ise Zones (Port of Grimsby in NEL and ABLE marine energy park in North Lincolnshire</w:t>
            </w:r>
            <w:r>
              <w:t>)</w:t>
            </w:r>
          </w:p>
          <w:p w14:paraId="5FE4488D"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Major industry and training infrastructure – CATCH, Grimsby Institute, Humberside Engineering Training Association (HETA).</w:t>
            </w:r>
          </w:p>
          <w:p w14:paraId="53C02AC7"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Scope for transferring of skills from related sectors to the renewables industry (engineers, technicians and operatives).</w:t>
            </w:r>
          </w:p>
          <w:p w14:paraId="0E36012B"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 xml:space="preserve">Solid links with partners in Germany and Denmark.  </w:t>
            </w:r>
          </w:p>
          <w:p w14:paraId="48D77F2D" w14:textId="77777777" w:rsidR="00F14B38" w:rsidRPr="003B1195"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p>
        </w:tc>
        <w:tc>
          <w:tcPr>
            <w:tcW w:w="3686" w:type="dxa"/>
          </w:tcPr>
          <w:p w14:paraId="0E36AFCD"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Potential skills shortages, particularly in light of increased skilled workforce demand relative to those locally available.</w:t>
            </w:r>
          </w:p>
          <w:p w14:paraId="630305C4"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Footloose workforce willing to commute in and out of the area (as reflected by demand for hotel bed spaces).  </w:t>
            </w:r>
          </w:p>
          <w:p w14:paraId="0601162F"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Competition, primarily Scotland, Teesside and Lowestoft / Great Yarmouth, other parts of Europe.</w:t>
            </w:r>
          </w:p>
          <w:p w14:paraId="72BCC4B7"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Tired port infrastructure, buildings and associated facilities.  </w:t>
            </w:r>
          </w:p>
          <w:p w14:paraId="4ED390CC"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Shortage of suitable, portside land.</w:t>
            </w:r>
          </w:p>
          <w:p w14:paraId="2566C6BD" w14:textId="77777777" w:rsidR="00F14B38" w:rsidRPr="003B1195"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Port land ownership constraints</w:t>
            </w:r>
            <w:r w:rsidR="00586A1D">
              <w:rPr>
                <w:lang w:eastAsia="en-US"/>
              </w:rPr>
              <w:t>.</w:t>
            </w:r>
          </w:p>
        </w:tc>
      </w:tr>
      <w:tr w:rsidR="00F14B38" w:rsidRPr="003B1195" w14:paraId="0BA3E3AC" w14:textId="77777777" w:rsidTr="00D1320B">
        <w:tc>
          <w:tcPr>
            <w:cnfStyle w:val="001000000000" w:firstRow="0" w:lastRow="0" w:firstColumn="1" w:lastColumn="0" w:oddVBand="0" w:evenVBand="0" w:oddHBand="0" w:evenHBand="0" w:firstRowFirstColumn="0" w:firstRowLastColumn="0" w:lastRowFirstColumn="0" w:lastRowLastColumn="0"/>
            <w:tcW w:w="1701" w:type="dxa"/>
          </w:tcPr>
          <w:p w14:paraId="0D2915ED" w14:textId="77777777" w:rsidR="00F14B38" w:rsidRPr="006F3818" w:rsidRDefault="00F14B38" w:rsidP="00D1320B">
            <w:pPr>
              <w:pStyle w:val="BodyText"/>
              <w:rPr>
                <w:b/>
                <w:lang w:eastAsia="en-US"/>
              </w:rPr>
            </w:pPr>
            <w:r w:rsidRPr="006F3818">
              <w:rPr>
                <w:b/>
                <w:lang w:eastAsia="en-US"/>
              </w:rPr>
              <w:t>Chemicals &amp; Process Industries</w:t>
            </w:r>
          </w:p>
        </w:tc>
        <w:tc>
          <w:tcPr>
            <w:tcW w:w="4111" w:type="dxa"/>
          </w:tcPr>
          <w:p w14:paraId="7C3ADC9E"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Proximity to well established oil refineries and power stations (including Humber and East Lindsey refineries).  </w:t>
            </w:r>
          </w:p>
          <w:p w14:paraId="792E8A16"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Well establish industrial cluster including manufacturing, refineries, bio-fuel, storage and specialist engineering. </w:t>
            </w:r>
          </w:p>
          <w:p w14:paraId="09747564"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Port of Immingham – plays a vital and well established role in the import and export of energy supplies including oil, liquefied natural gas and biomass.</w:t>
            </w:r>
          </w:p>
          <w:p w14:paraId="53C8397F"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CATCH – high quality training and F&amp;D facility.</w:t>
            </w:r>
          </w:p>
          <w:p w14:paraId="43529182"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Humber Technical Focus – strong industry network and leader in knowledge transfer.</w:t>
            </w:r>
          </w:p>
          <w:p w14:paraId="51A4EFEF"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Increasing demand for bio-energy.  </w:t>
            </w:r>
          </w:p>
          <w:p w14:paraId="3F957725" w14:textId="77777777" w:rsidR="00F14B38" w:rsidRPr="003B1195"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Increasing specialisation.</w:t>
            </w:r>
          </w:p>
        </w:tc>
        <w:tc>
          <w:tcPr>
            <w:tcW w:w="3686" w:type="dxa"/>
          </w:tcPr>
          <w:p w14:paraId="64089FAE"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Skills shortages.</w:t>
            </w:r>
          </w:p>
          <w:p w14:paraId="39E2BCDD" w14:textId="77777777" w:rsidR="008D4CB1" w:rsidRDefault="008D4CB1"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Medium to long term foreign competition where energy and labour costs are significantly cheaper.</w:t>
            </w:r>
          </w:p>
          <w:p w14:paraId="4A743E48"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Competition including Teesside, Grangemouth and Runcorn / Widnes. </w:t>
            </w:r>
          </w:p>
          <w:p w14:paraId="68861B62"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Need for enhanced and more direct links between industry and local / regional higher education institutions.  </w:t>
            </w:r>
          </w:p>
          <w:p w14:paraId="7BD56686"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Ability to respond and adapt to ongoing environmental legislation and regulation (and costs of ecological mitigation).</w:t>
            </w:r>
          </w:p>
          <w:p w14:paraId="44CB2069"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Uncertainty over the future of biofuels – government commitment and viability.</w:t>
            </w:r>
          </w:p>
          <w:p w14:paraId="3FA72E31" w14:textId="77777777" w:rsidR="00F14B38" w:rsidRPr="003B1195"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rPr>
                <w:lang w:eastAsia="en-US"/>
              </w:rPr>
            </w:pPr>
            <w:r>
              <w:rPr>
                <w:lang w:eastAsia="en-US"/>
              </w:rPr>
              <w:t>Better provision of enabling infrastructure (utilities and feedstocks) at development sites to make it easier for private companies to invest (‘plug and play’).</w:t>
            </w:r>
          </w:p>
        </w:tc>
      </w:tr>
      <w:tr w:rsidR="00F14B38" w:rsidRPr="003B1195" w14:paraId="0515F6E8" w14:textId="77777777" w:rsidTr="00D1320B">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000000" w:themeColor="text1"/>
            </w:tcBorders>
          </w:tcPr>
          <w:p w14:paraId="2961F71B" w14:textId="77777777" w:rsidR="00F14B38" w:rsidRPr="006F3818" w:rsidRDefault="00F14B38" w:rsidP="00D1320B">
            <w:pPr>
              <w:pStyle w:val="BodyText"/>
              <w:rPr>
                <w:b/>
              </w:rPr>
            </w:pPr>
            <w:r>
              <w:rPr>
                <w:b/>
              </w:rPr>
              <w:t>Visitor E</w:t>
            </w:r>
            <w:r w:rsidRPr="006F3818">
              <w:rPr>
                <w:b/>
              </w:rPr>
              <w:t>conomy</w:t>
            </w:r>
          </w:p>
        </w:tc>
        <w:tc>
          <w:tcPr>
            <w:tcW w:w="4111" w:type="dxa"/>
            <w:tcBorders>
              <w:bottom w:val="single" w:sz="2" w:space="0" w:color="000000" w:themeColor="text1"/>
            </w:tcBorders>
          </w:tcPr>
          <w:p w14:paraId="2E519470"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Well established, traditional visitor economy centred on Cleethorpes.</w:t>
            </w:r>
          </w:p>
          <w:p w14:paraId="0AB8470F"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Fishing heritage and other good quality attractions (e.g. beaches, Lincolnshire Wolds, yachting).</w:t>
            </w:r>
          </w:p>
          <w:p w14:paraId="5A8AD108"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Thorpe Park – successful and viable holiday park serving demand from Lincolnshire, South Yorkshire and East Midlands.</w:t>
            </w:r>
          </w:p>
          <w:p w14:paraId="1A81FDCB"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 xml:space="preserve">Increasing regeneration investment in Grimsby town centre raising the prospects that the centre can ‘catch-up’ and enhance its sub-regional role in the retail hierarchy, including potential expansion of the retail and leisure offer </w:t>
            </w:r>
            <w:r w:rsidR="00586A1D">
              <w:t>of</w:t>
            </w:r>
            <w:r>
              <w:t xml:space="preserve"> Grimsby</w:t>
            </w:r>
            <w:r w:rsidR="00586A1D">
              <w:t>.</w:t>
            </w:r>
          </w:p>
          <w:p w14:paraId="07F21F14"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Increasingly vibrant business tourism demand driven by renewables and chemicals sector.</w:t>
            </w:r>
          </w:p>
          <w:p w14:paraId="6E9EFCEF"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Well established holiday demand from family and elderly markets.</w:t>
            </w:r>
          </w:p>
          <w:p w14:paraId="645A3F47" w14:textId="77777777" w:rsidR="00F14B38" w:rsidRPr="003B1195"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Two new hotels under construction with capacity for an additional 100-bed hotel.</w:t>
            </w:r>
          </w:p>
        </w:tc>
        <w:tc>
          <w:tcPr>
            <w:tcW w:w="3686" w:type="dxa"/>
            <w:tcBorders>
              <w:bottom w:val="single" w:sz="2" w:space="0" w:color="000000" w:themeColor="text1"/>
            </w:tcBorders>
          </w:tcPr>
          <w:p w14:paraId="753A7AB4"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Intense competition from other seaside and regional resorts and attractions.</w:t>
            </w:r>
          </w:p>
          <w:p w14:paraId="5F824B84"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Under-developed evening economy required to appeal to young and family markets.</w:t>
            </w:r>
          </w:p>
          <w:p w14:paraId="2497F82C"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Increasing competition from surrounding centres for retail spend.</w:t>
            </w:r>
          </w:p>
          <w:p w14:paraId="75187511" w14:textId="77777777" w:rsidR="00F14B38"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Volatile tourism market.</w:t>
            </w:r>
          </w:p>
          <w:p w14:paraId="464FF926" w14:textId="77777777" w:rsidR="00F14B38" w:rsidRPr="003B1195" w:rsidRDefault="00F14B38" w:rsidP="00D1320B">
            <w:pPr>
              <w:pStyle w:val="BodyText"/>
              <w:spacing w:after="120"/>
              <w:cnfStyle w:val="000000000000" w:firstRow="0" w:lastRow="0" w:firstColumn="0" w:lastColumn="0" w:oddVBand="0" w:evenVBand="0" w:oddHBand="0" w:evenHBand="0" w:firstRowFirstColumn="0" w:firstRowLastColumn="0" w:lastRowFirstColumn="0" w:lastRowLastColumn="0"/>
            </w:pPr>
            <w:r>
              <w:t>Negative external perceptions and lack of proactive marketing campaign to attract visitors.</w:t>
            </w:r>
          </w:p>
        </w:tc>
      </w:tr>
    </w:tbl>
    <w:p w14:paraId="36ADDC6D" w14:textId="77777777" w:rsidR="00F14B38" w:rsidRDefault="00F14B38" w:rsidP="00F14B38">
      <w:pPr>
        <w:rPr>
          <w:b/>
        </w:rPr>
      </w:pPr>
    </w:p>
    <w:p w14:paraId="46EE19A3" w14:textId="77777777" w:rsidR="00F14B38" w:rsidRPr="00F14B38" w:rsidRDefault="00F14B38" w:rsidP="00F14B38">
      <w:pPr>
        <w:pStyle w:val="BodyText"/>
        <w:rPr>
          <w:color w:val="096971" w:themeColor="accent1"/>
        </w:rPr>
      </w:pPr>
      <w:bookmarkStart w:id="255" w:name="_Toc394668603"/>
      <w:r w:rsidRPr="00F14B38">
        <w:rPr>
          <w:b/>
          <w:color w:val="096971" w:themeColor="accent1"/>
        </w:rPr>
        <w:t xml:space="preserve">Table </w:t>
      </w:r>
      <w:fldSimple w:instr=" STYLEREF 1 \s  \* MERGEFORMAT ">
        <w:r w:rsidR="00161265" w:rsidRPr="00161265">
          <w:rPr>
            <w:b/>
            <w:noProof/>
            <w:color w:val="096971" w:themeColor="accent1"/>
          </w:rPr>
          <w:t>2</w:t>
        </w:r>
      </w:fldSimple>
      <w:r w:rsidRPr="00F14B38">
        <w:rPr>
          <w:b/>
          <w:color w:val="096971" w:themeColor="accent1"/>
        </w:rPr>
        <w:t>-</w:t>
      </w:r>
      <w:fldSimple w:instr=" SEQ Table \* ARABIC \s 1  \* MERGEFORMAT ">
        <w:r w:rsidR="00161265" w:rsidRPr="00161265">
          <w:rPr>
            <w:b/>
            <w:noProof/>
            <w:color w:val="096971" w:themeColor="accent1"/>
          </w:rPr>
          <w:t>8</w:t>
        </w:r>
      </w:fldSimple>
      <w:r w:rsidRPr="00F14B38">
        <w:rPr>
          <w:b/>
          <w:color w:val="096971" w:themeColor="accent1"/>
        </w:rPr>
        <w:t xml:space="preserve"> – Other Sectors:  Market Opportunities &amp; Threats</w:t>
      </w:r>
      <w:bookmarkEnd w:id="255"/>
    </w:p>
    <w:tbl>
      <w:tblPr>
        <w:tblStyle w:val="Atkins14pt"/>
        <w:tblW w:w="0" w:type="auto"/>
        <w:tblLayout w:type="fixed"/>
        <w:tblLook w:val="04A0" w:firstRow="1" w:lastRow="0" w:firstColumn="1" w:lastColumn="0" w:noHBand="0" w:noVBand="1"/>
      </w:tblPr>
      <w:tblGrid>
        <w:gridCol w:w="1701"/>
        <w:gridCol w:w="4111"/>
        <w:gridCol w:w="3686"/>
      </w:tblGrid>
      <w:tr w:rsidR="00F14B38" w:rsidRPr="008E22E9" w14:paraId="5CAE9447" w14:textId="77777777" w:rsidTr="00F14B3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01" w:type="dxa"/>
          </w:tcPr>
          <w:p w14:paraId="375A6C77" w14:textId="77777777" w:rsidR="00F14B38" w:rsidRPr="008E22E9" w:rsidRDefault="00F14B38" w:rsidP="00D1320B">
            <w:pPr>
              <w:pStyle w:val="TableText"/>
              <w:rPr>
                <w:rFonts w:eastAsiaTheme="minorHAnsi" w:cstheme="minorBidi"/>
                <w:szCs w:val="22"/>
                <w:lang w:eastAsia="en-US"/>
              </w:rPr>
            </w:pPr>
            <w:r w:rsidRPr="008E22E9">
              <w:rPr>
                <w:rFonts w:eastAsiaTheme="minorHAnsi" w:cstheme="minorBidi"/>
                <w:szCs w:val="22"/>
                <w:lang w:eastAsia="en-US"/>
              </w:rPr>
              <w:t>Sector</w:t>
            </w:r>
          </w:p>
        </w:tc>
        <w:tc>
          <w:tcPr>
            <w:tcW w:w="4111" w:type="dxa"/>
          </w:tcPr>
          <w:p w14:paraId="22FFDA70" w14:textId="77777777" w:rsidR="00F14B38" w:rsidRPr="008E22E9" w:rsidRDefault="00F14B38" w:rsidP="00D1320B">
            <w:pPr>
              <w:pStyle w:val="TableText"/>
              <w:cnfStyle w:val="100000000000" w:firstRow="1"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Market Trends &amp; Opportunities</w:t>
            </w:r>
          </w:p>
        </w:tc>
        <w:tc>
          <w:tcPr>
            <w:tcW w:w="3686" w:type="dxa"/>
          </w:tcPr>
          <w:p w14:paraId="4C6BBFEC" w14:textId="77777777" w:rsidR="00F14B38" w:rsidRPr="008E22E9" w:rsidRDefault="00F14B38" w:rsidP="00D1320B">
            <w:pPr>
              <w:pStyle w:val="TableText"/>
              <w:cnfStyle w:val="100000000000" w:firstRow="1" w:lastRow="0" w:firstColumn="0" w:lastColumn="0" w:oddVBand="0" w:evenVBand="0" w:oddHBand="0" w:evenHBand="0" w:firstRowFirstColumn="0" w:firstRowLastColumn="0" w:lastRowFirstColumn="0" w:lastRowLastColumn="0"/>
              <w:rPr>
                <w:rFonts w:eastAsiaTheme="minorHAnsi" w:cstheme="minorBidi"/>
                <w:szCs w:val="22"/>
                <w:lang w:eastAsia="en-US"/>
              </w:rPr>
            </w:pPr>
            <w:r>
              <w:rPr>
                <w:rFonts w:eastAsiaTheme="minorHAnsi" w:cstheme="minorBidi"/>
                <w:szCs w:val="22"/>
                <w:lang w:eastAsia="en-US"/>
              </w:rPr>
              <w:t>Threats to Growth</w:t>
            </w:r>
          </w:p>
        </w:tc>
      </w:tr>
      <w:tr w:rsidR="00F14B38" w:rsidRPr="003B1195" w14:paraId="70410ABE" w14:textId="77777777" w:rsidTr="00F14B38">
        <w:tc>
          <w:tcPr>
            <w:cnfStyle w:val="001000000000" w:firstRow="0" w:lastRow="0" w:firstColumn="1" w:lastColumn="0" w:oddVBand="0" w:evenVBand="0" w:oddHBand="0" w:evenHBand="0" w:firstRowFirstColumn="0" w:firstRowLastColumn="0" w:lastRowFirstColumn="0" w:lastRowLastColumn="0"/>
            <w:tcW w:w="1701" w:type="dxa"/>
          </w:tcPr>
          <w:p w14:paraId="307B55F0" w14:textId="77777777" w:rsidR="00F14B38" w:rsidRPr="00AE0FFD" w:rsidRDefault="00F14B38" w:rsidP="00D1320B">
            <w:pPr>
              <w:pStyle w:val="BodyText"/>
              <w:rPr>
                <w:b/>
                <w:lang w:eastAsia="en-US"/>
              </w:rPr>
            </w:pPr>
            <w:r w:rsidRPr="00AE0FFD">
              <w:rPr>
                <w:b/>
                <w:lang w:eastAsia="en-US"/>
              </w:rPr>
              <w:t>Retail, Leisure &amp; Entertainment</w:t>
            </w:r>
          </w:p>
        </w:tc>
        <w:tc>
          <w:tcPr>
            <w:tcW w:w="4111" w:type="dxa"/>
          </w:tcPr>
          <w:p w14:paraId="069CB27B" w14:textId="77777777" w:rsidR="00F14B38" w:rsidRDefault="00F14B38" w:rsidP="00D1320B">
            <w:pPr>
              <w:pStyle w:val="ListBullet"/>
              <w:numPr>
                <w:ilvl w:val="0"/>
                <w:numId w:val="0"/>
              </w:numPr>
              <w:ind w:left="85"/>
              <w:cnfStyle w:val="000000000000" w:firstRow="0" w:lastRow="0" w:firstColumn="0" w:lastColumn="0" w:oddVBand="0" w:evenVBand="0" w:oddHBand="0" w:evenHBand="0" w:firstRowFirstColumn="0" w:firstRowLastColumn="0" w:lastRowFirstColumn="0" w:lastRowLastColumn="0"/>
            </w:pPr>
            <w:r>
              <w:t xml:space="preserve">The Grimsby urban area has the capacity to support up to 23,200sqm additional comparison retail floorspace in the period up to 2030 which includes the effect of an increase of tourism expenditure inflow </w:t>
            </w:r>
            <w:r w:rsidRPr="006A0443">
              <w:rPr>
                <w:rStyle w:val="BodyTextChar"/>
              </w:rPr>
              <w:t>(GVA, June 2013).</w:t>
            </w:r>
            <w:r>
              <w:t xml:space="preserve">  This also reflects the limited competition from competing regional centres within Grimsby’s catchment area.</w:t>
            </w:r>
          </w:p>
          <w:p w14:paraId="4477C770" w14:textId="77777777" w:rsidR="00F14B38" w:rsidRDefault="00F14B38" w:rsidP="00D1320B">
            <w:pPr>
              <w:pStyle w:val="ListBullet"/>
              <w:numPr>
                <w:ilvl w:val="0"/>
                <w:numId w:val="0"/>
              </w:numPr>
              <w:ind w:left="85"/>
              <w:cnfStyle w:val="000000000000" w:firstRow="0" w:lastRow="0" w:firstColumn="0" w:lastColumn="0" w:oddVBand="0" w:evenVBand="0" w:oddHBand="0" w:evenHBand="0" w:firstRowFirstColumn="0" w:firstRowLastColumn="0" w:lastRowFirstColumn="0" w:lastRowLastColumn="0"/>
            </w:pPr>
            <w:r>
              <w:t>Regeneration initiatives focused on Grimsby and Cleethorpes town centres will assist in capturing greater retail, leisure and entertainment spend and potentially extending catchment areas.</w:t>
            </w:r>
          </w:p>
          <w:p w14:paraId="422AFAB7" w14:textId="77777777" w:rsidR="00F14B38" w:rsidRDefault="00F14B38" w:rsidP="00D1320B">
            <w:pPr>
              <w:pStyle w:val="ListBullet"/>
              <w:numPr>
                <w:ilvl w:val="0"/>
                <w:numId w:val="0"/>
              </w:numPr>
              <w:ind w:left="85"/>
              <w:cnfStyle w:val="000000000000" w:firstRow="0" w:lastRow="0" w:firstColumn="0" w:lastColumn="0" w:oddVBand="0" w:evenVBand="0" w:oddHBand="0" w:evenHBand="0" w:firstRowFirstColumn="0" w:firstRowLastColumn="0" w:lastRowFirstColumn="0" w:lastRowLastColumn="0"/>
            </w:pPr>
            <w:r>
              <w:t xml:space="preserve">Proposals are being progressed for the development of a Multi-Screen cinema with a range of other leisure uses. </w:t>
            </w:r>
          </w:p>
          <w:p w14:paraId="05E10EF5" w14:textId="77777777" w:rsidR="00F14B38" w:rsidRDefault="00D1320B" w:rsidP="00D1320B">
            <w:pPr>
              <w:pStyle w:val="ListBullet"/>
              <w:numPr>
                <w:ilvl w:val="0"/>
                <w:numId w:val="0"/>
              </w:numPr>
              <w:ind w:left="85"/>
              <w:cnfStyle w:val="000000000000" w:firstRow="0" w:lastRow="0" w:firstColumn="0" w:lastColumn="0" w:oddVBand="0" w:evenVBand="0" w:oddHBand="0" w:evenHBand="0" w:firstRowFirstColumn="0" w:firstRowLastColumn="0" w:lastRowFirstColumn="0" w:lastRowLastColumn="0"/>
            </w:pPr>
            <w:r>
              <w:t>Niche retail offer in Cleethorpes town centre with viable restaurants and other leisure and entertainment uses.</w:t>
            </w:r>
            <w:r w:rsidR="00015FBF">
              <w:t xml:space="preserve">  Good local shopping facilities for residents.</w:t>
            </w:r>
          </w:p>
          <w:p w14:paraId="260783A1" w14:textId="77777777" w:rsidR="00F14B38" w:rsidRDefault="00F14B38" w:rsidP="00D1320B">
            <w:pPr>
              <w:pStyle w:val="ListBullet"/>
              <w:numPr>
                <w:ilvl w:val="0"/>
                <w:numId w:val="0"/>
              </w:numPr>
              <w:ind w:left="85"/>
              <w:cnfStyle w:val="000000000000" w:firstRow="0" w:lastRow="0" w:firstColumn="0" w:lastColumn="0" w:oddVBand="0" w:evenVBand="0" w:oddHBand="0" w:evenHBand="0" w:firstRowFirstColumn="0" w:firstRowLastColumn="0" w:lastRowFirstColumn="0" w:lastRowLastColumn="0"/>
            </w:pPr>
          </w:p>
          <w:p w14:paraId="09517AED" w14:textId="77777777" w:rsidR="00F14B38" w:rsidRPr="003B1195" w:rsidRDefault="00F14B38" w:rsidP="00D1320B">
            <w:pPr>
              <w:pStyle w:val="ListBullet"/>
              <w:numPr>
                <w:ilvl w:val="0"/>
                <w:numId w:val="0"/>
              </w:numPr>
              <w:ind w:left="445"/>
              <w:cnfStyle w:val="000000000000" w:firstRow="0" w:lastRow="0" w:firstColumn="0" w:lastColumn="0" w:oddVBand="0" w:evenVBand="0" w:oddHBand="0" w:evenHBand="0" w:firstRowFirstColumn="0" w:firstRowLastColumn="0" w:lastRowFirstColumn="0" w:lastRowLastColumn="0"/>
            </w:pPr>
          </w:p>
        </w:tc>
        <w:tc>
          <w:tcPr>
            <w:tcW w:w="3686" w:type="dxa"/>
          </w:tcPr>
          <w:p w14:paraId="15E59BDC" w14:textId="77777777" w:rsidR="00F14B38" w:rsidRDefault="00F14B38" w:rsidP="00D1320B">
            <w:pPr>
              <w:pStyle w:val="ListBullet"/>
              <w:numPr>
                <w:ilvl w:val="0"/>
                <w:numId w:val="0"/>
              </w:numPr>
              <w:ind w:left="85"/>
              <w:cnfStyle w:val="000000000000" w:firstRow="0" w:lastRow="0" w:firstColumn="0" w:lastColumn="0" w:oddVBand="0" w:evenVBand="0" w:oddHBand="0" w:evenHBand="0" w:firstRowFirstColumn="0" w:firstRowLastColumn="0" w:lastRowFirstColumn="0" w:lastRowLastColumn="0"/>
            </w:pPr>
            <w:r>
              <w:t>Grimsby lacks some of the mid-to-higher fashion retailers which may be attributable to a lack of suitable available retail accommodation in the town centre beyond Freshney Place.  Furthermore, the town centre is under-represented in terms of department stores and other multiples which could bring significant qualitative benefits by attracting enhanced expenditure from the wider sub-region to the centre. Grimsby town centre could gain significantly from ongoing regeneration with a view to enhancing its perception as sub-regional destination.</w:t>
            </w:r>
          </w:p>
          <w:p w14:paraId="2498FE85" w14:textId="77777777" w:rsidR="00F14B38" w:rsidRDefault="00F14B38" w:rsidP="00D1320B">
            <w:pPr>
              <w:pStyle w:val="ListBullet"/>
              <w:numPr>
                <w:ilvl w:val="0"/>
                <w:numId w:val="0"/>
              </w:numPr>
              <w:ind w:left="85"/>
              <w:cnfStyle w:val="000000000000" w:firstRow="0" w:lastRow="0" w:firstColumn="0" w:lastColumn="0" w:oddVBand="0" w:evenVBand="0" w:oddHBand="0" w:evenHBand="0" w:firstRowFirstColumn="0" w:firstRowLastColumn="0" w:lastRowFirstColumn="0" w:lastRowLastColumn="0"/>
            </w:pPr>
            <w:r>
              <w:t>Poor evening economy in Grimsby.</w:t>
            </w:r>
          </w:p>
          <w:p w14:paraId="1C69059E" w14:textId="77777777" w:rsidR="00F14B38" w:rsidRDefault="00F14B38" w:rsidP="00D1320B">
            <w:pPr>
              <w:pStyle w:val="ListBullet"/>
              <w:numPr>
                <w:ilvl w:val="0"/>
                <w:numId w:val="0"/>
              </w:numPr>
              <w:ind w:left="85"/>
              <w:cnfStyle w:val="000000000000" w:firstRow="0" w:lastRow="0" w:firstColumn="0" w:lastColumn="0" w:oddVBand="0" w:evenVBand="0" w:oddHBand="0" w:evenHBand="0" w:firstRowFirstColumn="0" w:firstRowLastColumn="0" w:lastRowFirstColumn="0" w:lastRowLastColumn="0"/>
            </w:pPr>
            <w:r>
              <w:t>Safety and security perceptions in Grimsby undermine evening economy.</w:t>
            </w:r>
          </w:p>
          <w:p w14:paraId="040934F3" w14:textId="77777777" w:rsidR="00F14B38" w:rsidRPr="003B1195" w:rsidRDefault="00F14B38" w:rsidP="00D1320B">
            <w:pPr>
              <w:pStyle w:val="ListBullet"/>
              <w:numPr>
                <w:ilvl w:val="0"/>
                <w:numId w:val="0"/>
              </w:numPr>
              <w:ind w:left="85"/>
              <w:cnfStyle w:val="000000000000" w:firstRow="0" w:lastRow="0" w:firstColumn="0" w:lastColumn="0" w:oddVBand="0" w:evenVBand="0" w:oddHBand="0" w:evenHBand="0" w:firstRowFirstColumn="0" w:firstRowLastColumn="0" w:lastRowFirstColumn="0" w:lastRowLastColumn="0"/>
            </w:pPr>
            <w:r>
              <w:t>Residential population in Grimsby town centre is low and demographic profile skewed away from families and professionals.</w:t>
            </w:r>
          </w:p>
        </w:tc>
      </w:tr>
      <w:tr w:rsidR="00F14B38" w:rsidRPr="003B1195" w14:paraId="3D35EEDA" w14:textId="77777777" w:rsidTr="00F14B38">
        <w:tc>
          <w:tcPr>
            <w:cnfStyle w:val="001000000000" w:firstRow="0" w:lastRow="0" w:firstColumn="1" w:lastColumn="0" w:oddVBand="0" w:evenVBand="0" w:oddHBand="0" w:evenHBand="0" w:firstRowFirstColumn="0" w:firstRowLastColumn="0" w:lastRowFirstColumn="0" w:lastRowLastColumn="0"/>
            <w:tcW w:w="1701" w:type="dxa"/>
          </w:tcPr>
          <w:p w14:paraId="0A460B45" w14:textId="77777777" w:rsidR="00F14B38" w:rsidRPr="00AE0FFD" w:rsidRDefault="00F14B38" w:rsidP="00D1320B">
            <w:pPr>
              <w:pStyle w:val="BodyText"/>
              <w:rPr>
                <w:b/>
                <w:lang w:eastAsia="en-US"/>
              </w:rPr>
            </w:pPr>
            <w:r w:rsidRPr="00AE0FFD">
              <w:rPr>
                <w:b/>
                <w:lang w:eastAsia="en-US"/>
              </w:rPr>
              <w:t>Education &amp; Health</w:t>
            </w:r>
          </w:p>
        </w:tc>
        <w:tc>
          <w:tcPr>
            <w:tcW w:w="4111" w:type="dxa"/>
          </w:tcPr>
          <w:p w14:paraId="3C2B0D70"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pPr>
            <w:r>
              <w:t>Well established and major employers in the area</w:t>
            </w:r>
            <w:r w:rsidR="00D1320B">
              <w:t xml:space="preserve"> (collectively</w:t>
            </w:r>
            <w:r>
              <w:t xml:space="preserve"> </w:t>
            </w:r>
            <w:r w:rsidR="00D1320B">
              <w:t xml:space="preserve">providing </w:t>
            </w:r>
            <w:r>
              <w:t>approximately 17,000</w:t>
            </w:r>
            <w:r w:rsidR="00D1320B">
              <w:t xml:space="preserve"> jobs</w:t>
            </w:r>
            <w:r>
              <w:t xml:space="preserve"> in total).  Growth will depend on demographic profile of population, public sector funding strategies and potential change in the local and sub-regional hierarchy of service provision.  An ageing population will generate increasing demand for health and care services.</w:t>
            </w:r>
          </w:p>
          <w:p w14:paraId="5AAF6471"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pPr>
            <w:r>
              <w:t xml:space="preserve">Retention of skilled graduates and young families coupled with potential in-migration of skilled works and their families would enhance demand for more education and health services. </w:t>
            </w:r>
          </w:p>
          <w:p w14:paraId="15AD2C54" w14:textId="77777777" w:rsidR="00D1320B" w:rsidRPr="003B1195" w:rsidRDefault="00D1320B" w:rsidP="00A01C64">
            <w:pPr>
              <w:pStyle w:val="BodyText"/>
              <w:cnfStyle w:val="000000000000" w:firstRow="0" w:lastRow="0" w:firstColumn="0" w:lastColumn="0" w:oddVBand="0" w:evenVBand="0" w:oddHBand="0" w:evenHBand="0" w:firstRowFirstColumn="0" w:firstRowLastColumn="0" w:lastRowFirstColumn="0" w:lastRowLastColumn="0"/>
            </w:pPr>
            <w:r>
              <w:t xml:space="preserve">Potential to expand Grimsby Hospital would attract </w:t>
            </w:r>
            <w:r w:rsidR="00A01C64">
              <w:t>more</w:t>
            </w:r>
            <w:r>
              <w:t xml:space="preserve"> healthcare professionals</w:t>
            </w:r>
            <w:r w:rsidR="00A01C64">
              <w:t xml:space="preserve"> to work and live in the area.</w:t>
            </w:r>
            <w:r>
              <w:t xml:space="preserve"> </w:t>
            </w:r>
          </w:p>
        </w:tc>
        <w:tc>
          <w:tcPr>
            <w:tcW w:w="3686" w:type="dxa"/>
          </w:tcPr>
          <w:p w14:paraId="2F8A4DDC"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pPr>
            <w:r>
              <w:t xml:space="preserve">Ongoing public sector austerity cuts and efficiency measures.  </w:t>
            </w:r>
          </w:p>
          <w:p w14:paraId="67D9C55D"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pPr>
            <w:r>
              <w:t>Increasing contracting-out of services.</w:t>
            </w:r>
          </w:p>
          <w:p w14:paraId="287575D3" w14:textId="77777777" w:rsidR="00F14B38" w:rsidRPr="003B1195" w:rsidRDefault="00F14B38" w:rsidP="00D1320B">
            <w:pPr>
              <w:pStyle w:val="BodyText"/>
              <w:cnfStyle w:val="000000000000" w:firstRow="0" w:lastRow="0" w:firstColumn="0" w:lastColumn="0" w:oddVBand="0" w:evenVBand="0" w:oddHBand="0" w:evenHBand="0" w:firstRowFirstColumn="0" w:firstRowLastColumn="0" w:lastRowFirstColumn="0" w:lastRowLastColumn="0"/>
            </w:pPr>
            <w:r>
              <w:t>Restructuring in the provision of services.</w:t>
            </w:r>
          </w:p>
        </w:tc>
      </w:tr>
      <w:tr w:rsidR="00F14B38" w:rsidRPr="003B1195" w14:paraId="41C22F9E" w14:textId="77777777" w:rsidTr="00F14B38">
        <w:tc>
          <w:tcPr>
            <w:cnfStyle w:val="001000000000" w:firstRow="0" w:lastRow="0" w:firstColumn="1" w:lastColumn="0" w:oddVBand="0" w:evenVBand="0" w:oddHBand="0" w:evenHBand="0" w:firstRowFirstColumn="0" w:firstRowLastColumn="0" w:lastRowFirstColumn="0" w:lastRowLastColumn="0"/>
            <w:tcW w:w="1701" w:type="dxa"/>
          </w:tcPr>
          <w:p w14:paraId="5918FACF" w14:textId="77777777" w:rsidR="00F14B38" w:rsidRPr="00AE0FFD" w:rsidRDefault="00F14B38" w:rsidP="00D1320B">
            <w:pPr>
              <w:pStyle w:val="BodyText"/>
              <w:rPr>
                <w:b/>
                <w:lang w:eastAsia="en-US"/>
              </w:rPr>
            </w:pPr>
            <w:r w:rsidRPr="00AE0FFD">
              <w:rPr>
                <w:b/>
                <w:lang w:eastAsia="en-US"/>
              </w:rPr>
              <w:t>Public Administration</w:t>
            </w:r>
          </w:p>
        </w:tc>
        <w:tc>
          <w:tcPr>
            <w:tcW w:w="4111" w:type="dxa"/>
          </w:tcPr>
          <w:p w14:paraId="2E5ABA55" w14:textId="77777777" w:rsidR="00F14B38" w:rsidRPr="003B1195" w:rsidRDefault="00F14B38" w:rsidP="00D1320B">
            <w:pPr>
              <w:pStyle w:val="BodyText"/>
              <w:cnfStyle w:val="000000000000" w:firstRow="0" w:lastRow="0" w:firstColumn="0" w:lastColumn="0" w:oddVBand="0" w:evenVBand="0" w:oddHBand="0" w:evenHBand="0" w:firstRowFirstColumn="0" w:firstRowLastColumn="0" w:lastRowFirstColumn="0" w:lastRowLastColumn="0"/>
            </w:pPr>
            <w:r>
              <w:t xml:space="preserve">Public administration is an important service sector in the local economy again with population growth or decline being a major determinant of potential employment change in the future. </w:t>
            </w:r>
          </w:p>
        </w:tc>
        <w:tc>
          <w:tcPr>
            <w:tcW w:w="3686" w:type="dxa"/>
          </w:tcPr>
          <w:p w14:paraId="69AB0E44"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pPr>
            <w:r>
              <w:t xml:space="preserve">Ongoing public sector austerity cuts and efficiency measures.  </w:t>
            </w:r>
          </w:p>
          <w:p w14:paraId="624F3A2A"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pPr>
            <w:r>
              <w:t>Increasing contracting-out of services.</w:t>
            </w:r>
          </w:p>
          <w:p w14:paraId="147759F1" w14:textId="77777777" w:rsidR="00F14B38" w:rsidRPr="003B1195" w:rsidRDefault="00F14B38" w:rsidP="00D1320B">
            <w:pPr>
              <w:pStyle w:val="BodyText"/>
              <w:cnfStyle w:val="000000000000" w:firstRow="0" w:lastRow="0" w:firstColumn="0" w:lastColumn="0" w:oddVBand="0" w:evenVBand="0" w:oddHBand="0" w:evenHBand="0" w:firstRowFirstColumn="0" w:firstRowLastColumn="0" w:lastRowFirstColumn="0" w:lastRowLastColumn="0"/>
            </w:pPr>
            <w:r>
              <w:t>Prospects for growth are limited.</w:t>
            </w:r>
          </w:p>
        </w:tc>
      </w:tr>
      <w:tr w:rsidR="00F14B38" w:rsidRPr="003B1195" w14:paraId="36B182B3" w14:textId="77777777" w:rsidTr="00F14B38">
        <w:tc>
          <w:tcPr>
            <w:cnfStyle w:val="001000000000" w:firstRow="0" w:lastRow="0" w:firstColumn="1" w:lastColumn="0" w:oddVBand="0" w:evenVBand="0" w:oddHBand="0" w:evenHBand="0" w:firstRowFirstColumn="0" w:firstRowLastColumn="0" w:lastRowFirstColumn="0" w:lastRowLastColumn="0"/>
            <w:tcW w:w="1701" w:type="dxa"/>
          </w:tcPr>
          <w:p w14:paraId="51A99BA9" w14:textId="77777777" w:rsidR="00F14B38" w:rsidRPr="00AE0FFD" w:rsidRDefault="00F14B38" w:rsidP="00D1320B">
            <w:pPr>
              <w:pStyle w:val="BodyText"/>
              <w:rPr>
                <w:b/>
                <w:lang w:eastAsia="en-US"/>
              </w:rPr>
            </w:pPr>
            <w:r w:rsidRPr="00AE0FFD">
              <w:rPr>
                <w:b/>
                <w:lang w:eastAsia="en-US"/>
              </w:rPr>
              <w:t>Construction</w:t>
            </w:r>
            <w:r>
              <w:rPr>
                <w:b/>
                <w:lang w:eastAsia="en-US"/>
              </w:rPr>
              <w:t xml:space="preserve"> &amp; Real Estate</w:t>
            </w:r>
          </w:p>
        </w:tc>
        <w:tc>
          <w:tcPr>
            <w:tcW w:w="4111" w:type="dxa"/>
          </w:tcPr>
          <w:p w14:paraId="72C5855F" w14:textId="77777777" w:rsidR="00F14B38" w:rsidRPr="003B1195" w:rsidRDefault="00F14B38" w:rsidP="00D1320B">
            <w:pPr>
              <w:pStyle w:val="Body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An important and growing sector in the North East Lincolnshire economy.  Growing demand from the key sectors and associated supply chains will stimulate growth in construction and real estate services. An enhanced property sector and growth in demand in the residential and commercial property markets would stimulate significant construction employment.</w:t>
            </w:r>
          </w:p>
        </w:tc>
        <w:tc>
          <w:tcPr>
            <w:tcW w:w="3686" w:type="dxa"/>
          </w:tcPr>
          <w:p w14:paraId="1E9A8BB1"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Reliant on large scale investment in capital projects and development activity stimulated by improved property market conditions.</w:t>
            </w:r>
          </w:p>
          <w:p w14:paraId="29EDDAA5"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Scope for import of construction firms and labour such that maximum economic impact is not captured locally.</w:t>
            </w:r>
          </w:p>
          <w:p w14:paraId="24E9C183" w14:textId="77777777" w:rsidR="00F14B38" w:rsidRPr="003B1195" w:rsidRDefault="00F14B38" w:rsidP="00D1320B">
            <w:pPr>
              <w:pStyle w:val="Body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Local land values/development viability is a major threat to securing speculative commercial development within the area. </w:t>
            </w:r>
          </w:p>
        </w:tc>
      </w:tr>
      <w:tr w:rsidR="00F14B38" w:rsidRPr="003B1195" w14:paraId="01D9DA90" w14:textId="77777777" w:rsidTr="00F14B38">
        <w:tc>
          <w:tcPr>
            <w:cnfStyle w:val="001000000000" w:firstRow="0" w:lastRow="0" w:firstColumn="1" w:lastColumn="0" w:oddVBand="0" w:evenVBand="0" w:oddHBand="0" w:evenHBand="0" w:firstRowFirstColumn="0" w:firstRowLastColumn="0" w:lastRowFirstColumn="0" w:lastRowLastColumn="0"/>
            <w:tcW w:w="1701" w:type="dxa"/>
          </w:tcPr>
          <w:p w14:paraId="52EFEB23" w14:textId="77777777" w:rsidR="00F14B38" w:rsidRPr="00AE0FFD" w:rsidRDefault="00F14B38" w:rsidP="00D1320B">
            <w:pPr>
              <w:pStyle w:val="BodyText"/>
              <w:rPr>
                <w:b/>
                <w:lang w:eastAsia="en-US"/>
              </w:rPr>
            </w:pPr>
            <w:r w:rsidRPr="00AE0FFD">
              <w:rPr>
                <w:b/>
                <w:lang w:eastAsia="en-US"/>
              </w:rPr>
              <w:t>Business &amp; Financial Services</w:t>
            </w:r>
          </w:p>
        </w:tc>
        <w:tc>
          <w:tcPr>
            <w:tcW w:w="4111" w:type="dxa"/>
          </w:tcPr>
          <w:p w14:paraId="591C7CF3"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Growth of the key sectors will generate new demand for business-to-business services (including legal, insurance, finance and accountancy, information technology and communications, engineering, support services).</w:t>
            </w:r>
          </w:p>
          <w:p w14:paraId="34F24AF3" w14:textId="77777777" w:rsidR="00F14B38" w:rsidRPr="003B1195" w:rsidRDefault="00F14B38" w:rsidP="00A01C64">
            <w:pPr>
              <w:pStyle w:val="Body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Stimulation of the office market will potentially attract new investors and occupiers to the area including regeneration schemes in Grimsby town centre and</w:t>
            </w:r>
            <w:r w:rsidR="00A01C64">
              <w:rPr>
                <w:lang w:eastAsia="en-US"/>
              </w:rPr>
              <w:t xml:space="preserve"> new</w:t>
            </w:r>
            <w:r>
              <w:rPr>
                <w:lang w:eastAsia="en-US"/>
              </w:rPr>
              <w:t xml:space="preserve"> business parks</w:t>
            </w:r>
            <w:r w:rsidR="00A01C64">
              <w:rPr>
                <w:lang w:eastAsia="en-US"/>
              </w:rPr>
              <w:t>.</w:t>
            </w:r>
            <w:r>
              <w:rPr>
                <w:lang w:eastAsia="en-US"/>
              </w:rPr>
              <w:t xml:space="preserve"> </w:t>
            </w:r>
          </w:p>
        </w:tc>
        <w:tc>
          <w:tcPr>
            <w:tcW w:w="3686" w:type="dxa"/>
          </w:tcPr>
          <w:p w14:paraId="4E32097E"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Under-represented sector at present.  </w:t>
            </w:r>
          </w:p>
          <w:p w14:paraId="70A30FF8"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Low wage economy and out-migration of qualified workers to other parts of the UK.</w:t>
            </w:r>
          </w:p>
          <w:p w14:paraId="3AA89E32"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Low level  skills base?</w:t>
            </w:r>
          </w:p>
          <w:p w14:paraId="71C9BCCD" w14:textId="77777777" w:rsidR="00A01C64" w:rsidRDefault="00A01C64" w:rsidP="00A01C64">
            <w:pPr>
              <w:pStyle w:val="Body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Currently fragile office market.</w:t>
            </w:r>
          </w:p>
          <w:p w14:paraId="635D001A" w14:textId="77777777" w:rsidR="00F14B38" w:rsidRPr="003B1195" w:rsidRDefault="00F14B38" w:rsidP="00A01C64">
            <w:pPr>
              <w:pStyle w:val="BodyText"/>
              <w:cnfStyle w:val="000000000000" w:firstRow="0" w:lastRow="0" w:firstColumn="0" w:lastColumn="0" w:oddVBand="0" w:evenVBand="0" w:oddHBand="0" w:evenHBand="0" w:firstRowFirstColumn="0" w:firstRowLastColumn="0" w:lastRowFirstColumn="0" w:lastRowLastColumn="0"/>
              <w:rPr>
                <w:lang w:eastAsia="en-US"/>
              </w:rPr>
            </w:pPr>
          </w:p>
        </w:tc>
      </w:tr>
      <w:tr w:rsidR="00F14B38" w:rsidRPr="003B1195" w14:paraId="38E4A5D6" w14:textId="77777777" w:rsidTr="00F14B38">
        <w:tc>
          <w:tcPr>
            <w:cnfStyle w:val="001000000000" w:firstRow="0" w:lastRow="0" w:firstColumn="1" w:lastColumn="0" w:oddVBand="0" w:evenVBand="0" w:oddHBand="0" w:evenHBand="0" w:firstRowFirstColumn="0" w:firstRowLastColumn="0" w:lastRowFirstColumn="0" w:lastRowLastColumn="0"/>
            <w:tcW w:w="1701" w:type="dxa"/>
          </w:tcPr>
          <w:p w14:paraId="1DA2761F" w14:textId="77777777" w:rsidR="00F14B38" w:rsidRPr="00AE0FFD" w:rsidRDefault="00F14B38" w:rsidP="00D1320B">
            <w:pPr>
              <w:pStyle w:val="BodyText"/>
              <w:rPr>
                <w:b/>
              </w:rPr>
            </w:pPr>
            <w:r w:rsidRPr="00AE0FFD">
              <w:rPr>
                <w:b/>
              </w:rPr>
              <w:t>Transportation</w:t>
            </w:r>
            <w:r>
              <w:rPr>
                <w:b/>
              </w:rPr>
              <w:t xml:space="preserve"> &amp; Storage</w:t>
            </w:r>
          </w:p>
        </w:tc>
        <w:tc>
          <w:tcPr>
            <w:tcW w:w="4111" w:type="dxa"/>
          </w:tcPr>
          <w:p w14:paraId="7C9A3264" w14:textId="77777777" w:rsidR="00F14B38" w:rsidRPr="003B1195" w:rsidRDefault="00F14B38" w:rsidP="00D1320B">
            <w:pPr>
              <w:pStyle w:val="BodyText"/>
              <w:cnfStyle w:val="000000000000" w:firstRow="0" w:lastRow="0" w:firstColumn="0" w:lastColumn="0" w:oddVBand="0" w:evenVBand="0" w:oddHBand="0" w:evenHBand="0" w:firstRowFirstColumn="0" w:firstRowLastColumn="0" w:lastRowFirstColumn="0" w:lastRowLastColumn="0"/>
            </w:pPr>
            <w:r>
              <w:t xml:space="preserve">A well established sector employing over 5,000 workers.  North East Lincolnshire has a strong industrial and logistics base which generates substantial demand in the transportation and related sectors.  This demand will continue to expand as more growth and capital investment takes place in the key sectors. </w:t>
            </w:r>
          </w:p>
        </w:tc>
        <w:tc>
          <w:tcPr>
            <w:tcW w:w="3686" w:type="dxa"/>
          </w:tcPr>
          <w:p w14:paraId="428C20D6" w14:textId="77777777" w:rsidR="00F14B38" w:rsidRDefault="00F14B38" w:rsidP="00D1320B">
            <w:pPr>
              <w:pStyle w:val="BodyText"/>
              <w:cnfStyle w:val="000000000000" w:firstRow="0" w:lastRow="0" w:firstColumn="0" w:lastColumn="0" w:oddVBand="0" w:evenVBand="0" w:oddHBand="0" w:evenHBand="0" w:firstRowFirstColumn="0" w:firstRowLastColumn="0" w:lastRowFirstColumn="0" w:lastRowLastColumn="0"/>
            </w:pPr>
            <w:r>
              <w:t xml:space="preserve">Ongoing investment required in local </w:t>
            </w:r>
            <w:r w:rsidR="00A01C64">
              <w:t xml:space="preserve">road </w:t>
            </w:r>
            <w:r>
              <w:t xml:space="preserve">infrastructure, port infrastructure and related facilities.  </w:t>
            </w:r>
          </w:p>
          <w:p w14:paraId="14D48AFC" w14:textId="77777777" w:rsidR="00F14B38" w:rsidRPr="003B1195" w:rsidRDefault="00F14B38" w:rsidP="00D1320B">
            <w:pPr>
              <w:pStyle w:val="BodyText"/>
              <w:cnfStyle w:val="000000000000" w:firstRow="0" w:lastRow="0" w:firstColumn="0" w:lastColumn="0" w:oddVBand="0" w:evenVBand="0" w:oddHBand="0" w:evenHBand="0" w:firstRowFirstColumn="0" w:firstRowLastColumn="0" w:lastRowFirstColumn="0" w:lastRowLastColumn="0"/>
            </w:pPr>
            <w:r>
              <w:t>Supply of good quality, readily available land and premises required to meet demand.</w:t>
            </w:r>
          </w:p>
        </w:tc>
      </w:tr>
      <w:tr w:rsidR="00F14B38" w:rsidRPr="003B1195" w14:paraId="2DB682B2" w14:textId="77777777" w:rsidTr="00F14B38">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000000" w:themeColor="text1"/>
            </w:tcBorders>
          </w:tcPr>
          <w:p w14:paraId="36BAD6BD" w14:textId="77777777" w:rsidR="00F14B38" w:rsidRPr="00AE0FFD" w:rsidRDefault="00F14B38" w:rsidP="00D1320B">
            <w:pPr>
              <w:pStyle w:val="BodyText"/>
              <w:rPr>
                <w:b/>
              </w:rPr>
            </w:pPr>
            <w:r w:rsidRPr="00AE0FFD">
              <w:rPr>
                <w:b/>
              </w:rPr>
              <w:t>Other Services</w:t>
            </w:r>
          </w:p>
        </w:tc>
        <w:tc>
          <w:tcPr>
            <w:tcW w:w="4111" w:type="dxa"/>
            <w:tcBorders>
              <w:bottom w:val="single" w:sz="2" w:space="0" w:color="000000" w:themeColor="text1"/>
            </w:tcBorders>
          </w:tcPr>
          <w:p w14:paraId="38CCDBE4" w14:textId="77777777" w:rsidR="00F14B38" w:rsidRPr="003B1195" w:rsidRDefault="00F14B38" w:rsidP="00D1320B">
            <w:pPr>
              <w:pStyle w:val="BodyText"/>
              <w:cnfStyle w:val="000000000000" w:firstRow="0" w:lastRow="0" w:firstColumn="0" w:lastColumn="0" w:oddVBand="0" w:evenVBand="0" w:oddHBand="0" w:evenHBand="0" w:firstRowFirstColumn="0" w:firstRowLastColumn="0" w:lastRowFirstColumn="0" w:lastRowLastColumn="0"/>
            </w:pPr>
            <w:r>
              <w:t xml:space="preserve">Many other service-based sectors will benefit from enhanced demand created by the growth and diversification of the key sectors.  This will, in turn, generate greater retail and other consumer expenditure in the local economy. </w:t>
            </w:r>
          </w:p>
        </w:tc>
        <w:tc>
          <w:tcPr>
            <w:tcW w:w="3686" w:type="dxa"/>
            <w:tcBorders>
              <w:bottom w:val="single" w:sz="2" w:space="0" w:color="000000" w:themeColor="text1"/>
            </w:tcBorders>
          </w:tcPr>
          <w:p w14:paraId="261C7B64" w14:textId="77777777" w:rsidR="00F14B38" w:rsidRPr="003B1195" w:rsidRDefault="00F14B38" w:rsidP="00D1320B">
            <w:pPr>
              <w:pStyle w:val="BodyText"/>
              <w:cnfStyle w:val="000000000000" w:firstRow="0" w:lastRow="0" w:firstColumn="0" w:lastColumn="0" w:oddVBand="0" w:evenVBand="0" w:oddHBand="0" w:evenHBand="0" w:firstRowFirstColumn="0" w:firstRowLastColumn="0" w:lastRowFirstColumn="0" w:lastRowLastColumn="0"/>
            </w:pPr>
            <w:r>
              <w:t>Need to improve quality and diversity of local services in order that additional income expenditure in the local economy is not ‘leaked’ to other areas.</w:t>
            </w:r>
          </w:p>
        </w:tc>
      </w:tr>
    </w:tbl>
    <w:p w14:paraId="4DC0B88F" w14:textId="77777777" w:rsidR="00F14B38" w:rsidRDefault="00F14B38" w:rsidP="00F14B38">
      <w:pPr>
        <w:rPr>
          <w:b/>
        </w:rPr>
      </w:pPr>
    </w:p>
    <w:p w14:paraId="7575343E" w14:textId="77777777" w:rsidR="00F14B38" w:rsidRDefault="00F14B38" w:rsidP="00F14B38">
      <w:pPr>
        <w:rPr>
          <w:b/>
        </w:rPr>
      </w:pPr>
    </w:p>
    <w:p w14:paraId="2C6216C0" w14:textId="77777777" w:rsidR="00C72743" w:rsidRDefault="00C72743" w:rsidP="00357B58">
      <w:pPr>
        <w:pStyle w:val="BodyText"/>
      </w:pPr>
    </w:p>
    <w:p w14:paraId="4A0F90B3" w14:textId="77777777" w:rsidR="009702D3" w:rsidRDefault="009702D3" w:rsidP="009702D3">
      <w:pPr>
        <w:pStyle w:val="Heading1"/>
      </w:pPr>
      <w:bookmarkStart w:id="256" w:name="_Toc394668583"/>
      <w:r>
        <w:t>Scenario Development</w:t>
      </w:r>
      <w:bookmarkEnd w:id="256"/>
    </w:p>
    <w:p w14:paraId="522F11C5" w14:textId="77777777" w:rsidR="009702D3" w:rsidRDefault="009702D3" w:rsidP="009702D3">
      <w:pPr>
        <w:pStyle w:val="Heading2"/>
      </w:pPr>
      <w:bookmarkStart w:id="257" w:name="_Toc394668584"/>
      <w:r>
        <w:t>Introduction</w:t>
      </w:r>
      <w:bookmarkEnd w:id="257"/>
    </w:p>
    <w:p w14:paraId="72C99E3C" w14:textId="77777777" w:rsidR="009702D3" w:rsidRDefault="009702D3" w:rsidP="009702D3">
      <w:pPr>
        <w:pStyle w:val="BodyText"/>
      </w:pPr>
      <w:r>
        <w:t xml:space="preserve">In providing estimates of future economic and employment change in North East Lincolnshire, three scenarios have been presented.  This section sets out the rationale behind the scenarios and describes the key drivers and assumptions which underpin them.  </w:t>
      </w:r>
    </w:p>
    <w:p w14:paraId="3BC864AD" w14:textId="77777777" w:rsidR="009702D3" w:rsidRDefault="009702D3" w:rsidP="009702D3">
      <w:pPr>
        <w:pStyle w:val="BodyText"/>
      </w:pPr>
      <w:r>
        <w:t>In broad terms, the three scenarios can be described as follows:</w:t>
      </w:r>
    </w:p>
    <w:p w14:paraId="11CB0483" w14:textId="77777777" w:rsidR="009702D3" w:rsidRDefault="009702D3" w:rsidP="005B3364">
      <w:pPr>
        <w:pStyle w:val="ListBullet"/>
      </w:pPr>
      <w:r w:rsidRPr="00544CE5">
        <w:rPr>
          <w:b/>
        </w:rPr>
        <w:t>Baseline / business-as-usual</w:t>
      </w:r>
      <w:r>
        <w:t>.  Dr</w:t>
      </w:r>
      <w:r w:rsidR="00A015D3">
        <w:t>awing on a range of independent projections</w:t>
      </w:r>
      <w:r>
        <w:t xml:space="preserve"> produced by external organisations</w:t>
      </w:r>
      <w:r w:rsidR="00A015D3">
        <w:t>, the baseline scenario reflects a trend-</w:t>
      </w:r>
      <w:r w:rsidR="005B3364">
        <w:t>based</w:t>
      </w:r>
      <w:r w:rsidR="00A015D3">
        <w:t xml:space="preserve"> methodology.  By their nature, these project</w:t>
      </w:r>
      <w:r w:rsidR="003B1EF7">
        <w:t>ion</w:t>
      </w:r>
      <w:r w:rsidR="00A015D3">
        <w:t xml:space="preserve">s reflect the existing structural composition of the local economy relative to that of the regional and national economies.  </w:t>
      </w:r>
      <w:r w:rsidR="00C85EE6">
        <w:t xml:space="preserve">Also embedded in these projections are trend-based interpretations of future demographic change including working age population and patterns of in and out-migration.    </w:t>
      </w:r>
    </w:p>
    <w:p w14:paraId="3478C9E4" w14:textId="77777777" w:rsidR="005B3364" w:rsidRDefault="005B3364" w:rsidP="005B3364">
      <w:pPr>
        <w:pStyle w:val="ListBullet"/>
      </w:pPr>
      <w:r w:rsidRPr="00544CE5">
        <w:rPr>
          <w:b/>
        </w:rPr>
        <w:t xml:space="preserve">Moderate growth </w:t>
      </w:r>
      <w:r w:rsidR="00544CE5" w:rsidRPr="00544CE5">
        <w:rPr>
          <w:b/>
        </w:rPr>
        <w:t>Policy Scenario 1</w:t>
      </w:r>
      <w:r w:rsidR="00544CE5">
        <w:t xml:space="preserve">.  This scenario reflects implementation of an economic development and inward investment strategy which is </w:t>
      </w:r>
      <w:r w:rsidR="007253D2">
        <w:t xml:space="preserve">steadily </w:t>
      </w:r>
      <w:r w:rsidR="00544CE5">
        <w:t xml:space="preserve">successful in the period up to 2032.  It will see the delivery of important investment projects in key sectors, particularly renewable energy, chemicals and process industries and ports and logistics.  However, </w:t>
      </w:r>
      <w:r w:rsidR="007D5158">
        <w:t xml:space="preserve">other key sectors, </w:t>
      </w:r>
      <w:r w:rsidR="00400D04">
        <w:t xml:space="preserve">such as business and financial services remain subdued </w:t>
      </w:r>
      <w:r w:rsidR="007D5158">
        <w:t>with growth being diverted to more competitive locations where property market conditions are more viable.</w:t>
      </w:r>
      <w:r w:rsidR="00400D04">
        <w:t xml:space="preserve">  However, some growth in the service sector of the economy takes place as a result of increasing demand for producer services resulting from expansion of the key sectors mentioned above as well as enhanced competitiveness of Grimsby and Cleethorpes town centres.  Retail and tourism employment </w:t>
      </w:r>
      <w:r w:rsidR="004C7749">
        <w:t>increases as a result of investment in regeneration projects including the bus station redevelopment, Cartergate and new hotel developments in both Grimsby and Cleethorpes.</w:t>
      </w:r>
      <w:r w:rsidR="00400D04">
        <w:t xml:space="preserve"> </w:t>
      </w:r>
      <w:r w:rsidR="007D5158">
        <w:t xml:space="preserve">  Similarly, the food processing sector remains of particular importance to the economy of North East Lincolnshire although</w:t>
      </w:r>
      <w:r w:rsidR="00C14D86">
        <w:t xml:space="preserve"> it becomes a challenge to expand as a result of global competition and </w:t>
      </w:r>
      <w:r w:rsidR="00994482">
        <w:t xml:space="preserve">the increasing success of proactive policies in other parts of the UK.  Growth in the sector is also constrained by difficulties in getting access to readily available and suitable expansion land.  Other parts of the economy, particularly the service sector, remain largely immature although some niche services and manufacturing activities have benefited from the downstream effects of growth in renewables and other key sectors.  </w:t>
      </w:r>
      <w:r w:rsidR="00544CE5">
        <w:t xml:space="preserve"> </w:t>
      </w:r>
      <w:r w:rsidR="00994482">
        <w:t>Employment growth under this scenario is significant by 2032 but notable delays to the implementation of some major projects means that the benefits of growth do not come on stream until later in the planning period.</w:t>
      </w:r>
    </w:p>
    <w:p w14:paraId="18E6016E" w14:textId="77777777" w:rsidR="005B3364" w:rsidRDefault="005B3364" w:rsidP="005B3364">
      <w:pPr>
        <w:pStyle w:val="ListBullet"/>
      </w:pPr>
      <w:r w:rsidRPr="00544CE5">
        <w:rPr>
          <w:b/>
        </w:rPr>
        <w:t xml:space="preserve">High growth </w:t>
      </w:r>
      <w:r w:rsidR="00A015D3" w:rsidRPr="00544CE5">
        <w:rPr>
          <w:b/>
        </w:rPr>
        <w:t>Policy Scenario 2</w:t>
      </w:r>
      <w:r w:rsidR="00544CE5">
        <w:t xml:space="preserve">. </w:t>
      </w:r>
      <w:r w:rsidR="00994482">
        <w:t>Under this scenario, North East Lincolnshire is identified as one of a few local authority areas in England demonstrating best-practice</w:t>
      </w:r>
      <w:r w:rsidR="007615B0">
        <w:t xml:space="preserve"> in terms of economic development and inward investment strat</w:t>
      </w:r>
      <w:r w:rsidR="00577E88">
        <w:t>egy.  This reflects, in part, the ability of North East Lincolnshire to work in close partnership with neighbouri</w:t>
      </w:r>
      <w:r w:rsidR="005D552C">
        <w:t xml:space="preserve">ng </w:t>
      </w:r>
      <w:r w:rsidR="007253D2">
        <w:t xml:space="preserve">LEPs and </w:t>
      </w:r>
      <w:r w:rsidR="005D552C">
        <w:t xml:space="preserve">authorities, most </w:t>
      </w:r>
      <w:r w:rsidR="00C85EE6">
        <w:t>notably</w:t>
      </w:r>
      <w:r w:rsidR="005D552C">
        <w:t>: North Lincolnshire, City of Hull, East Riding, West Lindsey and East Lindsey.  Co-operation between the local authorities has enabled successful implementation of a sector-based strategy focus geographically on a functional economic area. Moreover, joint working and an objective assessment of functional housing market areas has facilitated the allocation of land for development in urban areas which reflects market need and demand.  Affordable housing po</w:t>
      </w:r>
      <w:r w:rsidR="00BF5DD5">
        <w:t xml:space="preserve">licy has also ensured that </w:t>
      </w:r>
      <w:r w:rsidR="00C85EE6">
        <w:t>younger</w:t>
      </w:r>
      <w:r w:rsidR="005D552C">
        <w:t xml:space="preserve"> economically people have remained in the area and </w:t>
      </w:r>
      <w:r w:rsidR="00C0683E">
        <w:t>take up the new job opportunities</w:t>
      </w:r>
      <w:r w:rsidR="00BF5DD5">
        <w:t xml:space="preserve"> that have been created locally.  All five key sectors have attracted substantial investment with most planned projects been implemented and funded.  The retail and visitor economy has witnessed a significant boost following the success of the regeneration strategy for Grimsby</w:t>
      </w:r>
      <w:r w:rsidR="007253D2">
        <w:t xml:space="preserve"> and Cleethorpes</w:t>
      </w:r>
      <w:r w:rsidR="00BF5DD5">
        <w:t xml:space="preserve"> town centre</w:t>
      </w:r>
      <w:r w:rsidR="007253D2">
        <w:t>s</w:t>
      </w:r>
      <w:r w:rsidR="00BF5DD5">
        <w:t>.</w:t>
      </w:r>
      <w:r w:rsidR="007253D2">
        <w:t xml:space="preserve">  New regeneration projects implemented in the period up to 2020 have had the impact of stimulating significantly enhanced confidence in retail, tourism and leisure markets</w:t>
      </w:r>
      <w:r w:rsidR="00E942BF">
        <w:t>.  The significantly enhanced quality of the town centres coupled with implementation of a targeted tourism strategy has resulted in steady employment growth in the local visitor economy.</w:t>
      </w:r>
      <w:r w:rsidR="00BF5DD5">
        <w:t xml:space="preserve">  This has also resulted a uplift in property values which have stimulated sustainable, ongoing investment in the town centre</w:t>
      </w:r>
      <w:r w:rsidR="00E942BF">
        <w:t>s</w:t>
      </w:r>
      <w:r w:rsidR="00BF5DD5">
        <w:t xml:space="preserve">.  Modest speculative development activity is a characteristic of the new town centre economy with a small but healthy office market having been established.  Occupier demand is strong given the growth in business and professional services which has emerged as a downstream effect of growth and diversification in the key sectors.  Unemployment is substantially reduced and an enhancement in locally accrued disposable incomes also drives demand for services including retail, leisure and entertainment. </w:t>
      </w:r>
    </w:p>
    <w:p w14:paraId="4AD18505" w14:textId="77777777" w:rsidR="009768CA" w:rsidRDefault="009768CA" w:rsidP="009768CA">
      <w:pPr>
        <w:pStyle w:val="Heading2"/>
        <w:tabs>
          <w:tab w:val="clear" w:pos="1021"/>
        </w:tabs>
      </w:pPr>
      <w:bookmarkStart w:id="258" w:name="_Toc394668585"/>
      <w:r>
        <w:t xml:space="preserve">Scenario </w:t>
      </w:r>
      <w:r w:rsidR="000C2D7F">
        <w:t xml:space="preserve">Methodology and </w:t>
      </w:r>
      <w:r>
        <w:t>Outputs</w:t>
      </w:r>
      <w:bookmarkEnd w:id="258"/>
    </w:p>
    <w:p w14:paraId="62E8E329" w14:textId="77777777" w:rsidR="000C2D7F" w:rsidRDefault="000C2D7F" w:rsidP="000C2D7F">
      <w:pPr>
        <w:pStyle w:val="BodyText"/>
        <w:jc w:val="both"/>
      </w:pPr>
      <w:r>
        <w:t>Unlike conventional, econometric forecasting models such as the Regional REM model (Leeds University) and those issued by Experian, Oxford Economics and other forecasting  houses, the methodology utilised here is significantly influenced by local, sub-regional and regional economic prospects.  This is not to say that national macro-economic influences or trend-based projections are excluded from the analysis.  Indeed, it is important that national and local trends and economic structures provide the starting point for the forecasts produced for this study.  However, a weakness of nationally-driven, econometric forecasting models is that they typically are not constructed in a manner which sufficiently builds in the effect of significant supply-side factors and planned project-specific investments.  It is only when such investments have taken place and had a recorded effect on the performance of a local economy are they usually reflected in trend-based forecasts.  Consequently, in the case of North East Lincolnshire, where dynamic changes are taken  place in a range of important sectors, we consider it imperative that a set of forecasts are made available which explicitly but realistically capture the potential effects of likely economic growth arising from substantial planned investment in major projects.</w:t>
      </w:r>
    </w:p>
    <w:p w14:paraId="1B5F8DA3" w14:textId="77777777" w:rsidR="000C2D7F" w:rsidRDefault="000C2D7F" w:rsidP="000C2D7F">
      <w:pPr>
        <w:pStyle w:val="BodyText"/>
        <w:jc w:val="both"/>
      </w:pPr>
      <w:r>
        <w:t>Given the underlying methodology and associated assumptions which underpin the forecasts set out in this report, these should be considered as ‘policy-led’ estimates of change.  By their nature, such forecasts take a positive outlook as to the future performance of the economy albeit based on objective analysis of evidence and opportunity.  As highlighted elsewhere, substantial primary and secondary evidence has been gathered and independently assessed to inform the findings of this study and the associated forecasts.   This evidence includes:</w:t>
      </w:r>
    </w:p>
    <w:p w14:paraId="3BC975B7" w14:textId="77777777" w:rsidR="000C2D7F" w:rsidRDefault="000C2D7F" w:rsidP="000C2D7F">
      <w:pPr>
        <w:pStyle w:val="ListBullet"/>
        <w:spacing w:after="120"/>
        <w:ind w:left="567" w:hanging="567"/>
        <w:jc w:val="both"/>
      </w:pPr>
      <w:r>
        <w:t>A statistically significant sample survey of locally-established businesses (approximately 300 in total).</w:t>
      </w:r>
    </w:p>
    <w:p w14:paraId="3AB5BC9B" w14:textId="77777777" w:rsidR="000C2D7F" w:rsidRDefault="000C2D7F" w:rsidP="000C2D7F">
      <w:pPr>
        <w:pStyle w:val="ListBullet"/>
        <w:spacing w:after="120"/>
        <w:ind w:left="567" w:hanging="567"/>
        <w:jc w:val="both"/>
      </w:pPr>
      <w:r>
        <w:t>In-depth interviews with local employers and key stakeholders in the area (approximately 30).</w:t>
      </w:r>
    </w:p>
    <w:p w14:paraId="691158F4" w14:textId="77777777" w:rsidR="000C2D7F" w:rsidRDefault="000C2D7F" w:rsidP="000C2D7F">
      <w:pPr>
        <w:pStyle w:val="ListBullet"/>
        <w:spacing w:after="120"/>
        <w:ind w:left="567" w:hanging="567"/>
        <w:jc w:val="both"/>
      </w:pPr>
      <w:r>
        <w:t>Analysis of government and locally generated secondary data and other relevant information included other recent research.</w:t>
      </w:r>
    </w:p>
    <w:p w14:paraId="598E6FE4" w14:textId="77777777" w:rsidR="000C2D7F" w:rsidRDefault="000C2D7F" w:rsidP="000C2D7F">
      <w:pPr>
        <w:pStyle w:val="ListBullet"/>
        <w:spacing w:after="120"/>
        <w:ind w:left="567" w:hanging="567"/>
        <w:jc w:val="both"/>
      </w:pPr>
      <w:r>
        <w:t xml:space="preserve">An assessment of local, sub-regional and regional socio-economic conditions and prospects including a review of up-to-date policy drivers and priorities which have already been established to </w:t>
      </w:r>
      <w:r w:rsidRPr="001E11A8">
        <w:t xml:space="preserve">underpin the economic development objectives for North East Lincolnshire. </w:t>
      </w:r>
    </w:p>
    <w:p w14:paraId="48676335" w14:textId="77777777" w:rsidR="00E909C9" w:rsidRPr="001E11A8" w:rsidRDefault="00E909C9" w:rsidP="000C2D7F">
      <w:pPr>
        <w:pStyle w:val="ListBullet"/>
        <w:spacing w:after="120"/>
        <w:ind w:left="567" w:hanging="567"/>
        <w:jc w:val="both"/>
      </w:pPr>
      <w:r>
        <w:t xml:space="preserve">An appraisal of key planned and proposed investment and development projects in North East Lincolnshire which offer substantial, viable opportunities for significant job creation in the Borough and surrounding areas. </w:t>
      </w:r>
    </w:p>
    <w:p w14:paraId="4155B8E1" w14:textId="77777777" w:rsidR="009768CA" w:rsidRDefault="009768CA" w:rsidP="009768CA">
      <w:pPr>
        <w:pStyle w:val="BodyText"/>
      </w:pPr>
      <w:r w:rsidRPr="000C2D7F">
        <w:t xml:space="preserve">Table </w:t>
      </w:r>
      <w:r w:rsidR="000C2D7F" w:rsidRPr="000C2D7F">
        <w:t>3</w:t>
      </w:r>
      <w:r w:rsidRPr="000C2D7F">
        <w:t>.1</w:t>
      </w:r>
      <w:r>
        <w:t xml:space="preserve"> summarises the average employment growth rates predicted under each of the scenarios for the period 2013-2032.  This sets out growth rates for each of the five key sectors as well as manufacturing not captured by the priority sectors, the public sector, education, health and the remaining service sectors of the North East Lincolnshire economy.  The subsequent tables summarises the outputs under each of the scenarios by standard industry groups.</w:t>
      </w:r>
    </w:p>
    <w:p w14:paraId="10A2544D" w14:textId="77777777" w:rsidR="00E909C9" w:rsidRDefault="00E909C9">
      <w:pPr>
        <w:jc w:val="left"/>
        <w:rPr>
          <w:rFonts w:ascii="Arial" w:hAnsi="Arial"/>
          <w:b/>
          <w:color w:val="394A58"/>
          <w:sz w:val="20"/>
        </w:rPr>
      </w:pPr>
      <w:r>
        <w:rPr>
          <w:b/>
        </w:rPr>
        <w:br w:type="page"/>
      </w:r>
    </w:p>
    <w:p w14:paraId="3E88C92B" w14:textId="77777777" w:rsidR="009768CA" w:rsidRDefault="009768CA" w:rsidP="009768CA">
      <w:pPr>
        <w:pStyle w:val="BodyText"/>
      </w:pPr>
      <w:bookmarkStart w:id="259" w:name="_Toc394668604"/>
      <w:r w:rsidRPr="000573A4">
        <w:rPr>
          <w:b/>
        </w:rPr>
        <w:t xml:space="preserve">Table </w:t>
      </w:r>
      <w:fldSimple w:instr=" STYLEREF 1 \s  \* MERGEFORMAT ">
        <w:r w:rsidR="000C2D7F" w:rsidRPr="000C2D7F">
          <w:rPr>
            <w:b/>
            <w:noProof/>
          </w:rPr>
          <w:t>3</w:t>
        </w:r>
      </w:fldSimple>
      <w:r w:rsidRPr="000573A4">
        <w:rPr>
          <w:b/>
        </w:rPr>
        <w:t>-</w:t>
      </w:r>
      <w:fldSimple w:instr=" SEQ Table \* ARABIC \s 1  \* MERGEFORMAT ">
        <w:r>
          <w:rPr>
            <w:b/>
            <w:noProof/>
          </w:rPr>
          <w:t>1</w:t>
        </w:r>
      </w:fldSimple>
      <w:r>
        <w:rPr>
          <w:b/>
        </w:rPr>
        <w:t xml:space="preserve">  </w:t>
      </w:r>
      <w:r w:rsidRPr="00187573">
        <w:rPr>
          <w:b/>
        </w:rPr>
        <w:t xml:space="preserve"> – </w:t>
      </w:r>
      <w:r>
        <w:rPr>
          <w:b/>
        </w:rPr>
        <w:t>Underlying Employment Growth Rates by Sector Group and Scenario 2013-2032</w:t>
      </w:r>
      <w:bookmarkEnd w:id="259"/>
    </w:p>
    <w:tbl>
      <w:tblPr>
        <w:tblStyle w:val="Atkins14pt"/>
        <w:tblW w:w="9641" w:type="dxa"/>
        <w:tblLayout w:type="fixed"/>
        <w:tblLook w:val="04A0" w:firstRow="1" w:lastRow="0" w:firstColumn="1" w:lastColumn="0" w:noHBand="0" w:noVBand="1"/>
      </w:tblPr>
      <w:tblGrid>
        <w:gridCol w:w="4896"/>
        <w:gridCol w:w="1582"/>
        <w:gridCol w:w="1582"/>
        <w:gridCol w:w="1581"/>
      </w:tblGrid>
      <w:tr w:rsidR="009768CA" w14:paraId="00566BD6" w14:textId="77777777" w:rsidTr="00811E9D">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4896" w:type="dxa"/>
            <w:noWrap/>
            <w:vAlign w:val="bottom"/>
            <w:hideMark/>
          </w:tcPr>
          <w:p w14:paraId="209A3D22" w14:textId="77777777" w:rsidR="009768CA" w:rsidRDefault="009768CA" w:rsidP="00811E9D">
            <w:pPr>
              <w:pStyle w:val="BodyText"/>
            </w:pPr>
            <w:r>
              <w:t>Sector Group</w:t>
            </w:r>
          </w:p>
        </w:tc>
        <w:tc>
          <w:tcPr>
            <w:tcW w:w="1582" w:type="dxa"/>
            <w:noWrap/>
            <w:vAlign w:val="bottom"/>
            <w:hideMark/>
          </w:tcPr>
          <w:p w14:paraId="5827F1E7"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Baseline</w:t>
            </w:r>
          </w:p>
        </w:tc>
        <w:tc>
          <w:tcPr>
            <w:tcW w:w="1582" w:type="dxa"/>
            <w:noWrap/>
            <w:vAlign w:val="bottom"/>
            <w:hideMark/>
          </w:tcPr>
          <w:p w14:paraId="0F781FBC"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 xml:space="preserve">Policy 1 </w:t>
            </w:r>
          </w:p>
        </w:tc>
        <w:tc>
          <w:tcPr>
            <w:tcW w:w="1581" w:type="dxa"/>
          </w:tcPr>
          <w:p w14:paraId="0E662998"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Policy 2</w:t>
            </w:r>
          </w:p>
        </w:tc>
      </w:tr>
      <w:tr w:rsidR="009768CA" w:rsidRPr="00506964" w14:paraId="42896C31" w14:textId="77777777" w:rsidTr="00811E9D">
        <w:trPr>
          <w:trHeight w:hRule="exact" w:val="284"/>
        </w:trPr>
        <w:tc>
          <w:tcPr>
            <w:cnfStyle w:val="001000000000" w:firstRow="0" w:lastRow="0" w:firstColumn="1" w:lastColumn="0" w:oddVBand="0" w:evenVBand="0" w:oddHBand="0" w:evenHBand="0" w:firstRowFirstColumn="0" w:firstRowLastColumn="0" w:lastRowFirstColumn="0" w:lastRowLastColumn="0"/>
            <w:tcW w:w="4896" w:type="dxa"/>
            <w:noWrap/>
            <w:vAlign w:val="bottom"/>
            <w:hideMark/>
          </w:tcPr>
          <w:p w14:paraId="0E73AC63" w14:textId="77777777" w:rsidR="009768CA" w:rsidRDefault="009768CA" w:rsidP="00811E9D">
            <w:pPr>
              <w:pStyle w:val="BodyText"/>
              <w:spacing w:after="120"/>
            </w:pPr>
            <w:r>
              <w:t>Ports &amp; Logistics</w:t>
            </w:r>
          </w:p>
        </w:tc>
        <w:tc>
          <w:tcPr>
            <w:tcW w:w="1582" w:type="dxa"/>
            <w:noWrap/>
            <w:vAlign w:val="bottom"/>
            <w:hideMark/>
          </w:tcPr>
          <w:p w14:paraId="06A91BED" w14:textId="77777777" w:rsidR="009768CA" w:rsidRPr="007352CB"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rPr>
            </w:pPr>
            <w:r w:rsidRPr="007352CB">
              <w:rPr>
                <w:rFonts w:asciiTheme="minorHAnsi" w:hAnsiTheme="minorHAnsi" w:cstheme="minorHAnsi"/>
                <w:color w:val="2D4548" w:themeColor="accent6" w:themeShade="80"/>
              </w:rPr>
              <w:t>12%</w:t>
            </w:r>
          </w:p>
        </w:tc>
        <w:tc>
          <w:tcPr>
            <w:tcW w:w="1582" w:type="dxa"/>
            <w:noWrap/>
            <w:vAlign w:val="bottom"/>
            <w:hideMark/>
          </w:tcPr>
          <w:p w14:paraId="20A0F94B"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18%</w:t>
            </w:r>
          </w:p>
        </w:tc>
        <w:tc>
          <w:tcPr>
            <w:tcW w:w="1581" w:type="dxa"/>
            <w:vAlign w:val="bottom"/>
          </w:tcPr>
          <w:p w14:paraId="5A8885FF"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25%</w:t>
            </w:r>
          </w:p>
        </w:tc>
      </w:tr>
      <w:tr w:rsidR="009768CA" w:rsidRPr="00506964" w14:paraId="062C2A93" w14:textId="77777777" w:rsidTr="00811E9D">
        <w:trPr>
          <w:trHeight w:hRule="exact" w:val="284"/>
        </w:trPr>
        <w:tc>
          <w:tcPr>
            <w:cnfStyle w:val="001000000000" w:firstRow="0" w:lastRow="0" w:firstColumn="1" w:lastColumn="0" w:oddVBand="0" w:evenVBand="0" w:oddHBand="0" w:evenHBand="0" w:firstRowFirstColumn="0" w:firstRowLastColumn="0" w:lastRowFirstColumn="0" w:lastRowLastColumn="0"/>
            <w:tcW w:w="4896" w:type="dxa"/>
            <w:noWrap/>
            <w:vAlign w:val="bottom"/>
            <w:hideMark/>
          </w:tcPr>
          <w:p w14:paraId="2D086480" w14:textId="77777777" w:rsidR="009768CA" w:rsidRDefault="009768CA" w:rsidP="00811E9D">
            <w:pPr>
              <w:pStyle w:val="BodyText"/>
              <w:spacing w:after="120"/>
            </w:pPr>
            <w:r>
              <w:t>Food Processing</w:t>
            </w:r>
          </w:p>
        </w:tc>
        <w:tc>
          <w:tcPr>
            <w:tcW w:w="1582" w:type="dxa"/>
            <w:noWrap/>
            <w:vAlign w:val="bottom"/>
            <w:hideMark/>
          </w:tcPr>
          <w:p w14:paraId="36044E07" w14:textId="77777777" w:rsidR="009768CA" w:rsidRPr="007352CB"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rPr>
            </w:pPr>
            <w:r w:rsidRPr="007352CB">
              <w:rPr>
                <w:rFonts w:asciiTheme="minorHAnsi" w:hAnsiTheme="minorHAnsi" w:cstheme="minorHAnsi"/>
                <w:color w:val="2D4548" w:themeColor="accent6" w:themeShade="80"/>
              </w:rPr>
              <w:t>8%</w:t>
            </w:r>
          </w:p>
        </w:tc>
        <w:tc>
          <w:tcPr>
            <w:tcW w:w="1582" w:type="dxa"/>
            <w:noWrap/>
            <w:vAlign w:val="bottom"/>
            <w:hideMark/>
          </w:tcPr>
          <w:p w14:paraId="5E323FFA"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12%</w:t>
            </w:r>
          </w:p>
        </w:tc>
        <w:tc>
          <w:tcPr>
            <w:tcW w:w="1581" w:type="dxa"/>
            <w:vAlign w:val="bottom"/>
          </w:tcPr>
          <w:p w14:paraId="48CD4711"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19%</w:t>
            </w:r>
          </w:p>
        </w:tc>
      </w:tr>
      <w:tr w:rsidR="009768CA" w:rsidRPr="00506964" w14:paraId="0AA1CBD5" w14:textId="77777777" w:rsidTr="00811E9D">
        <w:trPr>
          <w:trHeight w:hRule="exact" w:val="284"/>
        </w:trPr>
        <w:tc>
          <w:tcPr>
            <w:cnfStyle w:val="001000000000" w:firstRow="0" w:lastRow="0" w:firstColumn="1" w:lastColumn="0" w:oddVBand="0" w:evenVBand="0" w:oddHBand="0" w:evenHBand="0" w:firstRowFirstColumn="0" w:firstRowLastColumn="0" w:lastRowFirstColumn="0" w:lastRowLastColumn="0"/>
            <w:tcW w:w="4896" w:type="dxa"/>
            <w:noWrap/>
            <w:vAlign w:val="bottom"/>
            <w:hideMark/>
          </w:tcPr>
          <w:p w14:paraId="676A033F" w14:textId="77777777" w:rsidR="009768CA" w:rsidRDefault="009768CA" w:rsidP="00811E9D">
            <w:pPr>
              <w:pStyle w:val="BodyText"/>
              <w:spacing w:after="120"/>
            </w:pPr>
            <w:r>
              <w:t>Renewables &amp; Energy</w:t>
            </w:r>
          </w:p>
        </w:tc>
        <w:tc>
          <w:tcPr>
            <w:tcW w:w="1582" w:type="dxa"/>
            <w:noWrap/>
            <w:vAlign w:val="bottom"/>
            <w:hideMark/>
          </w:tcPr>
          <w:p w14:paraId="690B6A6A" w14:textId="77777777" w:rsidR="009768CA" w:rsidRPr="007352CB"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rPr>
            </w:pPr>
            <w:r w:rsidRPr="007352CB">
              <w:rPr>
                <w:rFonts w:asciiTheme="minorHAnsi" w:hAnsiTheme="minorHAnsi" w:cstheme="minorHAnsi"/>
                <w:color w:val="2D4548" w:themeColor="accent6" w:themeShade="80"/>
              </w:rPr>
              <w:t>15%</w:t>
            </w:r>
          </w:p>
        </w:tc>
        <w:tc>
          <w:tcPr>
            <w:tcW w:w="1582" w:type="dxa"/>
            <w:noWrap/>
            <w:vAlign w:val="bottom"/>
            <w:hideMark/>
          </w:tcPr>
          <w:p w14:paraId="75FE5F3D"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26%</w:t>
            </w:r>
          </w:p>
        </w:tc>
        <w:tc>
          <w:tcPr>
            <w:tcW w:w="1581" w:type="dxa"/>
            <w:vAlign w:val="bottom"/>
          </w:tcPr>
          <w:p w14:paraId="3A98953B"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40%</w:t>
            </w:r>
          </w:p>
        </w:tc>
      </w:tr>
      <w:tr w:rsidR="009768CA" w:rsidRPr="00506964" w14:paraId="5916F7E5" w14:textId="77777777" w:rsidTr="00811E9D">
        <w:trPr>
          <w:trHeight w:hRule="exact" w:val="284"/>
        </w:trPr>
        <w:tc>
          <w:tcPr>
            <w:cnfStyle w:val="001000000000" w:firstRow="0" w:lastRow="0" w:firstColumn="1" w:lastColumn="0" w:oddVBand="0" w:evenVBand="0" w:oddHBand="0" w:evenHBand="0" w:firstRowFirstColumn="0" w:firstRowLastColumn="0" w:lastRowFirstColumn="0" w:lastRowLastColumn="0"/>
            <w:tcW w:w="4896" w:type="dxa"/>
            <w:noWrap/>
            <w:vAlign w:val="bottom"/>
            <w:hideMark/>
          </w:tcPr>
          <w:p w14:paraId="7C156438" w14:textId="77777777" w:rsidR="009768CA" w:rsidRDefault="009768CA" w:rsidP="00811E9D">
            <w:pPr>
              <w:pStyle w:val="BodyText"/>
              <w:spacing w:after="120"/>
            </w:pPr>
            <w:r>
              <w:t>Chemicals &amp; Processing Industries</w:t>
            </w:r>
          </w:p>
        </w:tc>
        <w:tc>
          <w:tcPr>
            <w:tcW w:w="1582" w:type="dxa"/>
            <w:noWrap/>
            <w:vAlign w:val="bottom"/>
            <w:hideMark/>
          </w:tcPr>
          <w:p w14:paraId="5BB2C13D" w14:textId="77777777" w:rsidR="009768CA" w:rsidRPr="007352CB"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rPr>
            </w:pPr>
            <w:r w:rsidRPr="007352CB">
              <w:rPr>
                <w:rFonts w:asciiTheme="minorHAnsi" w:hAnsiTheme="minorHAnsi" w:cstheme="minorHAnsi"/>
                <w:color w:val="2D4548" w:themeColor="accent6" w:themeShade="80"/>
              </w:rPr>
              <w:t>9%</w:t>
            </w:r>
          </w:p>
        </w:tc>
        <w:tc>
          <w:tcPr>
            <w:tcW w:w="1582" w:type="dxa"/>
            <w:noWrap/>
            <w:vAlign w:val="bottom"/>
            <w:hideMark/>
          </w:tcPr>
          <w:p w14:paraId="73AC159A"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15%</w:t>
            </w:r>
          </w:p>
        </w:tc>
        <w:tc>
          <w:tcPr>
            <w:tcW w:w="1581" w:type="dxa"/>
            <w:vAlign w:val="bottom"/>
          </w:tcPr>
          <w:p w14:paraId="2BC5A9FC"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20%</w:t>
            </w:r>
          </w:p>
        </w:tc>
      </w:tr>
      <w:tr w:rsidR="009768CA" w:rsidRPr="00506964" w14:paraId="67C747C1" w14:textId="77777777" w:rsidTr="00811E9D">
        <w:trPr>
          <w:trHeight w:hRule="exact" w:val="284"/>
        </w:trPr>
        <w:tc>
          <w:tcPr>
            <w:cnfStyle w:val="001000000000" w:firstRow="0" w:lastRow="0" w:firstColumn="1" w:lastColumn="0" w:oddVBand="0" w:evenVBand="0" w:oddHBand="0" w:evenHBand="0" w:firstRowFirstColumn="0" w:firstRowLastColumn="0" w:lastRowFirstColumn="0" w:lastRowLastColumn="0"/>
            <w:tcW w:w="4896" w:type="dxa"/>
            <w:noWrap/>
            <w:vAlign w:val="bottom"/>
            <w:hideMark/>
          </w:tcPr>
          <w:p w14:paraId="6130F3BE" w14:textId="77777777" w:rsidR="009768CA" w:rsidRDefault="009768CA" w:rsidP="00811E9D">
            <w:pPr>
              <w:pStyle w:val="BodyText"/>
              <w:spacing w:after="120"/>
            </w:pPr>
            <w:r>
              <w:t>Other Manufacturing</w:t>
            </w:r>
          </w:p>
        </w:tc>
        <w:tc>
          <w:tcPr>
            <w:tcW w:w="1582" w:type="dxa"/>
            <w:noWrap/>
            <w:vAlign w:val="bottom"/>
            <w:hideMark/>
          </w:tcPr>
          <w:p w14:paraId="2E039AEA" w14:textId="77777777" w:rsidR="009768CA" w:rsidRPr="007352CB"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rPr>
            </w:pPr>
            <w:r w:rsidRPr="007352CB">
              <w:rPr>
                <w:rFonts w:asciiTheme="minorHAnsi" w:hAnsiTheme="minorHAnsi" w:cstheme="minorHAnsi"/>
                <w:color w:val="2D4548" w:themeColor="accent6" w:themeShade="80"/>
              </w:rPr>
              <w:t>-7%</w:t>
            </w:r>
          </w:p>
        </w:tc>
        <w:tc>
          <w:tcPr>
            <w:tcW w:w="1582" w:type="dxa"/>
            <w:noWrap/>
            <w:vAlign w:val="bottom"/>
            <w:hideMark/>
          </w:tcPr>
          <w:p w14:paraId="5B5AC325"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12%</w:t>
            </w:r>
          </w:p>
        </w:tc>
        <w:tc>
          <w:tcPr>
            <w:tcW w:w="1581" w:type="dxa"/>
            <w:vAlign w:val="bottom"/>
          </w:tcPr>
          <w:p w14:paraId="43FD4EDD"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25%</w:t>
            </w:r>
          </w:p>
        </w:tc>
      </w:tr>
      <w:tr w:rsidR="009768CA" w:rsidRPr="00506964" w14:paraId="7E0A9194" w14:textId="77777777" w:rsidTr="00811E9D">
        <w:trPr>
          <w:trHeight w:hRule="exact" w:val="284"/>
        </w:trPr>
        <w:tc>
          <w:tcPr>
            <w:cnfStyle w:val="001000000000" w:firstRow="0" w:lastRow="0" w:firstColumn="1" w:lastColumn="0" w:oddVBand="0" w:evenVBand="0" w:oddHBand="0" w:evenHBand="0" w:firstRowFirstColumn="0" w:firstRowLastColumn="0" w:lastRowFirstColumn="0" w:lastRowLastColumn="0"/>
            <w:tcW w:w="4896" w:type="dxa"/>
            <w:noWrap/>
            <w:vAlign w:val="bottom"/>
            <w:hideMark/>
          </w:tcPr>
          <w:p w14:paraId="63189E4A" w14:textId="77777777" w:rsidR="009768CA" w:rsidRDefault="009768CA" w:rsidP="00811E9D">
            <w:pPr>
              <w:pStyle w:val="BodyText"/>
              <w:spacing w:after="120"/>
            </w:pPr>
            <w:r>
              <w:t>Visitor Economy</w:t>
            </w:r>
          </w:p>
        </w:tc>
        <w:tc>
          <w:tcPr>
            <w:tcW w:w="1582" w:type="dxa"/>
            <w:noWrap/>
            <w:vAlign w:val="bottom"/>
            <w:hideMark/>
          </w:tcPr>
          <w:p w14:paraId="427D5B4B" w14:textId="77777777" w:rsidR="009768CA" w:rsidRPr="007352CB"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rPr>
            </w:pPr>
            <w:r w:rsidRPr="007352CB">
              <w:rPr>
                <w:rFonts w:asciiTheme="minorHAnsi" w:hAnsiTheme="minorHAnsi" w:cstheme="minorHAnsi"/>
                <w:color w:val="2D4548" w:themeColor="accent6" w:themeShade="80"/>
              </w:rPr>
              <w:t>5%</w:t>
            </w:r>
          </w:p>
        </w:tc>
        <w:tc>
          <w:tcPr>
            <w:tcW w:w="1582" w:type="dxa"/>
            <w:noWrap/>
            <w:vAlign w:val="bottom"/>
            <w:hideMark/>
          </w:tcPr>
          <w:p w14:paraId="5E2420FD"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14%</w:t>
            </w:r>
          </w:p>
        </w:tc>
        <w:tc>
          <w:tcPr>
            <w:tcW w:w="1581" w:type="dxa"/>
            <w:vAlign w:val="bottom"/>
          </w:tcPr>
          <w:p w14:paraId="2B127476"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21%</w:t>
            </w:r>
          </w:p>
        </w:tc>
      </w:tr>
      <w:tr w:rsidR="009768CA" w:rsidRPr="00506964" w14:paraId="49C49254" w14:textId="77777777" w:rsidTr="00811E9D">
        <w:trPr>
          <w:trHeight w:hRule="exact" w:val="284"/>
        </w:trPr>
        <w:tc>
          <w:tcPr>
            <w:cnfStyle w:val="001000000000" w:firstRow="0" w:lastRow="0" w:firstColumn="1" w:lastColumn="0" w:oddVBand="0" w:evenVBand="0" w:oddHBand="0" w:evenHBand="0" w:firstRowFirstColumn="0" w:firstRowLastColumn="0" w:lastRowFirstColumn="0" w:lastRowLastColumn="0"/>
            <w:tcW w:w="4896" w:type="dxa"/>
            <w:noWrap/>
            <w:vAlign w:val="bottom"/>
            <w:hideMark/>
          </w:tcPr>
          <w:p w14:paraId="767FDC3D" w14:textId="77777777" w:rsidR="009768CA" w:rsidRDefault="009768CA" w:rsidP="00811E9D">
            <w:pPr>
              <w:pStyle w:val="BodyText"/>
              <w:spacing w:after="120"/>
            </w:pPr>
            <w:r>
              <w:t>Public Sector</w:t>
            </w:r>
          </w:p>
        </w:tc>
        <w:tc>
          <w:tcPr>
            <w:tcW w:w="1582" w:type="dxa"/>
            <w:noWrap/>
            <w:vAlign w:val="bottom"/>
            <w:hideMark/>
          </w:tcPr>
          <w:p w14:paraId="22310B92" w14:textId="77777777" w:rsidR="009768CA" w:rsidRPr="007352CB"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rPr>
            </w:pPr>
            <w:r w:rsidRPr="007352CB">
              <w:rPr>
                <w:rFonts w:asciiTheme="minorHAnsi" w:hAnsiTheme="minorHAnsi" w:cstheme="minorHAnsi"/>
                <w:color w:val="2D4548" w:themeColor="accent6" w:themeShade="80"/>
              </w:rPr>
              <w:t>-4%</w:t>
            </w:r>
          </w:p>
        </w:tc>
        <w:tc>
          <w:tcPr>
            <w:tcW w:w="1582" w:type="dxa"/>
            <w:noWrap/>
            <w:vAlign w:val="bottom"/>
            <w:hideMark/>
          </w:tcPr>
          <w:p w14:paraId="4E9599CF"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0%</w:t>
            </w:r>
          </w:p>
        </w:tc>
        <w:tc>
          <w:tcPr>
            <w:tcW w:w="1581" w:type="dxa"/>
            <w:vAlign w:val="bottom"/>
          </w:tcPr>
          <w:p w14:paraId="5C3A75C3"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1%</w:t>
            </w:r>
          </w:p>
        </w:tc>
      </w:tr>
      <w:tr w:rsidR="009768CA" w:rsidRPr="00506964" w14:paraId="7BDFC0D9" w14:textId="77777777" w:rsidTr="00811E9D">
        <w:trPr>
          <w:trHeight w:hRule="exact" w:val="284"/>
        </w:trPr>
        <w:tc>
          <w:tcPr>
            <w:cnfStyle w:val="001000000000" w:firstRow="0" w:lastRow="0" w:firstColumn="1" w:lastColumn="0" w:oddVBand="0" w:evenVBand="0" w:oddHBand="0" w:evenHBand="0" w:firstRowFirstColumn="0" w:firstRowLastColumn="0" w:lastRowFirstColumn="0" w:lastRowLastColumn="0"/>
            <w:tcW w:w="4896" w:type="dxa"/>
            <w:noWrap/>
            <w:vAlign w:val="bottom"/>
            <w:hideMark/>
          </w:tcPr>
          <w:p w14:paraId="152E8E37" w14:textId="77777777" w:rsidR="009768CA" w:rsidRDefault="009768CA" w:rsidP="00811E9D">
            <w:pPr>
              <w:pStyle w:val="BodyText"/>
              <w:spacing w:after="120"/>
            </w:pPr>
            <w:r>
              <w:t>Education</w:t>
            </w:r>
          </w:p>
        </w:tc>
        <w:tc>
          <w:tcPr>
            <w:tcW w:w="1582" w:type="dxa"/>
            <w:noWrap/>
            <w:vAlign w:val="bottom"/>
            <w:hideMark/>
          </w:tcPr>
          <w:p w14:paraId="36128476" w14:textId="77777777" w:rsidR="009768CA" w:rsidRPr="007352CB"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rPr>
            </w:pPr>
            <w:r w:rsidRPr="007352CB">
              <w:rPr>
                <w:rFonts w:asciiTheme="minorHAnsi" w:hAnsiTheme="minorHAnsi" w:cstheme="minorHAnsi"/>
                <w:color w:val="2D4548" w:themeColor="accent6" w:themeShade="80"/>
              </w:rPr>
              <w:t>4%</w:t>
            </w:r>
          </w:p>
        </w:tc>
        <w:tc>
          <w:tcPr>
            <w:tcW w:w="1582" w:type="dxa"/>
            <w:noWrap/>
            <w:vAlign w:val="bottom"/>
            <w:hideMark/>
          </w:tcPr>
          <w:p w14:paraId="7F706A58"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7%</w:t>
            </w:r>
          </w:p>
        </w:tc>
        <w:tc>
          <w:tcPr>
            <w:tcW w:w="1581" w:type="dxa"/>
            <w:vAlign w:val="bottom"/>
          </w:tcPr>
          <w:p w14:paraId="16ACBD1D"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11%</w:t>
            </w:r>
          </w:p>
        </w:tc>
      </w:tr>
      <w:tr w:rsidR="009768CA" w:rsidRPr="00506964" w14:paraId="4E91C7BE" w14:textId="77777777" w:rsidTr="00811E9D">
        <w:trPr>
          <w:trHeight w:hRule="exact" w:val="284"/>
        </w:trPr>
        <w:tc>
          <w:tcPr>
            <w:cnfStyle w:val="001000000000" w:firstRow="0" w:lastRow="0" w:firstColumn="1" w:lastColumn="0" w:oddVBand="0" w:evenVBand="0" w:oddHBand="0" w:evenHBand="0" w:firstRowFirstColumn="0" w:firstRowLastColumn="0" w:lastRowFirstColumn="0" w:lastRowLastColumn="0"/>
            <w:tcW w:w="4896" w:type="dxa"/>
            <w:noWrap/>
            <w:vAlign w:val="bottom"/>
            <w:hideMark/>
          </w:tcPr>
          <w:p w14:paraId="51F63154" w14:textId="77777777" w:rsidR="009768CA" w:rsidRDefault="009768CA" w:rsidP="00811E9D">
            <w:pPr>
              <w:pStyle w:val="BodyText"/>
              <w:spacing w:after="120"/>
            </w:pPr>
            <w:r>
              <w:t>Health</w:t>
            </w:r>
          </w:p>
        </w:tc>
        <w:tc>
          <w:tcPr>
            <w:tcW w:w="1582" w:type="dxa"/>
            <w:noWrap/>
            <w:vAlign w:val="bottom"/>
            <w:hideMark/>
          </w:tcPr>
          <w:p w14:paraId="6CCF3DF4" w14:textId="77777777" w:rsidR="009768CA" w:rsidRPr="007352CB"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rPr>
            </w:pPr>
            <w:r w:rsidRPr="007352CB">
              <w:rPr>
                <w:rFonts w:asciiTheme="minorHAnsi" w:hAnsiTheme="minorHAnsi" w:cstheme="minorHAnsi"/>
                <w:color w:val="2D4548" w:themeColor="accent6" w:themeShade="80"/>
              </w:rPr>
              <w:t>5%</w:t>
            </w:r>
          </w:p>
        </w:tc>
        <w:tc>
          <w:tcPr>
            <w:tcW w:w="1582" w:type="dxa"/>
            <w:noWrap/>
            <w:vAlign w:val="bottom"/>
            <w:hideMark/>
          </w:tcPr>
          <w:p w14:paraId="65889CB2"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8%</w:t>
            </w:r>
          </w:p>
        </w:tc>
        <w:tc>
          <w:tcPr>
            <w:tcW w:w="1581" w:type="dxa"/>
            <w:vAlign w:val="bottom"/>
          </w:tcPr>
          <w:p w14:paraId="44F03799"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13%</w:t>
            </w:r>
          </w:p>
        </w:tc>
      </w:tr>
      <w:tr w:rsidR="009768CA" w:rsidRPr="00506964" w14:paraId="4AD8D17F" w14:textId="77777777" w:rsidTr="00811E9D">
        <w:trPr>
          <w:trHeight w:hRule="exact" w:val="284"/>
        </w:trPr>
        <w:tc>
          <w:tcPr>
            <w:cnfStyle w:val="001000000000" w:firstRow="0" w:lastRow="0" w:firstColumn="1" w:lastColumn="0" w:oddVBand="0" w:evenVBand="0" w:oddHBand="0" w:evenHBand="0" w:firstRowFirstColumn="0" w:firstRowLastColumn="0" w:lastRowFirstColumn="0" w:lastRowLastColumn="0"/>
            <w:tcW w:w="4896" w:type="dxa"/>
            <w:noWrap/>
            <w:vAlign w:val="bottom"/>
            <w:hideMark/>
          </w:tcPr>
          <w:p w14:paraId="49A891B9" w14:textId="77777777" w:rsidR="009768CA" w:rsidRDefault="009768CA" w:rsidP="00811E9D">
            <w:pPr>
              <w:pStyle w:val="BodyText"/>
              <w:spacing w:after="120"/>
            </w:pPr>
            <w:r>
              <w:t>Other Service Sectors</w:t>
            </w:r>
          </w:p>
        </w:tc>
        <w:tc>
          <w:tcPr>
            <w:tcW w:w="1582" w:type="dxa"/>
            <w:noWrap/>
            <w:vAlign w:val="bottom"/>
            <w:hideMark/>
          </w:tcPr>
          <w:p w14:paraId="62EB4DE8" w14:textId="77777777" w:rsidR="009768CA" w:rsidRPr="007352CB"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rPr>
            </w:pPr>
            <w:r w:rsidRPr="007352CB">
              <w:rPr>
                <w:rFonts w:asciiTheme="minorHAnsi" w:hAnsiTheme="minorHAnsi" w:cstheme="minorHAnsi"/>
                <w:color w:val="2D4548" w:themeColor="accent6" w:themeShade="80"/>
              </w:rPr>
              <w:t>4%</w:t>
            </w:r>
          </w:p>
        </w:tc>
        <w:tc>
          <w:tcPr>
            <w:tcW w:w="1582" w:type="dxa"/>
            <w:noWrap/>
            <w:vAlign w:val="bottom"/>
            <w:hideMark/>
          </w:tcPr>
          <w:p w14:paraId="7818A61A"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8%</w:t>
            </w:r>
          </w:p>
        </w:tc>
        <w:tc>
          <w:tcPr>
            <w:tcW w:w="1581" w:type="dxa"/>
            <w:vAlign w:val="bottom"/>
          </w:tcPr>
          <w:p w14:paraId="64A93811" w14:textId="77777777" w:rsidR="009768CA" w:rsidRPr="007352C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4548" w:themeColor="accent6" w:themeShade="80"/>
                <w:sz w:val="20"/>
              </w:rPr>
            </w:pPr>
            <w:r w:rsidRPr="007352CB">
              <w:rPr>
                <w:rFonts w:asciiTheme="minorHAnsi" w:hAnsiTheme="minorHAnsi" w:cstheme="minorHAnsi"/>
                <w:color w:val="2D4548" w:themeColor="accent6" w:themeShade="80"/>
                <w:sz w:val="20"/>
              </w:rPr>
              <w:t>16%</w:t>
            </w:r>
          </w:p>
        </w:tc>
      </w:tr>
    </w:tbl>
    <w:p w14:paraId="7AE9CF7F" w14:textId="77777777" w:rsidR="009768CA" w:rsidRDefault="009768CA" w:rsidP="009768CA">
      <w:pPr>
        <w:pStyle w:val="BodyText"/>
      </w:pPr>
      <w:r>
        <w:t>Source:  Atkins.</w:t>
      </w:r>
    </w:p>
    <w:p w14:paraId="76CA3D95" w14:textId="77777777" w:rsidR="009768CA" w:rsidRDefault="009768CA" w:rsidP="009768CA">
      <w:pPr>
        <w:pStyle w:val="Heading2"/>
      </w:pPr>
      <w:bookmarkStart w:id="260" w:name="_Toc394668586"/>
      <w:r>
        <w:t>Baseline Scenario</w:t>
      </w:r>
      <w:bookmarkEnd w:id="260"/>
    </w:p>
    <w:p w14:paraId="47A98679" w14:textId="77777777" w:rsidR="009768CA" w:rsidRDefault="009768CA" w:rsidP="009768CA">
      <w:pPr>
        <w:pStyle w:val="BodyText"/>
      </w:pPr>
      <w:r w:rsidRPr="000C2D7F">
        <w:t xml:space="preserve">Table </w:t>
      </w:r>
      <w:r w:rsidR="000C2D7F">
        <w:t>3.2</w:t>
      </w:r>
      <w:r>
        <w:t xml:space="preserve"> sets out the baseline employment position in North East Lincolnshire in 2013.  This demonstrates the importance of a number of dominant sectors in terms of their present contrition to employment in the area.  Of particular significance are the following employment sectors:</w:t>
      </w:r>
    </w:p>
    <w:p w14:paraId="4D98A7D9" w14:textId="77777777" w:rsidR="009768CA" w:rsidRDefault="009768CA" w:rsidP="009768CA">
      <w:pPr>
        <w:pStyle w:val="ListBullet"/>
        <w:spacing w:after="120"/>
      </w:pPr>
      <w:r>
        <w:t>Wholesale and retail.</w:t>
      </w:r>
    </w:p>
    <w:p w14:paraId="746C0C24" w14:textId="77777777" w:rsidR="009768CA" w:rsidRDefault="009768CA" w:rsidP="009768CA">
      <w:pPr>
        <w:pStyle w:val="ListBullet"/>
        <w:spacing w:after="120"/>
      </w:pPr>
      <w:r>
        <w:t>Health and social work.</w:t>
      </w:r>
    </w:p>
    <w:p w14:paraId="701AB8E3" w14:textId="77777777" w:rsidR="009768CA" w:rsidRDefault="009768CA" w:rsidP="009768CA">
      <w:pPr>
        <w:pStyle w:val="ListBullet"/>
        <w:spacing w:after="120"/>
      </w:pPr>
      <w:r>
        <w:t>Manufacturing.</w:t>
      </w:r>
    </w:p>
    <w:p w14:paraId="4C33C763" w14:textId="77777777" w:rsidR="009768CA" w:rsidRDefault="009768CA" w:rsidP="009768CA">
      <w:pPr>
        <w:pStyle w:val="ListBullet"/>
        <w:spacing w:after="120"/>
      </w:pPr>
      <w:r>
        <w:t>Education.</w:t>
      </w:r>
    </w:p>
    <w:p w14:paraId="79750298" w14:textId="77777777" w:rsidR="009768CA" w:rsidRDefault="009768CA" w:rsidP="009768CA">
      <w:pPr>
        <w:pStyle w:val="ListBullet"/>
        <w:spacing w:after="120"/>
      </w:pPr>
      <w:r>
        <w:t>Administrative and support services.</w:t>
      </w:r>
    </w:p>
    <w:p w14:paraId="18F17510" w14:textId="77777777" w:rsidR="009768CA" w:rsidRDefault="009768CA" w:rsidP="009768CA">
      <w:pPr>
        <w:pStyle w:val="ListBullet"/>
        <w:spacing w:after="120"/>
      </w:pPr>
      <w:r>
        <w:t>Transportation and storage.</w:t>
      </w:r>
    </w:p>
    <w:p w14:paraId="02249366" w14:textId="77777777" w:rsidR="009768CA" w:rsidRDefault="009768CA" w:rsidP="009768CA">
      <w:pPr>
        <w:pStyle w:val="ListBullet"/>
        <w:spacing w:after="120"/>
      </w:pPr>
      <w:r>
        <w:t xml:space="preserve">Accommodation and food service activities. </w:t>
      </w:r>
    </w:p>
    <w:p w14:paraId="50376674" w14:textId="77777777" w:rsidR="009768CA" w:rsidRDefault="009768CA" w:rsidP="009768CA">
      <w:pPr>
        <w:pStyle w:val="ListBullet"/>
        <w:spacing w:after="120"/>
      </w:pPr>
      <w:r>
        <w:t>Professional, scientific and technical activities.</w:t>
      </w:r>
    </w:p>
    <w:p w14:paraId="78624509" w14:textId="77777777" w:rsidR="009768CA" w:rsidRPr="00C94A6B" w:rsidRDefault="009768CA" w:rsidP="009768CA">
      <w:pPr>
        <w:pStyle w:val="ListBullet"/>
        <w:spacing w:after="120"/>
      </w:pPr>
      <w:r>
        <w:t>Public administration.</w:t>
      </w:r>
    </w:p>
    <w:p w14:paraId="6CFF5364" w14:textId="77777777" w:rsidR="009768CA" w:rsidRDefault="009768CA" w:rsidP="009768CA">
      <w:pPr>
        <w:pStyle w:val="BodyText"/>
      </w:pPr>
      <w:r>
        <w:t>Most of the activities of the five key sectors considered as part of the sector study are captured in the above industrially classified sectors although there will be much overlap between them.  For example, much of the food processing and chemical and process industry activity will be recorded in the manufacturing sectors (as well as wholesale for food).  Ports and logistics will mainly be covered by transportation and storage along with support services.</w:t>
      </w:r>
    </w:p>
    <w:p w14:paraId="1A2F1D8A" w14:textId="77777777" w:rsidR="00E909C9" w:rsidRDefault="00E909C9">
      <w:pPr>
        <w:jc w:val="left"/>
        <w:rPr>
          <w:rFonts w:ascii="Arial" w:hAnsi="Arial"/>
          <w:b/>
          <w:color w:val="394A58"/>
          <w:sz w:val="20"/>
        </w:rPr>
      </w:pPr>
      <w:r>
        <w:rPr>
          <w:b/>
        </w:rPr>
        <w:br w:type="page"/>
      </w:r>
    </w:p>
    <w:p w14:paraId="1C8CF480" w14:textId="77777777" w:rsidR="009768CA" w:rsidRPr="001C5347" w:rsidRDefault="009768CA" w:rsidP="009768CA">
      <w:pPr>
        <w:pStyle w:val="BodyText"/>
      </w:pPr>
      <w:bookmarkStart w:id="261" w:name="_Toc394668605"/>
      <w:r w:rsidRPr="00187573">
        <w:rPr>
          <w:b/>
        </w:rPr>
        <w:t xml:space="preserve">Table </w:t>
      </w:r>
      <w:fldSimple w:instr=" STYLEREF 1 \s  \* MERGEFORMAT ">
        <w:r w:rsidR="00E909C9" w:rsidRPr="00E909C9">
          <w:rPr>
            <w:b/>
            <w:noProof/>
          </w:rPr>
          <w:t>3</w:t>
        </w:r>
      </w:fldSimple>
      <w:r w:rsidR="00E909C9" w:rsidRPr="000573A4">
        <w:rPr>
          <w:b/>
        </w:rPr>
        <w:t>-</w:t>
      </w:r>
      <w:fldSimple w:instr=" SEQ Table \* ARABIC \s 1  \* MERGEFORMAT ">
        <w:r w:rsidR="00E909C9" w:rsidRPr="00E909C9">
          <w:rPr>
            <w:b/>
            <w:noProof/>
          </w:rPr>
          <w:t>2</w:t>
        </w:r>
      </w:fldSimple>
      <w:r w:rsidR="00E909C9">
        <w:rPr>
          <w:b/>
        </w:rPr>
        <w:t xml:space="preserve">: </w:t>
      </w:r>
      <w:r w:rsidRPr="00187573">
        <w:rPr>
          <w:b/>
        </w:rPr>
        <w:t xml:space="preserve"> </w:t>
      </w:r>
      <w:r>
        <w:rPr>
          <w:b/>
        </w:rPr>
        <w:t>Employment Structure in North East Lincolnshire 2013</w:t>
      </w:r>
      <w:bookmarkEnd w:id="261"/>
    </w:p>
    <w:tbl>
      <w:tblPr>
        <w:tblStyle w:val="Atkins14pt"/>
        <w:tblW w:w="8505" w:type="dxa"/>
        <w:tblLayout w:type="fixed"/>
        <w:tblLook w:val="04A0" w:firstRow="1" w:lastRow="0" w:firstColumn="1" w:lastColumn="0" w:noHBand="0" w:noVBand="1"/>
      </w:tblPr>
      <w:tblGrid>
        <w:gridCol w:w="5954"/>
        <w:gridCol w:w="1276"/>
        <w:gridCol w:w="1275"/>
      </w:tblGrid>
      <w:tr w:rsidR="009768CA" w:rsidRPr="009E7FFE" w14:paraId="4E33A8C4" w14:textId="77777777" w:rsidTr="00811E9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954" w:type="dxa"/>
            <w:noWrap/>
            <w:vAlign w:val="bottom"/>
            <w:hideMark/>
          </w:tcPr>
          <w:p w14:paraId="668CA345" w14:textId="77777777" w:rsidR="009768CA" w:rsidRDefault="009768CA" w:rsidP="00811E9D">
            <w:pPr>
              <w:pStyle w:val="BodyText"/>
            </w:pPr>
            <w:r>
              <w:t>Sector</w:t>
            </w:r>
          </w:p>
        </w:tc>
        <w:tc>
          <w:tcPr>
            <w:tcW w:w="1276" w:type="dxa"/>
            <w:noWrap/>
            <w:vAlign w:val="bottom"/>
            <w:hideMark/>
          </w:tcPr>
          <w:p w14:paraId="3C6086ED" w14:textId="77777777" w:rsidR="009768CA" w:rsidRDefault="009768CA" w:rsidP="00811E9D">
            <w:pPr>
              <w:pStyle w:val="BodyText"/>
              <w:cnfStyle w:val="100000000000" w:firstRow="1" w:lastRow="0" w:firstColumn="0" w:lastColumn="0" w:oddVBand="0" w:evenVBand="0" w:oddHBand="0" w:evenHBand="0" w:firstRowFirstColumn="0" w:firstRowLastColumn="0" w:lastRowFirstColumn="0" w:lastRowLastColumn="0"/>
            </w:pPr>
            <w:r>
              <w:t>2013</w:t>
            </w:r>
          </w:p>
        </w:tc>
        <w:tc>
          <w:tcPr>
            <w:tcW w:w="1275" w:type="dxa"/>
            <w:noWrap/>
            <w:vAlign w:val="bottom"/>
            <w:hideMark/>
          </w:tcPr>
          <w:p w14:paraId="5E250B69" w14:textId="77777777" w:rsidR="009768CA" w:rsidRDefault="009768CA" w:rsidP="00811E9D">
            <w:pPr>
              <w:pStyle w:val="BodyText"/>
              <w:cnfStyle w:val="100000000000" w:firstRow="1" w:lastRow="0" w:firstColumn="0" w:lastColumn="0" w:oddVBand="0" w:evenVBand="0" w:oddHBand="0" w:evenHBand="0" w:firstRowFirstColumn="0" w:firstRowLastColumn="0" w:lastRowFirstColumn="0" w:lastRowLastColumn="0"/>
            </w:pPr>
            <w:r>
              <w:t>% of Total</w:t>
            </w:r>
          </w:p>
        </w:tc>
      </w:tr>
      <w:tr w:rsidR="009768CA" w:rsidRPr="009E7FFE" w14:paraId="4CC06DD9"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2EDE3714" w14:textId="77777777" w:rsidR="009768CA" w:rsidRDefault="009768CA" w:rsidP="00811E9D">
            <w:pPr>
              <w:pStyle w:val="BodyText"/>
              <w:spacing w:after="120"/>
            </w:pPr>
            <w:r>
              <w:t>Accommodation and food service activities</w:t>
            </w:r>
          </w:p>
        </w:tc>
        <w:tc>
          <w:tcPr>
            <w:tcW w:w="1276" w:type="dxa"/>
            <w:noWrap/>
            <w:hideMark/>
          </w:tcPr>
          <w:p w14:paraId="1DF3C5DF"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3,400 </w:t>
            </w:r>
          </w:p>
        </w:tc>
        <w:tc>
          <w:tcPr>
            <w:tcW w:w="1275" w:type="dxa"/>
            <w:noWrap/>
            <w:hideMark/>
          </w:tcPr>
          <w:p w14:paraId="2BFABA0E"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5.2%</w:t>
            </w:r>
          </w:p>
        </w:tc>
      </w:tr>
      <w:tr w:rsidR="009768CA" w:rsidRPr="009E7FFE" w14:paraId="1199118A"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0D42F19B" w14:textId="77777777" w:rsidR="009768CA" w:rsidRDefault="009768CA" w:rsidP="00811E9D">
            <w:pPr>
              <w:pStyle w:val="BodyText"/>
              <w:spacing w:after="120"/>
            </w:pPr>
            <w:r>
              <w:t>Administrative and support service activities</w:t>
            </w:r>
          </w:p>
        </w:tc>
        <w:tc>
          <w:tcPr>
            <w:tcW w:w="1276" w:type="dxa"/>
            <w:noWrap/>
            <w:hideMark/>
          </w:tcPr>
          <w:p w14:paraId="5C3B7DA1"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6,000 </w:t>
            </w:r>
          </w:p>
        </w:tc>
        <w:tc>
          <w:tcPr>
            <w:tcW w:w="1275" w:type="dxa"/>
            <w:noWrap/>
            <w:hideMark/>
          </w:tcPr>
          <w:p w14:paraId="714F7DC6"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9.3%</w:t>
            </w:r>
          </w:p>
        </w:tc>
      </w:tr>
      <w:tr w:rsidR="009768CA" w:rsidRPr="009E7FFE" w14:paraId="40332C06"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3842914F" w14:textId="77777777" w:rsidR="009768CA" w:rsidRDefault="009768CA" w:rsidP="00811E9D">
            <w:pPr>
              <w:pStyle w:val="BodyText"/>
              <w:spacing w:after="120"/>
            </w:pPr>
            <w:r>
              <w:t>Agriculture, Forestry and Fishing</w:t>
            </w:r>
          </w:p>
        </w:tc>
        <w:tc>
          <w:tcPr>
            <w:tcW w:w="1276" w:type="dxa"/>
            <w:noWrap/>
            <w:hideMark/>
          </w:tcPr>
          <w:p w14:paraId="6CCD43B0"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100 </w:t>
            </w:r>
          </w:p>
        </w:tc>
        <w:tc>
          <w:tcPr>
            <w:tcW w:w="1275" w:type="dxa"/>
            <w:noWrap/>
            <w:hideMark/>
          </w:tcPr>
          <w:p w14:paraId="19AA956D"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0.2%</w:t>
            </w:r>
          </w:p>
        </w:tc>
      </w:tr>
      <w:tr w:rsidR="009768CA" w:rsidRPr="009E7FFE" w14:paraId="603D2CF4"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062CA937" w14:textId="77777777" w:rsidR="009768CA" w:rsidRDefault="009768CA" w:rsidP="00811E9D">
            <w:pPr>
              <w:pStyle w:val="BodyText"/>
              <w:spacing w:after="120"/>
            </w:pPr>
            <w:r>
              <w:t xml:space="preserve">Arts, entertainment and recreation </w:t>
            </w:r>
          </w:p>
        </w:tc>
        <w:tc>
          <w:tcPr>
            <w:tcW w:w="1276" w:type="dxa"/>
            <w:noWrap/>
            <w:hideMark/>
          </w:tcPr>
          <w:p w14:paraId="7A645DF2"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1,500 </w:t>
            </w:r>
          </w:p>
        </w:tc>
        <w:tc>
          <w:tcPr>
            <w:tcW w:w="1275" w:type="dxa"/>
            <w:noWrap/>
            <w:hideMark/>
          </w:tcPr>
          <w:p w14:paraId="77750B3D"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2.4%</w:t>
            </w:r>
          </w:p>
        </w:tc>
      </w:tr>
      <w:tr w:rsidR="009768CA" w:rsidRPr="009E7FFE" w14:paraId="7150980E"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25F267FB" w14:textId="77777777" w:rsidR="009768CA" w:rsidRDefault="009768CA" w:rsidP="00811E9D">
            <w:pPr>
              <w:pStyle w:val="BodyText"/>
              <w:spacing w:after="120"/>
            </w:pPr>
            <w:r>
              <w:t xml:space="preserve">Construction </w:t>
            </w:r>
          </w:p>
        </w:tc>
        <w:tc>
          <w:tcPr>
            <w:tcW w:w="1276" w:type="dxa"/>
            <w:noWrap/>
            <w:hideMark/>
          </w:tcPr>
          <w:p w14:paraId="5F8BCBC4"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2,400 </w:t>
            </w:r>
          </w:p>
        </w:tc>
        <w:tc>
          <w:tcPr>
            <w:tcW w:w="1275" w:type="dxa"/>
            <w:noWrap/>
            <w:hideMark/>
          </w:tcPr>
          <w:p w14:paraId="11151844"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3.8%</w:t>
            </w:r>
          </w:p>
        </w:tc>
      </w:tr>
      <w:tr w:rsidR="009768CA" w:rsidRPr="009E7FFE" w14:paraId="007276DA"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3BE6497F" w14:textId="77777777" w:rsidR="009768CA" w:rsidRDefault="009768CA" w:rsidP="00811E9D">
            <w:pPr>
              <w:pStyle w:val="BodyText"/>
              <w:spacing w:after="120"/>
            </w:pPr>
            <w:r>
              <w:t>Education</w:t>
            </w:r>
          </w:p>
        </w:tc>
        <w:tc>
          <w:tcPr>
            <w:tcW w:w="1276" w:type="dxa"/>
            <w:noWrap/>
            <w:hideMark/>
          </w:tcPr>
          <w:p w14:paraId="0C9E6315"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6,300 </w:t>
            </w:r>
          </w:p>
        </w:tc>
        <w:tc>
          <w:tcPr>
            <w:tcW w:w="1275" w:type="dxa"/>
            <w:noWrap/>
            <w:hideMark/>
          </w:tcPr>
          <w:p w14:paraId="334BDD38"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9.8%</w:t>
            </w:r>
          </w:p>
        </w:tc>
      </w:tr>
      <w:tr w:rsidR="009768CA" w:rsidRPr="009E7FFE" w14:paraId="5458FAD7"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424643F0" w14:textId="77777777" w:rsidR="009768CA" w:rsidRDefault="009768CA" w:rsidP="00811E9D">
            <w:pPr>
              <w:pStyle w:val="BodyText"/>
              <w:spacing w:after="120"/>
            </w:pPr>
            <w:r>
              <w:t>Electricity, gas, steam and air conditioning supply</w:t>
            </w:r>
          </w:p>
        </w:tc>
        <w:tc>
          <w:tcPr>
            <w:tcW w:w="1276" w:type="dxa"/>
            <w:noWrap/>
            <w:hideMark/>
          </w:tcPr>
          <w:p w14:paraId="1CA9379E"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300 </w:t>
            </w:r>
          </w:p>
        </w:tc>
        <w:tc>
          <w:tcPr>
            <w:tcW w:w="1275" w:type="dxa"/>
            <w:noWrap/>
            <w:hideMark/>
          </w:tcPr>
          <w:p w14:paraId="22C756C8"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0.5%</w:t>
            </w:r>
          </w:p>
        </w:tc>
      </w:tr>
      <w:tr w:rsidR="009768CA" w:rsidRPr="009E7FFE" w14:paraId="0E7ABDBF"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749BEF2E" w14:textId="77777777" w:rsidR="009768CA" w:rsidRDefault="009768CA" w:rsidP="00811E9D">
            <w:pPr>
              <w:pStyle w:val="BodyText"/>
              <w:spacing w:after="120"/>
            </w:pPr>
            <w:r>
              <w:t>Financial and insurance activities</w:t>
            </w:r>
          </w:p>
        </w:tc>
        <w:tc>
          <w:tcPr>
            <w:tcW w:w="1276" w:type="dxa"/>
            <w:noWrap/>
            <w:hideMark/>
          </w:tcPr>
          <w:p w14:paraId="1D33B931"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800 </w:t>
            </w:r>
          </w:p>
        </w:tc>
        <w:tc>
          <w:tcPr>
            <w:tcW w:w="1275" w:type="dxa"/>
            <w:noWrap/>
            <w:hideMark/>
          </w:tcPr>
          <w:p w14:paraId="64543B7B"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1.2%</w:t>
            </w:r>
          </w:p>
        </w:tc>
      </w:tr>
      <w:tr w:rsidR="009768CA" w:rsidRPr="009E7FFE" w14:paraId="3C40E0B9"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15CDF69F" w14:textId="77777777" w:rsidR="009768CA" w:rsidRDefault="009768CA" w:rsidP="00811E9D">
            <w:pPr>
              <w:pStyle w:val="BodyText"/>
              <w:spacing w:after="120"/>
            </w:pPr>
            <w:r>
              <w:t>Human health and social work activities</w:t>
            </w:r>
          </w:p>
        </w:tc>
        <w:tc>
          <w:tcPr>
            <w:tcW w:w="1276" w:type="dxa"/>
            <w:noWrap/>
            <w:hideMark/>
          </w:tcPr>
          <w:p w14:paraId="197AE803"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10,300 </w:t>
            </w:r>
          </w:p>
        </w:tc>
        <w:tc>
          <w:tcPr>
            <w:tcW w:w="1275" w:type="dxa"/>
            <w:noWrap/>
            <w:hideMark/>
          </w:tcPr>
          <w:p w14:paraId="1B23820D"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15.9%</w:t>
            </w:r>
          </w:p>
        </w:tc>
      </w:tr>
      <w:tr w:rsidR="009768CA" w:rsidRPr="009E7FFE" w14:paraId="01C5C0EC"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1FF9F54C" w14:textId="77777777" w:rsidR="009768CA" w:rsidRDefault="009768CA" w:rsidP="00811E9D">
            <w:pPr>
              <w:pStyle w:val="BodyText"/>
              <w:spacing w:after="120"/>
            </w:pPr>
            <w:r>
              <w:t xml:space="preserve">Information and communication </w:t>
            </w:r>
          </w:p>
        </w:tc>
        <w:tc>
          <w:tcPr>
            <w:tcW w:w="1276" w:type="dxa"/>
            <w:noWrap/>
            <w:hideMark/>
          </w:tcPr>
          <w:p w14:paraId="53442127"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700 </w:t>
            </w:r>
          </w:p>
        </w:tc>
        <w:tc>
          <w:tcPr>
            <w:tcW w:w="1275" w:type="dxa"/>
            <w:noWrap/>
            <w:hideMark/>
          </w:tcPr>
          <w:p w14:paraId="77B8A603"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1.1%</w:t>
            </w:r>
          </w:p>
        </w:tc>
      </w:tr>
      <w:tr w:rsidR="009768CA" w:rsidRPr="009E7FFE" w14:paraId="63532DC9"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1A86CCB8" w14:textId="77777777" w:rsidR="009768CA" w:rsidRDefault="009768CA" w:rsidP="00811E9D">
            <w:pPr>
              <w:pStyle w:val="BodyText"/>
              <w:spacing w:after="120"/>
            </w:pPr>
            <w:r>
              <w:t xml:space="preserve">Manufacturing </w:t>
            </w:r>
          </w:p>
        </w:tc>
        <w:tc>
          <w:tcPr>
            <w:tcW w:w="1276" w:type="dxa"/>
            <w:noWrap/>
            <w:hideMark/>
          </w:tcPr>
          <w:p w14:paraId="40685E0D"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9,500 </w:t>
            </w:r>
          </w:p>
        </w:tc>
        <w:tc>
          <w:tcPr>
            <w:tcW w:w="1275" w:type="dxa"/>
            <w:noWrap/>
            <w:hideMark/>
          </w:tcPr>
          <w:p w14:paraId="7EECF3D5"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14.8%</w:t>
            </w:r>
          </w:p>
        </w:tc>
      </w:tr>
      <w:tr w:rsidR="009768CA" w:rsidRPr="009E7FFE" w14:paraId="20D105EE"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09105828" w14:textId="77777777" w:rsidR="009768CA" w:rsidRDefault="009768CA" w:rsidP="00811E9D">
            <w:pPr>
              <w:pStyle w:val="BodyText"/>
              <w:spacing w:after="120"/>
            </w:pPr>
            <w:r>
              <w:t>Mining and Quarrying</w:t>
            </w:r>
          </w:p>
        </w:tc>
        <w:tc>
          <w:tcPr>
            <w:tcW w:w="1276" w:type="dxa"/>
            <w:noWrap/>
            <w:hideMark/>
          </w:tcPr>
          <w:p w14:paraId="5312ABBB"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   </w:t>
            </w:r>
          </w:p>
        </w:tc>
        <w:tc>
          <w:tcPr>
            <w:tcW w:w="1275" w:type="dxa"/>
            <w:noWrap/>
            <w:hideMark/>
          </w:tcPr>
          <w:p w14:paraId="0E52FD6D"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0.0%</w:t>
            </w:r>
          </w:p>
        </w:tc>
      </w:tr>
      <w:tr w:rsidR="009768CA" w:rsidRPr="009E7FFE" w14:paraId="6CAE8611"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0DDD524E" w14:textId="77777777" w:rsidR="009768CA" w:rsidRDefault="009768CA" w:rsidP="00811E9D">
            <w:pPr>
              <w:pStyle w:val="BodyText"/>
              <w:spacing w:after="120"/>
            </w:pPr>
            <w:r>
              <w:t>Other service activities</w:t>
            </w:r>
          </w:p>
        </w:tc>
        <w:tc>
          <w:tcPr>
            <w:tcW w:w="1276" w:type="dxa"/>
            <w:noWrap/>
            <w:hideMark/>
          </w:tcPr>
          <w:p w14:paraId="7EAB41D0"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800 </w:t>
            </w:r>
          </w:p>
        </w:tc>
        <w:tc>
          <w:tcPr>
            <w:tcW w:w="1275" w:type="dxa"/>
            <w:noWrap/>
            <w:hideMark/>
          </w:tcPr>
          <w:p w14:paraId="0B08D3B5"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1.3%</w:t>
            </w:r>
          </w:p>
        </w:tc>
      </w:tr>
      <w:tr w:rsidR="009768CA" w:rsidRPr="009E7FFE" w14:paraId="121BA20A"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7E5A26AB" w14:textId="77777777" w:rsidR="009768CA" w:rsidRDefault="009768CA" w:rsidP="00811E9D">
            <w:pPr>
              <w:pStyle w:val="BodyText"/>
              <w:spacing w:after="120"/>
            </w:pPr>
            <w:r>
              <w:t xml:space="preserve">Professional, scientific and technical activities </w:t>
            </w:r>
          </w:p>
        </w:tc>
        <w:tc>
          <w:tcPr>
            <w:tcW w:w="1276" w:type="dxa"/>
            <w:noWrap/>
            <w:hideMark/>
          </w:tcPr>
          <w:p w14:paraId="638A6EEC"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2,900 </w:t>
            </w:r>
          </w:p>
        </w:tc>
        <w:tc>
          <w:tcPr>
            <w:tcW w:w="1275" w:type="dxa"/>
            <w:noWrap/>
            <w:hideMark/>
          </w:tcPr>
          <w:p w14:paraId="50CE36DD"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4.5%</w:t>
            </w:r>
          </w:p>
        </w:tc>
      </w:tr>
      <w:tr w:rsidR="009768CA" w:rsidRPr="009E7FFE" w14:paraId="7426827E"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492426BC" w14:textId="77777777" w:rsidR="009768CA" w:rsidRDefault="009768CA" w:rsidP="00811E9D">
            <w:pPr>
              <w:pStyle w:val="BodyText"/>
              <w:spacing w:after="120"/>
            </w:pPr>
            <w:r>
              <w:t>Public administration and defence; compulsory social security</w:t>
            </w:r>
          </w:p>
        </w:tc>
        <w:tc>
          <w:tcPr>
            <w:tcW w:w="1276" w:type="dxa"/>
            <w:noWrap/>
            <w:hideMark/>
          </w:tcPr>
          <w:p w14:paraId="0AEED09E"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2,400 </w:t>
            </w:r>
          </w:p>
        </w:tc>
        <w:tc>
          <w:tcPr>
            <w:tcW w:w="1275" w:type="dxa"/>
            <w:noWrap/>
            <w:hideMark/>
          </w:tcPr>
          <w:p w14:paraId="06C5FA78"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3.8%</w:t>
            </w:r>
          </w:p>
        </w:tc>
      </w:tr>
      <w:tr w:rsidR="009768CA" w:rsidRPr="009E7FFE" w14:paraId="3928524C"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0468FEC2" w14:textId="77777777" w:rsidR="009768CA" w:rsidRDefault="009768CA" w:rsidP="00811E9D">
            <w:pPr>
              <w:pStyle w:val="BodyText"/>
              <w:spacing w:after="120"/>
            </w:pPr>
            <w:r>
              <w:t>Real estate activities</w:t>
            </w:r>
          </w:p>
        </w:tc>
        <w:tc>
          <w:tcPr>
            <w:tcW w:w="1276" w:type="dxa"/>
            <w:noWrap/>
            <w:hideMark/>
          </w:tcPr>
          <w:p w14:paraId="4B020A01"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600 </w:t>
            </w:r>
          </w:p>
        </w:tc>
        <w:tc>
          <w:tcPr>
            <w:tcW w:w="1275" w:type="dxa"/>
            <w:noWrap/>
            <w:hideMark/>
          </w:tcPr>
          <w:p w14:paraId="2846A4AD"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0.9%</w:t>
            </w:r>
          </w:p>
        </w:tc>
      </w:tr>
      <w:tr w:rsidR="009768CA" w:rsidRPr="009E7FFE" w14:paraId="4E64EF0F"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5AE9F218" w14:textId="77777777" w:rsidR="009768CA" w:rsidRDefault="009768CA" w:rsidP="00811E9D">
            <w:pPr>
              <w:pStyle w:val="BodyText"/>
              <w:spacing w:after="120"/>
            </w:pPr>
            <w:r>
              <w:t>Transportation and storage</w:t>
            </w:r>
          </w:p>
        </w:tc>
        <w:tc>
          <w:tcPr>
            <w:tcW w:w="1276" w:type="dxa"/>
            <w:noWrap/>
            <w:hideMark/>
          </w:tcPr>
          <w:p w14:paraId="5BF95D4E"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5,100 </w:t>
            </w:r>
          </w:p>
        </w:tc>
        <w:tc>
          <w:tcPr>
            <w:tcW w:w="1275" w:type="dxa"/>
            <w:noWrap/>
            <w:hideMark/>
          </w:tcPr>
          <w:p w14:paraId="087D6A55"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7.8%</w:t>
            </w:r>
          </w:p>
        </w:tc>
      </w:tr>
      <w:tr w:rsidR="009768CA" w:rsidRPr="009E7FFE" w14:paraId="1B7BC3C2"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1133E46D" w14:textId="77777777" w:rsidR="009768CA" w:rsidRDefault="009768CA" w:rsidP="00811E9D">
            <w:pPr>
              <w:pStyle w:val="BodyText"/>
              <w:spacing w:after="120"/>
            </w:pPr>
            <w:r>
              <w:t>Water supply, sewerage, waste management and remediation activities</w:t>
            </w:r>
          </w:p>
        </w:tc>
        <w:tc>
          <w:tcPr>
            <w:tcW w:w="1276" w:type="dxa"/>
            <w:noWrap/>
            <w:hideMark/>
          </w:tcPr>
          <w:p w14:paraId="0ECED223"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500 </w:t>
            </w:r>
          </w:p>
        </w:tc>
        <w:tc>
          <w:tcPr>
            <w:tcW w:w="1275" w:type="dxa"/>
            <w:noWrap/>
            <w:hideMark/>
          </w:tcPr>
          <w:p w14:paraId="2F604675"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0.8%</w:t>
            </w:r>
          </w:p>
        </w:tc>
      </w:tr>
      <w:tr w:rsidR="009768CA" w:rsidRPr="009E7FFE" w14:paraId="7EB2586B"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7611A75D" w14:textId="77777777" w:rsidR="009768CA" w:rsidRDefault="009768CA" w:rsidP="00811E9D">
            <w:pPr>
              <w:pStyle w:val="BodyText"/>
              <w:spacing w:after="120"/>
            </w:pPr>
            <w:r>
              <w:t>Wholesale and retail trade; repair of motor vehicles and motorcycles</w:t>
            </w:r>
          </w:p>
        </w:tc>
        <w:tc>
          <w:tcPr>
            <w:tcW w:w="1276" w:type="dxa"/>
            <w:noWrap/>
            <w:hideMark/>
          </w:tcPr>
          <w:p w14:paraId="1E4E9C57"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 xml:space="preserve"> 10,900 </w:t>
            </w:r>
          </w:p>
        </w:tc>
        <w:tc>
          <w:tcPr>
            <w:tcW w:w="1275" w:type="dxa"/>
            <w:noWrap/>
            <w:hideMark/>
          </w:tcPr>
          <w:p w14:paraId="48D06B54" w14:textId="77777777" w:rsidR="009768CA" w:rsidRPr="007F076D"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r w:rsidRPr="007F076D">
              <w:t>16.9%</w:t>
            </w:r>
          </w:p>
        </w:tc>
      </w:tr>
      <w:tr w:rsidR="009768CA" w:rsidRPr="009E7FFE" w14:paraId="7F00EA87"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1AF6F816" w14:textId="77777777" w:rsidR="009768CA" w:rsidRPr="00A00683" w:rsidRDefault="009768CA" w:rsidP="00811E9D">
            <w:pPr>
              <w:pStyle w:val="BodyText"/>
              <w:spacing w:after="120"/>
              <w:rPr>
                <w:b/>
              </w:rPr>
            </w:pPr>
            <w:r w:rsidRPr="00A00683">
              <w:rPr>
                <w:b/>
              </w:rPr>
              <w:t>Total</w:t>
            </w:r>
          </w:p>
        </w:tc>
        <w:tc>
          <w:tcPr>
            <w:tcW w:w="1276" w:type="dxa"/>
            <w:noWrap/>
            <w:vAlign w:val="bottom"/>
            <w:hideMark/>
          </w:tcPr>
          <w:p w14:paraId="0F98172C" w14:textId="77777777" w:rsidR="009768CA" w:rsidRPr="00A00683"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rPr>
                <w:b/>
              </w:rPr>
            </w:pPr>
            <w:r w:rsidRPr="00A00683">
              <w:rPr>
                <w:b/>
              </w:rPr>
              <w:t xml:space="preserve">    64,500 </w:t>
            </w:r>
          </w:p>
        </w:tc>
        <w:tc>
          <w:tcPr>
            <w:tcW w:w="1275" w:type="dxa"/>
            <w:noWrap/>
            <w:vAlign w:val="bottom"/>
            <w:hideMark/>
          </w:tcPr>
          <w:p w14:paraId="58BDA8C8" w14:textId="77777777" w:rsidR="009768CA" w:rsidRPr="00A71A89" w:rsidRDefault="009768CA" w:rsidP="00811E9D">
            <w:pPr>
              <w:pStyle w:val="BodyText"/>
              <w:spacing w:after="120"/>
              <w:cnfStyle w:val="000000000000" w:firstRow="0" w:lastRow="0" w:firstColumn="0" w:lastColumn="0" w:oddVBand="0" w:evenVBand="0" w:oddHBand="0" w:evenHBand="0" w:firstRowFirstColumn="0" w:firstRowLastColumn="0" w:lastRowFirstColumn="0" w:lastRowLastColumn="0"/>
            </w:pPr>
          </w:p>
        </w:tc>
      </w:tr>
    </w:tbl>
    <w:p w14:paraId="61323022" w14:textId="77777777" w:rsidR="009768CA" w:rsidRDefault="009768CA" w:rsidP="009768CA">
      <w:pPr>
        <w:pStyle w:val="BodyText"/>
        <w:rPr>
          <w:sz w:val="18"/>
          <w:szCs w:val="18"/>
        </w:rPr>
      </w:pPr>
      <w:r w:rsidRPr="00A00683">
        <w:rPr>
          <w:sz w:val="18"/>
          <w:szCs w:val="18"/>
        </w:rPr>
        <w:t>Source: IDBR 2013</w:t>
      </w:r>
    </w:p>
    <w:p w14:paraId="5D6D6230" w14:textId="77777777" w:rsidR="009768CA" w:rsidRDefault="009768CA" w:rsidP="009768CA">
      <w:pPr>
        <w:pStyle w:val="BodyText"/>
      </w:pPr>
      <w:r>
        <w:t xml:space="preserve">The obvious starting point to explore the baseline scenario is to use the outputs of the Regional Econometric Model (REM) produced by the Regional Intelligence Unit (RIU) in June 2013. </w:t>
      </w:r>
      <w:r w:rsidRPr="00EF4FD6">
        <w:t>The REM forecast</w:t>
      </w:r>
      <w:r>
        <w:t>s disaggregate</w:t>
      </w:r>
      <w:r w:rsidRPr="00EF4FD6">
        <w:t xml:space="preserve"> the economy into 38 industrial sectors and include historical data from 1997 to 2011 with proj</w:t>
      </w:r>
      <w:r>
        <w:t>ections from 2012 to 2031 for North East</w:t>
      </w:r>
      <w:r w:rsidRPr="00EF4FD6">
        <w:t xml:space="preserve"> Lincolnshire.</w:t>
      </w:r>
      <w:r>
        <w:t xml:space="preserve"> As highlighted earlier, t</w:t>
      </w:r>
      <w:r w:rsidRPr="00EF4FD6">
        <w:t>he outputs</w:t>
      </w:r>
      <w:r>
        <w:t xml:space="preserve"> will be determined by historical trends as well as emerging changes to the national and regional economy.  Moreover, the projections will also be strongly influenced by the existing structure of the North East Lincolnshire economy.    In addition, it is important to highlight that the most recent employment inputs to the model were for 2011 when the regional and national economies remained deeply subdued under the influence of prolonged recession.  </w:t>
      </w:r>
    </w:p>
    <w:p w14:paraId="485CC379" w14:textId="77777777" w:rsidR="009768CA" w:rsidRDefault="009768CA" w:rsidP="009768CA">
      <w:pPr>
        <w:pStyle w:val="BodyText"/>
      </w:pPr>
      <w:r>
        <w:t xml:space="preserve">Consequently, it is not surprising that the model outputs indicate employment growth of just over 1,000 in a period just short of 20 years </w:t>
      </w:r>
      <w:r w:rsidRPr="00E909C9">
        <w:t xml:space="preserve">(see Table </w:t>
      </w:r>
      <w:r w:rsidR="00E909C9">
        <w:t>3.3</w:t>
      </w:r>
      <w:r>
        <w:t>).  Indeed, this is consistent with projections produced by Experian in 2013 using similar input data which indicated a net increase of approximately 1,300 jobs over the same period</w:t>
      </w:r>
      <w:r>
        <w:rPr>
          <w:rStyle w:val="FootnoteReference"/>
        </w:rPr>
        <w:footnoteReference w:id="1"/>
      </w:r>
      <w:r>
        <w:t>.</w:t>
      </w:r>
    </w:p>
    <w:p w14:paraId="29C3D259" w14:textId="77777777" w:rsidR="009768CA" w:rsidRDefault="009768CA" w:rsidP="009768CA">
      <w:pPr>
        <w:pStyle w:val="BodyText"/>
      </w:pPr>
      <w:r>
        <w:t>The REM model also projects a fairly pessimistic picture for the future of some key sectors in the local economy.  This includes projected decreases in employment in chemicals, wholesale, manufacturing activities and food.  However, land, transport and storage are projected to gain some growth in employment albeit modest.  Most employment growth is projected to be captured in service sector activities, particularly administrative and support services, professional services, health, social work and education.</w:t>
      </w:r>
    </w:p>
    <w:p w14:paraId="58696E8E" w14:textId="77777777" w:rsidR="009768CA" w:rsidRPr="000A0032" w:rsidRDefault="009768CA" w:rsidP="009768CA">
      <w:pPr>
        <w:pStyle w:val="BodyText"/>
      </w:pPr>
      <w:r>
        <w:t xml:space="preserve">Our conclusion is that the REM model is heavily skewed by the effects of recession and the existing economic and demographic structure of the North East Lincolnshire economy.  Moreover, they are now somewhat out of date and are unlikely to have captured much of the investment activity evident in the Borough over recent years.  Therefore, these projections do not reflect the substantial pipeline of potential investments planned for the area, or indeed, the likely impact of a successful economic development strategy.   In </w:t>
      </w:r>
      <w:r w:rsidRPr="00E909C9">
        <w:t xml:space="preserve">Table </w:t>
      </w:r>
      <w:r w:rsidR="00E909C9">
        <w:t>3.4</w:t>
      </w:r>
      <w:r>
        <w:t>, we set out our baseline position for the future of the local economy based on a business-as-usual scenario.  This indicates an increase in employment of approximately 4,400 (7%) in the period up to 2032.</w:t>
      </w:r>
    </w:p>
    <w:p w14:paraId="5FC32FB3" w14:textId="77777777" w:rsidR="009768CA" w:rsidRPr="001C5347" w:rsidRDefault="009768CA" w:rsidP="009768CA">
      <w:pPr>
        <w:pStyle w:val="BodyText"/>
      </w:pPr>
      <w:bookmarkStart w:id="262" w:name="_Toc394668606"/>
      <w:r w:rsidRPr="00187573">
        <w:rPr>
          <w:b/>
        </w:rPr>
        <w:t xml:space="preserve">Table </w:t>
      </w:r>
      <w:fldSimple w:instr=" STYLEREF 1 \s  \* MERGEFORMAT ">
        <w:r w:rsidR="00E909C9" w:rsidRPr="00E909C9">
          <w:rPr>
            <w:b/>
            <w:noProof/>
          </w:rPr>
          <w:t>3</w:t>
        </w:r>
      </w:fldSimple>
      <w:r w:rsidR="00E909C9" w:rsidRPr="000573A4">
        <w:rPr>
          <w:b/>
        </w:rPr>
        <w:t>-</w:t>
      </w:r>
      <w:fldSimple w:instr=" SEQ Table \* ARABIC \s 1  \* MERGEFORMAT ">
        <w:r w:rsidR="00E909C9" w:rsidRPr="00E909C9">
          <w:rPr>
            <w:b/>
            <w:noProof/>
          </w:rPr>
          <w:t>3</w:t>
        </w:r>
      </w:fldSimple>
      <w:r w:rsidR="00E909C9">
        <w:rPr>
          <w:b/>
        </w:rPr>
        <w:t xml:space="preserve">: </w:t>
      </w:r>
      <w:r>
        <w:rPr>
          <w:b/>
        </w:rPr>
        <w:t>Projected Employment Change 2011-2031 (REM)</w:t>
      </w:r>
      <w:bookmarkEnd w:id="262"/>
    </w:p>
    <w:tbl>
      <w:tblPr>
        <w:tblStyle w:val="Atkins14pt"/>
        <w:tblW w:w="6237" w:type="dxa"/>
        <w:tblLayout w:type="fixed"/>
        <w:tblLook w:val="04A0" w:firstRow="1" w:lastRow="0" w:firstColumn="1" w:lastColumn="0" w:noHBand="0" w:noVBand="1"/>
      </w:tblPr>
      <w:tblGrid>
        <w:gridCol w:w="4536"/>
        <w:gridCol w:w="1701"/>
      </w:tblGrid>
      <w:tr w:rsidR="009768CA" w:rsidRPr="009E7FFE" w14:paraId="36B65A6D" w14:textId="77777777" w:rsidTr="00811E9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4536" w:type="dxa"/>
            <w:noWrap/>
            <w:vAlign w:val="bottom"/>
            <w:hideMark/>
          </w:tcPr>
          <w:p w14:paraId="5E09D85E" w14:textId="77777777" w:rsidR="009768CA" w:rsidRDefault="009768CA" w:rsidP="00811E9D">
            <w:pPr>
              <w:pStyle w:val="BodyText"/>
            </w:pPr>
            <w:r>
              <w:t>Sector</w:t>
            </w:r>
          </w:p>
        </w:tc>
        <w:tc>
          <w:tcPr>
            <w:tcW w:w="1701" w:type="dxa"/>
            <w:noWrap/>
            <w:vAlign w:val="bottom"/>
            <w:hideMark/>
          </w:tcPr>
          <w:p w14:paraId="3ABE6F08" w14:textId="77777777" w:rsidR="009768CA" w:rsidRDefault="009768CA" w:rsidP="00811E9D">
            <w:pPr>
              <w:pStyle w:val="BodyText"/>
              <w:cnfStyle w:val="100000000000" w:firstRow="1" w:lastRow="0" w:firstColumn="0" w:lastColumn="0" w:oddVBand="0" w:evenVBand="0" w:oddHBand="0" w:evenHBand="0" w:firstRowFirstColumn="0" w:firstRowLastColumn="0" w:lastRowFirstColumn="0" w:lastRowLastColumn="0"/>
            </w:pPr>
            <w:r>
              <w:t>Jobs Change</w:t>
            </w:r>
          </w:p>
        </w:tc>
      </w:tr>
      <w:tr w:rsidR="009768CA" w:rsidRPr="009E7FFE" w14:paraId="56CD13EF"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0CB7DD3F" w14:textId="77777777" w:rsidR="009768CA" w:rsidRDefault="009768CA" w:rsidP="00811E9D">
            <w:pPr>
              <w:pStyle w:val="BodyText"/>
              <w:spacing w:after="60"/>
            </w:pPr>
            <w:r>
              <w:t>Accommodation and food service activities</w:t>
            </w:r>
          </w:p>
        </w:tc>
        <w:tc>
          <w:tcPr>
            <w:tcW w:w="1701" w:type="dxa"/>
            <w:noWrap/>
            <w:hideMark/>
          </w:tcPr>
          <w:p w14:paraId="04AF5E9B"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-105</w:t>
            </w:r>
          </w:p>
        </w:tc>
      </w:tr>
      <w:tr w:rsidR="009768CA" w:rsidRPr="009E7FFE" w14:paraId="00E746F0"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14829770" w14:textId="77777777" w:rsidR="009768CA" w:rsidRDefault="009768CA" w:rsidP="00811E9D">
            <w:pPr>
              <w:pStyle w:val="BodyText"/>
              <w:spacing w:after="60"/>
            </w:pPr>
            <w:r>
              <w:t>Administrative &amp; support service activities</w:t>
            </w:r>
          </w:p>
        </w:tc>
        <w:tc>
          <w:tcPr>
            <w:tcW w:w="1701" w:type="dxa"/>
            <w:noWrap/>
            <w:hideMark/>
          </w:tcPr>
          <w:p w14:paraId="70F84E78"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1,020</w:t>
            </w:r>
          </w:p>
        </w:tc>
      </w:tr>
      <w:tr w:rsidR="009768CA" w:rsidRPr="009E7FFE" w14:paraId="0C10A66F"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439903AF" w14:textId="77777777" w:rsidR="009768CA" w:rsidRDefault="009768CA" w:rsidP="00811E9D">
            <w:pPr>
              <w:pStyle w:val="BodyText"/>
              <w:spacing w:after="60"/>
            </w:pPr>
            <w:r>
              <w:t>Professional Services</w:t>
            </w:r>
          </w:p>
        </w:tc>
        <w:tc>
          <w:tcPr>
            <w:tcW w:w="1701" w:type="dxa"/>
            <w:noWrap/>
            <w:hideMark/>
          </w:tcPr>
          <w:p w14:paraId="602F27A4"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781</w:t>
            </w:r>
          </w:p>
        </w:tc>
      </w:tr>
      <w:tr w:rsidR="009768CA" w:rsidRPr="009E7FFE" w14:paraId="1683639C"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75CD9A5B" w14:textId="77777777" w:rsidR="009768CA" w:rsidRDefault="009768CA" w:rsidP="00811E9D">
            <w:pPr>
              <w:pStyle w:val="BodyText"/>
              <w:spacing w:after="60"/>
            </w:pPr>
            <w:r>
              <w:t>Land Transport, Storage &amp; Post</w:t>
            </w:r>
          </w:p>
        </w:tc>
        <w:tc>
          <w:tcPr>
            <w:tcW w:w="1701" w:type="dxa"/>
            <w:noWrap/>
            <w:hideMark/>
          </w:tcPr>
          <w:p w14:paraId="6BA79170"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590</w:t>
            </w:r>
          </w:p>
        </w:tc>
      </w:tr>
      <w:tr w:rsidR="009768CA" w:rsidRPr="009E7FFE" w14:paraId="1F4EA179"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49911D21" w14:textId="77777777" w:rsidR="009768CA" w:rsidRDefault="009768CA" w:rsidP="00811E9D">
            <w:pPr>
              <w:pStyle w:val="BodyText"/>
              <w:spacing w:after="60"/>
            </w:pPr>
            <w:r>
              <w:t>Health</w:t>
            </w:r>
          </w:p>
        </w:tc>
        <w:tc>
          <w:tcPr>
            <w:tcW w:w="1701" w:type="dxa"/>
            <w:noWrap/>
            <w:hideMark/>
          </w:tcPr>
          <w:p w14:paraId="5F176370"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537</w:t>
            </w:r>
          </w:p>
        </w:tc>
      </w:tr>
      <w:tr w:rsidR="009768CA" w:rsidRPr="009E7FFE" w14:paraId="1685E8BC"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26955402" w14:textId="77777777" w:rsidR="009768CA" w:rsidRDefault="009768CA" w:rsidP="00811E9D">
            <w:pPr>
              <w:pStyle w:val="BodyText"/>
              <w:spacing w:after="60"/>
            </w:pPr>
            <w:r>
              <w:t>Residential Care &amp; Social Work</w:t>
            </w:r>
          </w:p>
        </w:tc>
        <w:tc>
          <w:tcPr>
            <w:tcW w:w="1701" w:type="dxa"/>
            <w:noWrap/>
            <w:hideMark/>
          </w:tcPr>
          <w:p w14:paraId="49C49B48"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519</w:t>
            </w:r>
          </w:p>
        </w:tc>
      </w:tr>
      <w:tr w:rsidR="009768CA" w:rsidRPr="009E7FFE" w14:paraId="64F846CD"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2A3E2407" w14:textId="77777777" w:rsidR="009768CA" w:rsidRDefault="009768CA" w:rsidP="00811E9D">
            <w:pPr>
              <w:pStyle w:val="BodyText"/>
              <w:spacing w:after="60"/>
            </w:pPr>
            <w:r>
              <w:t>Education</w:t>
            </w:r>
          </w:p>
        </w:tc>
        <w:tc>
          <w:tcPr>
            <w:tcW w:w="1701" w:type="dxa"/>
            <w:noWrap/>
            <w:hideMark/>
          </w:tcPr>
          <w:p w14:paraId="2CF8EF12"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509</w:t>
            </w:r>
          </w:p>
        </w:tc>
      </w:tr>
      <w:tr w:rsidR="009768CA" w:rsidRPr="009E7FFE" w14:paraId="48B71DFD"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23C10855" w14:textId="77777777" w:rsidR="009768CA" w:rsidRDefault="009768CA" w:rsidP="00811E9D">
            <w:pPr>
              <w:pStyle w:val="BodyText"/>
              <w:spacing w:after="60"/>
            </w:pPr>
            <w:r>
              <w:t>Retail</w:t>
            </w:r>
          </w:p>
        </w:tc>
        <w:tc>
          <w:tcPr>
            <w:tcW w:w="1701" w:type="dxa"/>
            <w:noWrap/>
            <w:hideMark/>
          </w:tcPr>
          <w:p w14:paraId="3F6960E6"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114</w:t>
            </w:r>
          </w:p>
        </w:tc>
      </w:tr>
      <w:tr w:rsidR="009768CA" w:rsidRPr="009E7FFE" w14:paraId="7C61F60E"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340642DC" w14:textId="77777777" w:rsidR="009768CA" w:rsidRDefault="009768CA" w:rsidP="00811E9D">
            <w:pPr>
              <w:pStyle w:val="BodyText"/>
              <w:spacing w:after="60"/>
            </w:pPr>
            <w:r>
              <w:t>Computing &amp; Information Services</w:t>
            </w:r>
          </w:p>
        </w:tc>
        <w:tc>
          <w:tcPr>
            <w:tcW w:w="1701" w:type="dxa"/>
            <w:noWrap/>
            <w:hideMark/>
          </w:tcPr>
          <w:p w14:paraId="6F3FC47E"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43</w:t>
            </w:r>
          </w:p>
        </w:tc>
      </w:tr>
      <w:tr w:rsidR="009768CA" w:rsidRPr="009E7FFE" w14:paraId="2B9CCCDE"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552960A9" w14:textId="77777777" w:rsidR="009768CA" w:rsidRDefault="009768CA" w:rsidP="00811E9D">
            <w:pPr>
              <w:pStyle w:val="BodyText"/>
              <w:spacing w:after="60"/>
            </w:pPr>
            <w:r>
              <w:t>Construction of buildings</w:t>
            </w:r>
          </w:p>
        </w:tc>
        <w:tc>
          <w:tcPr>
            <w:tcW w:w="1701" w:type="dxa"/>
            <w:noWrap/>
            <w:hideMark/>
          </w:tcPr>
          <w:p w14:paraId="2F6E0AB0"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28</w:t>
            </w:r>
          </w:p>
        </w:tc>
      </w:tr>
      <w:tr w:rsidR="009768CA" w:rsidRPr="009E7FFE" w14:paraId="24A3A623"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396C2CB4" w14:textId="77777777" w:rsidR="009768CA" w:rsidRDefault="009768CA" w:rsidP="00811E9D">
            <w:pPr>
              <w:pStyle w:val="BodyText"/>
              <w:spacing w:after="60"/>
            </w:pPr>
            <w:r>
              <w:t>Chemicals</w:t>
            </w:r>
          </w:p>
        </w:tc>
        <w:tc>
          <w:tcPr>
            <w:tcW w:w="1701" w:type="dxa"/>
            <w:noWrap/>
            <w:hideMark/>
          </w:tcPr>
          <w:p w14:paraId="05FBB6E2"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-698</w:t>
            </w:r>
          </w:p>
        </w:tc>
      </w:tr>
      <w:tr w:rsidR="009768CA" w:rsidRPr="009E7FFE" w14:paraId="75F7CFF0"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352962BC" w14:textId="77777777" w:rsidR="009768CA" w:rsidRDefault="009768CA" w:rsidP="00811E9D">
            <w:pPr>
              <w:pStyle w:val="BodyText"/>
              <w:spacing w:after="60"/>
            </w:pPr>
            <w:r>
              <w:t>Food, Drink &amp; Tobacco</w:t>
            </w:r>
          </w:p>
        </w:tc>
        <w:tc>
          <w:tcPr>
            <w:tcW w:w="1701" w:type="dxa"/>
            <w:noWrap/>
            <w:hideMark/>
          </w:tcPr>
          <w:p w14:paraId="0FBD8DDB"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-478</w:t>
            </w:r>
          </w:p>
        </w:tc>
      </w:tr>
      <w:tr w:rsidR="009768CA" w:rsidRPr="009E7FFE" w14:paraId="5227BA1B"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3EF13208" w14:textId="77777777" w:rsidR="009768CA" w:rsidRDefault="009768CA" w:rsidP="00811E9D">
            <w:pPr>
              <w:pStyle w:val="BodyText"/>
              <w:spacing w:after="60"/>
            </w:pPr>
            <w:r>
              <w:t>Public Administration &amp; Defence</w:t>
            </w:r>
          </w:p>
        </w:tc>
        <w:tc>
          <w:tcPr>
            <w:tcW w:w="1701" w:type="dxa"/>
            <w:noWrap/>
            <w:hideMark/>
          </w:tcPr>
          <w:p w14:paraId="461942E2"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-380</w:t>
            </w:r>
          </w:p>
        </w:tc>
      </w:tr>
      <w:tr w:rsidR="009768CA" w:rsidRPr="009E7FFE" w14:paraId="51192368"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591B8E20" w14:textId="77777777" w:rsidR="009768CA" w:rsidRDefault="009768CA" w:rsidP="00811E9D">
            <w:pPr>
              <w:pStyle w:val="BodyText"/>
              <w:spacing w:after="60"/>
            </w:pPr>
            <w:r>
              <w:t>Wholesale</w:t>
            </w:r>
          </w:p>
        </w:tc>
        <w:tc>
          <w:tcPr>
            <w:tcW w:w="1701" w:type="dxa"/>
            <w:noWrap/>
            <w:hideMark/>
          </w:tcPr>
          <w:p w14:paraId="1128462F"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-238</w:t>
            </w:r>
          </w:p>
        </w:tc>
      </w:tr>
      <w:tr w:rsidR="009768CA" w:rsidRPr="009E7FFE" w14:paraId="5852099E"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4C703EAC" w14:textId="77777777" w:rsidR="009768CA" w:rsidRDefault="009768CA" w:rsidP="00811E9D">
            <w:pPr>
              <w:pStyle w:val="BodyText"/>
              <w:spacing w:after="60"/>
            </w:pPr>
            <w:r>
              <w:t>Machinery &amp; Equipment</w:t>
            </w:r>
          </w:p>
        </w:tc>
        <w:tc>
          <w:tcPr>
            <w:tcW w:w="1701" w:type="dxa"/>
            <w:noWrap/>
            <w:hideMark/>
          </w:tcPr>
          <w:p w14:paraId="092129EC"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-207</w:t>
            </w:r>
          </w:p>
        </w:tc>
      </w:tr>
      <w:tr w:rsidR="009768CA" w:rsidRPr="009E7FFE" w14:paraId="64D85F2B"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5E47C5CB" w14:textId="77777777" w:rsidR="009768CA" w:rsidRDefault="009768CA" w:rsidP="00811E9D">
            <w:pPr>
              <w:pStyle w:val="BodyText"/>
              <w:spacing w:after="60"/>
            </w:pPr>
            <w:r>
              <w:t>Metal Products</w:t>
            </w:r>
          </w:p>
        </w:tc>
        <w:tc>
          <w:tcPr>
            <w:tcW w:w="1701" w:type="dxa"/>
            <w:noWrap/>
            <w:hideMark/>
          </w:tcPr>
          <w:p w14:paraId="027BDCF5"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-179</w:t>
            </w:r>
          </w:p>
        </w:tc>
      </w:tr>
      <w:tr w:rsidR="009768CA" w:rsidRPr="009E7FFE" w14:paraId="5F5ED3D2"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5BC7EF5B" w14:textId="77777777" w:rsidR="009768CA" w:rsidRDefault="009768CA" w:rsidP="00811E9D">
            <w:pPr>
              <w:pStyle w:val="BodyText"/>
              <w:spacing w:after="60"/>
            </w:pPr>
            <w:r>
              <w:t>Textiles</w:t>
            </w:r>
          </w:p>
        </w:tc>
        <w:tc>
          <w:tcPr>
            <w:tcW w:w="1701" w:type="dxa"/>
            <w:noWrap/>
            <w:hideMark/>
          </w:tcPr>
          <w:p w14:paraId="203654C5"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-138</w:t>
            </w:r>
          </w:p>
        </w:tc>
      </w:tr>
      <w:tr w:rsidR="009768CA" w:rsidRPr="009E7FFE" w14:paraId="7567C274"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53F0F95A" w14:textId="77777777" w:rsidR="009768CA" w:rsidRDefault="009768CA" w:rsidP="00811E9D">
            <w:pPr>
              <w:pStyle w:val="BodyText"/>
              <w:spacing w:after="60"/>
            </w:pPr>
            <w:r>
              <w:t>Agriculture, Forestry &amp; Fishing</w:t>
            </w:r>
          </w:p>
        </w:tc>
        <w:tc>
          <w:tcPr>
            <w:tcW w:w="1701" w:type="dxa"/>
            <w:noWrap/>
            <w:hideMark/>
          </w:tcPr>
          <w:p w14:paraId="5E9AD845"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-117</w:t>
            </w:r>
          </w:p>
        </w:tc>
      </w:tr>
      <w:tr w:rsidR="009768CA" w:rsidRPr="009E7FFE" w14:paraId="190A7D26"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289BD1DB" w14:textId="77777777" w:rsidR="009768CA" w:rsidRDefault="009768CA" w:rsidP="00811E9D">
            <w:pPr>
              <w:pStyle w:val="BodyText"/>
              <w:spacing w:after="60"/>
            </w:pPr>
            <w:r>
              <w:t>Accommodation &amp; Food Services</w:t>
            </w:r>
          </w:p>
        </w:tc>
        <w:tc>
          <w:tcPr>
            <w:tcW w:w="1701" w:type="dxa"/>
            <w:noWrap/>
            <w:hideMark/>
          </w:tcPr>
          <w:p w14:paraId="7CCE7FD1" w14:textId="77777777" w:rsidR="009768CA" w:rsidRPr="007F076D"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pPr>
            <w:r>
              <w:t>-105</w:t>
            </w:r>
          </w:p>
        </w:tc>
      </w:tr>
      <w:tr w:rsidR="009768CA" w:rsidRPr="009E7FFE" w14:paraId="5288A6B9"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536" w:type="dxa"/>
            <w:noWrap/>
            <w:vAlign w:val="bottom"/>
            <w:hideMark/>
          </w:tcPr>
          <w:p w14:paraId="426FD6F9" w14:textId="77777777" w:rsidR="009768CA" w:rsidRPr="00A00683" w:rsidRDefault="009768CA" w:rsidP="00811E9D">
            <w:pPr>
              <w:pStyle w:val="BodyText"/>
              <w:spacing w:after="60"/>
              <w:rPr>
                <w:b/>
              </w:rPr>
            </w:pPr>
            <w:r w:rsidRPr="00A00683">
              <w:rPr>
                <w:b/>
              </w:rPr>
              <w:t>Total</w:t>
            </w:r>
          </w:p>
        </w:tc>
        <w:tc>
          <w:tcPr>
            <w:tcW w:w="1701" w:type="dxa"/>
            <w:noWrap/>
            <w:vAlign w:val="bottom"/>
            <w:hideMark/>
          </w:tcPr>
          <w:p w14:paraId="5796E2D3" w14:textId="77777777" w:rsidR="009768CA" w:rsidRPr="00A00683" w:rsidRDefault="009768CA" w:rsidP="00811E9D">
            <w:pPr>
              <w:pStyle w:val="BodyText"/>
              <w:spacing w:after="60"/>
              <w:cnfStyle w:val="000000000000" w:firstRow="0" w:lastRow="0" w:firstColumn="0" w:lastColumn="0" w:oddVBand="0" w:evenVBand="0" w:oddHBand="0" w:evenHBand="0" w:firstRowFirstColumn="0" w:firstRowLastColumn="0" w:lastRowFirstColumn="0" w:lastRowLastColumn="0"/>
              <w:rPr>
                <w:b/>
              </w:rPr>
            </w:pPr>
            <w:r>
              <w:rPr>
                <w:b/>
              </w:rPr>
              <w:t>+1,032</w:t>
            </w:r>
          </w:p>
        </w:tc>
      </w:tr>
    </w:tbl>
    <w:p w14:paraId="5F70DA87" w14:textId="77777777" w:rsidR="009768CA" w:rsidRPr="00A00683" w:rsidRDefault="009768CA" w:rsidP="009768CA">
      <w:pPr>
        <w:pStyle w:val="BodyText"/>
        <w:rPr>
          <w:sz w:val="18"/>
          <w:szCs w:val="18"/>
        </w:rPr>
      </w:pPr>
      <w:r w:rsidRPr="00A00683">
        <w:rPr>
          <w:sz w:val="18"/>
          <w:szCs w:val="18"/>
        </w:rPr>
        <w:t xml:space="preserve">Source: </w:t>
      </w:r>
      <w:r>
        <w:rPr>
          <w:sz w:val="18"/>
          <w:szCs w:val="18"/>
        </w:rPr>
        <w:t>REM, 2013</w:t>
      </w:r>
    </w:p>
    <w:p w14:paraId="077C4649" w14:textId="77777777" w:rsidR="00E909C9" w:rsidRDefault="00E909C9">
      <w:pPr>
        <w:jc w:val="left"/>
        <w:rPr>
          <w:rFonts w:ascii="Arial" w:hAnsi="Arial"/>
          <w:b/>
          <w:color w:val="394A58"/>
          <w:sz w:val="20"/>
        </w:rPr>
      </w:pPr>
      <w:r>
        <w:rPr>
          <w:b/>
        </w:rPr>
        <w:br w:type="page"/>
      </w:r>
    </w:p>
    <w:p w14:paraId="45A11ECF" w14:textId="77777777" w:rsidR="009768CA" w:rsidRPr="001C5347" w:rsidRDefault="009768CA" w:rsidP="009768CA">
      <w:pPr>
        <w:pStyle w:val="BodyText"/>
      </w:pPr>
      <w:bookmarkStart w:id="263" w:name="_Toc394668607"/>
      <w:r w:rsidRPr="00187573">
        <w:rPr>
          <w:b/>
        </w:rPr>
        <w:t xml:space="preserve">Table </w:t>
      </w:r>
      <w:fldSimple w:instr=" STYLEREF 1 \s  \* MERGEFORMAT ">
        <w:r w:rsidR="00E909C9" w:rsidRPr="00E909C9">
          <w:rPr>
            <w:b/>
            <w:noProof/>
          </w:rPr>
          <w:t>3</w:t>
        </w:r>
      </w:fldSimple>
      <w:r w:rsidR="00E909C9" w:rsidRPr="000573A4">
        <w:rPr>
          <w:b/>
        </w:rPr>
        <w:t>-</w:t>
      </w:r>
      <w:fldSimple w:instr=" SEQ Table \* ARABIC \s 1  \* MERGEFORMAT ">
        <w:r w:rsidR="00E909C9" w:rsidRPr="00E909C9">
          <w:rPr>
            <w:b/>
            <w:noProof/>
          </w:rPr>
          <w:t>4</w:t>
        </w:r>
      </w:fldSimple>
      <w:r w:rsidR="00E909C9">
        <w:t xml:space="preserve">: </w:t>
      </w:r>
      <w:r w:rsidR="00E909C9">
        <w:rPr>
          <w:b/>
        </w:rPr>
        <w:t xml:space="preserve"> </w:t>
      </w:r>
      <w:r>
        <w:rPr>
          <w:b/>
        </w:rPr>
        <w:t>Employment Forecast:  Atkins Baseline Scenario</w:t>
      </w:r>
      <w:bookmarkEnd w:id="263"/>
    </w:p>
    <w:tbl>
      <w:tblPr>
        <w:tblStyle w:val="Atkins14pt"/>
        <w:tblW w:w="9641" w:type="dxa"/>
        <w:tblLayout w:type="fixed"/>
        <w:tblLook w:val="04A0" w:firstRow="1" w:lastRow="0" w:firstColumn="1" w:lastColumn="0" w:noHBand="0" w:noVBand="1"/>
      </w:tblPr>
      <w:tblGrid>
        <w:gridCol w:w="4207"/>
        <w:gridCol w:w="1359"/>
        <w:gridCol w:w="1359"/>
        <w:gridCol w:w="1358"/>
        <w:gridCol w:w="1358"/>
      </w:tblGrid>
      <w:tr w:rsidR="009768CA" w:rsidRPr="009E7FFE" w14:paraId="09CABE74" w14:textId="77777777" w:rsidTr="00811E9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4207" w:type="dxa"/>
            <w:noWrap/>
            <w:vAlign w:val="bottom"/>
            <w:hideMark/>
          </w:tcPr>
          <w:p w14:paraId="5127BF31" w14:textId="77777777" w:rsidR="009768CA" w:rsidRDefault="009768CA" w:rsidP="00811E9D">
            <w:pPr>
              <w:pStyle w:val="BodyText"/>
            </w:pPr>
            <w:r>
              <w:t>Sector</w:t>
            </w:r>
          </w:p>
        </w:tc>
        <w:tc>
          <w:tcPr>
            <w:tcW w:w="1359" w:type="dxa"/>
            <w:noWrap/>
            <w:vAlign w:val="bottom"/>
            <w:hideMark/>
          </w:tcPr>
          <w:p w14:paraId="7CDEAC64"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2013</w:t>
            </w:r>
          </w:p>
        </w:tc>
        <w:tc>
          <w:tcPr>
            <w:tcW w:w="1359" w:type="dxa"/>
            <w:noWrap/>
            <w:vAlign w:val="bottom"/>
            <w:hideMark/>
          </w:tcPr>
          <w:p w14:paraId="05886042" w14:textId="77777777" w:rsidR="009768CA" w:rsidRPr="00662F13"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rPr>
                <w:color w:val="394A58" w:themeColor="text2"/>
              </w:rPr>
            </w:pPr>
            <w:r w:rsidRPr="00662F13">
              <w:rPr>
                <w:color w:val="394A58" w:themeColor="text2"/>
              </w:rPr>
              <w:t>2032</w:t>
            </w:r>
          </w:p>
        </w:tc>
        <w:tc>
          <w:tcPr>
            <w:tcW w:w="1358" w:type="dxa"/>
          </w:tcPr>
          <w:p w14:paraId="5BE1750E" w14:textId="77777777" w:rsidR="009768CA" w:rsidRPr="00662F13"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rPr>
                <w:color w:val="394A58" w:themeColor="text2"/>
              </w:rPr>
            </w:pPr>
            <w:r w:rsidRPr="00662F13">
              <w:rPr>
                <w:color w:val="394A58" w:themeColor="text2"/>
              </w:rPr>
              <w:t>Change</w:t>
            </w:r>
          </w:p>
        </w:tc>
        <w:tc>
          <w:tcPr>
            <w:tcW w:w="1358" w:type="dxa"/>
          </w:tcPr>
          <w:p w14:paraId="735472F3" w14:textId="77777777" w:rsidR="009768CA" w:rsidRPr="00662F13"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rPr>
                <w:color w:val="394A58" w:themeColor="text2"/>
              </w:rPr>
            </w:pPr>
            <w:r w:rsidRPr="00662F13">
              <w:rPr>
                <w:color w:val="394A58" w:themeColor="text2"/>
              </w:rPr>
              <w:t>% Change</w:t>
            </w:r>
          </w:p>
        </w:tc>
      </w:tr>
      <w:tr w:rsidR="009768CA" w:rsidRPr="009E7FFE" w14:paraId="43BE4DD4"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41F92A74" w14:textId="77777777" w:rsidR="009768CA" w:rsidRDefault="009768CA" w:rsidP="00811E9D">
            <w:pPr>
              <w:pStyle w:val="BodyText"/>
              <w:spacing w:after="120"/>
            </w:pPr>
            <w:r>
              <w:t>Accommodation and food service activities</w:t>
            </w:r>
          </w:p>
        </w:tc>
        <w:tc>
          <w:tcPr>
            <w:tcW w:w="1359" w:type="dxa"/>
            <w:noWrap/>
            <w:vAlign w:val="bottom"/>
            <w:hideMark/>
          </w:tcPr>
          <w:p w14:paraId="0EDE7478"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3,400</w:t>
            </w:r>
          </w:p>
        </w:tc>
        <w:tc>
          <w:tcPr>
            <w:tcW w:w="1359" w:type="dxa"/>
            <w:noWrap/>
            <w:vAlign w:val="bottom"/>
            <w:hideMark/>
          </w:tcPr>
          <w:p w14:paraId="0726C849"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4,015</w:t>
            </w:r>
          </w:p>
        </w:tc>
        <w:tc>
          <w:tcPr>
            <w:tcW w:w="1358" w:type="dxa"/>
            <w:vAlign w:val="bottom"/>
          </w:tcPr>
          <w:p w14:paraId="75DE3DD5"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615</w:t>
            </w:r>
          </w:p>
        </w:tc>
        <w:tc>
          <w:tcPr>
            <w:tcW w:w="1358" w:type="dxa"/>
            <w:vAlign w:val="bottom"/>
          </w:tcPr>
          <w:p w14:paraId="69F6FFC0"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18.1%</w:t>
            </w:r>
          </w:p>
        </w:tc>
      </w:tr>
      <w:tr w:rsidR="009768CA" w:rsidRPr="009E7FFE" w14:paraId="6D6A205C"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76BC9920" w14:textId="77777777" w:rsidR="009768CA" w:rsidRDefault="009768CA" w:rsidP="00811E9D">
            <w:pPr>
              <w:pStyle w:val="BodyText"/>
              <w:spacing w:after="120"/>
            </w:pPr>
            <w:r>
              <w:t>Administrative and support service activities</w:t>
            </w:r>
          </w:p>
        </w:tc>
        <w:tc>
          <w:tcPr>
            <w:tcW w:w="1359" w:type="dxa"/>
            <w:noWrap/>
            <w:vAlign w:val="bottom"/>
            <w:hideMark/>
          </w:tcPr>
          <w:p w14:paraId="3C4B5C08"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6,000</w:t>
            </w:r>
          </w:p>
        </w:tc>
        <w:tc>
          <w:tcPr>
            <w:tcW w:w="1359" w:type="dxa"/>
            <w:noWrap/>
            <w:vAlign w:val="bottom"/>
            <w:hideMark/>
          </w:tcPr>
          <w:p w14:paraId="32167F0A"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6,662</w:t>
            </w:r>
          </w:p>
        </w:tc>
        <w:tc>
          <w:tcPr>
            <w:tcW w:w="1358" w:type="dxa"/>
            <w:vAlign w:val="bottom"/>
          </w:tcPr>
          <w:p w14:paraId="24147E32"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662</w:t>
            </w:r>
          </w:p>
        </w:tc>
        <w:tc>
          <w:tcPr>
            <w:tcW w:w="1358" w:type="dxa"/>
            <w:vAlign w:val="bottom"/>
          </w:tcPr>
          <w:p w14:paraId="413A1CA8"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11.0%</w:t>
            </w:r>
          </w:p>
        </w:tc>
      </w:tr>
      <w:tr w:rsidR="009768CA" w:rsidRPr="009E7FFE" w14:paraId="0BFDA13F"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1B6866A1" w14:textId="77777777" w:rsidR="009768CA" w:rsidRDefault="009768CA" w:rsidP="00811E9D">
            <w:pPr>
              <w:pStyle w:val="BodyText"/>
              <w:spacing w:after="120"/>
            </w:pPr>
            <w:r>
              <w:t>Agriculture, Forestry and Fishing</w:t>
            </w:r>
          </w:p>
        </w:tc>
        <w:tc>
          <w:tcPr>
            <w:tcW w:w="1359" w:type="dxa"/>
            <w:noWrap/>
            <w:vAlign w:val="bottom"/>
            <w:hideMark/>
          </w:tcPr>
          <w:p w14:paraId="0F35F60C"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100</w:t>
            </w:r>
          </w:p>
        </w:tc>
        <w:tc>
          <w:tcPr>
            <w:tcW w:w="1359" w:type="dxa"/>
            <w:noWrap/>
            <w:vAlign w:val="bottom"/>
            <w:hideMark/>
          </w:tcPr>
          <w:p w14:paraId="242CEFBF"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100</w:t>
            </w:r>
          </w:p>
        </w:tc>
        <w:tc>
          <w:tcPr>
            <w:tcW w:w="1358" w:type="dxa"/>
            <w:vAlign w:val="bottom"/>
          </w:tcPr>
          <w:p w14:paraId="6AF62D81"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0</w:t>
            </w:r>
          </w:p>
        </w:tc>
        <w:tc>
          <w:tcPr>
            <w:tcW w:w="1358" w:type="dxa"/>
            <w:vAlign w:val="bottom"/>
          </w:tcPr>
          <w:p w14:paraId="013C93C5"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0.0%</w:t>
            </w:r>
          </w:p>
        </w:tc>
      </w:tr>
      <w:tr w:rsidR="009768CA" w:rsidRPr="009E7FFE" w14:paraId="0185C74C"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1C1F959A" w14:textId="77777777" w:rsidR="009768CA" w:rsidRDefault="009768CA" w:rsidP="00811E9D">
            <w:pPr>
              <w:pStyle w:val="BodyText"/>
              <w:spacing w:after="120"/>
            </w:pPr>
            <w:r>
              <w:t xml:space="preserve">Arts, entertainment and recreation </w:t>
            </w:r>
          </w:p>
        </w:tc>
        <w:tc>
          <w:tcPr>
            <w:tcW w:w="1359" w:type="dxa"/>
            <w:noWrap/>
            <w:vAlign w:val="bottom"/>
            <w:hideMark/>
          </w:tcPr>
          <w:p w14:paraId="02BAFE44"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1,500</w:t>
            </w:r>
          </w:p>
        </w:tc>
        <w:tc>
          <w:tcPr>
            <w:tcW w:w="1359" w:type="dxa"/>
            <w:noWrap/>
            <w:vAlign w:val="bottom"/>
            <w:hideMark/>
          </w:tcPr>
          <w:p w14:paraId="5AB93335"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1,621</w:t>
            </w:r>
          </w:p>
        </w:tc>
        <w:tc>
          <w:tcPr>
            <w:tcW w:w="1358" w:type="dxa"/>
            <w:vAlign w:val="bottom"/>
          </w:tcPr>
          <w:p w14:paraId="0DEE58CE"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121</w:t>
            </w:r>
          </w:p>
        </w:tc>
        <w:tc>
          <w:tcPr>
            <w:tcW w:w="1358" w:type="dxa"/>
            <w:vAlign w:val="bottom"/>
          </w:tcPr>
          <w:p w14:paraId="0BD18FC9"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8.1%</w:t>
            </w:r>
          </w:p>
        </w:tc>
      </w:tr>
      <w:tr w:rsidR="009768CA" w:rsidRPr="009E7FFE" w14:paraId="4FCDB86D"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043B67B5" w14:textId="77777777" w:rsidR="009768CA" w:rsidRDefault="009768CA" w:rsidP="00811E9D">
            <w:pPr>
              <w:pStyle w:val="BodyText"/>
              <w:spacing w:after="120"/>
            </w:pPr>
            <w:r>
              <w:t xml:space="preserve">Construction </w:t>
            </w:r>
          </w:p>
        </w:tc>
        <w:tc>
          <w:tcPr>
            <w:tcW w:w="1359" w:type="dxa"/>
            <w:noWrap/>
            <w:vAlign w:val="bottom"/>
            <w:hideMark/>
          </w:tcPr>
          <w:p w14:paraId="76064DF6"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2,400</w:t>
            </w:r>
          </w:p>
        </w:tc>
        <w:tc>
          <w:tcPr>
            <w:tcW w:w="1359" w:type="dxa"/>
            <w:noWrap/>
            <w:vAlign w:val="bottom"/>
            <w:hideMark/>
          </w:tcPr>
          <w:p w14:paraId="6AE9DF71"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2,971</w:t>
            </w:r>
          </w:p>
        </w:tc>
        <w:tc>
          <w:tcPr>
            <w:tcW w:w="1358" w:type="dxa"/>
            <w:vAlign w:val="bottom"/>
          </w:tcPr>
          <w:p w14:paraId="292DE36B"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571</w:t>
            </w:r>
          </w:p>
        </w:tc>
        <w:tc>
          <w:tcPr>
            <w:tcW w:w="1358" w:type="dxa"/>
            <w:vAlign w:val="bottom"/>
          </w:tcPr>
          <w:p w14:paraId="607A52F7"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23.8%</w:t>
            </w:r>
          </w:p>
        </w:tc>
      </w:tr>
      <w:tr w:rsidR="009768CA" w:rsidRPr="009E7FFE" w14:paraId="2325E842"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2229209D" w14:textId="77777777" w:rsidR="009768CA" w:rsidRDefault="009768CA" w:rsidP="00811E9D">
            <w:pPr>
              <w:pStyle w:val="BodyText"/>
              <w:spacing w:after="120"/>
            </w:pPr>
            <w:r>
              <w:t>Education</w:t>
            </w:r>
          </w:p>
        </w:tc>
        <w:tc>
          <w:tcPr>
            <w:tcW w:w="1359" w:type="dxa"/>
            <w:noWrap/>
            <w:vAlign w:val="bottom"/>
            <w:hideMark/>
          </w:tcPr>
          <w:p w14:paraId="1ED4F9E8"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6,300</w:t>
            </w:r>
          </w:p>
        </w:tc>
        <w:tc>
          <w:tcPr>
            <w:tcW w:w="1359" w:type="dxa"/>
            <w:noWrap/>
            <w:vAlign w:val="bottom"/>
            <w:hideMark/>
          </w:tcPr>
          <w:p w14:paraId="6B840F12"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6,696</w:t>
            </w:r>
          </w:p>
        </w:tc>
        <w:tc>
          <w:tcPr>
            <w:tcW w:w="1358" w:type="dxa"/>
            <w:vAlign w:val="bottom"/>
          </w:tcPr>
          <w:p w14:paraId="444324EB"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396</w:t>
            </w:r>
          </w:p>
        </w:tc>
        <w:tc>
          <w:tcPr>
            <w:tcW w:w="1358" w:type="dxa"/>
            <w:vAlign w:val="bottom"/>
          </w:tcPr>
          <w:p w14:paraId="5EEC1D1E"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6.3%</w:t>
            </w:r>
          </w:p>
        </w:tc>
      </w:tr>
      <w:tr w:rsidR="009768CA" w:rsidRPr="009E7FFE" w14:paraId="3C43C60A"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004BF616" w14:textId="77777777" w:rsidR="009768CA" w:rsidRDefault="009768CA" w:rsidP="00811E9D">
            <w:pPr>
              <w:pStyle w:val="BodyText"/>
              <w:spacing w:after="120"/>
            </w:pPr>
            <w:r>
              <w:t>Electricity, gas, steam and air conditioning supply</w:t>
            </w:r>
          </w:p>
        </w:tc>
        <w:tc>
          <w:tcPr>
            <w:tcW w:w="1359" w:type="dxa"/>
            <w:noWrap/>
            <w:vAlign w:val="bottom"/>
            <w:hideMark/>
          </w:tcPr>
          <w:p w14:paraId="7D2C4FC1"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300</w:t>
            </w:r>
          </w:p>
        </w:tc>
        <w:tc>
          <w:tcPr>
            <w:tcW w:w="1359" w:type="dxa"/>
            <w:noWrap/>
            <w:vAlign w:val="bottom"/>
            <w:hideMark/>
          </w:tcPr>
          <w:p w14:paraId="27FC8DEF"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300</w:t>
            </w:r>
          </w:p>
        </w:tc>
        <w:tc>
          <w:tcPr>
            <w:tcW w:w="1358" w:type="dxa"/>
            <w:vAlign w:val="bottom"/>
          </w:tcPr>
          <w:p w14:paraId="1EDDE491"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0</w:t>
            </w:r>
          </w:p>
        </w:tc>
        <w:tc>
          <w:tcPr>
            <w:tcW w:w="1358" w:type="dxa"/>
            <w:vAlign w:val="bottom"/>
          </w:tcPr>
          <w:p w14:paraId="419640E1"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0.0%</w:t>
            </w:r>
          </w:p>
        </w:tc>
      </w:tr>
      <w:tr w:rsidR="009768CA" w:rsidRPr="009E7FFE" w14:paraId="702327E9"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0F11405B" w14:textId="77777777" w:rsidR="009768CA" w:rsidRDefault="009768CA" w:rsidP="00811E9D">
            <w:pPr>
              <w:pStyle w:val="BodyText"/>
              <w:spacing w:after="120"/>
            </w:pPr>
            <w:r>
              <w:t>Financial and insurance activities</w:t>
            </w:r>
          </w:p>
        </w:tc>
        <w:tc>
          <w:tcPr>
            <w:tcW w:w="1359" w:type="dxa"/>
            <w:noWrap/>
            <w:vAlign w:val="bottom"/>
            <w:hideMark/>
          </w:tcPr>
          <w:p w14:paraId="23DEAAEB"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800</w:t>
            </w:r>
          </w:p>
        </w:tc>
        <w:tc>
          <w:tcPr>
            <w:tcW w:w="1359" w:type="dxa"/>
            <w:noWrap/>
            <w:vAlign w:val="bottom"/>
            <w:hideMark/>
          </w:tcPr>
          <w:p w14:paraId="304FB444"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999</w:t>
            </w:r>
          </w:p>
        </w:tc>
        <w:tc>
          <w:tcPr>
            <w:tcW w:w="1358" w:type="dxa"/>
            <w:vAlign w:val="bottom"/>
          </w:tcPr>
          <w:p w14:paraId="7CC365B2"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199</w:t>
            </w:r>
          </w:p>
        </w:tc>
        <w:tc>
          <w:tcPr>
            <w:tcW w:w="1358" w:type="dxa"/>
            <w:vAlign w:val="bottom"/>
          </w:tcPr>
          <w:p w14:paraId="6F216B6D"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24.9%</w:t>
            </w:r>
          </w:p>
        </w:tc>
      </w:tr>
      <w:tr w:rsidR="009768CA" w:rsidRPr="009E7FFE" w14:paraId="21C0BFFA"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0FBF0477" w14:textId="77777777" w:rsidR="009768CA" w:rsidRDefault="009768CA" w:rsidP="00811E9D">
            <w:pPr>
              <w:pStyle w:val="BodyText"/>
              <w:spacing w:after="120"/>
            </w:pPr>
            <w:r>
              <w:t>Human health and social work activities</w:t>
            </w:r>
          </w:p>
        </w:tc>
        <w:tc>
          <w:tcPr>
            <w:tcW w:w="1359" w:type="dxa"/>
            <w:noWrap/>
            <w:vAlign w:val="bottom"/>
            <w:hideMark/>
          </w:tcPr>
          <w:p w14:paraId="2E1B1595"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10,300</w:t>
            </w:r>
          </w:p>
        </w:tc>
        <w:tc>
          <w:tcPr>
            <w:tcW w:w="1359" w:type="dxa"/>
            <w:noWrap/>
            <w:vAlign w:val="bottom"/>
            <w:hideMark/>
          </w:tcPr>
          <w:p w14:paraId="6017D27D"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10,806</w:t>
            </w:r>
          </w:p>
        </w:tc>
        <w:tc>
          <w:tcPr>
            <w:tcW w:w="1358" w:type="dxa"/>
            <w:vAlign w:val="bottom"/>
          </w:tcPr>
          <w:p w14:paraId="0CF2EBB1"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506</w:t>
            </w:r>
          </w:p>
        </w:tc>
        <w:tc>
          <w:tcPr>
            <w:tcW w:w="1358" w:type="dxa"/>
            <w:vAlign w:val="bottom"/>
          </w:tcPr>
          <w:p w14:paraId="5E489674"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4.9%</w:t>
            </w:r>
          </w:p>
        </w:tc>
      </w:tr>
      <w:tr w:rsidR="009768CA" w:rsidRPr="009E7FFE" w14:paraId="2BF07E51"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7A919982" w14:textId="77777777" w:rsidR="009768CA" w:rsidRDefault="009768CA" w:rsidP="00811E9D">
            <w:pPr>
              <w:pStyle w:val="BodyText"/>
              <w:spacing w:after="120"/>
            </w:pPr>
            <w:r>
              <w:t xml:space="preserve">Information and communication </w:t>
            </w:r>
          </w:p>
        </w:tc>
        <w:tc>
          <w:tcPr>
            <w:tcW w:w="1359" w:type="dxa"/>
            <w:noWrap/>
            <w:vAlign w:val="bottom"/>
            <w:hideMark/>
          </w:tcPr>
          <w:p w14:paraId="3EBAF934"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700</w:t>
            </w:r>
          </w:p>
        </w:tc>
        <w:tc>
          <w:tcPr>
            <w:tcW w:w="1359" w:type="dxa"/>
            <w:noWrap/>
            <w:vAlign w:val="bottom"/>
            <w:hideMark/>
          </w:tcPr>
          <w:p w14:paraId="25F705CD"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818</w:t>
            </w:r>
          </w:p>
        </w:tc>
        <w:tc>
          <w:tcPr>
            <w:tcW w:w="1358" w:type="dxa"/>
            <w:vAlign w:val="bottom"/>
          </w:tcPr>
          <w:p w14:paraId="10A64F02"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118</w:t>
            </w:r>
          </w:p>
        </w:tc>
        <w:tc>
          <w:tcPr>
            <w:tcW w:w="1358" w:type="dxa"/>
            <w:vAlign w:val="bottom"/>
          </w:tcPr>
          <w:p w14:paraId="5731C8C8"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16.9%</w:t>
            </w:r>
          </w:p>
        </w:tc>
      </w:tr>
      <w:tr w:rsidR="009768CA" w:rsidRPr="009E7FFE" w14:paraId="36F37687"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442AC537" w14:textId="77777777" w:rsidR="009768CA" w:rsidRDefault="009768CA" w:rsidP="00811E9D">
            <w:pPr>
              <w:pStyle w:val="BodyText"/>
              <w:spacing w:after="120"/>
            </w:pPr>
            <w:r>
              <w:t xml:space="preserve">Manufacturing </w:t>
            </w:r>
          </w:p>
        </w:tc>
        <w:tc>
          <w:tcPr>
            <w:tcW w:w="1359" w:type="dxa"/>
            <w:noWrap/>
            <w:vAlign w:val="bottom"/>
            <w:hideMark/>
          </w:tcPr>
          <w:p w14:paraId="37DC9603"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9,500</w:t>
            </w:r>
          </w:p>
        </w:tc>
        <w:tc>
          <w:tcPr>
            <w:tcW w:w="1359" w:type="dxa"/>
            <w:noWrap/>
            <w:vAlign w:val="bottom"/>
            <w:hideMark/>
          </w:tcPr>
          <w:p w14:paraId="2473D26C"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8,768</w:t>
            </w:r>
          </w:p>
        </w:tc>
        <w:tc>
          <w:tcPr>
            <w:tcW w:w="1358" w:type="dxa"/>
            <w:vAlign w:val="bottom"/>
          </w:tcPr>
          <w:p w14:paraId="0A5C5134"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-732</w:t>
            </w:r>
          </w:p>
        </w:tc>
        <w:tc>
          <w:tcPr>
            <w:tcW w:w="1358" w:type="dxa"/>
            <w:vAlign w:val="bottom"/>
          </w:tcPr>
          <w:p w14:paraId="12A3F4CF"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-7.7%</w:t>
            </w:r>
          </w:p>
        </w:tc>
      </w:tr>
      <w:tr w:rsidR="009768CA" w:rsidRPr="009E7FFE" w14:paraId="25BB9A81"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3516DDE7" w14:textId="77777777" w:rsidR="009768CA" w:rsidRDefault="009768CA" w:rsidP="00811E9D">
            <w:pPr>
              <w:pStyle w:val="BodyText"/>
              <w:spacing w:after="120"/>
            </w:pPr>
            <w:r>
              <w:t>Other service activities</w:t>
            </w:r>
          </w:p>
        </w:tc>
        <w:tc>
          <w:tcPr>
            <w:tcW w:w="1359" w:type="dxa"/>
            <w:noWrap/>
            <w:vAlign w:val="bottom"/>
            <w:hideMark/>
          </w:tcPr>
          <w:p w14:paraId="494BBDFC"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800</w:t>
            </w:r>
          </w:p>
        </w:tc>
        <w:tc>
          <w:tcPr>
            <w:tcW w:w="1359" w:type="dxa"/>
            <w:noWrap/>
            <w:vAlign w:val="bottom"/>
            <w:hideMark/>
          </w:tcPr>
          <w:p w14:paraId="79C448EE"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909</w:t>
            </w:r>
          </w:p>
        </w:tc>
        <w:tc>
          <w:tcPr>
            <w:tcW w:w="1358" w:type="dxa"/>
            <w:vAlign w:val="bottom"/>
          </w:tcPr>
          <w:p w14:paraId="7A2ED13D"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109</w:t>
            </w:r>
          </w:p>
        </w:tc>
        <w:tc>
          <w:tcPr>
            <w:tcW w:w="1358" w:type="dxa"/>
            <w:vAlign w:val="bottom"/>
          </w:tcPr>
          <w:p w14:paraId="711DF7E2"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13.6%</w:t>
            </w:r>
          </w:p>
        </w:tc>
      </w:tr>
      <w:tr w:rsidR="009768CA" w:rsidRPr="009E7FFE" w14:paraId="0EECA652"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29231504" w14:textId="77777777" w:rsidR="009768CA" w:rsidRDefault="009768CA" w:rsidP="00811E9D">
            <w:pPr>
              <w:pStyle w:val="BodyText"/>
              <w:spacing w:after="120"/>
            </w:pPr>
            <w:r>
              <w:t xml:space="preserve">Professional, scientific and technical activities </w:t>
            </w:r>
          </w:p>
        </w:tc>
        <w:tc>
          <w:tcPr>
            <w:tcW w:w="1359" w:type="dxa"/>
            <w:noWrap/>
            <w:vAlign w:val="bottom"/>
            <w:hideMark/>
          </w:tcPr>
          <w:p w14:paraId="41E9FF3D"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2,900</w:t>
            </w:r>
          </w:p>
        </w:tc>
        <w:tc>
          <w:tcPr>
            <w:tcW w:w="1359" w:type="dxa"/>
            <w:noWrap/>
            <w:vAlign w:val="bottom"/>
            <w:hideMark/>
          </w:tcPr>
          <w:p w14:paraId="48F19742"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3,294</w:t>
            </w:r>
          </w:p>
        </w:tc>
        <w:tc>
          <w:tcPr>
            <w:tcW w:w="1358" w:type="dxa"/>
            <w:vAlign w:val="bottom"/>
          </w:tcPr>
          <w:p w14:paraId="77449F7B"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394</w:t>
            </w:r>
          </w:p>
        </w:tc>
        <w:tc>
          <w:tcPr>
            <w:tcW w:w="1358" w:type="dxa"/>
            <w:vAlign w:val="bottom"/>
          </w:tcPr>
          <w:p w14:paraId="1EA73017"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13.6%</w:t>
            </w:r>
          </w:p>
        </w:tc>
      </w:tr>
      <w:tr w:rsidR="009768CA" w:rsidRPr="009E7FFE" w14:paraId="3428DC07"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27B5419A" w14:textId="77777777" w:rsidR="009768CA" w:rsidRDefault="009768CA" w:rsidP="00811E9D">
            <w:pPr>
              <w:pStyle w:val="BodyText"/>
              <w:spacing w:after="120"/>
            </w:pPr>
            <w:r>
              <w:t>Public administration and defence; compulsory social security</w:t>
            </w:r>
          </w:p>
        </w:tc>
        <w:tc>
          <w:tcPr>
            <w:tcW w:w="1359" w:type="dxa"/>
            <w:noWrap/>
            <w:vAlign w:val="bottom"/>
            <w:hideMark/>
          </w:tcPr>
          <w:p w14:paraId="6FA2720E"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2,400</w:t>
            </w:r>
          </w:p>
        </w:tc>
        <w:tc>
          <w:tcPr>
            <w:tcW w:w="1359" w:type="dxa"/>
            <w:noWrap/>
            <w:vAlign w:val="bottom"/>
            <w:hideMark/>
          </w:tcPr>
          <w:p w14:paraId="45FE7D5E"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2,248</w:t>
            </w:r>
          </w:p>
        </w:tc>
        <w:tc>
          <w:tcPr>
            <w:tcW w:w="1358" w:type="dxa"/>
            <w:vAlign w:val="bottom"/>
          </w:tcPr>
          <w:p w14:paraId="4F1C69C5"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-152</w:t>
            </w:r>
          </w:p>
        </w:tc>
        <w:tc>
          <w:tcPr>
            <w:tcW w:w="1358" w:type="dxa"/>
            <w:vAlign w:val="bottom"/>
          </w:tcPr>
          <w:p w14:paraId="1012969E"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-6.3%</w:t>
            </w:r>
          </w:p>
        </w:tc>
      </w:tr>
      <w:tr w:rsidR="009768CA" w:rsidRPr="009E7FFE" w14:paraId="7E352631"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1E8DCDF7" w14:textId="77777777" w:rsidR="009768CA" w:rsidRDefault="009768CA" w:rsidP="00811E9D">
            <w:pPr>
              <w:pStyle w:val="BodyText"/>
              <w:spacing w:after="120"/>
            </w:pPr>
            <w:r>
              <w:t>Real estate activities</w:t>
            </w:r>
          </w:p>
        </w:tc>
        <w:tc>
          <w:tcPr>
            <w:tcW w:w="1359" w:type="dxa"/>
            <w:noWrap/>
            <w:vAlign w:val="bottom"/>
            <w:hideMark/>
          </w:tcPr>
          <w:p w14:paraId="412332E7"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600</w:t>
            </w:r>
          </w:p>
        </w:tc>
        <w:tc>
          <w:tcPr>
            <w:tcW w:w="1359" w:type="dxa"/>
            <w:noWrap/>
            <w:vAlign w:val="bottom"/>
            <w:hideMark/>
          </w:tcPr>
          <w:p w14:paraId="7E64AE44"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699</w:t>
            </w:r>
          </w:p>
        </w:tc>
        <w:tc>
          <w:tcPr>
            <w:tcW w:w="1358" w:type="dxa"/>
            <w:vAlign w:val="bottom"/>
          </w:tcPr>
          <w:p w14:paraId="777E6B8C"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99</w:t>
            </w:r>
          </w:p>
        </w:tc>
        <w:tc>
          <w:tcPr>
            <w:tcW w:w="1358" w:type="dxa"/>
            <w:vAlign w:val="bottom"/>
          </w:tcPr>
          <w:p w14:paraId="47F0DC02"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16.6%</w:t>
            </w:r>
          </w:p>
        </w:tc>
      </w:tr>
      <w:tr w:rsidR="009768CA" w:rsidRPr="009E7FFE" w14:paraId="46A950E0"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58073477" w14:textId="77777777" w:rsidR="009768CA" w:rsidRDefault="009768CA" w:rsidP="00811E9D">
            <w:pPr>
              <w:pStyle w:val="BodyText"/>
              <w:spacing w:after="120"/>
            </w:pPr>
            <w:r>
              <w:t>Transportation and storage</w:t>
            </w:r>
          </w:p>
        </w:tc>
        <w:tc>
          <w:tcPr>
            <w:tcW w:w="1359" w:type="dxa"/>
            <w:noWrap/>
            <w:vAlign w:val="bottom"/>
            <w:hideMark/>
          </w:tcPr>
          <w:p w14:paraId="27748D14"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5,100</w:t>
            </w:r>
          </w:p>
        </w:tc>
        <w:tc>
          <w:tcPr>
            <w:tcW w:w="1359" w:type="dxa"/>
            <w:noWrap/>
            <w:vAlign w:val="bottom"/>
            <w:hideMark/>
          </w:tcPr>
          <w:p w14:paraId="3D54F58F"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6,027</w:t>
            </w:r>
          </w:p>
        </w:tc>
        <w:tc>
          <w:tcPr>
            <w:tcW w:w="1358" w:type="dxa"/>
            <w:vAlign w:val="bottom"/>
          </w:tcPr>
          <w:p w14:paraId="7F5D38C0"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927</w:t>
            </w:r>
          </w:p>
        </w:tc>
        <w:tc>
          <w:tcPr>
            <w:tcW w:w="1358" w:type="dxa"/>
            <w:vAlign w:val="bottom"/>
          </w:tcPr>
          <w:p w14:paraId="36571ABB"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18.2%</w:t>
            </w:r>
          </w:p>
        </w:tc>
      </w:tr>
      <w:tr w:rsidR="009768CA" w:rsidRPr="009E7FFE" w14:paraId="23B1E2BB"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68906C27" w14:textId="77777777" w:rsidR="009768CA" w:rsidRDefault="009768CA" w:rsidP="00811E9D">
            <w:pPr>
              <w:pStyle w:val="BodyText"/>
              <w:spacing w:after="120"/>
            </w:pPr>
            <w:r>
              <w:t>Water supply, sewerage, waste management and remediation activities</w:t>
            </w:r>
          </w:p>
        </w:tc>
        <w:tc>
          <w:tcPr>
            <w:tcW w:w="1359" w:type="dxa"/>
            <w:noWrap/>
            <w:vAlign w:val="bottom"/>
            <w:hideMark/>
          </w:tcPr>
          <w:p w14:paraId="0791F8A7"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500</w:t>
            </w:r>
          </w:p>
        </w:tc>
        <w:tc>
          <w:tcPr>
            <w:tcW w:w="1359" w:type="dxa"/>
            <w:noWrap/>
            <w:vAlign w:val="bottom"/>
            <w:hideMark/>
          </w:tcPr>
          <w:p w14:paraId="05FCC20A"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563</w:t>
            </w:r>
          </w:p>
        </w:tc>
        <w:tc>
          <w:tcPr>
            <w:tcW w:w="1358" w:type="dxa"/>
            <w:vAlign w:val="bottom"/>
          </w:tcPr>
          <w:p w14:paraId="4CACA2EB"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63</w:t>
            </w:r>
          </w:p>
        </w:tc>
        <w:tc>
          <w:tcPr>
            <w:tcW w:w="1358" w:type="dxa"/>
            <w:vAlign w:val="bottom"/>
          </w:tcPr>
          <w:p w14:paraId="15F2EE6F"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12.7%</w:t>
            </w:r>
          </w:p>
        </w:tc>
      </w:tr>
      <w:tr w:rsidR="009768CA" w:rsidRPr="009E7FFE" w14:paraId="6BAAC87E"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7A53E191" w14:textId="77777777" w:rsidR="009768CA" w:rsidRDefault="009768CA" w:rsidP="00811E9D">
            <w:pPr>
              <w:pStyle w:val="BodyText"/>
              <w:spacing w:after="120"/>
            </w:pPr>
            <w:r>
              <w:t>Wholesale and retail trade; repair of motor vehicles and motorcycles</w:t>
            </w:r>
          </w:p>
        </w:tc>
        <w:tc>
          <w:tcPr>
            <w:tcW w:w="1359" w:type="dxa"/>
            <w:noWrap/>
            <w:vAlign w:val="bottom"/>
            <w:hideMark/>
          </w:tcPr>
          <w:p w14:paraId="7F017C5F"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10,900</w:t>
            </w:r>
          </w:p>
        </w:tc>
        <w:tc>
          <w:tcPr>
            <w:tcW w:w="1359" w:type="dxa"/>
            <w:noWrap/>
            <w:vAlign w:val="bottom"/>
            <w:hideMark/>
          </w:tcPr>
          <w:p w14:paraId="770D3CB9"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11,435</w:t>
            </w:r>
          </w:p>
        </w:tc>
        <w:tc>
          <w:tcPr>
            <w:tcW w:w="1358" w:type="dxa"/>
            <w:vAlign w:val="bottom"/>
          </w:tcPr>
          <w:p w14:paraId="51DF7AEB"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535</w:t>
            </w:r>
          </w:p>
        </w:tc>
        <w:tc>
          <w:tcPr>
            <w:tcW w:w="1358" w:type="dxa"/>
            <w:vAlign w:val="bottom"/>
          </w:tcPr>
          <w:p w14:paraId="057B7100"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662F13">
              <w:rPr>
                <w:rFonts w:ascii="Arial" w:hAnsi="Arial"/>
                <w:color w:val="394A58" w:themeColor="text2"/>
                <w:sz w:val="20"/>
              </w:rPr>
              <w:t>4.9%</w:t>
            </w:r>
          </w:p>
        </w:tc>
      </w:tr>
      <w:tr w:rsidR="009768CA" w:rsidRPr="009E7FFE" w14:paraId="1B921C0F"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11DA6C28" w14:textId="77777777" w:rsidR="009768CA" w:rsidRPr="00A00683" w:rsidRDefault="009768CA" w:rsidP="00811E9D">
            <w:pPr>
              <w:pStyle w:val="BodyText"/>
              <w:spacing w:after="120"/>
              <w:rPr>
                <w:b/>
              </w:rPr>
            </w:pPr>
            <w:r w:rsidRPr="00A00683">
              <w:rPr>
                <w:b/>
              </w:rPr>
              <w:t>Total</w:t>
            </w:r>
          </w:p>
        </w:tc>
        <w:tc>
          <w:tcPr>
            <w:tcW w:w="1359" w:type="dxa"/>
            <w:noWrap/>
            <w:vAlign w:val="bottom"/>
            <w:hideMark/>
          </w:tcPr>
          <w:p w14:paraId="0374010B"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b/>
                <w:color w:val="2D4548" w:themeColor="accent6" w:themeShade="80"/>
              </w:rPr>
            </w:pPr>
            <w:r w:rsidRPr="00506964">
              <w:rPr>
                <w:b/>
                <w:color w:val="2D4548" w:themeColor="accent6" w:themeShade="80"/>
              </w:rPr>
              <w:t>64,500</w:t>
            </w:r>
          </w:p>
        </w:tc>
        <w:tc>
          <w:tcPr>
            <w:tcW w:w="1359" w:type="dxa"/>
            <w:noWrap/>
            <w:vAlign w:val="bottom"/>
            <w:hideMark/>
          </w:tcPr>
          <w:p w14:paraId="1458B38D"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394A58" w:themeColor="text2"/>
                <w:sz w:val="20"/>
              </w:rPr>
            </w:pPr>
            <w:r w:rsidRPr="00662F13">
              <w:rPr>
                <w:rFonts w:ascii="Arial" w:hAnsi="Arial"/>
                <w:b/>
                <w:bCs/>
                <w:color w:val="394A58" w:themeColor="text2"/>
                <w:sz w:val="20"/>
              </w:rPr>
              <w:t>68,933</w:t>
            </w:r>
          </w:p>
        </w:tc>
        <w:tc>
          <w:tcPr>
            <w:tcW w:w="1358" w:type="dxa"/>
            <w:vAlign w:val="bottom"/>
          </w:tcPr>
          <w:p w14:paraId="29ECF6AD"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394A58" w:themeColor="text2"/>
                <w:sz w:val="20"/>
              </w:rPr>
            </w:pPr>
            <w:r w:rsidRPr="00662F13">
              <w:rPr>
                <w:rFonts w:ascii="Arial" w:hAnsi="Arial"/>
                <w:b/>
                <w:bCs/>
                <w:color w:val="394A58" w:themeColor="text2"/>
                <w:sz w:val="20"/>
              </w:rPr>
              <w:t>4,433</w:t>
            </w:r>
          </w:p>
        </w:tc>
        <w:tc>
          <w:tcPr>
            <w:tcW w:w="1358" w:type="dxa"/>
            <w:vAlign w:val="bottom"/>
          </w:tcPr>
          <w:p w14:paraId="02C00525" w14:textId="77777777" w:rsidR="009768CA" w:rsidRPr="00662F1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b/>
                <w:color w:val="394A58" w:themeColor="text2"/>
                <w:sz w:val="20"/>
              </w:rPr>
            </w:pPr>
            <w:r w:rsidRPr="00662F13">
              <w:rPr>
                <w:rFonts w:ascii="Arial" w:hAnsi="Arial"/>
                <w:b/>
                <w:color w:val="394A58" w:themeColor="text2"/>
                <w:sz w:val="20"/>
              </w:rPr>
              <w:t>6.9%</w:t>
            </w:r>
          </w:p>
        </w:tc>
      </w:tr>
    </w:tbl>
    <w:p w14:paraId="4F4B2718" w14:textId="77777777" w:rsidR="009768CA" w:rsidRDefault="009768CA" w:rsidP="009768CA">
      <w:pPr>
        <w:pStyle w:val="BodyText"/>
        <w:rPr>
          <w:sz w:val="18"/>
          <w:szCs w:val="18"/>
        </w:rPr>
      </w:pPr>
      <w:r w:rsidRPr="00A00683">
        <w:rPr>
          <w:sz w:val="18"/>
          <w:szCs w:val="18"/>
        </w:rPr>
        <w:t xml:space="preserve">Source: </w:t>
      </w:r>
      <w:r>
        <w:rPr>
          <w:sz w:val="18"/>
          <w:szCs w:val="18"/>
        </w:rPr>
        <w:t>Atkins, 2014.</w:t>
      </w:r>
    </w:p>
    <w:p w14:paraId="1127A4AE" w14:textId="77777777" w:rsidR="009768CA" w:rsidRDefault="009768CA" w:rsidP="009768CA">
      <w:pPr>
        <w:pStyle w:val="Heading2"/>
      </w:pPr>
      <w:bookmarkStart w:id="264" w:name="_Toc394668587"/>
      <w:r>
        <w:t>Policy Scenarios</w:t>
      </w:r>
      <w:bookmarkEnd w:id="264"/>
    </w:p>
    <w:p w14:paraId="38E55C56" w14:textId="77777777" w:rsidR="009768CA" w:rsidRDefault="009768CA" w:rsidP="009768CA">
      <w:pPr>
        <w:pStyle w:val="BodyText"/>
      </w:pPr>
      <w:r w:rsidRPr="00E909C9">
        <w:t xml:space="preserve">Tables </w:t>
      </w:r>
      <w:r w:rsidR="00E909C9" w:rsidRPr="00E909C9">
        <w:t>3.5</w:t>
      </w:r>
      <w:r w:rsidRPr="00E909C9">
        <w:t xml:space="preserve"> and </w:t>
      </w:r>
      <w:r w:rsidR="00E909C9">
        <w:t>3.6</w:t>
      </w:r>
      <w:r>
        <w:t xml:space="preserve"> set out the two policy scenarios with the first representing modest growth and the second reflecting high levels of growth and significant economic diversification.  These scenarios indicate </w:t>
      </w:r>
      <w:r w:rsidR="000C0D8A">
        <w:t>potential cre</w:t>
      </w:r>
      <w:r>
        <w:t>a</w:t>
      </w:r>
      <w:r w:rsidR="000C0D8A">
        <w:t>tion of</w:t>
      </w:r>
      <w:r>
        <w:t xml:space="preserve"> up to approximately 14,000 </w:t>
      </w:r>
      <w:r w:rsidR="000C0D8A">
        <w:t>new jobs in North East Lincolnshire.  This represents a 22% increase on existing employment levels</w:t>
      </w:r>
      <w:r>
        <w:t xml:space="preserve"> which is clearly substantially higher than the change predicted by the REM or Experian projections produced in 2013.</w:t>
      </w:r>
      <w:r w:rsidR="000C0D8A">
        <w:t xml:space="preserve">  As explained earlier, we do not consider the 2013 REM or Experian projections do not provide an up-to-date and realistic baseline scenario particularly because they are likely to have been significantly influenced by trends during the recession and do not build in the potential job creation effect of recent and planned capital projects in the area.  Moreover, the projections fall a long way short of providing a solid policy based scenario which is needed to incorporate key economic development and growth aspirations of the LEPs and North East Lincolnshire Council.</w:t>
      </w:r>
      <w:r>
        <w:t xml:space="preserve">  </w:t>
      </w:r>
    </w:p>
    <w:p w14:paraId="521420C3" w14:textId="77777777" w:rsidR="009768CA" w:rsidRDefault="009768CA" w:rsidP="009768CA">
      <w:pPr>
        <w:pStyle w:val="BodyText"/>
      </w:pPr>
      <w:r>
        <w:t>Key assumptions which differentiate the scenarios reflect the futures described earlier in this section.  In particular, the high growth scenario assumes that all key investment projects are realised and implemented within the forecasting period.  Moreover, the workforce is assumed to adapt effectively to the demand for skills required to meet the needs of investors.  This will need to be achieved through up-skilling of the resident workforce, maximising full labour force capacity and through the in-migration of skilled workers into the area.  Under the higher growth scenarios, it is also assumed that sufficient land and premises is made available to accommodate the needs of investors and expanding businesses.  Other major constraints to investment will also need to be addressed over time including road network improvements and the upgrading or replacement of poor quality premises.  In addition, the availability of waterside sites for operations dependent on access to the sea will need to be addressed through the Local Plan and in partnership with land owners and existing operators in key locations.</w:t>
      </w:r>
    </w:p>
    <w:p w14:paraId="6939CAA7" w14:textId="77777777" w:rsidR="009768CA" w:rsidRDefault="009768CA" w:rsidP="009768CA">
      <w:pPr>
        <w:jc w:val="left"/>
        <w:rPr>
          <w:rFonts w:ascii="Arial" w:hAnsi="Arial"/>
          <w:b/>
          <w:color w:val="394A58"/>
          <w:sz w:val="20"/>
        </w:rPr>
      </w:pPr>
    </w:p>
    <w:p w14:paraId="6920657F" w14:textId="77777777" w:rsidR="009768CA" w:rsidRPr="001C5347" w:rsidRDefault="009768CA" w:rsidP="009768CA">
      <w:pPr>
        <w:pStyle w:val="BodyText"/>
      </w:pPr>
      <w:bookmarkStart w:id="265" w:name="_Toc394668608"/>
      <w:r w:rsidRPr="00187573">
        <w:rPr>
          <w:b/>
        </w:rPr>
        <w:t xml:space="preserve">Table </w:t>
      </w:r>
      <w:fldSimple w:instr=" STYLEREF 1 \s  \* MERGEFORMAT ">
        <w:r w:rsidR="00E909C9" w:rsidRPr="000C2D7F">
          <w:rPr>
            <w:b/>
            <w:noProof/>
          </w:rPr>
          <w:t>3</w:t>
        </w:r>
      </w:fldSimple>
      <w:r w:rsidR="00E909C9" w:rsidRPr="000573A4">
        <w:rPr>
          <w:b/>
        </w:rPr>
        <w:t>-</w:t>
      </w:r>
      <w:fldSimple w:instr=" SEQ Table \* ARABIC \s 1  \* MERGEFORMAT ">
        <w:r w:rsidR="00E909C9" w:rsidRPr="00E909C9">
          <w:rPr>
            <w:b/>
            <w:noProof/>
          </w:rPr>
          <w:t>5</w:t>
        </w:r>
      </w:fldSimple>
      <w:r w:rsidR="00E909C9">
        <w:rPr>
          <w:b/>
        </w:rPr>
        <w:t xml:space="preserve">:  </w:t>
      </w:r>
      <w:r>
        <w:rPr>
          <w:b/>
        </w:rPr>
        <w:t>Employment Forecast:  Policy Scenario 1</w:t>
      </w:r>
      <w:bookmarkEnd w:id="265"/>
    </w:p>
    <w:tbl>
      <w:tblPr>
        <w:tblStyle w:val="Atkins14pt"/>
        <w:tblW w:w="9641" w:type="dxa"/>
        <w:tblLayout w:type="fixed"/>
        <w:tblLook w:val="04A0" w:firstRow="1" w:lastRow="0" w:firstColumn="1" w:lastColumn="0" w:noHBand="0" w:noVBand="1"/>
      </w:tblPr>
      <w:tblGrid>
        <w:gridCol w:w="4207"/>
        <w:gridCol w:w="1359"/>
        <w:gridCol w:w="1359"/>
        <w:gridCol w:w="1358"/>
        <w:gridCol w:w="1358"/>
      </w:tblGrid>
      <w:tr w:rsidR="009768CA" w:rsidRPr="009E7FFE" w14:paraId="5267AF12" w14:textId="77777777" w:rsidTr="00811E9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4207" w:type="dxa"/>
            <w:noWrap/>
            <w:vAlign w:val="bottom"/>
            <w:hideMark/>
          </w:tcPr>
          <w:p w14:paraId="1AE2AA81" w14:textId="77777777" w:rsidR="009768CA" w:rsidRDefault="009768CA" w:rsidP="00811E9D">
            <w:pPr>
              <w:pStyle w:val="BodyText"/>
            </w:pPr>
            <w:r>
              <w:t>Sector</w:t>
            </w:r>
          </w:p>
        </w:tc>
        <w:tc>
          <w:tcPr>
            <w:tcW w:w="1359" w:type="dxa"/>
            <w:noWrap/>
            <w:vAlign w:val="bottom"/>
            <w:hideMark/>
          </w:tcPr>
          <w:p w14:paraId="04B3E9E3"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2013</w:t>
            </w:r>
          </w:p>
        </w:tc>
        <w:tc>
          <w:tcPr>
            <w:tcW w:w="1359" w:type="dxa"/>
            <w:noWrap/>
            <w:vAlign w:val="bottom"/>
            <w:hideMark/>
          </w:tcPr>
          <w:p w14:paraId="052066D6"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2032</w:t>
            </w:r>
          </w:p>
        </w:tc>
        <w:tc>
          <w:tcPr>
            <w:tcW w:w="1358" w:type="dxa"/>
          </w:tcPr>
          <w:p w14:paraId="4715CA27"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Change</w:t>
            </w:r>
          </w:p>
        </w:tc>
        <w:tc>
          <w:tcPr>
            <w:tcW w:w="1358" w:type="dxa"/>
          </w:tcPr>
          <w:p w14:paraId="29F90CAA"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 Change</w:t>
            </w:r>
          </w:p>
        </w:tc>
      </w:tr>
      <w:tr w:rsidR="009768CA" w:rsidRPr="009E7FFE" w14:paraId="4623DD83"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6EB43328" w14:textId="77777777" w:rsidR="009768CA" w:rsidRDefault="009768CA" w:rsidP="00811E9D">
            <w:pPr>
              <w:pStyle w:val="BodyText"/>
              <w:spacing w:after="120"/>
            </w:pPr>
            <w:r>
              <w:t>Accommodation and food service activities</w:t>
            </w:r>
          </w:p>
        </w:tc>
        <w:tc>
          <w:tcPr>
            <w:tcW w:w="1359" w:type="dxa"/>
            <w:noWrap/>
            <w:vAlign w:val="bottom"/>
            <w:hideMark/>
          </w:tcPr>
          <w:p w14:paraId="121B7BC5"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3,400</w:t>
            </w:r>
          </w:p>
        </w:tc>
        <w:tc>
          <w:tcPr>
            <w:tcW w:w="1359" w:type="dxa"/>
            <w:noWrap/>
            <w:vAlign w:val="bottom"/>
            <w:hideMark/>
          </w:tcPr>
          <w:p w14:paraId="43680052"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4,231</w:t>
            </w:r>
          </w:p>
        </w:tc>
        <w:tc>
          <w:tcPr>
            <w:tcW w:w="1358" w:type="dxa"/>
            <w:vAlign w:val="bottom"/>
          </w:tcPr>
          <w:p w14:paraId="07E115C5"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831</w:t>
            </w:r>
          </w:p>
        </w:tc>
        <w:tc>
          <w:tcPr>
            <w:tcW w:w="1358" w:type="dxa"/>
            <w:vAlign w:val="bottom"/>
          </w:tcPr>
          <w:p w14:paraId="610CE115"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24.4%</w:t>
            </w:r>
          </w:p>
        </w:tc>
      </w:tr>
      <w:tr w:rsidR="009768CA" w:rsidRPr="009E7FFE" w14:paraId="1F88F415"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68F5C03B" w14:textId="77777777" w:rsidR="009768CA" w:rsidRDefault="009768CA" w:rsidP="00811E9D">
            <w:pPr>
              <w:pStyle w:val="BodyText"/>
              <w:spacing w:after="120"/>
            </w:pPr>
            <w:r>
              <w:t>Administrative and support service activities</w:t>
            </w:r>
          </w:p>
        </w:tc>
        <w:tc>
          <w:tcPr>
            <w:tcW w:w="1359" w:type="dxa"/>
            <w:noWrap/>
            <w:vAlign w:val="bottom"/>
            <w:hideMark/>
          </w:tcPr>
          <w:p w14:paraId="36DC88E0"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6,000</w:t>
            </w:r>
          </w:p>
        </w:tc>
        <w:tc>
          <w:tcPr>
            <w:tcW w:w="1359" w:type="dxa"/>
            <w:noWrap/>
            <w:vAlign w:val="bottom"/>
            <w:hideMark/>
          </w:tcPr>
          <w:p w14:paraId="457BD35D"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6,946</w:t>
            </w:r>
          </w:p>
        </w:tc>
        <w:tc>
          <w:tcPr>
            <w:tcW w:w="1358" w:type="dxa"/>
            <w:vAlign w:val="bottom"/>
          </w:tcPr>
          <w:p w14:paraId="3A687665"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946</w:t>
            </w:r>
          </w:p>
        </w:tc>
        <w:tc>
          <w:tcPr>
            <w:tcW w:w="1358" w:type="dxa"/>
            <w:vAlign w:val="bottom"/>
          </w:tcPr>
          <w:p w14:paraId="5492D1D6"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15.8%</w:t>
            </w:r>
          </w:p>
        </w:tc>
      </w:tr>
      <w:tr w:rsidR="009768CA" w:rsidRPr="009E7FFE" w14:paraId="2451B77C"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64088E56" w14:textId="77777777" w:rsidR="009768CA" w:rsidRDefault="009768CA" w:rsidP="00811E9D">
            <w:pPr>
              <w:pStyle w:val="BodyText"/>
              <w:spacing w:after="120"/>
            </w:pPr>
            <w:r>
              <w:t>Agriculture, Forestry and Fishing</w:t>
            </w:r>
          </w:p>
        </w:tc>
        <w:tc>
          <w:tcPr>
            <w:tcW w:w="1359" w:type="dxa"/>
            <w:noWrap/>
            <w:vAlign w:val="bottom"/>
            <w:hideMark/>
          </w:tcPr>
          <w:p w14:paraId="374968BD"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100</w:t>
            </w:r>
          </w:p>
        </w:tc>
        <w:tc>
          <w:tcPr>
            <w:tcW w:w="1359" w:type="dxa"/>
            <w:noWrap/>
            <w:vAlign w:val="bottom"/>
            <w:hideMark/>
          </w:tcPr>
          <w:p w14:paraId="1643D8EE"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100</w:t>
            </w:r>
          </w:p>
        </w:tc>
        <w:tc>
          <w:tcPr>
            <w:tcW w:w="1358" w:type="dxa"/>
            <w:vAlign w:val="bottom"/>
          </w:tcPr>
          <w:p w14:paraId="43E5D3C4"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0</w:t>
            </w:r>
          </w:p>
        </w:tc>
        <w:tc>
          <w:tcPr>
            <w:tcW w:w="1358" w:type="dxa"/>
            <w:vAlign w:val="bottom"/>
          </w:tcPr>
          <w:p w14:paraId="62F9CD9C"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0.0%</w:t>
            </w:r>
          </w:p>
        </w:tc>
      </w:tr>
      <w:tr w:rsidR="009768CA" w:rsidRPr="009E7FFE" w14:paraId="30E1D2AC"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6DF8D368" w14:textId="77777777" w:rsidR="009768CA" w:rsidRDefault="009768CA" w:rsidP="00811E9D">
            <w:pPr>
              <w:pStyle w:val="BodyText"/>
              <w:spacing w:after="120"/>
            </w:pPr>
            <w:r>
              <w:t xml:space="preserve">Arts, entertainment and recreation </w:t>
            </w:r>
          </w:p>
        </w:tc>
        <w:tc>
          <w:tcPr>
            <w:tcW w:w="1359" w:type="dxa"/>
            <w:noWrap/>
            <w:vAlign w:val="bottom"/>
            <w:hideMark/>
          </w:tcPr>
          <w:p w14:paraId="7DD321EE"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1,500</w:t>
            </w:r>
          </w:p>
        </w:tc>
        <w:tc>
          <w:tcPr>
            <w:tcW w:w="1359" w:type="dxa"/>
            <w:noWrap/>
            <w:vAlign w:val="bottom"/>
            <w:hideMark/>
          </w:tcPr>
          <w:p w14:paraId="27C9B00F"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1,692</w:t>
            </w:r>
          </w:p>
        </w:tc>
        <w:tc>
          <w:tcPr>
            <w:tcW w:w="1358" w:type="dxa"/>
            <w:vAlign w:val="bottom"/>
          </w:tcPr>
          <w:p w14:paraId="7F73E804"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192</w:t>
            </w:r>
          </w:p>
        </w:tc>
        <w:tc>
          <w:tcPr>
            <w:tcW w:w="1358" w:type="dxa"/>
            <w:vAlign w:val="bottom"/>
          </w:tcPr>
          <w:p w14:paraId="1C98E6FA"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12.8%</w:t>
            </w:r>
          </w:p>
        </w:tc>
      </w:tr>
      <w:tr w:rsidR="009768CA" w:rsidRPr="009E7FFE" w14:paraId="639FFE09"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625BDFC2" w14:textId="77777777" w:rsidR="009768CA" w:rsidRDefault="009768CA" w:rsidP="00811E9D">
            <w:pPr>
              <w:pStyle w:val="BodyText"/>
              <w:spacing w:after="120"/>
            </w:pPr>
            <w:r>
              <w:t xml:space="preserve">Construction </w:t>
            </w:r>
          </w:p>
        </w:tc>
        <w:tc>
          <w:tcPr>
            <w:tcW w:w="1359" w:type="dxa"/>
            <w:noWrap/>
            <w:vAlign w:val="bottom"/>
            <w:hideMark/>
          </w:tcPr>
          <w:p w14:paraId="79A3F60E"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2,400</w:t>
            </w:r>
          </w:p>
        </w:tc>
        <w:tc>
          <w:tcPr>
            <w:tcW w:w="1359" w:type="dxa"/>
            <w:noWrap/>
            <w:vAlign w:val="bottom"/>
            <w:hideMark/>
          </w:tcPr>
          <w:p w14:paraId="22237C76"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3,305</w:t>
            </w:r>
          </w:p>
        </w:tc>
        <w:tc>
          <w:tcPr>
            <w:tcW w:w="1358" w:type="dxa"/>
            <w:vAlign w:val="bottom"/>
          </w:tcPr>
          <w:p w14:paraId="466A7AA2"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905</w:t>
            </w:r>
          </w:p>
        </w:tc>
        <w:tc>
          <w:tcPr>
            <w:tcW w:w="1358" w:type="dxa"/>
            <w:vAlign w:val="bottom"/>
          </w:tcPr>
          <w:p w14:paraId="7DEF626D"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37.7%</w:t>
            </w:r>
          </w:p>
        </w:tc>
      </w:tr>
      <w:tr w:rsidR="009768CA" w:rsidRPr="009E7FFE" w14:paraId="6C95E384"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0BE184A7" w14:textId="77777777" w:rsidR="009768CA" w:rsidRDefault="009768CA" w:rsidP="00811E9D">
            <w:pPr>
              <w:pStyle w:val="BodyText"/>
              <w:spacing w:after="120"/>
            </w:pPr>
            <w:r>
              <w:t>Education</w:t>
            </w:r>
          </w:p>
        </w:tc>
        <w:tc>
          <w:tcPr>
            <w:tcW w:w="1359" w:type="dxa"/>
            <w:noWrap/>
            <w:vAlign w:val="bottom"/>
            <w:hideMark/>
          </w:tcPr>
          <w:p w14:paraId="65AAA4ED"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6,300</w:t>
            </w:r>
          </w:p>
        </w:tc>
        <w:tc>
          <w:tcPr>
            <w:tcW w:w="1359" w:type="dxa"/>
            <w:noWrap/>
            <w:vAlign w:val="bottom"/>
            <w:hideMark/>
          </w:tcPr>
          <w:p w14:paraId="5E860305"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6,919</w:t>
            </w:r>
          </w:p>
        </w:tc>
        <w:tc>
          <w:tcPr>
            <w:tcW w:w="1358" w:type="dxa"/>
            <w:vAlign w:val="bottom"/>
          </w:tcPr>
          <w:p w14:paraId="562EB85F"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619</w:t>
            </w:r>
          </w:p>
        </w:tc>
        <w:tc>
          <w:tcPr>
            <w:tcW w:w="1358" w:type="dxa"/>
            <w:vAlign w:val="bottom"/>
          </w:tcPr>
          <w:p w14:paraId="59640162"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9.8%</w:t>
            </w:r>
          </w:p>
        </w:tc>
      </w:tr>
      <w:tr w:rsidR="009768CA" w:rsidRPr="009E7FFE" w14:paraId="1CDEEAA1"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4D4633C4" w14:textId="77777777" w:rsidR="009768CA" w:rsidRDefault="009768CA" w:rsidP="00811E9D">
            <w:pPr>
              <w:pStyle w:val="BodyText"/>
              <w:spacing w:after="120"/>
            </w:pPr>
            <w:r>
              <w:t>Electricity, gas, steam and air conditioning supply</w:t>
            </w:r>
          </w:p>
        </w:tc>
        <w:tc>
          <w:tcPr>
            <w:tcW w:w="1359" w:type="dxa"/>
            <w:noWrap/>
            <w:vAlign w:val="bottom"/>
            <w:hideMark/>
          </w:tcPr>
          <w:p w14:paraId="193CC6F0"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300</w:t>
            </w:r>
          </w:p>
        </w:tc>
        <w:tc>
          <w:tcPr>
            <w:tcW w:w="1359" w:type="dxa"/>
            <w:noWrap/>
            <w:vAlign w:val="bottom"/>
            <w:hideMark/>
          </w:tcPr>
          <w:p w14:paraId="4BA8ABC5"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300</w:t>
            </w:r>
          </w:p>
        </w:tc>
        <w:tc>
          <w:tcPr>
            <w:tcW w:w="1358" w:type="dxa"/>
            <w:vAlign w:val="bottom"/>
          </w:tcPr>
          <w:p w14:paraId="20D28274"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0</w:t>
            </w:r>
          </w:p>
        </w:tc>
        <w:tc>
          <w:tcPr>
            <w:tcW w:w="1358" w:type="dxa"/>
            <w:vAlign w:val="bottom"/>
          </w:tcPr>
          <w:p w14:paraId="46E36678"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0.0%</w:t>
            </w:r>
          </w:p>
        </w:tc>
      </w:tr>
      <w:tr w:rsidR="009768CA" w:rsidRPr="009E7FFE" w14:paraId="5AD75CC8"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2EDBDE95" w14:textId="77777777" w:rsidR="009768CA" w:rsidRDefault="009768CA" w:rsidP="00811E9D">
            <w:pPr>
              <w:pStyle w:val="BodyText"/>
              <w:spacing w:after="120"/>
            </w:pPr>
            <w:r>
              <w:t>Financial and insurance activities</w:t>
            </w:r>
          </w:p>
        </w:tc>
        <w:tc>
          <w:tcPr>
            <w:tcW w:w="1359" w:type="dxa"/>
            <w:noWrap/>
            <w:vAlign w:val="bottom"/>
            <w:hideMark/>
          </w:tcPr>
          <w:p w14:paraId="43F6C788"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800</w:t>
            </w:r>
          </w:p>
        </w:tc>
        <w:tc>
          <w:tcPr>
            <w:tcW w:w="1359" w:type="dxa"/>
            <w:noWrap/>
            <w:vAlign w:val="bottom"/>
            <w:hideMark/>
          </w:tcPr>
          <w:p w14:paraId="6D51783B"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1,053</w:t>
            </w:r>
          </w:p>
        </w:tc>
        <w:tc>
          <w:tcPr>
            <w:tcW w:w="1358" w:type="dxa"/>
            <w:vAlign w:val="bottom"/>
          </w:tcPr>
          <w:p w14:paraId="697E68BE"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253</w:t>
            </w:r>
          </w:p>
        </w:tc>
        <w:tc>
          <w:tcPr>
            <w:tcW w:w="1358" w:type="dxa"/>
            <w:vAlign w:val="bottom"/>
          </w:tcPr>
          <w:p w14:paraId="31851DDC"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31.7%</w:t>
            </w:r>
          </w:p>
        </w:tc>
      </w:tr>
      <w:tr w:rsidR="009768CA" w:rsidRPr="009E7FFE" w14:paraId="0B189976"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130F5906" w14:textId="77777777" w:rsidR="009768CA" w:rsidRDefault="009768CA" w:rsidP="00811E9D">
            <w:pPr>
              <w:pStyle w:val="BodyText"/>
              <w:spacing w:after="120"/>
            </w:pPr>
            <w:r>
              <w:t>Human health and social work activities</w:t>
            </w:r>
          </w:p>
        </w:tc>
        <w:tc>
          <w:tcPr>
            <w:tcW w:w="1359" w:type="dxa"/>
            <w:noWrap/>
            <w:vAlign w:val="bottom"/>
            <w:hideMark/>
          </w:tcPr>
          <w:p w14:paraId="4ED6F207"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10,300</w:t>
            </w:r>
          </w:p>
        </w:tc>
        <w:tc>
          <w:tcPr>
            <w:tcW w:w="1359" w:type="dxa"/>
            <w:noWrap/>
            <w:vAlign w:val="bottom"/>
            <w:hideMark/>
          </w:tcPr>
          <w:p w14:paraId="270FCEE3"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10,969</w:t>
            </w:r>
          </w:p>
        </w:tc>
        <w:tc>
          <w:tcPr>
            <w:tcW w:w="1358" w:type="dxa"/>
            <w:vAlign w:val="bottom"/>
          </w:tcPr>
          <w:p w14:paraId="248093DD"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669</w:t>
            </w:r>
          </w:p>
        </w:tc>
        <w:tc>
          <w:tcPr>
            <w:tcW w:w="1358" w:type="dxa"/>
            <w:vAlign w:val="bottom"/>
          </w:tcPr>
          <w:p w14:paraId="73B53E01"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6.5%</w:t>
            </w:r>
          </w:p>
        </w:tc>
      </w:tr>
      <w:tr w:rsidR="009768CA" w:rsidRPr="009E7FFE" w14:paraId="68D48747"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49C40953" w14:textId="77777777" w:rsidR="009768CA" w:rsidRDefault="009768CA" w:rsidP="00811E9D">
            <w:pPr>
              <w:pStyle w:val="BodyText"/>
              <w:spacing w:after="120"/>
            </w:pPr>
            <w:r>
              <w:t xml:space="preserve">Information and communication </w:t>
            </w:r>
          </w:p>
        </w:tc>
        <w:tc>
          <w:tcPr>
            <w:tcW w:w="1359" w:type="dxa"/>
            <w:noWrap/>
            <w:vAlign w:val="bottom"/>
            <w:hideMark/>
          </w:tcPr>
          <w:p w14:paraId="00A69D9B"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700</w:t>
            </w:r>
          </w:p>
        </w:tc>
        <w:tc>
          <w:tcPr>
            <w:tcW w:w="1359" w:type="dxa"/>
            <w:noWrap/>
            <w:vAlign w:val="bottom"/>
            <w:hideMark/>
          </w:tcPr>
          <w:p w14:paraId="12F8FEBB"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818</w:t>
            </w:r>
          </w:p>
        </w:tc>
        <w:tc>
          <w:tcPr>
            <w:tcW w:w="1358" w:type="dxa"/>
            <w:vAlign w:val="bottom"/>
          </w:tcPr>
          <w:p w14:paraId="755100FB"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118</w:t>
            </w:r>
          </w:p>
        </w:tc>
        <w:tc>
          <w:tcPr>
            <w:tcW w:w="1358" w:type="dxa"/>
            <w:vAlign w:val="bottom"/>
          </w:tcPr>
          <w:p w14:paraId="3F9F999A"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16.9%</w:t>
            </w:r>
          </w:p>
        </w:tc>
      </w:tr>
      <w:tr w:rsidR="009768CA" w:rsidRPr="009E7FFE" w14:paraId="0A212725"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3C56A2EF" w14:textId="77777777" w:rsidR="009768CA" w:rsidRDefault="009768CA" w:rsidP="00811E9D">
            <w:pPr>
              <w:pStyle w:val="BodyText"/>
              <w:spacing w:after="120"/>
            </w:pPr>
            <w:r>
              <w:t xml:space="preserve">Manufacturing </w:t>
            </w:r>
          </w:p>
        </w:tc>
        <w:tc>
          <w:tcPr>
            <w:tcW w:w="1359" w:type="dxa"/>
            <w:noWrap/>
            <w:vAlign w:val="bottom"/>
            <w:hideMark/>
          </w:tcPr>
          <w:p w14:paraId="62B57321"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9,500</w:t>
            </w:r>
          </w:p>
        </w:tc>
        <w:tc>
          <w:tcPr>
            <w:tcW w:w="1359" w:type="dxa"/>
            <w:noWrap/>
            <w:vAlign w:val="bottom"/>
            <w:hideMark/>
          </w:tcPr>
          <w:p w14:paraId="660E9DB1"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10,706</w:t>
            </w:r>
          </w:p>
        </w:tc>
        <w:tc>
          <w:tcPr>
            <w:tcW w:w="1358" w:type="dxa"/>
            <w:vAlign w:val="bottom"/>
          </w:tcPr>
          <w:p w14:paraId="59C46DEF"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1,206</w:t>
            </w:r>
          </w:p>
        </w:tc>
        <w:tc>
          <w:tcPr>
            <w:tcW w:w="1358" w:type="dxa"/>
            <w:vAlign w:val="bottom"/>
          </w:tcPr>
          <w:p w14:paraId="5FBA5379"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12.7%</w:t>
            </w:r>
          </w:p>
        </w:tc>
      </w:tr>
      <w:tr w:rsidR="009768CA" w:rsidRPr="009E7FFE" w14:paraId="1C04B721"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34E77648" w14:textId="77777777" w:rsidR="009768CA" w:rsidRDefault="009768CA" w:rsidP="00811E9D">
            <w:pPr>
              <w:pStyle w:val="BodyText"/>
              <w:spacing w:after="120"/>
            </w:pPr>
            <w:r>
              <w:t>Other service activities</w:t>
            </w:r>
          </w:p>
        </w:tc>
        <w:tc>
          <w:tcPr>
            <w:tcW w:w="1359" w:type="dxa"/>
            <w:noWrap/>
            <w:vAlign w:val="bottom"/>
            <w:hideMark/>
          </w:tcPr>
          <w:p w14:paraId="2EB178B5"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800</w:t>
            </w:r>
          </w:p>
        </w:tc>
        <w:tc>
          <w:tcPr>
            <w:tcW w:w="1359" w:type="dxa"/>
            <w:noWrap/>
            <w:vAlign w:val="bottom"/>
            <w:hideMark/>
          </w:tcPr>
          <w:p w14:paraId="69707558"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1,084</w:t>
            </w:r>
          </w:p>
        </w:tc>
        <w:tc>
          <w:tcPr>
            <w:tcW w:w="1358" w:type="dxa"/>
            <w:vAlign w:val="bottom"/>
          </w:tcPr>
          <w:p w14:paraId="1A5296A6"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284</w:t>
            </w:r>
          </w:p>
        </w:tc>
        <w:tc>
          <w:tcPr>
            <w:tcW w:w="1358" w:type="dxa"/>
            <w:vAlign w:val="bottom"/>
          </w:tcPr>
          <w:p w14:paraId="6D6A246F"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35.5%</w:t>
            </w:r>
          </w:p>
        </w:tc>
      </w:tr>
      <w:tr w:rsidR="009768CA" w:rsidRPr="009E7FFE" w14:paraId="4C5E6FFA"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7BF229C0" w14:textId="77777777" w:rsidR="009768CA" w:rsidRDefault="009768CA" w:rsidP="00811E9D">
            <w:pPr>
              <w:pStyle w:val="BodyText"/>
              <w:spacing w:after="120"/>
            </w:pPr>
            <w:r>
              <w:t xml:space="preserve">Professional, scientific and technical activities </w:t>
            </w:r>
          </w:p>
        </w:tc>
        <w:tc>
          <w:tcPr>
            <w:tcW w:w="1359" w:type="dxa"/>
            <w:noWrap/>
            <w:vAlign w:val="bottom"/>
            <w:hideMark/>
          </w:tcPr>
          <w:p w14:paraId="1438B6DE"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2,900</w:t>
            </w:r>
          </w:p>
        </w:tc>
        <w:tc>
          <w:tcPr>
            <w:tcW w:w="1359" w:type="dxa"/>
            <w:noWrap/>
            <w:vAlign w:val="bottom"/>
            <w:hideMark/>
          </w:tcPr>
          <w:p w14:paraId="5ECC2FE6"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3,381</w:t>
            </w:r>
          </w:p>
        </w:tc>
        <w:tc>
          <w:tcPr>
            <w:tcW w:w="1358" w:type="dxa"/>
            <w:vAlign w:val="bottom"/>
          </w:tcPr>
          <w:p w14:paraId="5A566ECF"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481</w:t>
            </w:r>
          </w:p>
        </w:tc>
        <w:tc>
          <w:tcPr>
            <w:tcW w:w="1358" w:type="dxa"/>
            <w:vAlign w:val="bottom"/>
          </w:tcPr>
          <w:p w14:paraId="40E5D663"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16.6%</w:t>
            </w:r>
          </w:p>
        </w:tc>
      </w:tr>
      <w:tr w:rsidR="009768CA" w:rsidRPr="009E7FFE" w14:paraId="6DE94FBB"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5DFAA5C1" w14:textId="77777777" w:rsidR="009768CA" w:rsidRDefault="009768CA" w:rsidP="00811E9D">
            <w:pPr>
              <w:pStyle w:val="BodyText"/>
              <w:spacing w:after="120"/>
            </w:pPr>
            <w:r>
              <w:t>Public administration and defence; compulsory social security</w:t>
            </w:r>
          </w:p>
        </w:tc>
        <w:tc>
          <w:tcPr>
            <w:tcW w:w="1359" w:type="dxa"/>
            <w:noWrap/>
            <w:vAlign w:val="bottom"/>
            <w:hideMark/>
          </w:tcPr>
          <w:p w14:paraId="73B5D871"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2,400</w:t>
            </w:r>
          </w:p>
        </w:tc>
        <w:tc>
          <w:tcPr>
            <w:tcW w:w="1359" w:type="dxa"/>
            <w:noWrap/>
            <w:vAlign w:val="bottom"/>
            <w:hideMark/>
          </w:tcPr>
          <w:p w14:paraId="223D6682"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2,400</w:t>
            </w:r>
          </w:p>
        </w:tc>
        <w:tc>
          <w:tcPr>
            <w:tcW w:w="1358" w:type="dxa"/>
            <w:vAlign w:val="bottom"/>
          </w:tcPr>
          <w:p w14:paraId="28923BA8"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0</w:t>
            </w:r>
          </w:p>
        </w:tc>
        <w:tc>
          <w:tcPr>
            <w:tcW w:w="1358" w:type="dxa"/>
            <w:vAlign w:val="bottom"/>
          </w:tcPr>
          <w:p w14:paraId="0D0758E0"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0.0%</w:t>
            </w:r>
          </w:p>
        </w:tc>
      </w:tr>
      <w:tr w:rsidR="009768CA" w:rsidRPr="009E7FFE" w14:paraId="73FBEF31"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2AA4A847" w14:textId="77777777" w:rsidR="009768CA" w:rsidRDefault="009768CA" w:rsidP="00811E9D">
            <w:pPr>
              <w:pStyle w:val="BodyText"/>
              <w:spacing w:after="120"/>
            </w:pPr>
            <w:r>
              <w:t>Real estate activities</w:t>
            </w:r>
          </w:p>
        </w:tc>
        <w:tc>
          <w:tcPr>
            <w:tcW w:w="1359" w:type="dxa"/>
            <w:noWrap/>
            <w:vAlign w:val="bottom"/>
            <w:hideMark/>
          </w:tcPr>
          <w:p w14:paraId="09D882A3"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600</w:t>
            </w:r>
          </w:p>
        </w:tc>
        <w:tc>
          <w:tcPr>
            <w:tcW w:w="1359" w:type="dxa"/>
            <w:noWrap/>
            <w:vAlign w:val="bottom"/>
            <w:hideMark/>
          </w:tcPr>
          <w:p w14:paraId="52186EB2"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699</w:t>
            </w:r>
          </w:p>
        </w:tc>
        <w:tc>
          <w:tcPr>
            <w:tcW w:w="1358" w:type="dxa"/>
            <w:vAlign w:val="bottom"/>
          </w:tcPr>
          <w:p w14:paraId="0E5B8772"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99</w:t>
            </w:r>
          </w:p>
        </w:tc>
        <w:tc>
          <w:tcPr>
            <w:tcW w:w="1358" w:type="dxa"/>
            <w:vAlign w:val="bottom"/>
          </w:tcPr>
          <w:p w14:paraId="6867DFA7"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16.6%</w:t>
            </w:r>
          </w:p>
        </w:tc>
      </w:tr>
      <w:tr w:rsidR="009768CA" w:rsidRPr="009E7FFE" w14:paraId="00B6BDDB"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23142FBA" w14:textId="77777777" w:rsidR="009768CA" w:rsidRDefault="009768CA" w:rsidP="00811E9D">
            <w:pPr>
              <w:pStyle w:val="BodyText"/>
              <w:spacing w:after="120"/>
            </w:pPr>
            <w:r>
              <w:t>Transportation and storage</w:t>
            </w:r>
          </w:p>
        </w:tc>
        <w:tc>
          <w:tcPr>
            <w:tcW w:w="1359" w:type="dxa"/>
            <w:noWrap/>
            <w:vAlign w:val="bottom"/>
            <w:hideMark/>
          </w:tcPr>
          <w:p w14:paraId="5877AF09"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5,100</w:t>
            </w:r>
          </w:p>
        </w:tc>
        <w:tc>
          <w:tcPr>
            <w:tcW w:w="1359" w:type="dxa"/>
            <w:noWrap/>
            <w:vAlign w:val="bottom"/>
            <w:hideMark/>
          </w:tcPr>
          <w:p w14:paraId="0282DC84"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6,195</w:t>
            </w:r>
          </w:p>
        </w:tc>
        <w:tc>
          <w:tcPr>
            <w:tcW w:w="1358" w:type="dxa"/>
            <w:vAlign w:val="bottom"/>
          </w:tcPr>
          <w:p w14:paraId="71526B2C"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1,095</w:t>
            </w:r>
          </w:p>
        </w:tc>
        <w:tc>
          <w:tcPr>
            <w:tcW w:w="1358" w:type="dxa"/>
            <w:vAlign w:val="bottom"/>
          </w:tcPr>
          <w:p w14:paraId="01E6722C"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21.5%</w:t>
            </w:r>
          </w:p>
        </w:tc>
      </w:tr>
      <w:tr w:rsidR="009768CA" w:rsidRPr="009E7FFE" w14:paraId="6D06FD07"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7D9E330E" w14:textId="77777777" w:rsidR="009768CA" w:rsidRDefault="009768CA" w:rsidP="00811E9D">
            <w:pPr>
              <w:pStyle w:val="BodyText"/>
              <w:spacing w:after="120"/>
            </w:pPr>
            <w:r>
              <w:t>Water supply, sewerage, waste management and remediation activities</w:t>
            </w:r>
          </w:p>
        </w:tc>
        <w:tc>
          <w:tcPr>
            <w:tcW w:w="1359" w:type="dxa"/>
            <w:noWrap/>
            <w:vAlign w:val="bottom"/>
            <w:hideMark/>
          </w:tcPr>
          <w:p w14:paraId="39198F46"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500</w:t>
            </w:r>
          </w:p>
        </w:tc>
        <w:tc>
          <w:tcPr>
            <w:tcW w:w="1359" w:type="dxa"/>
            <w:noWrap/>
            <w:vAlign w:val="bottom"/>
            <w:hideMark/>
          </w:tcPr>
          <w:p w14:paraId="249A4C85"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582</w:t>
            </w:r>
          </w:p>
        </w:tc>
        <w:tc>
          <w:tcPr>
            <w:tcW w:w="1358" w:type="dxa"/>
            <w:vAlign w:val="bottom"/>
          </w:tcPr>
          <w:p w14:paraId="4E7646DC"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82</w:t>
            </w:r>
          </w:p>
        </w:tc>
        <w:tc>
          <w:tcPr>
            <w:tcW w:w="1358" w:type="dxa"/>
            <w:vAlign w:val="bottom"/>
          </w:tcPr>
          <w:p w14:paraId="2A8936C5"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16.4%</w:t>
            </w:r>
          </w:p>
        </w:tc>
      </w:tr>
      <w:tr w:rsidR="009768CA" w:rsidRPr="009E7FFE" w14:paraId="25A75E00"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4025F11A" w14:textId="77777777" w:rsidR="009768CA" w:rsidRDefault="009768CA" w:rsidP="00811E9D">
            <w:pPr>
              <w:pStyle w:val="BodyText"/>
              <w:spacing w:after="120"/>
            </w:pPr>
            <w:r>
              <w:t>Wholesale and retail trade; repair of motor vehicles and motorcycles</w:t>
            </w:r>
          </w:p>
        </w:tc>
        <w:tc>
          <w:tcPr>
            <w:tcW w:w="1359" w:type="dxa"/>
            <w:noWrap/>
            <w:vAlign w:val="bottom"/>
            <w:hideMark/>
          </w:tcPr>
          <w:p w14:paraId="0A9F3A28"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10,900</w:t>
            </w:r>
          </w:p>
        </w:tc>
        <w:tc>
          <w:tcPr>
            <w:tcW w:w="1359" w:type="dxa"/>
            <w:noWrap/>
            <w:vAlign w:val="bottom"/>
            <w:hideMark/>
          </w:tcPr>
          <w:p w14:paraId="1986BD7E"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11,912</w:t>
            </w:r>
          </w:p>
        </w:tc>
        <w:tc>
          <w:tcPr>
            <w:tcW w:w="1358" w:type="dxa"/>
            <w:vAlign w:val="bottom"/>
          </w:tcPr>
          <w:p w14:paraId="61203DA6"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1,012</w:t>
            </w:r>
          </w:p>
        </w:tc>
        <w:tc>
          <w:tcPr>
            <w:tcW w:w="1358" w:type="dxa"/>
            <w:vAlign w:val="bottom"/>
          </w:tcPr>
          <w:p w14:paraId="2CE9EFF5"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B19BB">
              <w:rPr>
                <w:rFonts w:ascii="Arial" w:hAnsi="Arial"/>
                <w:color w:val="394A58" w:themeColor="text2"/>
                <w:sz w:val="20"/>
              </w:rPr>
              <w:t>9.3%</w:t>
            </w:r>
          </w:p>
        </w:tc>
      </w:tr>
      <w:tr w:rsidR="009768CA" w:rsidRPr="009E7FFE" w14:paraId="5930BC4A"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20CDF13B" w14:textId="77777777" w:rsidR="009768CA" w:rsidRPr="00A00683" w:rsidRDefault="009768CA" w:rsidP="00811E9D">
            <w:pPr>
              <w:pStyle w:val="BodyText"/>
              <w:spacing w:after="120"/>
              <w:rPr>
                <w:b/>
              </w:rPr>
            </w:pPr>
            <w:r w:rsidRPr="00A00683">
              <w:rPr>
                <w:b/>
              </w:rPr>
              <w:t>Total</w:t>
            </w:r>
          </w:p>
        </w:tc>
        <w:tc>
          <w:tcPr>
            <w:tcW w:w="1359" w:type="dxa"/>
            <w:noWrap/>
            <w:vAlign w:val="bottom"/>
            <w:hideMark/>
          </w:tcPr>
          <w:p w14:paraId="17AC2600"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b/>
                <w:color w:val="2D4548" w:themeColor="accent6" w:themeShade="80"/>
              </w:rPr>
            </w:pPr>
            <w:r w:rsidRPr="00506964">
              <w:rPr>
                <w:b/>
                <w:color w:val="2D4548" w:themeColor="accent6" w:themeShade="80"/>
              </w:rPr>
              <w:t>64,500</w:t>
            </w:r>
          </w:p>
        </w:tc>
        <w:tc>
          <w:tcPr>
            <w:tcW w:w="1359" w:type="dxa"/>
            <w:noWrap/>
            <w:vAlign w:val="bottom"/>
            <w:hideMark/>
          </w:tcPr>
          <w:p w14:paraId="423A7F01"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394A58" w:themeColor="text2"/>
                <w:sz w:val="20"/>
              </w:rPr>
            </w:pPr>
            <w:r w:rsidRPr="00DB19BB">
              <w:rPr>
                <w:rFonts w:ascii="Arial" w:hAnsi="Arial"/>
                <w:b/>
                <w:bCs/>
                <w:color w:val="394A58" w:themeColor="text2"/>
                <w:sz w:val="20"/>
              </w:rPr>
              <w:t>73,292</w:t>
            </w:r>
          </w:p>
        </w:tc>
        <w:tc>
          <w:tcPr>
            <w:tcW w:w="1358" w:type="dxa"/>
            <w:vAlign w:val="bottom"/>
          </w:tcPr>
          <w:p w14:paraId="59271B42"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394A58" w:themeColor="text2"/>
                <w:sz w:val="20"/>
              </w:rPr>
            </w:pPr>
            <w:r w:rsidRPr="00DB19BB">
              <w:rPr>
                <w:rFonts w:ascii="Arial" w:hAnsi="Arial"/>
                <w:b/>
                <w:bCs/>
                <w:color w:val="394A58" w:themeColor="text2"/>
                <w:sz w:val="20"/>
              </w:rPr>
              <w:t>8,792</w:t>
            </w:r>
          </w:p>
        </w:tc>
        <w:tc>
          <w:tcPr>
            <w:tcW w:w="1358" w:type="dxa"/>
            <w:vAlign w:val="bottom"/>
          </w:tcPr>
          <w:p w14:paraId="4C4DA145" w14:textId="77777777" w:rsidR="009768CA" w:rsidRPr="00DB19BB"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b/>
                <w:color w:val="394A58" w:themeColor="text2"/>
                <w:sz w:val="20"/>
              </w:rPr>
            </w:pPr>
            <w:r w:rsidRPr="00DB19BB">
              <w:rPr>
                <w:rFonts w:ascii="Arial" w:hAnsi="Arial"/>
                <w:b/>
                <w:color w:val="394A58" w:themeColor="text2"/>
                <w:sz w:val="20"/>
              </w:rPr>
              <w:t>13.6%</w:t>
            </w:r>
          </w:p>
        </w:tc>
      </w:tr>
    </w:tbl>
    <w:p w14:paraId="3DB4561F" w14:textId="77777777" w:rsidR="009768CA" w:rsidRDefault="009768CA" w:rsidP="009768CA">
      <w:pPr>
        <w:pStyle w:val="BodyText"/>
        <w:rPr>
          <w:sz w:val="18"/>
          <w:szCs w:val="18"/>
        </w:rPr>
      </w:pPr>
      <w:r w:rsidRPr="00A00683">
        <w:rPr>
          <w:sz w:val="18"/>
          <w:szCs w:val="18"/>
        </w:rPr>
        <w:t xml:space="preserve">Source: </w:t>
      </w:r>
      <w:r>
        <w:rPr>
          <w:sz w:val="18"/>
          <w:szCs w:val="18"/>
        </w:rPr>
        <w:t>Atkins, 2014.</w:t>
      </w:r>
    </w:p>
    <w:p w14:paraId="4A58CB09" w14:textId="77777777" w:rsidR="009768CA" w:rsidRPr="00F43E95" w:rsidRDefault="009768CA" w:rsidP="009768CA">
      <w:pPr>
        <w:pStyle w:val="BodyText"/>
      </w:pPr>
    </w:p>
    <w:p w14:paraId="4B720810" w14:textId="77777777" w:rsidR="009768CA" w:rsidRPr="00F43E95" w:rsidRDefault="009768CA" w:rsidP="009768CA">
      <w:pPr>
        <w:pStyle w:val="BodyText"/>
      </w:pPr>
    </w:p>
    <w:p w14:paraId="70AC27F3" w14:textId="77777777" w:rsidR="009768CA" w:rsidRDefault="009768CA" w:rsidP="009768CA">
      <w:pPr>
        <w:jc w:val="left"/>
        <w:rPr>
          <w:rFonts w:ascii="Arial" w:hAnsi="Arial"/>
          <w:b/>
          <w:color w:val="394A58"/>
          <w:sz w:val="20"/>
        </w:rPr>
      </w:pPr>
      <w:r>
        <w:rPr>
          <w:b/>
        </w:rPr>
        <w:br w:type="page"/>
      </w:r>
    </w:p>
    <w:p w14:paraId="178582D3" w14:textId="77777777" w:rsidR="009768CA" w:rsidRPr="001C5347" w:rsidRDefault="009768CA" w:rsidP="009768CA">
      <w:pPr>
        <w:pStyle w:val="BodyText"/>
      </w:pPr>
      <w:bookmarkStart w:id="266" w:name="_Toc394668609"/>
      <w:r w:rsidRPr="00187573">
        <w:rPr>
          <w:b/>
        </w:rPr>
        <w:t xml:space="preserve">Table </w:t>
      </w:r>
      <w:fldSimple w:instr=" STYLEREF 1 \s  \* MERGEFORMAT ">
        <w:r w:rsidR="00E909C9" w:rsidRPr="00E909C9">
          <w:rPr>
            <w:b/>
            <w:noProof/>
          </w:rPr>
          <w:t>3</w:t>
        </w:r>
      </w:fldSimple>
      <w:r w:rsidR="00E909C9" w:rsidRPr="000573A4">
        <w:rPr>
          <w:b/>
        </w:rPr>
        <w:t>-</w:t>
      </w:r>
      <w:fldSimple w:instr=" SEQ Table \* ARABIC \s 1  \* MERGEFORMAT ">
        <w:r w:rsidR="00E909C9" w:rsidRPr="00E909C9">
          <w:rPr>
            <w:b/>
            <w:noProof/>
          </w:rPr>
          <w:t>6</w:t>
        </w:r>
      </w:fldSimple>
      <w:r w:rsidR="00E909C9">
        <w:t>:</w:t>
      </w:r>
      <w:r w:rsidR="00E909C9">
        <w:rPr>
          <w:b/>
        </w:rPr>
        <w:t xml:space="preserve"> </w:t>
      </w:r>
      <w:r w:rsidRPr="00187573">
        <w:rPr>
          <w:b/>
        </w:rPr>
        <w:t xml:space="preserve"> </w:t>
      </w:r>
      <w:r>
        <w:rPr>
          <w:b/>
        </w:rPr>
        <w:t>Employment Forecast:  Policy Scenario 2</w:t>
      </w:r>
      <w:bookmarkEnd w:id="266"/>
    </w:p>
    <w:tbl>
      <w:tblPr>
        <w:tblStyle w:val="Atkins14pt"/>
        <w:tblW w:w="9641" w:type="dxa"/>
        <w:tblLayout w:type="fixed"/>
        <w:tblLook w:val="04A0" w:firstRow="1" w:lastRow="0" w:firstColumn="1" w:lastColumn="0" w:noHBand="0" w:noVBand="1"/>
      </w:tblPr>
      <w:tblGrid>
        <w:gridCol w:w="4207"/>
        <w:gridCol w:w="1359"/>
        <w:gridCol w:w="1359"/>
        <w:gridCol w:w="1358"/>
        <w:gridCol w:w="1358"/>
      </w:tblGrid>
      <w:tr w:rsidR="009768CA" w:rsidRPr="009E7FFE" w14:paraId="0E6FD105" w14:textId="77777777" w:rsidTr="00811E9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4207" w:type="dxa"/>
            <w:noWrap/>
            <w:vAlign w:val="bottom"/>
            <w:hideMark/>
          </w:tcPr>
          <w:p w14:paraId="77F8A1B4" w14:textId="77777777" w:rsidR="009768CA" w:rsidRDefault="009768CA" w:rsidP="00811E9D">
            <w:pPr>
              <w:pStyle w:val="BodyText"/>
            </w:pPr>
            <w:r>
              <w:t>Sector</w:t>
            </w:r>
          </w:p>
        </w:tc>
        <w:tc>
          <w:tcPr>
            <w:tcW w:w="1359" w:type="dxa"/>
            <w:noWrap/>
            <w:vAlign w:val="bottom"/>
            <w:hideMark/>
          </w:tcPr>
          <w:p w14:paraId="18607A6B"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2013</w:t>
            </w:r>
          </w:p>
        </w:tc>
        <w:tc>
          <w:tcPr>
            <w:tcW w:w="1359" w:type="dxa"/>
            <w:noWrap/>
            <w:vAlign w:val="bottom"/>
            <w:hideMark/>
          </w:tcPr>
          <w:p w14:paraId="48451072"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2032</w:t>
            </w:r>
          </w:p>
        </w:tc>
        <w:tc>
          <w:tcPr>
            <w:tcW w:w="1358" w:type="dxa"/>
          </w:tcPr>
          <w:p w14:paraId="1C94BA63"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Change</w:t>
            </w:r>
          </w:p>
        </w:tc>
        <w:tc>
          <w:tcPr>
            <w:tcW w:w="1358" w:type="dxa"/>
          </w:tcPr>
          <w:p w14:paraId="10BF1AB2" w14:textId="77777777" w:rsidR="009768CA" w:rsidRDefault="009768CA" w:rsidP="00811E9D">
            <w:pPr>
              <w:pStyle w:val="BodyText"/>
              <w:jc w:val="center"/>
              <w:cnfStyle w:val="100000000000" w:firstRow="1" w:lastRow="0" w:firstColumn="0" w:lastColumn="0" w:oddVBand="0" w:evenVBand="0" w:oddHBand="0" w:evenHBand="0" w:firstRowFirstColumn="0" w:firstRowLastColumn="0" w:lastRowFirstColumn="0" w:lastRowLastColumn="0"/>
            </w:pPr>
            <w:r>
              <w:t>% Change</w:t>
            </w:r>
          </w:p>
        </w:tc>
      </w:tr>
      <w:tr w:rsidR="009768CA" w:rsidRPr="009E7FFE" w14:paraId="1C912BDA"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72B262B0" w14:textId="77777777" w:rsidR="009768CA" w:rsidRDefault="009768CA" w:rsidP="00811E9D">
            <w:pPr>
              <w:pStyle w:val="BodyText"/>
              <w:spacing w:after="120"/>
            </w:pPr>
            <w:r>
              <w:t>Accommodation and food service activities</w:t>
            </w:r>
          </w:p>
        </w:tc>
        <w:tc>
          <w:tcPr>
            <w:tcW w:w="1359" w:type="dxa"/>
            <w:noWrap/>
            <w:vAlign w:val="bottom"/>
            <w:hideMark/>
          </w:tcPr>
          <w:p w14:paraId="4080EAC8"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3,400</w:t>
            </w:r>
          </w:p>
        </w:tc>
        <w:tc>
          <w:tcPr>
            <w:tcW w:w="1359" w:type="dxa"/>
            <w:noWrap/>
            <w:vAlign w:val="bottom"/>
            <w:hideMark/>
          </w:tcPr>
          <w:p w14:paraId="2CBBC36A"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4,621</w:t>
            </w:r>
          </w:p>
        </w:tc>
        <w:tc>
          <w:tcPr>
            <w:tcW w:w="1358" w:type="dxa"/>
            <w:vAlign w:val="bottom"/>
          </w:tcPr>
          <w:p w14:paraId="3A447B4C"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1,221</w:t>
            </w:r>
          </w:p>
        </w:tc>
        <w:tc>
          <w:tcPr>
            <w:tcW w:w="1358" w:type="dxa"/>
            <w:vAlign w:val="bottom"/>
          </w:tcPr>
          <w:p w14:paraId="703AD884"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35.9%</w:t>
            </w:r>
          </w:p>
        </w:tc>
      </w:tr>
      <w:tr w:rsidR="009768CA" w:rsidRPr="009E7FFE" w14:paraId="63F3624B"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084C1341" w14:textId="77777777" w:rsidR="009768CA" w:rsidRDefault="009768CA" w:rsidP="00811E9D">
            <w:pPr>
              <w:pStyle w:val="BodyText"/>
              <w:spacing w:after="120"/>
            </w:pPr>
            <w:r>
              <w:t>Administrative and support service activities</w:t>
            </w:r>
          </w:p>
        </w:tc>
        <w:tc>
          <w:tcPr>
            <w:tcW w:w="1359" w:type="dxa"/>
            <w:noWrap/>
            <w:vAlign w:val="bottom"/>
            <w:hideMark/>
          </w:tcPr>
          <w:p w14:paraId="698B5BE8"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6,000</w:t>
            </w:r>
          </w:p>
        </w:tc>
        <w:tc>
          <w:tcPr>
            <w:tcW w:w="1359" w:type="dxa"/>
            <w:noWrap/>
            <w:vAlign w:val="bottom"/>
            <w:hideMark/>
          </w:tcPr>
          <w:p w14:paraId="2251D56F"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7,392</w:t>
            </w:r>
          </w:p>
        </w:tc>
        <w:tc>
          <w:tcPr>
            <w:tcW w:w="1358" w:type="dxa"/>
            <w:vAlign w:val="bottom"/>
          </w:tcPr>
          <w:p w14:paraId="3875CA5B"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1,392</w:t>
            </w:r>
          </w:p>
        </w:tc>
        <w:tc>
          <w:tcPr>
            <w:tcW w:w="1358" w:type="dxa"/>
            <w:vAlign w:val="bottom"/>
          </w:tcPr>
          <w:p w14:paraId="19E0E665"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23.2%</w:t>
            </w:r>
          </w:p>
        </w:tc>
      </w:tr>
      <w:tr w:rsidR="009768CA" w:rsidRPr="009E7FFE" w14:paraId="794AFC95"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0B0EBA88" w14:textId="77777777" w:rsidR="009768CA" w:rsidRDefault="009768CA" w:rsidP="00811E9D">
            <w:pPr>
              <w:pStyle w:val="BodyText"/>
              <w:spacing w:after="120"/>
            </w:pPr>
            <w:r>
              <w:t>Agriculture, Forestry and Fishing</w:t>
            </w:r>
          </w:p>
        </w:tc>
        <w:tc>
          <w:tcPr>
            <w:tcW w:w="1359" w:type="dxa"/>
            <w:noWrap/>
            <w:vAlign w:val="bottom"/>
            <w:hideMark/>
          </w:tcPr>
          <w:p w14:paraId="4F169A5E"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100</w:t>
            </w:r>
          </w:p>
        </w:tc>
        <w:tc>
          <w:tcPr>
            <w:tcW w:w="1359" w:type="dxa"/>
            <w:noWrap/>
            <w:vAlign w:val="bottom"/>
            <w:hideMark/>
          </w:tcPr>
          <w:p w14:paraId="312CF35F"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100</w:t>
            </w:r>
          </w:p>
        </w:tc>
        <w:tc>
          <w:tcPr>
            <w:tcW w:w="1358" w:type="dxa"/>
            <w:vAlign w:val="bottom"/>
          </w:tcPr>
          <w:p w14:paraId="24815A95"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0</w:t>
            </w:r>
          </w:p>
        </w:tc>
        <w:tc>
          <w:tcPr>
            <w:tcW w:w="1358" w:type="dxa"/>
            <w:vAlign w:val="bottom"/>
          </w:tcPr>
          <w:p w14:paraId="117CBC28"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0.0%</w:t>
            </w:r>
          </w:p>
        </w:tc>
      </w:tr>
      <w:tr w:rsidR="009768CA" w:rsidRPr="009E7FFE" w14:paraId="65A81883"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4CC8C6DB" w14:textId="77777777" w:rsidR="009768CA" w:rsidRDefault="009768CA" w:rsidP="00811E9D">
            <w:pPr>
              <w:pStyle w:val="BodyText"/>
              <w:spacing w:after="120"/>
            </w:pPr>
            <w:r>
              <w:t xml:space="preserve">Arts, entertainment and recreation </w:t>
            </w:r>
          </w:p>
        </w:tc>
        <w:tc>
          <w:tcPr>
            <w:tcW w:w="1359" w:type="dxa"/>
            <w:noWrap/>
            <w:vAlign w:val="bottom"/>
            <w:hideMark/>
          </w:tcPr>
          <w:p w14:paraId="4D819A99"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1,500</w:t>
            </w:r>
          </w:p>
        </w:tc>
        <w:tc>
          <w:tcPr>
            <w:tcW w:w="1359" w:type="dxa"/>
            <w:noWrap/>
            <w:vAlign w:val="bottom"/>
            <w:hideMark/>
          </w:tcPr>
          <w:p w14:paraId="0014ADA9"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1,685</w:t>
            </w:r>
          </w:p>
        </w:tc>
        <w:tc>
          <w:tcPr>
            <w:tcW w:w="1358" w:type="dxa"/>
            <w:vAlign w:val="bottom"/>
          </w:tcPr>
          <w:p w14:paraId="3456EA36"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185</w:t>
            </w:r>
          </w:p>
        </w:tc>
        <w:tc>
          <w:tcPr>
            <w:tcW w:w="1358" w:type="dxa"/>
            <w:vAlign w:val="bottom"/>
          </w:tcPr>
          <w:p w14:paraId="0563EDD8"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12.4%</w:t>
            </w:r>
          </w:p>
        </w:tc>
      </w:tr>
      <w:tr w:rsidR="009768CA" w:rsidRPr="009E7FFE" w14:paraId="21398429"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7CC13766" w14:textId="77777777" w:rsidR="009768CA" w:rsidRDefault="009768CA" w:rsidP="00811E9D">
            <w:pPr>
              <w:pStyle w:val="BodyText"/>
              <w:spacing w:after="120"/>
            </w:pPr>
            <w:r>
              <w:t xml:space="preserve">Construction </w:t>
            </w:r>
          </w:p>
        </w:tc>
        <w:tc>
          <w:tcPr>
            <w:tcW w:w="1359" w:type="dxa"/>
            <w:noWrap/>
            <w:vAlign w:val="bottom"/>
            <w:hideMark/>
          </w:tcPr>
          <w:p w14:paraId="1B772DC8"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2,400</w:t>
            </w:r>
          </w:p>
        </w:tc>
        <w:tc>
          <w:tcPr>
            <w:tcW w:w="1359" w:type="dxa"/>
            <w:noWrap/>
            <w:vAlign w:val="bottom"/>
            <w:hideMark/>
          </w:tcPr>
          <w:p w14:paraId="46241085"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3,891</w:t>
            </w:r>
          </w:p>
        </w:tc>
        <w:tc>
          <w:tcPr>
            <w:tcW w:w="1358" w:type="dxa"/>
            <w:vAlign w:val="bottom"/>
          </w:tcPr>
          <w:p w14:paraId="709AA75D"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1,491</w:t>
            </w:r>
          </w:p>
        </w:tc>
        <w:tc>
          <w:tcPr>
            <w:tcW w:w="1358" w:type="dxa"/>
            <w:vAlign w:val="bottom"/>
          </w:tcPr>
          <w:p w14:paraId="78138DF2"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62.1%</w:t>
            </w:r>
          </w:p>
        </w:tc>
      </w:tr>
      <w:tr w:rsidR="009768CA" w:rsidRPr="009E7FFE" w14:paraId="02B3719B"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368FED7D" w14:textId="77777777" w:rsidR="009768CA" w:rsidRDefault="009768CA" w:rsidP="00811E9D">
            <w:pPr>
              <w:pStyle w:val="BodyText"/>
              <w:spacing w:after="120"/>
            </w:pPr>
            <w:r>
              <w:t>Education</w:t>
            </w:r>
          </w:p>
        </w:tc>
        <w:tc>
          <w:tcPr>
            <w:tcW w:w="1359" w:type="dxa"/>
            <w:noWrap/>
            <w:vAlign w:val="bottom"/>
            <w:hideMark/>
          </w:tcPr>
          <w:p w14:paraId="4A96B105"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6,300</w:t>
            </w:r>
          </w:p>
        </w:tc>
        <w:tc>
          <w:tcPr>
            <w:tcW w:w="1359" w:type="dxa"/>
            <w:noWrap/>
            <w:vAlign w:val="bottom"/>
            <w:hideMark/>
          </w:tcPr>
          <w:p w14:paraId="1211FA24"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7,128</w:t>
            </w:r>
          </w:p>
        </w:tc>
        <w:tc>
          <w:tcPr>
            <w:tcW w:w="1358" w:type="dxa"/>
            <w:vAlign w:val="bottom"/>
          </w:tcPr>
          <w:p w14:paraId="56B5EB14"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828</w:t>
            </w:r>
          </w:p>
        </w:tc>
        <w:tc>
          <w:tcPr>
            <w:tcW w:w="1358" w:type="dxa"/>
            <w:vAlign w:val="bottom"/>
          </w:tcPr>
          <w:p w14:paraId="1C083A5B"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13.1%</w:t>
            </w:r>
          </w:p>
        </w:tc>
      </w:tr>
      <w:tr w:rsidR="009768CA" w:rsidRPr="009E7FFE" w14:paraId="50C78E90"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3919F1CB" w14:textId="77777777" w:rsidR="009768CA" w:rsidRDefault="009768CA" w:rsidP="00811E9D">
            <w:pPr>
              <w:pStyle w:val="BodyText"/>
              <w:spacing w:after="120"/>
            </w:pPr>
            <w:r>
              <w:t>Electricity, gas, steam and air conditioning supply</w:t>
            </w:r>
          </w:p>
        </w:tc>
        <w:tc>
          <w:tcPr>
            <w:tcW w:w="1359" w:type="dxa"/>
            <w:noWrap/>
            <w:vAlign w:val="bottom"/>
            <w:hideMark/>
          </w:tcPr>
          <w:p w14:paraId="335DD237"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300</w:t>
            </w:r>
          </w:p>
        </w:tc>
        <w:tc>
          <w:tcPr>
            <w:tcW w:w="1359" w:type="dxa"/>
            <w:noWrap/>
            <w:vAlign w:val="bottom"/>
            <w:hideMark/>
          </w:tcPr>
          <w:p w14:paraId="31564DD1"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365</w:t>
            </w:r>
          </w:p>
        </w:tc>
        <w:tc>
          <w:tcPr>
            <w:tcW w:w="1358" w:type="dxa"/>
            <w:vAlign w:val="bottom"/>
          </w:tcPr>
          <w:p w14:paraId="56F4097D"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65</w:t>
            </w:r>
          </w:p>
        </w:tc>
        <w:tc>
          <w:tcPr>
            <w:tcW w:w="1358" w:type="dxa"/>
            <w:vAlign w:val="bottom"/>
          </w:tcPr>
          <w:p w14:paraId="6B1CF3F3"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21.8%</w:t>
            </w:r>
          </w:p>
        </w:tc>
      </w:tr>
      <w:tr w:rsidR="009768CA" w:rsidRPr="009E7FFE" w14:paraId="450EC830"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12B509B3" w14:textId="77777777" w:rsidR="009768CA" w:rsidRDefault="009768CA" w:rsidP="00811E9D">
            <w:pPr>
              <w:pStyle w:val="BodyText"/>
              <w:spacing w:after="120"/>
            </w:pPr>
            <w:r>
              <w:t>Financial and insurance activities</w:t>
            </w:r>
          </w:p>
        </w:tc>
        <w:tc>
          <w:tcPr>
            <w:tcW w:w="1359" w:type="dxa"/>
            <w:noWrap/>
            <w:vAlign w:val="bottom"/>
            <w:hideMark/>
          </w:tcPr>
          <w:p w14:paraId="4641D445"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800</w:t>
            </w:r>
          </w:p>
        </w:tc>
        <w:tc>
          <w:tcPr>
            <w:tcW w:w="1359" w:type="dxa"/>
            <w:noWrap/>
            <w:vAlign w:val="bottom"/>
            <w:hideMark/>
          </w:tcPr>
          <w:p w14:paraId="66793667"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1,078</w:t>
            </w:r>
          </w:p>
        </w:tc>
        <w:tc>
          <w:tcPr>
            <w:tcW w:w="1358" w:type="dxa"/>
            <w:vAlign w:val="bottom"/>
          </w:tcPr>
          <w:p w14:paraId="5328F75E"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278</w:t>
            </w:r>
          </w:p>
        </w:tc>
        <w:tc>
          <w:tcPr>
            <w:tcW w:w="1358" w:type="dxa"/>
            <w:vAlign w:val="bottom"/>
          </w:tcPr>
          <w:p w14:paraId="65A6A4D7"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34.8%</w:t>
            </w:r>
          </w:p>
        </w:tc>
      </w:tr>
      <w:tr w:rsidR="009768CA" w:rsidRPr="009E7FFE" w14:paraId="17DAE378"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6322AB7B" w14:textId="77777777" w:rsidR="009768CA" w:rsidRDefault="009768CA" w:rsidP="00811E9D">
            <w:pPr>
              <w:pStyle w:val="BodyText"/>
              <w:spacing w:after="120"/>
            </w:pPr>
            <w:r>
              <w:t>Human health and social work activities</w:t>
            </w:r>
          </w:p>
        </w:tc>
        <w:tc>
          <w:tcPr>
            <w:tcW w:w="1359" w:type="dxa"/>
            <w:noWrap/>
            <w:vAlign w:val="bottom"/>
            <w:hideMark/>
          </w:tcPr>
          <w:p w14:paraId="441989EA"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10,300</w:t>
            </w:r>
          </w:p>
        </w:tc>
        <w:tc>
          <w:tcPr>
            <w:tcW w:w="1359" w:type="dxa"/>
            <w:noWrap/>
            <w:vAlign w:val="bottom"/>
            <w:hideMark/>
          </w:tcPr>
          <w:p w14:paraId="22CCB5FE"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11,156</w:t>
            </w:r>
          </w:p>
        </w:tc>
        <w:tc>
          <w:tcPr>
            <w:tcW w:w="1358" w:type="dxa"/>
            <w:vAlign w:val="bottom"/>
          </w:tcPr>
          <w:p w14:paraId="226E9EE7"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856</w:t>
            </w:r>
          </w:p>
        </w:tc>
        <w:tc>
          <w:tcPr>
            <w:tcW w:w="1358" w:type="dxa"/>
            <w:vAlign w:val="bottom"/>
          </w:tcPr>
          <w:p w14:paraId="08D2BE4A"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8.3%</w:t>
            </w:r>
          </w:p>
        </w:tc>
      </w:tr>
      <w:tr w:rsidR="009768CA" w:rsidRPr="009E7FFE" w14:paraId="72F3889D"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43552A1E" w14:textId="77777777" w:rsidR="009768CA" w:rsidRDefault="009768CA" w:rsidP="00811E9D">
            <w:pPr>
              <w:pStyle w:val="BodyText"/>
              <w:spacing w:after="120"/>
            </w:pPr>
            <w:r>
              <w:t xml:space="preserve">Information and communication </w:t>
            </w:r>
          </w:p>
        </w:tc>
        <w:tc>
          <w:tcPr>
            <w:tcW w:w="1359" w:type="dxa"/>
            <w:noWrap/>
            <w:vAlign w:val="bottom"/>
            <w:hideMark/>
          </w:tcPr>
          <w:p w14:paraId="353D8B3A"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700</w:t>
            </w:r>
          </w:p>
        </w:tc>
        <w:tc>
          <w:tcPr>
            <w:tcW w:w="1359" w:type="dxa"/>
            <w:noWrap/>
            <w:vAlign w:val="bottom"/>
            <w:hideMark/>
          </w:tcPr>
          <w:p w14:paraId="1513111B"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980</w:t>
            </w:r>
          </w:p>
        </w:tc>
        <w:tc>
          <w:tcPr>
            <w:tcW w:w="1358" w:type="dxa"/>
            <w:vAlign w:val="bottom"/>
          </w:tcPr>
          <w:p w14:paraId="1783F4E7"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280</w:t>
            </w:r>
          </w:p>
        </w:tc>
        <w:tc>
          <w:tcPr>
            <w:tcW w:w="1358" w:type="dxa"/>
            <w:vAlign w:val="bottom"/>
          </w:tcPr>
          <w:p w14:paraId="3C570F52"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40.1%</w:t>
            </w:r>
          </w:p>
        </w:tc>
      </w:tr>
      <w:tr w:rsidR="009768CA" w:rsidRPr="009E7FFE" w14:paraId="7C1D0873"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03CCE859" w14:textId="77777777" w:rsidR="009768CA" w:rsidRDefault="009768CA" w:rsidP="00811E9D">
            <w:pPr>
              <w:pStyle w:val="BodyText"/>
              <w:spacing w:after="120"/>
            </w:pPr>
            <w:r>
              <w:t xml:space="preserve">Manufacturing </w:t>
            </w:r>
          </w:p>
        </w:tc>
        <w:tc>
          <w:tcPr>
            <w:tcW w:w="1359" w:type="dxa"/>
            <w:noWrap/>
            <w:vAlign w:val="bottom"/>
            <w:hideMark/>
          </w:tcPr>
          <w:p w14:paraId="66FA54CE"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9,500</w:t>
            </w:r>
          </w:p>
        </w:tc>
        <w:tc>
          <w:tcPr>
            <w:tcW w:w="1359" w:type="dxa"/>
            <w:noWrap/>
            <w:vAlign w:val="bottom"/>
            <w:hideMark/>
          </w:tcPr>
          <w:p w14:paraId="2C943EB3"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12,457</w:t>
            </w:r>
          </w:p>
        </w:tc>
        <w:tc>
          <w:tcPr>
            <w:tcW w:w="1358" w:type="dxa"/>
            <w:vAlign w:val="bottom"/>
          </w:tcPr>
          <w:p w14:paraId="4E362707"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2,957</w:t>
            </w:r>
          </w:p>
        </w:tc>
        <w:tc>
          <w:tcPr>
            <w:tcW w:w="1358" w:type="dxa"/>
            <w:vAlign w:val="bottom"/>
          </w:tcPr>
          <w:p w14:paraId="0E8414C2"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31.1%</w:t>
            </w:r>
          </w:p>
        </w:tc>
      </w:tr>
      <w:tr w:rsidR="009768CA" w:rsidRPr="009E7FFE" w14:paraId="563B35FE"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00DA29E7" w14:textId="77777777" w:rsidR="009768CA" w:rsidRDefault="009768CA" w:rsidP="00811E9D">
            <w:pPr>
              <w:pStyle w:val="BodyText"/>
              <w:spacing w:after="120"/>
            </w:pPr>
            <w:r>
              <w:t>Other service activities</w:t>
            </w:r>
          </w:p>
        </w:tc>
        <w:tc>
          <w:tcPr>
            <w:tcW w:w="1359" w:type="dxa"/>
            <w:noWrap/>
            <w:vAlign w:val="bottom"/>
            <w:hideMark/>
          </w:tcPr>
          <w:p w14:paraId="4C863BCA"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800</w:t>
            </w:r>
          </w:p>
        </w:tc>
        <w:tc>
          <w:tcPr>
            <w:tcW w:w="1359" w:type="dxa"/>
            <w:noWrap/>
            <w:vAlign w:val="bottom"/>
            <w:hideMark/>
          </w:tcPr>
          <w:p w14:paraId="54B0890D"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1,223</w:t>
            </w:r>
          </w:p>
        </w:tc>
        <w:tc>
          <w:tcPr>
            <w:tcW w:w="1358" w:type="dxa"/>
            <w:vAlign w:val="bottom"/>
          </w:tcPr>
          <w:p w14:paraId="1386A6C5"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423</w:t>
            </w:r>
          </w:p>
        </w:tc>
        <w:tc>
          <w:tcPr>
            <w:tcW w:w="1358" w:type="dxa"/>
            <w:vAlign w:val="bottom"/>
          </w:tcPr>
          <w:p w14:paraId="2FB88E63"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52.9%</w:t>
            </w:r>
          </w:p>
        </w:tc>
      </w:tr>
      <w:tr w:rsidR="009768CA" w:rsidRPr="009E7FFE" w14:paraId="3A3FD8C6"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38933CCC" w14:textId="77777777" w:rsidR="009768CA" w:rsidRDefault="009768CA" w:rsidP="00811E9D">
            <w:pPr>
              <w:pStyle w:val="BodyText"/>
              <w:spacing w:after="120"/>
            </w:pPr>
            <w:r>
              <w:t xml:space="preserve">Professional, scientific and technical activities </w:t>
            </w:r>
          </w:p>
        </w:tc>
        <w:tc>
          <w:tcPr>
            <w:tcW w:w="1359" w:type="dxa"/>
            <w:noWrap/>
            <w:vAlign w:val="bottom"/>
            <w:hideMark/>
          </w:tcPr>
          <w:p w14:paraId="03902AB1"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2,900</w:t>
            </w:r>
          </w:p>
        </w:tc>
        <w:tc>
          <w:tcPr>
            <w:tcW w:w="1359" w:type="dxa"/>
            <w:noWrap/>
            <w:vAlign w:val="bottom"/>
            <w:hideMark/>
          </w:tcPr>
          <w:p w14:paraId="4CC26DD7"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3,401</w:t>
            </w:r>
          </w:p>
        </w:tc>
        <w:tc>
          <w:tcPr>
            <w:tcW w:w="1358" w:type="dxa"/>
            <w:vAlign w:val="bottom"/>
          </w:tcPr>
          <w:p w14:paraId="59FCAB05"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501</w:t>
            </w:r>
          </w:p>
        </w:tc>
        <w:tc>
          <w:tcPr>
            <w:tcW w:w="1358" w:type="dxa"/>
            <w:vAlign w:val="bottom"/>
          </w:tcPr>
          <w:p w14:paraId="4D39B775"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17.3%</w:t>
            </w:r>
          </w:p>
        </w:tc>
      </w:tr>
      <w:tr w:rsidR="009768CA" w:rsidRPr="009E7FFE" w14:paraId="0AAD5C6C"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3E6BF288" w14:textId="77777777" w:rsidR="009768CA" w:rsidRDefault="009768CA" w:rsidP="00811E9D">
            <w:pPr>
              <w:pStyle w:val="BodyText"/>
              <w:spacing w:after="120"/>
            </w:pPr>
            <w:r>
              <w:t>Public administration and defence; compulsory social security</w:t>
            </w:r>
          </w:p>
        </w:tc>
        <w:tc>
          <w:tcPr>
            <w:tcW w:w="1359" w:type="dxa"/>
            <w:noWrap/>
            <w:vAlign w:val="bottom"/>
            <w:hideMark/>
          </w:tcPr>
          <w:p w14:paraId="4E4413A3"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2,400</w:t>
            </w:r>
          </w:p>
        </w:tc>
        <w:tc>
          <w:tcPr>
            <w:tcW w:w="1359" w:type="dxa"/>
            <w:noWrap/>
            <w:vAlign w:val="bottom"/>
            <w:hideMark/>
          </w:tcPr>
          <w:p w14:paraId="24B231F4"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2,429</w:t>
            </w:r>
          </w:p>
        </w:tc>
        <w:tc>
          <w:tcPr>
            <w:tcW w:w="1358" w:type="dxa"/>
            <w:vAlign w:val="bottom"/>
          </w:tcPr>
          <w:p w14:paraId="63331A08"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29</w:t>
            </w:r>
          </w:p>
        </w:tc>
        <w:tc>
          <w:tcPr>
            <w:tcW w:w="1358" w:type="dxa"/>
            <w:vAlign w:val="bottom"/>
          </w:tcPr>
          <w:p w14:paraId="3A7A8E2E"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1.2%</w:t>
            </w:r>
          </w:p>
        </w:tc>
      </w:tr>
      <w:tr w:rsidR="009768CA" w:rsidRPr="009E7FFE" w14:paraId="5036AA3C"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37BF4951" w14:textId="77777777" w:rsidR="009768CA" w:rsidRDefault="009768CA" w:rsidP="00811E9D">
            <w:pPr>
              <w:pStyle w:val="BodyText"/>
              <w:spacing w:after="120"/>
            </w:pPr>
            <w:r>
              <w:t>Real estate activities</w:t>
            </w:r>
          </w:p>
        </w:tc>
        <w:tc>
          <w:tcPr>
            <w:tcW w:w="1359" w:type="dxa"/>
            <w:noWrap/>
            <w:vAlign w:val="bottom"/>
            <w:hideMark/>
          </w:tcPr>
          <w:p w14:paraId="406C771A"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600</w:t>
            </w:r>
          </w:p>
        </w:tc>
        <w:tc>
          <w:tcPr>
            <w:tcW w:w="1359" w:type="dxa"/>
            <w:noWrap/>
            <w:vAlign w:val="bottom"/>
            <w:hideMark/>
          </w:tcPr>
          <w:p w14:paraId="1C21EFA6"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742</w:t>
            </w:r>
          </w:p>
        </w:tc>
        <w:tc>
          <w:tcPr>
            <w:tcW w:w="1358" w:type="dxa"/>
            <w:vAlign w:val="bottom"/>
          </w:tcPr>
          <w:p w14:paraId="5CF3668E"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142</w:t>
            </w:r>
          </w:p>
        </w:tc>
        <w:tc>
          <w:tcPr>
            <w:tcW w:w="1358" w:type="dxa"/>
            <w:vAlign w:val="bottom"/>
          </w:tcPr>
          <w:p w14:paraId="00B238B8"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23.7%</w:t>
            </w:r>
          </w:p>
        </w:tc>
      </w:tr>
      <w:tr w:rsidR="009768CA" w:rsidRPr="009E7FFE" w14:paraId="626C0E23"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5C2D8CE6" w14:textId="77777777" w:rsidR="009768CA" w:rsidRDefault="009768CA" w:rsidP="00811E9D">
            <w:pPr>
              <w:pStyle w:val="BodyText"/>
              <w:spacing w:after="120"/>
            </w:pPr>
            <w:r>
              <w:t>Transportation and storage</w:t>
            </w:r>
          </w:p>
        </w:tc>
        <w:tc>
          <w:tcPr>
            <w:tcW w:w="1359" w:type="dxa"/>
            <w:noWrap/>
            <w:vAlign w:val="bottom"/>
            <w:hideMark/>
          </w:tcPr>
          <w:p w14:paraId="5A833556"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5,100</w:t>
            </w:r>
          </w:p>
        </w:tc>
        <w:tc>
          <w:tcPr>
            <w:tcW w:w="1359" w:type="dxa"/>
            <w:noWrap/>
            <w:vAlign w:val="bottom"/>
            <w:hideMark/>
          </w:tcPr>
          <w:p w14:paraId="76A1FFA7"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6,543</w:t>
            </w:r>
          </w:p>
        </w:tc>
        <w:tc>
          <w:tcPr>
            <w:tcW w:w="1358" w:type="dxa"/>
            <w:vAlign w:val="bottom"/>
          </w:tcPr>
          <w:p w14:paraId="3FD99A96"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1,443</w:t>
            </w:r>
          </w:p>
        </w:tc>
        <w:tc>
          <w:tcPr>
            <w:tcW w:w="1358" w:type="dxa"/>
            <w:vAlign w:val="bottom"/>
          </w:tcPr>
          <w:p w14:paraId="1A0C3C25"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28.3%</w:t>
            </w:r>
          </w:p>
        </w:tc>
      </w:tr>
      <w:tr w:rsidR="009768CA" w:rsidRPr="009E7FFE" w14:paraId="2DD24FEA"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6667457B" w14:textId="77777777" w:rsidR="009768CA" w:rsidRDefault="009768CA" w:rsidP="00811E9D">
            <w:pPr>
              <w:pStyle w:val="BodyText"/>
              <w:spacing w:after="120"/>
            </w:pPr>
            <w:r>
              <w:t>Water supply, sewerage, waste management and remediation activities</w:t>
            </w:r>
          </w:p>
        </w:tc>
        <w:tc>
          <w:tcPr>
            <w:tcW w:w="1359" w:type="dxa"/>
            <w:noWrap/>
            <w:vAlign w:val="bottom"/>
            <w:hideMark/>
          </w:tcPr>
          <w:p w14:paraId="22E167B0"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500</w:t>
            </w:r>
          </w:p>
        </w:tc>
        <w:tc>
          <w:tcPr>
            <w:tcW w:w="1359" w:type="dxa"/>
            <w:noWrap/>
            <w:vAlign w:val="bottom"/>
            <w:hideMark/>
          </w:tcPr>
          <w:p w14:paraId="3C5382E9"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658</w:t>
            </w:r>
          </w:p>
        </w:tc>
        <w:tc>
          <w:tcPr>
            <w:tcW w:w="1358" w:type="dxa"/>
            <w:vAlign w:val="bottom"/>
          </w:tcPr>
          <w:p w14:paraId="6AD1F26B"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158</w:t>
            </w:r>
          </w:p>
        </w:tc>
        <w:tc>
          <w:tcPr>
            <w:tcW w:w="1358" w:type="dxa"/>
            <w:vAlign w:val="bottom"/>
          </w:tcPr>
          <w:p w14:paraId="134DE18B"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31.5%</w:t>
            </w:r>
          </w:p>
        </w:tc>
      </w:tr>
      <w:tr w:rsidR="009768CA" w:rsidRPr="009E7FFE" w14:paraId="73E4FB50"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7850833F" w14:textId="77777777" w:rsidR="009768CA" w:rsidRDefault="009768CA" w:rsidP="00811E9D">
            <w:pPr>
              <w:pStyle w:val="BodyText"/>
              <w:spacing w:after="120"/>
            </w:pPr>
            <w:r>
              <w:t>Wholesale and retail trade; repair of motor vehicles and motorcycles</w:t>
            </w:r>
          </w:p>
        </w:tc>
        <w:tc>
          <w:tcPr>
            <w:tcW w:w="1359" w:type="dxa"/>
            <w:noWrap/>
            <w:vAlign w:val="bottom"/>
            <w:hideMark/>
          </w:tcPr>
          <w:p w14:paraId="43C7ED6A"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2D4548" w:themeColor="accent6" w:themeShade="80"/>
              </w:rPr>
            </w:pPr>
            <w:r w:rsidRPr="00506964">
              <w:rPr>
                <w:color w:val="2D4548" w:themeColor="accent6" w:themeShade="80"/>
              </w:rPr>
              <w:t>10,900</w:t>
            </w:r>
          </w:p>
        </w:tc>
        <w:tc>
          <w:tcPr>
            <w:tcW w:w="1359" w:type="dxa"/>
            <w:noWrap/>
            <w:vAlign w:val="bottom"/>
            <w:hideMark/>
          </w:tcPr>
          <w:p w14:paraId="67EBDA24"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12,833</w:t>
            </w:r>
          </w:p>
        </w:tc>
        <w:tc>
          <w:tcPr>
            <w:tcW w:w="1358" w:type="dxa"/>
            <w:vAlign w:val="bottom"/>
          </w:tcPr>
          <w:p w14:paraId="5E1C80BA"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1,933</w:t>
            </w:r>
          </w:p>
        </w:tc>
        <w:tc>
          <w:tcPr>
            <w:tcW w:w="1358" w:type="dxa"/>
            <w:vAlign w:val="bottom"/>
          </w:tcPr>
          <w:p w14:paraId="06833DC2"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ED04F3">
              <w:rPr>
                <w:rFonts w:ascii="Arial" w:hAnsi="Arial"/>
                <w:color w:val="394A58" w:themeColor="text2"/>
                <w:sz w:val="20"/>
              </w:rPr>
              <w:t>17.7%</w:t>
            </w:r>
          </w:p>
        </w:tc>
      </w:tr>
      <w:tr w:rsidR="009768CA" w:rsidRPr="009E7FFE" w14:paraId="4BA90294" w14:textId="77777777" w:rsidTr="00811E9D">
        <w:trPr>
          <w:trHeight w:val="255"/>
        </w:trPr>
        <w:tc>
          <w:tcPr>
            <w:cnfStyle w:val="001000000000" w:firstRow="0" w:lastRow="0" w:firstColumn="1" w:lastColumn="0" w:oddVBand="0" w:evenVBand="0" w:oddHBand="0" w:evenHBand="0" w:firstRowFirstColumn="0" w:firstRowLastColumn="0" w:lastRowFirstColumn="0" w:lastRowLastColumn="0"/>
            <w:tcW w:w="4207" w:type="dxa"/>
            <w:noWrap/>
            <w:vAlign w:val="bottom"/>
            <w:hideMark/>
          </w:tcPr>
          <w:p w14:paraId="328A22FA" w14:textId="77777777" w:rsidR="009768CA" w:rsidRPr="00A00683" w:rsidRDefault="009768CA" w:rsidP="00811E9D">
            <w:pPr>
              <w:pStyle w:val="BodyText"/>
              <w:spacing w:after="120"/>
              <w:rPr>
                <w:b/>
              </w:rPr>
            </w:pPr>
            <w:r w:rsidRPr="00A00683">
              <w:rPr>
                <w:b/>
              </w:rPr>
              <w:t>Total</w:t>
            </w:r>
          </w:p>
        </w:tc>
        <w:tc>
          <w:tcPr>
            <w:tcW w:w="1359" w:type="dxa"/>
            <w:noWrap/>
            <w:vAlign w:val="bottom"/>
            <w:hideMark/>
          </w:tcPr>
          <w:p w14:paraId="786C8E7C" w14:textId="77777777" w:rsidR="009768CA" w:rsidRPr="00506964" w:rsidRDefault="009768CA" w:rsidP="00811E9D">
            <w:pPr>
              <w:pStyle w:val="BodyText"/>
              <w:spacing w:after="0"/>
              <w:jc w:val="center"/>
              <w:cnfStyle w:val="000000000000" w:firstRow="0" w:lastRow="0" w:firstColumn="0" w:lastColumn="0" w:oddVBand="0" w:evenVBand="0" w:oddHBand="0" w:evenHBand="0" w:firstRowFirstColumn="0" w:firstRowLastColumn="0" w:lastRowFirstColumn="0" w:lastRowLastColumn="0"/>
              <w:rPr>
                <w:b/>
                <w:color w:val="2D4548" w:themeColor="accent6" w:themeShade="80"/>
              </w:rPr>
            </w:pPr>
            <w:r w:rsidRPr="00506964">
              <w:rPr>
                <w:b/>
                <w:color w:val="2D4548" w:themeColor="accent6" w:themeShade="80"/>
              </w:rPr>
              <w:t>64,500</w:t>
            </w:r>
          </w:p>
        </w:tc>
        <w:tc>
          <w:tcPr>
            <w:tcW w:w="1359" w:type="dxa"/>
            <w:noWrap/>
            <w:vAlign w:val="bottom"/>
            <w:hideMark/>
          </w:tcPr>
          <w:p w14:paraId="77A317B1"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394A58" w:themeColor="text2"/>
                <w:sz w:val="20"/>
              </w:rPr>
            </w:pPr>
            <w:r w:rsidRPr="00ED04F3">
              <w:rPr>
                <w:rFonts w:ascii="Arial" w:hAnsi="Arial"/>
                <w:b/>
                <w:bCs/>
                <w:color w:val="394A58" w:themeColor="text2"/>
                <w:sz w:val="20"/>
              </w:rPr>
              <w:t>78,684</w:t>
            </w:r>
          </w:p>
        </w:tc>
        <w:tc>
          <w:tcPr>
            <w:tcW w:w="1358" w:type="dxa"/>
            <w:vAlign w:val="bottom"/>
          </w:tcPr>
          <w:p w14:paraId="46D0C9D3"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394A58" w:themeColor="text2"/>
                <w:sz w:val="20"/>
              </w:rPr>
            </w:pPr>
            <w:r w:rsidRPr="00ED04F3">
              <w:rPr>
                <w:rFonts w:ascii="Arial" w:hAnsi="Arial"/>
                <w:b/>
                <w:bCs/>
                <w:color w:val="394A58" w:themeColor="text2"/>
                <w:sz w:val="20"/>
              </w:rPr>
              <w:t>14,184</w:t>
            </w:r>
          </w:p>
        </w:tc>
        <w:tc>
          <w:tcPr>
            <w:tcW w:w="1358" w:type="dxa"/>
            <w:vAlign w:val="bottom"/>
          </w:tcPr>
          <w:p w14:paraId="52DB8C7A" w14:textId="77777777" w:rsidR="009768CA" w:rsidRPr="00ED04F3" w:rsidRDefault="009768CA" w:rsidP="00811E9D">
            <w:pPr>
              <w:jc w:val="center"/>
              <w:cnfStyle w:val="000000000000" w:firstRow="0" w:lastRow="0" w:firstColumn="0" w:lastColumn="0" w:oddVBand="0" w:evenVBand="0" w:oddHBand="0" w:evenHBand="0" w:firstRowFirstColumn="0" w:firstRowLastColumn="0" w:lastRowFirstColumn="0" w:lastRowLastColumn="0"/>
              <w:rPr>
                <w:rFonts w:ascii="Arial" w:hAnsi="Arial"/>
                <w:b/>
                <w:color w:val="394A58" w:themeColor="text2"/>
                <w:sz w:val="20"/>
              </w:rPr>
            </w:pPr>
            <w:r w:rsidRPr="00ED04F3">
              <w:rPr>
                <w:rFonts w:ascii="Arial" w:hAnsi="Arial"/>
                <w:b/>
                <w:color w:val="394A58" w:themeColor="text2"/>
                <w:sz w:val="20"/>
              </w:rPr>
              <w:t>22.0%</w:t>
            </w:r>
          </w:p>
        </w:tc>
      </w:tr>
    </w:tbl>
    <w:p w14:paraId="2DD4D4F0" w14:textId="77777777" w:rsidR="009768CA" w:rsidRDefault="009768CA" w:rsidP="009768CA">
      <w:pPr>
        <w:pStyle w:val="BodyText"/>
        <w:rPr>
          <w:sz w:val="18"/>
          <w:szCs w:val="18"/>
        </w:rPr>
      </w:pPr>
      <w:r w:rsidRPr="00A00683">
        <w:rPr>
          <w:sz w:val="18"/>
          <w:szCs w:val="18"/>
        </w:rPr>
        <w:t xml:space="preserve">Source: </w:t>
      </w:r>
      <w:r>
        <w:rPr>
          <w:sz w:val="18"/>
          <w:szCs w:val="18"/>
        </w:rPr>
        <w:t>Atkins, 2014.</w:t>
      </w:r>
    </w:p>
    <w:p w14:paraId="58F9C79D" w14:textId="77777777" w:rsidR="00ED04F3" w:rsidRDefault="00ED04F3" w:rsidP="00ED04F3">
      <w:pPr>
        <w:pStyle w:val="Heading2"/>
      </w:pPr>
      <w:bookmarkStart w:id="267" w:name="_Toc394668588"/>
      <w:r>
        <w:t>Employment Scenarios Summary</w:t>
      </w:r>
      <w:bookmarkEnd w:id="267"/>
    </w:p>
    <w:p w14:paraId="016BB65E" w14:textId="77777777" w:rsidR="00ED04F3" w:rsidRPr="00ED04F3" w:rsidRDefault="00ED04F3" w:rsidP="00ED04F3">
      <w:pPr>
        <w:pStyle w:val="BodyText"/>
      </w:pPr>
      <w:r>
        <w:t xml:space="preserve">Figure 3.1 provides a summary of total employment growth implied by each of the three scenarios for the period up to 2032.  Table 3.7 summarises the total net additional growth in employment for each scenario.  These are grouped into five year bands with the exception of the final period which represents the last four years of the forecasting timescale.   </w:t>
      </w:r>
    </w:p>
    <w:p w14:paraId="1C3FEFF2" w14:textId="77777777" w:rsidR="00B820E1" w:rsidRDefault="00B820E1">
      <w:pPr>
        <w:jc w:val="left"/>
        <w:rPr>
          <w:rFonts w:ascii="Arial" w:hAnsi="Arial"/>
          <w:b/>
          <w:color w:val="000000" w:themeColor="accent4"/>
          <w:kern w:val="28"/>
          <w:sz w:val="20"/>
        </w:rPr>
      </w:pPr>
      <w:r>
        <w:rPr>
          <w:b/>
          <w:color w:val="000000" w:themeColor="accent4"/>
          <w:kern w:val="28"/>
        </w:rPr>
        <w:br w:type="page"/>
      </w:r>
    </w:p>
    <w:p w14:paraId="5BE4C871" w14:textId="77777777" w:rsidR="00ED04F3" w:rsidRDefault="00ED04F3" w:rsidP="00ED04F3">
      <w:pPr>
        <w:pStyle w:val="BodyText"/>
        <w:rPr>
          <w:b/>
          <w:color w:val="000000" w:themeColor="accent4"/>
          <w:kern w:val="28"/>
        </w:rPr>
      </w:pPr>
      <w:bookmarkStart w:id="268" w:name="_Toc394657981"/>
      <w:r w:rsidRPr="00ED04F3">
        <w:rPr>
          <w:b/>
          <w:color w:val="000000" w:themeColor="accent4"/>
          <w:kern w:val="28"/>
        </w:rPr>
        <w:t xml:space="preserve">Figure </w:t>
      </w:r>
      <w:fldSimple w:instr=" STYLEREF 1 \s  \* MERGEFORMAT ">
        <w:r w:rsidRPr="00ED04F3">
          <w:rPr>
            <w:b/>
            <w:noProof/>
            <w:color w:val="000000" w:themeColor="accent4"/>
            <w:kern w:val="28"/>
          </w:rPr>
          <w:t>3</w:t>
        </w:r>
      </w:fldSimple>
      <w:r w:rsidRPr="00ED04F3">
        <w:rPr>
          <w:b/>
          <w:color w:val="000000" w:themeColor="accent4"/>
          <w:kern w:val="28"/>
        </w:rPr>
        <w:t>-</w:t>
      </w:r>
      <w:fldSimple w:instr=" SEQ Figure \* ARABIC \s 1  \* MERGEFORMAT ">
        <w:r w:rsidRPr="00ED04F3">
          <w:rPr>
            <w:b/>
            <w:noProof/>
            <w:color w:val="000000" w:themeColor="accent4"/>
            <w:kern w:val="28"/>
          </w:rPr>
          <w:t>1</w:t>
        </w:r>
      </w:fldSimple>
      <w:r w:rsidRPr="00ED04F3">
        <w:rPr>
          <w:b/>
          <w:color w:val="000000" w:themeColor="accent4"/>
          <w:kern w:val="28"/>
        </w:rPr>
        <w:t xml:space="preserve">:  </w:t>
      </w:r>
      <w:r>
        <w:rPr>
          <w:b/>
          <w:color w:val="000000" w:themeColor="accent4"/>
          <w:kern w:val="28"/>
        </w:rPr>
        <w:t>Annual Total Employment Growth Scenarios 2013-2032</w:t>
      </w:r>
      <w:bookmarkEnd w:id="268"/>
    </w:p>
    <w:p w14:paraId="72EA7EDC" w14:textId="77777777" w:rsidR="00B820E1" w:rsidRPr="00ED04F3" w:rsidRDefault="00B820E1" w:rsidP="00ED04F3">
      <w:pPr>
        <w:pStyle w:val="BodyText"/>
        <w:rPr>
          <w:b/>
          <w:color w:val="000000" w:themeColor="accent4"/>
        </w:rPr>
      </w:pPr>
      <w:r w:rsidRPr="00B820E1">
        <w:rPr>
          <w:noProof/>
          <w:lang w:eastAsia="en-GB"/>
        </w:rPr>
        <w:drawing>
          <wp:inline distT="0" distB="0" distL="0" distR="0" wp14:anchorId="4ACCE66C" wp14:editId="31B09EDE">
            <wp:extent cx="6375515" cy="3569350"/>
            <wp:effectExtent l="19050" t="0" r="623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375114" cy="3569125"/>
                    </a:xfrm>
                    <a:prstGeom prst="rect">
                      <a:avLst/>
                    </a:prstGeom>
                    <a:noFill/>
                    <a:ln w="9525">
                      <a:noFill/>
                      <a:miter lim="800000"/>
                      <a:headEnd/>
                      <a:tailEnd/>
                    </a:ln>
                  </pic:spPr>
                </pic:pic>
              </a:graphicData>
            </a:graphic>
          </wp:inline>
        </w:drawing>
      </w:r>
    </w:p>
    <w:p w14:paraId="2911C458" w14:textId="77777777" w:rsidR="00B820E1" w:rsidRDefault="00B820E1" w:rsidP="00B820E1">
      <w:pPr>
        <w:pStyle w:val="BodyText"/>
        <w:ind w:left="142"/>
        <w:rPr>
          <w:sz w:val="18"/>
          <w:szCs w:val="18"/>
        </w:rPr>
      </w:pPr>
      <w:r w:rsidRPr="00A00683">
        <w:rPr>
          <w:sz w:val="18"/>
          <w:szCs w:val="18"/>
        </w:rPr>
        <w:t xml:space="preserve">Source: </w:t>
      </w:r>
      <w:r>
        <w:rPr>
          <w:sz w:val="18"/>
          <w:szCs w:val="18"/>
        </w:rPr>
        <w:t>Atkins, 2014.</w:t>
      </w:r>
    </w:p>
    <w:p w14:paraId="29A638B7" w14:textId="77777777" w:rsidR="00B820E1" w:rsidRDefault="00B820E1" w:rsidP="00ED04F3">
      <w:pPr>
        <w:pStyle w:val="BodyText"/>
        <w:rPr>
          <w:b/>
          <w:color w:val="000000" w:themeColor="accent4"/>
        </w:rPr>
      </w:pPr>
    </w:p>
    <w:p w14:paraId="68DA88AA" w14:textId="77777777" w:rsidR="00ED04F3" w:rsidRDefault="00ED04F3" w:rsidP="00ED04F3">
      <w:pPr>
        <w:pStyle w:val="BodyText"/>
        <w:rPr>
          <w:b/>
          <w:color w:val="000000" w:themeColor="accent4"/>
        </w:rPr>
      </w:pPr>
      <w:bookmarkStart w:id="269" w:name="_Toc394668610"/>
      <w:r w:rsidRPr="00ED04F3">
        <w:rPr>
          <w:b/>
          <w:color w:val="000000" w:themeColor="accent4"/>
        </w:rPr>
        <w:t xml:space="preserve">Table </w:t>
      </w:r>
      <w:fldSimple w:instr=" STYLEREF 1 \s  \* MERGEFORMAT ">
        <w:r w:rsidRPr="00ED04F3">
          <w:rPr>
            <w:b/>
            <w:noProof/>
            <w:color w:val="000000" w:themeColor="accent4"/>
          </w:rPr>
          <w:t>3</w:t>
        </w:r>
      </w:fldSimple>
      <w:r w:rsidRPr="00ED04F3">
        <w:rPr>
          <w:b/>
          <w:color w:val="000000" w:themeColor="accent4"/>
        </w:rPr>
        <w:t>-</w:t>
      </w:r>
      <w:fldSimple w:instr=" SEQ Table \* ARABIC \s 1  \* MERGEFORMAT ">
        <w:r w:rsidRPr="00ED04F3">
          <w:rPr>
            <w:b/>
            <w:noProof/>
            <w:color w:val="000000" w:themeColor="accent4"/>
          </w:rPr>
          <w:t>7</w:t>
        </w:r>
      </w:fldSimple>
      <w:r w:rsidRPr="00ED04F3">
        <w:rPr>
          <w:color w:val="000000" w:themeColor="accent4"/>
        </w:rPr>
        <w:t>:</w:t>
      </w:r>
      <w:r w:rsidRPr="00ED04F3">
        <w:rPr>
          <w:b/>
          <w:color w:val="000000" w:themeColor="accent4"/>
        </w:rPr>
        <w:t xml:space="preserve">  </w:t>
      </w:r>
      <w:r w:rsidR="00D17026">
        <w:rPr>
          <w:b/>
          <w:color w:val="000000" w:themeColor="accent4"/>
        </w:rPr>
        <w:t xml:space="preserve">Net </w:t>
      </w:r>
      <w:r w:rsidRPr="00ED04F3">
        <w:rPr>
          <w:b/>
          <w:color w:val="000000" w:themeColor="accent4"/>
        </w:rPr>
        <w:t>Additional Employment Growth Scenarios 2013-2032</w:t>
      </w:r>
      <w:bookmarkEnd w:id="269"/>
    </w:p>
    <w:tbl>
      <w:tblPr>
        <w:tblStyle w:val="Atkins14pt"/>
        <w:tblW w:w="9498" w:type="dxa"/>
        <w:jc w:val="center"/>
        <w:tblInd w:w="0" w:type="dxa"/>
        <w:tblLayout w:type="fixed"/>
        <w:tblLook w:val="04A0" w:firstRow="1" w:lastRow="0" w:firstColumn="1" w:lastColumn="0" w:noHBand="0" w:noVBand="1"/>
      </w:tblPr>
      <w:tblGrid>
        <w:gridCol w:w="1915"/>
        <w:gridCol w:w="1559"/>
        <w:gridCol w:w="1559"/>
        <w:gridCol w:w="1418"/>
        <w:gridCol w:w="1417"/>
        <w:gridCol w:w="1630"/>
      </w:tblGrid>
      <w:tr w:rsidR="00D17026" w14:paraId="7908415A" w14:textId="77777777" w:rsidTr="00D17026">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100" w:firstRow="0" w:lastRow="0" w:firstColumn="1" w:lastColumn="0" w:oddVBand="0" w:evenVBand="0" w:oddHBand="0" w:evenHBand="0" w:firstRowFirstColumn="1" w:firstRowLastColumn="0" w:lastRowFirstColumn="0" w:lastRowLastColumn="0"/>
            <w:tcW w:w="1915" w:type="dxa"/>
            <w:noWrap/>
            <w:vAlign w:val="bottom"/>
            <w:hideMark/>
          </w:tcPr>
          <w:p w14:paraId="22B9C6D7" w14:textId="77777777" w:rsidR="00D17026" w:rsidRDefault="00D17026" w:rsidP="00ED04F3">
            <w:pPr>
              <w:pStyle w:val="BodyText"/>
            </w:pPr>
            <w:r>
              <w:t>Scenario</w:t>
            </w:r>
          </w:p>
        </w:tc>
        <w:tc>
          <w:tcPr>
            <w:tcW w:w="1559" w:type="dxa"/>
            <w:noWrap/>
            <w:vAlign w:val="center"/>
            <w:hideMark/>
          </w:tcPr>
          <w:p w14:paraId="4C0DDADB" w14:textId="77777777" w:rsidR="00D17026" w:rsidRPr="00D17026" w:rsidRDefault="00D17026" w:rsidP="00D17026">
            <w:pPr>
              <w:jc w:val="center"/>
              <w:cnfStyle w:val="100000000000" w:firstRow="1"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2013-2018</w:t>
            </w:r>
          </w:p>
        </w:tc>
        <w:tc>
          <w:tcPr>
            <w:tcW w:w="1559" w:type="dxa"/>
            <w:noWrap/>
            <w:vAlign w:val="center"/>
            <w:hideMark/>
          </w:tcPr>
          <w:p w14:paraId="4A91D89A" w14:textId="77777777" w:rsidR="00D17026" w:rsidRPr="00D17026" w:rsidRDefault="00D17026" w:rsidP="00D17026">
            <w:pPr>
              <w:jc w:val="center"/>
              <w:cnfStyle w:val="100000000000" w:firstRow="1"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2018-2023</w:t>
            </w:r>
          </w:p>
        </w:tc>
        <w:tc>
          <w:tcPr>
            <w:tcW w:w="1418" w:type="dxa"/>
            <w:vAlign w:val="center"/>
          </w:tcPr>
          <w:p w14:paraId="582F6C01" w14:textId="77777777" w:rsidR="00D17026" w:rsidRPr="00D17026" w:rsidRDefault="00D17026" w:rsidP="00D17026">
            <w:pPr>
              <w:jc w:val="center"/>
              <w:cnfStyle w:val="100000000000" w:firstRow="1"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2023-2028</w:t>
            </w:r>
          </w:p>
        </w:tc>
        <w:tc>
          <w:tcPr>
            <w:tcW w:w="1417" w:type="dxa"/>
            <w:vAlign w:val="center"/>
          </w:tcPr>
          <w:p w14:paraId="2E4F36F5" w14:textId="77777777" w:rsidR="00D17026" w:rsidRPr="00D17026" w:rsidRDefault="00D17026" w:rsidP="00D17026">
            <w:pPr>
              <w:jc w:val="center"/>
              <w:cnfStyle w:val="100000000000" w:firstRow="1"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2028-2032</w:t>
            </w:r>
          </w:p>
        </w:tc>
        <w:tc>
          <w:tcPr>
            <w:tcW w:w="1630" w:type="dxa"/>
            <w:vAlign w:val="center"/>
          </w:tcPr>
          <w:p w14:paraId="2FFC319E" w14:textId="77777777" w:rsidR="00D17026" w:rsidRPr="00D17026" w:rsidRDefault="00D17026" w:rsidP="00D17026">
            <w:pPr>
              <w:jc w:val="center"/>
              <w:cnfStyle w:val="100000000000" w:firstRow="1" w:lastRow="0" w:firstColumn="0" w:lastColumn="0" w:oddVBand="0" w:evenVBand="0" w:oddHBand="0" w:evenHBand="0" w:firstRowFirstColumn="0" w:firstRowLastColumn="0" w:lastRowFirstColumn="0" w:lastRowLastColumn="0"/>
              <w:rPr>
                <w:rFonts w:ascii="Arial" w:hAnsi="Arial"/>
                <w:color w:val="394A58" w:themeColor="text2"/>
                <w:sz w:val="20"/>
              </w:rPr>
            </w:pPr>
            <w:r>
              <w:rPr>
                <w:rFonts w:ascii="Arial" w:hAnsi="Arial"/>
                <w:color w:val="394A58" w:themeColor="text2"/>
                <w:sz w:val="20"/>
              </w:rPr>
              <w:t>Total Growth</w:t>
            </w:r>
          </w:p>
        </w:tc>
      </w:tr>
      <w:tr w:rsidR="00D17026" w:rsidRPr="00ED04F3" w14:paraId="52945FBE" w14:textId="77777777" w:rsidTr="00D17026">
        <w:trPr>
          <w:trHeight w:val="255"/>
          <w:jc w:val="center"/>
        </w:trPr>
        <w:tc>
          <w:tcPr>
            <w:cnfStyle w:val="001000000000" w:firstRow="0" w:lastRow="0" w:firstColumn="1" w:lastColumn="0" w:oddVBand="0" w:evenVBand="0" w:oddHBand="0" w:evenHBand="0" w:firstRowFirstColumn="0" w:firstRowLastColumn="0" w:lastRowFirstColumn="0" w:lastRowLastColumn="0"/>
            <w:tcW w:w="1915" w:type="dxa"/>
            <w:noWrap/>
            <w:vAlign w:val="bottom"/>
            <w:hideMark/>
          </w:tcPr>
          <w:p w14:paraId="4CC01A6C" w14:textId="77777777" w:rsidR="00D17026" w:rsidRDefault="00D17026" w:rsidP="00ED04F3">
            <w:pPr>
              <w:pStyle w:val="BodyText"/>
              <w:spacing w:after="120"/>
            </w:pPr>
            <w:r>
              <w:t>Baseline</w:t>
            </w:r>
          </w:p>
        </w:tc>
        <w:tc>
          <w:tcPr>
            <w:tcW w:w="1559" w:type="dxa"/>
            <w:noWrap/>
            <w:vAlign w:val="bottom"/>
            <w:hideMark/>
          </w:tcPr>
          <w:p w14:paraId="00C27D7A"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1,137</w:t>
            </w:r>
          </w:p>
        </w:tc>
        <w:tc>
          <w:tcPr>
            <w:tcW w:w="1559" w:type="dxa"/>
            <w:noWrap/>
            <w:vAlign w:val="bottom"/>
            <w:hideMark/>
          </w:tcPr>
          <w:p w14:paraId="40545570"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1,560</w:t>
            </w:r>
          </w:p>
        </w:tc>
        <w:tc>
          <w:tcPr>
            <w:tcW w:w="1418" w:type="dxa"/>
            <w:vAlign w:val="bottom"/>
          </w:tcPr>
          <w:p w14:paraId="7E5E724A"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1,252</w:t>
            </w:r>
          </w:p>
        </w:tc>
        <w:tc>
          <w:tcPr>
            <w:tcW w:w="1417" w:type="dxa"/>
            <w:vAlign w:val="bottom"/>
          </w:tcPr>
          <w:p w14:paraId="08538CED"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484</w:t>
            </w:r>
          </w:p>
        </w:tc>
        <w:tc>
          <w:tcPr>
            <w:tcW w:w="1630" w:type="dxa"/>
            <w:vAlign w:val="bottom"/>
          </w:tcPr>
          <w:p w14:paraId="0852264F"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b/>
                <w:color w:val="394A58" w:themeColor="text2"/>
                <w:sz w:val="20"/>
              </w:rPr>
            </w:pPr>
            <w:r w:rsidRPr="00D17026">
              <w:rPr>
                <w:rFonts w:ascii="Arial" w:hAnsi="Arial"/>
                <w:b/>
                <w:color w:val="394A58" w:themeColor="text2"/>
                <w:sz w:val="20"/>
              </w:rPr>
              <w:t>4,433</w:t>
            </w:r>
          </w:p>
        </w:tc>
      </w:tr>
      <w:tr w:rsidR="00D17026" w:rsidRPr="00ED04F3" w14:paraId="50008554" w14:textId="77777777" w:rsidTr="00D17026">
        <w:trPr>
          <w:trHeight w:val="255"/>
          <w:jc w:val="center"/>
        </w:trPr>
        <w:tc>
          <w:tcPr>
            <w:cnfStyle w:val="001000000000" w:firstRow="0" w:lastRow="0" w:firstColumn="1" w:lastColumn="0" w:oddVBand="0" w:evenVBand="0" w:oddHBand="0" w:evenHBand="0" w:firstRowFirstColumn="0" w:firstRowLastColumn="0" w:lastRowFirstColumn="0" w:lastRowLastColumn="0"/>
            <w:tcW w:w="1915" w:type="dxa"/>
            <w:noWrap/>
            <w:vAlign w:val="bottom"/>
            <w:hideMark/>
          </w:tcPr>
          <w:p w14:paraId="2129DAF6" w14:textId="77777777" w:rsidR="00D17026" w:rsidRDefault="00D17026" w:rsidP="00ED04F3">
            <w:pPr>
              <w:pStyle w:val="BodyText"/>
              <w:spacing w:after="120"/>
            </w:pPr>
            <w:r>
              <w:t>Scenario 1</w:t>
            </w:r>
          </w:p>
        </w:tc>
        <w:tc>
          <w:tcPr>
            <w:tcW w:w="1559" w:type="dxa"/>
            <w:noWrap/>
            <w:vAlign w:val="bottom"/>
            <w:hideMark/>
          </w:tcPr>
          <w:p w14:paraId="5DC1C829"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1,864</w:t>
            </w:r>
          </w:p>
        </w:tc>
        <w:tc>
          <w:tcPr>
            <w:tcW w:w="1559" w:type="dxa"/>
            <w:noWrap/>
            <w:vAlign w:val="bottom"/>
            <w:hideMark/>
          </w:tcPr>
          <w:p w14:paraId="6E28C0F5"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2,604</w:t>
            </w:r>
          </w:p>
        </w:tc>
        <w:tc>
          <w:tcPr>
            <w:tcW w:w="1418" w:type="dxa"/>
            <w:vAlign w:val="bottom"/>
          </w:tcPr>
          <w:p w14:paraId="2C7F5EB5"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2,465</w:t>
            </w:r>
          </w:p>
        </w:tc>
        <w:tc>
          <w:tcPr>
            <w:tcW w:w="1417" w:type="dxa"/>
            <w:vAlign w:val="bottom"/>
          </w:tcPr>
          <w:p w14:paraId="2D610837"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1,859</w:t>
            </w:r>
          </w:p>
        </w:tc>
        <w:tc>
          <w:tcPr>
            <w:tcW w:w="1630" w:type="dxa"/>
            <w:vAlign w:val="bottom"/>
          </w:tcPr>
          <w:p w14:paraId="7E85043D"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b/>
                <w:color w:val="394A58" w:themeColor="text2"/>
                <w:sz w:val="20"/>
              </w:rPr>
            </w:pPr>
            <w:r w:rsidRPr="00D17026">
              <w:rPr>
                <w:rFonts w:ascii="Arial" w:hAnsi="Arial"/>
                <w:b/>
                <w:color w:val="394A58" w:themeColor="text2"/>
                <w:sz w:val="20"/>
              </w:rPr>
              <w:t>8,792</w:t>
            </w:r>
          </w:p>
        </w:tc>
      </w:tr>
      <w:tr w:rsidR="00D17026" w:rsidRPr="00ED04F3" w14:paraId="0A956182" w14:textId="77777777" w:rsidTr="00D17026">
        <w:trPr>
          <w:trHeight w:val="255"/>
          <w:jc w:val="center"/>
        </w:trPr>
        <w:tc>
          <w:tcPr>
            <w:cnfStyle w:val="001000000000" w:firstRow="0" w:lastRow="0" w:firstColumn="1" w:lastColumn="0" w:oddVBand="0" w:evenVBand="0" w:oddHBand="0" w:evenHBand="0" w:firstRowFirstColumn="0" w:firstRowLastColumn="0" w:lastRowFirstColumn="0" w:lastRowLastColumn="0"/>
            <w:tcW w:w="1915" w:type="dxa"/>
            <w:noWrap/>
            <w:vAlign w:val="bottom"/>
            <w:hideMark/>
          </w:tcPr>
          <w:p w14:paraId="3F07DA62" w14:textId="77777777" w:rsidR="00D17026" w:rsidRDefault="00D17026" w:rsidP="00ED04F3">
            <w:pPr>
              <w:pStyle w:val="BodyText"/>
              <w:spacing w:after="120"/>
            </w:pPr>
            <w:r>
              <w:t>Scenario 2</w:t>
            </w:r>
          </w:p>
        </w:tc>
        <w:tc>
          <w:tcPr>
            <w:tcW w:w="1559" w:type="dxa"/>
            <w:noWrap/>
            <w:vAlign w:val="bottom"/>
            <w:hideMark/>
          </w:tcPr>
          <w:p w14:paraId="2B51A68A"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3,095</w:t>
            </w:r>
          </w:p>
        </w:tc>
        <w:tc>
          <w:tcPr>
            <w:tcW w:w="1559" w:type="dxa"/>
            <w:noWrap/>
            <w:vAlign w:val="bottom"/>
            <w:hideMark/>
          </w:tcPr>
          <w:p w14:paraId="766EB3CD"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4,367</w:t>
            </w:r>
          </w:p>
        </w:tc>
        <w:tc>
          <w:tcPr>
            <w:tcW w:w="1418" w:type="dxa"/>
            <w:vAlign w:val="bottom"/>
          </w:tcPr>
          <w:p w14:paraId="0FF4BE1B"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4,279</w:t>
            </w:r>
          </w:p>
        </w:tc>
        <w:tc>
          <w:tcPr>
            <w:tcW w:w="1417" w:type="dxa"/>
            <w:vAlign w:val="bottom"/>
          </w:tcPr>
          <w:p w14:paraId="3B2DC463"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color w:val="394A58" w:themeColor="text2"/>
                <w:sz w:val="20"/>
              </w:rPr>
            </w:pPr>
            <w:r w:rsidRPr="00D17026">
              <w:rPr>
                <w:rFonts w:ascii="Arial" w:hAnsi="Arial"/>
                <w:color w:val="394A58" w:themeColor="text2"/>
                <w:sz w:val="20"/>
              </w:rPr>
              <w:t>2,443</w:t>
            </w:r>
          </w:p>
        </w:tc>
        <w:tc>
          <w:tcPr>
            <w:tcW w:w="1630" w:type="dxa"/>
            <w:vAlign w:val="bottom"/>
          </w:tcPr>
          <w:p w14:paraId="65D3D4BE" w14:textId="77777777" w:rsidR="00D17026" w:rsidRPr="00D17026" w:rsidRDefault="00D17026" w:rsidP="00D17026">
            <w:pPr>
              <w:jc w:val="center"/>
              <w:cnfStyle w:val="000000000000" w:firstRow="0" w:lastRow="0" w:firstColumn="0" w:lastColumn="0" w:oddVBand="0" w:evenVBand="0" w:oddHBand="0" w:evenHBand="0" w:firstRowFirstColumn="0" w:firstRowLastColumn="0" w:lastRowFirstColumn="0" w:lastRowLastColumn="0"/>
              <w:rPr>
                <w:rFonts w:ascii="Arial" w:hAnsi="Arial"/>
                <w:b/>
                <w:color w:val="394A58" w:themeColor="text2"/>
                <w:sz w:val="20"/>
              </w:rPr>
            </w:pPr>
            <w:r w:rsidRPr="00D17026">
              <w:rPr>
                <w:rFonts w:ascii="Arial" w:hAnsi="Arial"/>
                <w:b/>
                <w:color w:val="394A58" w:themeColor="text2"/>
                <w:sz w:val="20"/>
              </w:rPr>
              <w:t>14,184</w:t>
            </w:r>
          </w:p>
        </w:tc>
      </w:tr>
    </w:tbl>
    <w:p w14:paraId="1FCA5B98" w14:textId="77777777" w:rsidR="00B820E1" w:rsidRDefault="00B820E1" w:rsidP="00B820E1">
      <w:pPr>
        <w:pStyle w:val="BodyText"/>
        <w:ind w:firstLine="142"/>
        <w:rPr>
          <w:sz w:val="18"/>
          <w:szCs w:val="18"/>
        </w:rPr>
      </w:pPr>
      <w:r w:rsidRPr="00A00683">
        <w:rPr>
          <w:sz w:val="18"/>
          <w:szCs w:val="18"/>
        </w:rPr>
        <w:t xml:space="preserve">Source: </w:t>
      </w:r>
      <w:r>
        <w:rPr>
          <w:sz w:val="18"/>
          <w:szCs w:val="18"/>
        </w:rPr>
        <w:t>Atkins, 2014.</w:t>
      </w:r>
    </w:p>
    <w:p w14:paraId="3128A5DE" w14:textId="77777777" w:rsidR="00ED04F3" w:rsidRPr="00ED04F3" w:rsidRDefault="00ED04F3" w:rsidP="00ED04F3">
      <w:pPr>
        <w:pStyle w:val="BodyText"/>
        <w:rPr>
          <w:color w:val="000000" w:themeColor="accent4"/>
        </w:rPr>
      </w:pPr>
    </w:p>
    <w:p w14:paraId="7F7012B5" w14:textId="77777777" w:rsidR="00ED04F3" w:rsidRPr="00ED04F3" w:rsidRDefault="00ED04F3" w:rsidP="00ED04F3">
      <w:pPr>
        <w:pStyle w:val="BodyText"/>
      </w:pPr>
    </w:p>
    <w:p w14:paraId="098A9A86" w14:textId="77777777" w:rsidR="009768CA" w:rsidRPr="009768CA" w:rsidRDefault="009768CA" w:rsidP="009768CA">
      <w:pPr>
        <w:pStyle w:val="BodyText"/>
      </w:pPr>
    </w:p>
    <w:p w14:paraId="2556C865" w14:textId="77777777" w:rsidR="009768CA" w:rsidRDefault="009768CA">
      <w:pPr>
        <w:jc w:val="left"/>
        <w:rPr>
          <w:rFonts w:ascii="Arial" w:hAnsi="Arial"/>
          <w:b/>
          <w:color w:val="394A58"/>
          <w:sz w:val="48"/>
        </w:rPr>
      </w:pPr>
      <w:r>
        <w:br w:type="page"/>
      </w:r>
    </w:p>
    <w:p w14:paraId="0D5289A2" w14:textId="77777777" w:rsidR="000A01BC" w:rsidRDefault="000A01BC" w:rsidP="000A01BC">
      <w:pPr>
        <w:pStyle w:val="Heading1"/>
        <w:pageBreakBefore w:val="0"/>
        <w:tabs>
          <w:tab w:val="clear" w:pos="1021"/>
        </w:tabs>
        <w:spacing w:after="360"/>
      </w:pPr>
      <w:bookmarkStart w:id="270" w:name="_Toc394668589"/>
      <w:r>
        <w:t>Future Employment Land Demand</w:t>
      </w:r>
      <w:bookmarkEnd w:id="270"/>
    </w:p>
    <w:p w14:paraId="3276D582" w14:textId="77777777" w:rsidR="000C0D8A" w:rsidRDefault="000C0D8A" w:rsidP="000C0D8A">
      <w:pPr>
        <w:pStyle w:val="Heading2"/>
        <w:rPr>
          <w:kern w:val="28"/>
        </w:rPr>
      </w:pPr>
      <w:bookmarkStart w:id="271" w:name="_Toc394668590"/>
      <w:r>
        <w:rPr>
          <w:kern w:val="28"/>
        </w:rPr>
        <w:t>Introduction</w:t>
      </w:r>
      <w:bookmarkEnd w:id="271"/>
    </w:p>
    <w:p w14:paraId="13E9A4E9" w14:textId="77777777" w:rsidR="00811E9D" w:rsidRDefault="000C0D8A" w:rsidP="00811E9D">
      <w:pPr>
        <w:pStyle w:val="NormalNoSpace"/>
        <w:spacing w:after="120"/>
        <w:jc w:val="both"/>
        <w:rPr>
          <w:kern w:val="28"/>
        </w:rPr>
      </w:pPr>
      <w:r>
        <w:rPr>
          <w:kern w:val="28"/>
        </w:rPr>
        <w:t xml:space="preserve">This section summarises ours </w:t>
      </w:r>
      <w:r w:rsidR="00811E9D">
        <w:rPr>
          <w:kern w:val="28"/>
        </w:rPr>
        <w:t>estimate of potential gross employment floorspace and land demand forecasts implied by each of the three future</w:t>
      </w:r>
      <w:r>
        <w:rPr>
          <w:kern w:val="28"/>
        </w:rPr>
        <w:t xml:space="preserve"> scenarios outlined in section 3</w:t>
      </w:r>
      <w:r w:rsidR="00811E9D">
        <w:rPr>
          <w:kern w:val="28"/>
        </w:rPr>
        <w:t>.</w:t>
      </w:r>
      <w:r>
        <w:rPr>
          <w:kern w:val="28"/>
        </w:rPr>
        <w:t xml:space="preserve">  The purpose of these future demand estimates is to inform the development of employment land policies and allocations as part of the Local Plan process.  As with the production of future employment scenarios, quantitative estimates of future employment land requirements require a range of informed assumptions to be made.  Whilst these assumptions are evidence-based and draw on best practice guidance, estimates of future requirements should </w:t>
      </w:r>
      <w:r w:rsidR="00E44641">
        <w:rPr>
          <w:kern w:val="28"/>
        </w:rPr>
        <w:t>be treated as indicative and not utilised in an overly prescriptive manner.  Moreover, Local Plan policies should build in sufficient flexibility and choice in both quantitative and qualitative terms in order to be able to respond efficiently to market needs as they arise.</w:t>
      </w:r>
      <w:r>
        <w:rPr>
          <w:kern w:val="28"/>
        </w:rPr>
        <w:t xml:space="preserve">  </w:t>
      </w:r>
      <w:r w:rsidR="00811E9D">
        <w:rPr>
          <w:kern w:val="28"/>
        </w:rPr>
        <w:t xml:space="preserve">  </w:t>
      </w:r>
    </w:p>
    <w:p w14:paraId="05683978" w14:textId="77777777" w:rsidR="00DC636F" w:rsidRDefault="00DC636F" w:rsidP="00811E9D">
      <w:pPr>
        <w:pStyle w:val="NormalNoSpace"/>
        <w:spacing w:after="120"/>
        <w:jc w:val="both"/>
        <w:rPr>
          <w:kern w:val="28"/>
        </w:rPr>
      </w:pPr>
      <w:r>
        <w:rPr>
          <w:kern w:val="28"/>
        </w:rPr>
        <w:t>It should be noted that the estimates of future land requirements set out in this section relate to B use demand across all relevant sectors of the North East Lincolnshire economy, not simply the five priority sectors assessed as part of the sector study.</w:t>
      </w:r>
    </w:p>
    <w:p w14:paraId="0A715443" w14:textId="77777777" w:rsidR="00811E9D" w:rsidRDefault="00811E9D" w:rsidP="00811E9D">
      <w:pPr>
        <w:pStyle w:val="Heading2"/>
        <w:tabs>
          <w:tab w:val="clear" w:pos="1021"/>
        </w:tabs>
        <w:rPr>
          <w:kern w:val="28"/>
        </w:rPr>
      </w:pPr>
      <w:bookmarkStart w:id="272" w:name="_Toc394668591"/>
      <w:r>
        <w:rPr>
          <w:kern w:val="28"/>
        </w:rPr>
        <w:t>Method</w:t>
      </w:r>
      <w:bookmarkEnd w:id="272"/>
    </w:p>
    <w:p w14:paraId="38BA5380" w14:textId="77777777" w:rsidR="00E44641" w:rsidRDefault="00811E9D" w:rsidP="00811E9D">
      <w:pPr>
        <w:pStyle w:val="NormalNoSpace"/>
        <w:spacing w:after="120"/>
        <w:jc w:val="both"/>
        <w:rPr>
          <w:kern w:val="28"/>
        </w:rPr>
      </w:pPr>
      <w:r>
        <w:rPr>
          <w:kern w:val="28"/>
        </w:rPr>
        <w:t>Employment classifications have been collated and redefined to broadly reflect use class definitions, namely</w:t>
      </w:r>
      <w:r w:rsidRPr="00BD5F72">
        <w:rPr>
          <w:kern w:val="28"/>
        </w:rPr>
        <w:t xml:space="preserve"> B1 (business), B2 (general industrial) and B8 (storage and distribution)</w:t>
      </w:r>
      <w:r>
        <w:rPr>
          <w:kern w:val="28"/>
        </w:rPr>
        <w:t xml:space="preserve">.  </w:t>
      </w:r>
      <w:r w:rsidRPr="00BD5F72">
        <w:rPr>
          <w:kern w:val="28"/>
        </w:rPr>
        <w:t xml:space="preserve"> </w:t>
      </w:r>
      <w:r w:rsidR="00E44641">
        <w:rPr>
          <w:kern w:val="28"/>
        </w:rPr>
        <w:t xml:space="preserve">In order to estimate B use jobs, each standard industrial classification has translated into use class categories as summarised in Table 4.1 below.  Based on this definition, </w:t>
      </w:r>
      <w:r w:rsidR="00756B1B">
        <w:rPr>
          <w:kern w:val="28"/>
        </w:rPr>
        <w:t>we estimate that from total existing employment in North East Lincolnshire (64,500 jobs), approximately 49% (33,342 jobs) of these fall within the B land use category.  This is consistent with a wide range of employment land studies Atkins have conducted across the country.</w:t>
      </w:r>
    </w:p>
    <w:p w14:paraId="5F222213" w14:textId="77777777" w:rsidR="00FE38AA" w:rsidRDefault="00FE38AA" w:rsidP="00C124E2">
      <w:pPr>
        <w:pStyle w:val="NormalNoSpace"/>
        <w:spacing w:after="120"/>
        <w:jc w:val="center"/>
        <w:rPr>
          <w:b/>
          <w:color w:val="000000" w:themeColor="accent4"/>
          <w:szCs w:val="20"/>
        </w:rPr>
      </w:pPr>
    </w:p>
    <w:p w14:paraId="3B82252B" w14:textId="77777777" w:rsidR="00E44641" w:rsidRDefault="00756B1B" w:rsidP="00C124E2">
      <w:pPr>
        <w:pStyle w:val="NormalNoSpace"/>
        <w:spacing w:after="120"/>
        <w:jc w:val="center"/>
        <w:rPr>
          <w:b/>
          <w:color w:val="000000" w:themeColor="accent4"/>
          <w:szCs w:val="20"/>
        </w:rPr>
      </w:pPr>
      <w:bookmarkStart w:id="273" w:name="_Toc394668611"/>
      <w:r w:rsidRPr="00756B1B">
        <w:rPr>
          <w:b/>
          <w:color w:val="000000" w:themeColor="accent4"/>
          <w:szCs w:val="20"/>
        </w:rPr>
        <w:t xml:space="preserve">Table </w:t>
      </w:r>
      <w:fldSimple w:instr=" STYLEREF 1 \s  \* MERGEFORMAT ">
        <w:r w:rsidRPr="00756B1B">
          <w:rPr>
            <w:b/>
            <w:noProof/>
            <w:color w:val="000000" w:themeColor="accent4"/>
            <w:szCs w:val="20"/>
          </w:rPr>
          <w:t>4</w:t>
        </w:r>
      </w:fldSimple>
      <w:r w:rsidRPr="00756B1B">
        <w:rPr>
          <w:b/>
          <w:color w:val="000000" w:themeColor="accent4"/>
          <w:szCs w:val="20"/>
        </w:rPr>
        <w:t>-</w:t>
      </w:r>
      <w:fldSimple w:instr=" SEQ Table \* ARABIC \s 1  \* MERGEFORMAT ">
        <w:r w:rsidRPr="00756B1B">
          <w:rPr>
            <w:b/>
            <w:noProof/>
            <w:color w:val="000000" w:themeColor="accent4"/>
            <w:szCs w:val="20"/>
          </w:rPr>
          <w:t>1</w:t>
        </w:r>
      </w:fldSimple>
      <w:r w:rsidRPr="00756B1B">
        <w:rPr>
          <w:b/>
          <w:color w:val="000000" w:themeColor="accent4"/>
          <w:szCs w:val="20"/>
        </w:rPr>
        <w:t>:  Translating Employment SIC to B Use Class Categories</w:t>
      </w:r>
      <w:r w:rsidR="00FE38AA">
        <w:rPr>
          <w:b/>
          <w:color w:val="000000" w:themeColor="accent4"/>
          <w:szCs w:val="20"/>
        </w:rPr>
        <w:t xml:space="preserve"> (% employment by SIC)</w:t>
      </w:r>
      <w:bookmarkEnd w:id="273"/>
    </w:p>
    <w:tbl>
      <w:tblPr>
        <w:tblStyle w:val="Atkins14pt"/>
        <w:tblW w:w="9641" w:type="dxa"/>
        <w:tblLayout w:type="fixed"/>
        <w:tblLook w:val="04A0" w:firstRow="1" w:lastRow="0" w:firstColumn="1" w:lastColumn="0" w:noHBand="0" w:noVBand="1"/>
      </w:tblPr>
      <w:tblGrid>
        <w:gridCol w:w="6237"/>
        <w:gridCol w:w="851"/>
        <w:gridCol w:w="992"/>
        <w:gridCol w:w="709"/>
        <w:gridCol w:w="852"/>
      </w:tblGrid>
      <w:tr w:rsidR="00FE38AA" w:rsidRPr="009E7FFE" w14:paraId="69035927" w14:textId="77777777" w:rsidTr="007E3720">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6237" w:type="dxa"/>
            <w:noWrap/>
            <w:vAlign w:val="bottom"/>
            <w:hideMark/>
          </w:tcPr>
          <w:p w14:paraId="0AD8BC8A" w14:textId="77777777" w:rsidR="00FE38AA" w:rsidRDefault="00FE38AA" w:rsidP="00FE38AA">
            <w:pPr>
              <w:pStyle w:val="BodyText"/>
            </w:pPr>
            <w:r>
              <w:t>Sector</w:t>
            </w:r>
          </w:p>
        </w:tc>
        <w:tc>
          <w:tcPr>
            <w:tcW w:w="851" w:type="dxa"/>
            <w:noWrap/>
            <w:vAlign w:val="center"/>
            <w:hideMark/>
          </w:tcPr>
          <w:p w14:paraId="37C5AC69" w14:textId="77777777" w:rsidR="00FE38AA" w:rsidRPr="00F15F89" w:rsidRDefault="00FE38AA">
            <w:pPr>
              <w:jc w:val="center"/>
              <w:cnfStyle w:val="100000000000" w:firstRow="1" w:lastRow="0" w:firstColumn="0" w:lastColumn="0" w:oddVBand="0" w:evenVBand="0" w:oddHBand="0" w:evenHBand="0" w:firstRowFirstColumn="0" w:firstRowLastColumn="0" w:lastRowFirstColumn="0" w:lastRowLastColumn="0"/>
              <w:rPr>
                <w:rFonts w:ascii="Calibri" w:hAnsi="Calibri"/>
                <w:bCs/>
                <w:sz w:val="22"/>
                <w:szCs w:val="22"/>
              </w:rPr>
            </w:pPr>
            <w:r w:rsidRPr="00F15F89">
              <w:rPr>
                <w:rFonts w:ascii="Calibri" w:hAnsi="Calibri"/>
                <w:bCs/>
                <w:sz w:val="22"/>
                <w:szCs w:val="22"/>
              </w:rPr>
              <w:t>B1a/b</w:t>
            </w:r>
          </w:p>
        </w:tc>
        <w:tc>
          <w:tcPr>
            <w:tcW w:w="992" w:type="dxa"/>
            <w:noWrap/>
            <w:vAlign w:val="center"/>
            <w:hideMark/>
          </w:tcPr>
          <w:p w14:paraId="35740D6A" w14:textId="77777777" w:rsidR="00FE38AA" w:rsidRPr="00F15F89" w:rsidRDefault="00FE38AA">
            <w:pPr>
              <w:jc w:val="center"/>
              <w:cnfStyle w:val="100000000000" w:firstRow="1" w:lastRow="0" w:firstColumn="0" w:lastColumn="0" w:oddVBand="0" w:evenVBand="0" w:oddHBand="0" w:evenHBand="0" w:firstRowFirstColumn="0" w:firstRowLastColumn="0" w:lastRowFirstColumn="0" w:lastRowLastColumn="0"/>
              <w:rPr>
                <w:rFonts w:ascii="Calibri" w:hAnsi="Calibri"/>
                <w:bCs/>
                <w:sz w:val="22"/>
                <w:szCs w:val="22"/>
              </w:rPr>
            </w:pPr>
            <w:r w:rsidRPr="00F15F89">
              <w:rPr>
                <w:rFonts w:ascii="Calibri" w:hAnsi="Calibri"/>
                <w:bCs/>
                <w:sz w:val="22"/>
                <w:szCs w:val="22"/>
              </w:rPr>
              <w:t>B1c/B2</w:t>
            </w:r>
          </w:p>
        </w:tc>
        <w:tc>
          <w:tcPr>
            <w:tcW w:w="709" w:type="dxa"/>
            <w:vAlign w:val="center"/>
          </w:tcPr>
          <w:p w14:paraId="40336A1C" w14:textId="77777777" w:rsidR="00FE38AA" w:rsidRPr="00F15F89" w:rsidRDefault="00FE38AA">
            <w:pPr>
              <w:jc w:val="center"/>
              <w:cnfStyle w:val="100000000000" w:firstRow="1" w:lastRow="0" w:firstColumn="0" w:lastColumn="0" w:oddVBand="0" w:evenVBand="0" w:oddHBand="0" w:evenHBand="0" w:firstRowFirstColumn="0" w:firstRowLastColumn="0" w:lastRowFirstColumn="0" w:lastRowLastColumn="0"/>
              <w:rPr>
                <w:rFonts w:ascii="Calibri" w:hAnsi="Calibri"/>
                <w:bCs/>
                <w:sz w:val="22"/>
                <w:szCs w:val="22"/>
              </w:rPr>
            </w:pPr>
            <w:r w:rsidRPr="00F15F89">
              <w:rPr>
                <w:rFonts w:ascii="Calibri" w:hAnsi="Calibri"/>
                <w:bCs/>
                <w:sz w:val="22"/>
                <w:szCs w:val="22"/>
              </w:rPr>
              <w:t>B8</w:t>
            </w:r>
          </w:p>
        </w:tc>
        <w:tc>
          <w:tcPr>
            <w:tcW w:w="852" w:type="dxa"/>
            <w:vAlign w:val="center"/>
          </w:tcPr>
          <w:p w14:paraId="0F7A7C68" w14:textId="77777777" w:rsidR="00FE38AA" w:rsidRPr="00F15F89" w:rsidRDefault="00FE38AA">
            <w:pPr>
              <w:jc w:val="center"/>
              <w:cnfStyle w:val="100000000000" w:firstRow="1" w:lastRow="0" w:firstColumn="0" w:lastColumn="0" w:oddVBand="0" w:evenVBand="0" w:oddHBand="0" w:evenHBand="0" w:firstRowFirstColumn="0" w:firstRowLastColumn="0" w:lastRowFirstColumn="0" w:lastRowLastColumn="0"/>
              <w:rPr>
                <w:rFonts w:ascii="Calibri" w:hAnsi="Calibri"/>
                <w:bCs/>
                <w:sz w:val="22"/>
                <w:szCs w:val="22"/>
              </w:rPr>
            </w:pPr>
            <w:r w:rsidRPr="00F15F89">
              <w:rPr>
                <w:rFonts w:ascii="Calibri" w:hAnsi="Calibri"/>
                <w:bCs/>
                <w:sz w:val="22"/>
                <w:szCs w:val="22"/>
              </w:rPr>
              <w:t>NON-B</w:t>
            </w:r>
          </w:p>
        </w:tc>
      </w:tr>
      <w:tr w:rsidR="00FE38AA" w:rsidRPr="009E7FFE" w14:paraId="05ED03BA"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40800FEC" w14:textId="77777777" w:rsidR="00FE38AA" w:rsidRDefault="00FE38AA" w:rsidP="00FE38AA">
            <w:pPr>
              <w:pStyle w:val="BodyText"/>
              <w:spacing w:after="120"/>
            </w:pPr>
            <w:r>
              <w:t>Accommodation and food service activities</w:t>
            </w:r>
          </w:p>
        </w:tc>
        <w:tc>
          <w:tcPr>
            <w:tcW w:w="851" w:type="dxa"/>
            <w:noWrap/>
            <w:vAlign w:val="center"/>
            <w:hideMark/>
          </w:tcPr>
          <w:p w14:paraId="0BEFBA03"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992" w:type="dxa"/>
            <w:noWrap/>
            <w:vAlign w:val="center"/>
            <w:hideMark/>
          </w:tcPr>
          <w:p w14:paraId="06BFC070"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20%</w:t>
            </w:r>
          </w:p>
        </w:tc>
        <w:tc>
          <w:tcPr>
            <w:tcW w:w="709" w:type="dxa"/>
            <w:vAlign w:val="center"/>
          </w:tcPr>
          <w:p w14:paraId="054636C6"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852" w:type="dxa"/>
            <w:vAlign w:val="center"/>
          </w:tcPr>
          <w:p w14:paraId="71AFF23D"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80%</w:t>
            </w:r>
          </w:p>
        </w:tc>
      </w:tr>
      <w:tr w:rsidR="00FE38AA" w:rsidRPr="009E7FFE" w14:paraId="70DF6C0A"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70B4A9E5" w14:textId="77777777" w:rsidR="00FE38AA" w:rsidRDefault="00FE38AA" w:rsidP="00FE38AA">
            <w:pPr>
              <w:pStyle w:val="BodyText"/>
              <w:spacing w:after="120"/>
            </w:pPr>
            <w:r>
              <w:t>Administrative and support service activities</w:t>
            </w:r>
          </w:p>
        </w:tc>
        <w:tc>
          <w:tcPr>
            <w:tcW w:w="851" w:type="dxa"/>
            <w:noWrap/>
            <w:vAlign w:val="center"/>
            <w:hideMark/>
          </w:tcPr>
          <w:p w14:paraId="5DE6A04A"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40%</w:t>
            </w:r>
          </w:p>
        </w:tc>
        <w:tc>
          <w:tcPr>
            <w:tcW w:w="992" w:type="dxa"/>
            <w:noWrap/>
            <w:vAlign w:val="center"/>
            <w:hideMark/>
          </w:tcPr>
          <w:p w14:paraId="73A01883"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5FD94D6D"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10%</w:t>
            </w:r>
          </w:p>
        </w:tc>
        <w:tc>
          <w:tcPr>
            <w:tcW w:w="852" w:type="dxa"/>
            <w:vAlign w:val="center"/>
          </w:tcPr>
          <w:p w14:paraId="2E7C47E8"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50%</w:t>
            </w:r>
          </w:p>
        </w:tc>
      </w:tr>
      <w:tr w:rsidR="00FE38AA" w:rsidRPr="009E7FFE" w14:paraId="4EF299AA"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4640B6E4" w14:textId="77777777" w:rsidR="00FE38AA" w:rsidRDefault="00FE38AA" w:rsidP="00FE38AA">
            <w:pPr>
              <w:pStyle w:val="BodyText"/>
              <w:spacing w:after="120"/>
            </w:pPr>
            <w:r>
              <w:t>Agriculture, Forestry and Fishing</w:t>
            </w:r>
          </w:p>
        </w:tc>
        <w:tc>
          <w:tcPr>
            <w:tcW w:w="851" w:type="dxa"/>
            <w:noWrap/>
            <w:vAlign w:val="center"/>
            <w:hideMark/>
          </w:tcPr>
          <w:p w14:paraId="3BB51B06"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992" w:type="dxa"/>
            <w:noWrap/>
            <w:vAlign w:val="center"/>
            <w:hideMark/>
          </w:tcPr>
          <w:p w14:paraId="2DDA98FC"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362BD34A"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852" w:type="dxa"/>
            <w:vAlign w:val="center"/>
          </w:tcPr>
          <w:p w14:paraId="4A558C42"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100%</w:t>
            </w:r>
          </w:p>
        </w:tc>
      </w:tr>
      <w:tr w:rsidR="00FE38AA" w:rsidRPr="009E7FFE" w14:paraId="7DEC3D37"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4BFDF8DB" w14:textId="77777777" w:rsidR="00FE38AA" w:rsidRDefault="00FE38AA" w:rsidP="00FE38AA">
            <w:pPr>
              <w:pStyle w:val="BodyText"/>
              <w:spacing w:after="120"/>
            </w:pPr>
            <w:r>
              <w:t xml:space="preserve">Arts, entertainment and recreation </w:t>
            </w:r>
          </w:p>
        </w:tc>
        <w:tc>
          <w:tcPr>
            <w:tcW w:w="851" w:type="dxa"/>
            <w:noWrap/>
            <w:vAlign w:val="center"/>
            <w:hideMark/>
          </w:tcPr>
          <w:p w14:paraId="6940CB30"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10%</w:t>
            </w:r>
          </w:p>
        </w:tc>
        <w:tc>
          <w:tcPr>
            <w:tcW w:w="992" w:type="dxa"/>
            <w:noWrap/>
            <w:vAlign w:val="center"/>
            <w:hideMark/>
          </w:tcPr>
          <w:p w14:paraId="75BFE446"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5DA54A96"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852" w:type="dxa"/>
            <w:vAlign w:val="center"/>
          </w:tcPr>
          <w:p w14:paraId="292B51C2"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90%</w:t>
            </w:r>
          </w:p>
        </w:tc>
      </w:tr>
      <w:tr w:rsidR="00FE38AA" w:rsidRPr="009E7FFE" w14:paraId="32163ECF"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6AF55A98" w14:textId="77777777" w:rsidR="00FE38AA" w:rsidRDefault="00FE38AA" w:rsidP="00FE38AA">
            <w:pPr>
              <w:pStyle w:val="BodyText"/>
              <w:spacing w:after="120"/>
            </w:pPr>
            <w:r>
              <w:t xml:space="preserve">Construction </w:t>
            </w:r>
          </w:p>
        </w:tc>
        <w:tc>
          <w:tcPr>
            <w:tcW w:w="851" w:type="dxa"/>
            <w:noWrap/>
            <w:vAlign w:val="center"/>
            <w:hideMark/>
          </w:tcPr>
          <w:p w14:paraId="61A15D8C"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5%</w:t>
            </w:r>
          </w:p>
        </w:tc>
        <w:tc>
          <w:tcPr>
            <w:tcW w:w="992" w:type="dxa"/>
            <w:noWrap/>
            <w:vAlign w:val="center"/>
            <w:hideMark/>
          </w:tcPr>
          <w:p w14:paraId="068EA618"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10%</w:t>
            </w:r>
          </w:p>
        </w:tc>
        <w:tc>
          <w:tcPr>
            <w:tcW w:w="709" w:type="dxa"/>
            <w:vAlign w:val="center"/>
          </w:tcPr>
          <w:p w14:paraId="29869F37"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10%</w:t>
            </w:r>
          </w:p>
        </w:tc>
        <w:tc>
          <w:tcPr>
            <w:tcW w:w="852" w:type="dxa"/>
            <w:vAlign w:val="center"/>
          </w:tcPr>
          <w:p w14:paraId="2C96D92C"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75%</w:t>
            </w:r>
          </w:p>
        </w:tc>
      </w:tr>
      <w:tr w:rsidR="00FE38AA" w:rsidRPr="009E7FFE" w14:paraId="15C47C38"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1A744C2A" w14:textId="77777777" w:rsidR="00FE38AA" w:rsidRDefault="00FE38AA" w:rsidP="00FE38AA">
            <w:pPr>
              <w:pStyle w:val="BodyText"/>
              <w:spacing w:after="120"/>
            </w:pPr>
            <w:r>
              <w:t>Education</w:t>
            </w:r>
          </w:p>
        </w:tc>
        <w:tc>
          <w:tcPr>
            <w:tcW w:w="851" w:type="dxa"/>
            <w:noWrap/>
            <w:vAlign w:val="center"/>
            <w:hideMark/>
          </w:tcPr>
          <w:p w14:paraId="7A9AAD3D"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10%</w:t>
            </w:r>
          </w:p>
        </w:tc>
        <w:tc>
          <w:tcPr>
            <w:tcW w:w="992" w:type="dxa"/>
            <w:noWrap/>
            <w:vAlign w:val="center"/>
            <w:hideMark/>
          </w:tcPr>
          <w:p w14:paraId="1AF4F007"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41A9018D"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852" w:type="dxa"/>
            <w:vAlign w:val="center"/>
          </w:tcPr>
          <w:p w14:paraId="0BAD633B"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90%</w:t>
            </w:r>
          </w:p>
        </w:tc>
      </w:tr>
      <w:tr w:rsidR="00FE38AA" w:rsidRPr="009E7FFE" w14:paraId="1574FC43"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2DDE2326" w14:textId="77777777" w:rsidR="00FE38AA" w:rsidRDefault="00FE38AA" w:rsidP="00FE38AA">
            <w:pPr>
              <w:pStyle w:val="BodyText"/>
              <w:spacing w:after="120"/>
            </w:pPr>
            <w:r>
              <w:t>Electricity, gas, steam and air conditioning supply</w:t>
            </w:r>
          </w:p>
        </w:tc>
        <w:tc>
          <w:tcPr>
            <w:tcW w:w="851" w:type="dxa"/>
            <w:noWrap/>
            <w:vAlign w:val="center"/>
            <w:hideMark/>
          </w:tcPr>
          <w:p w14:paraId="3DF72220"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15%</w:t>
            </w:r>
          </w:p>
        </w:tc>
        <w:tc>
          <w:tcPr>
            <w:tcW w:w="992" w:type="dxa"/>
            <w:noWrap/>
            <w:vAlign w:val="center"/>
            <w:hideMark/>
          </w:tcPr>
          <w:p w14:paraId="4CE4FDBD"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15%</w:t>
            </w:r>
          </w:p>
        </w:tc>
        <w:tc>
          <w:tcPr>
            <w:tcW w:w="709" w:type="dxa"/>
            <w:vAlign w:val="center"/>
          </w:tcPr>
          <w:p w14:paraId="07E72CE1"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20%</w:t>
            </w:r>
          </w:p>
        </w:tc>
        <w:tc>
          <w:tcPr>
            <w:tcW w:w="852" w:type="dxa"/>
            <w:vAlign w:val="center"/>
          </w:tcPr>
          <w:p w14:paraId="4AB178D2"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50%</w:t>
            </w:r>
          </w:p>
        </w:tc>
      </w:tr>
      <w:tr w:rsidR="00FE38AA" w:rsidRPr="009E7FFE" w14:paraId="0B3B5ADA"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43FE665D" w14:textId="77777777" w:rsidR="00FE38AA" w:rsidRDefault="00FE38AA" w:rsidP="00FE38AA">
            <w:pPr>
              <w:pStyle w:val="BodyText"/>
              <w:spacing w:after="120"/>
            </w:pPr>
            <w:r>
              <w:t>Financial and insurance activities</w:t>
            </w:r>
          </w:p>
        </w:tc>
        <w:tc>
          <w:tcPr>
            <w:tcW w:w="851" w:type="dxa"/>
            <w:noWrap/>
            <w:vAlign w:val="center"/>
            <w:hideMark/>
          </w:tcPr>
          <w:p w14:paraId="11A9D754"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100%</w:t>
            </w:r>
          </w:p>
        </w:tc>
        <w:tc>
          <w:tcPr>
            <w:tcW w:w="992" w:type="dxa"/>
            <w:noWrap/>
            <w:vAlign w:val="center"/>
            <w:hideMark/>
          </w:tcPr>
          <w:p w14:paraId="3BB66751"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5FA651EF"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852" w:type="dxa"/>
            <w:vAlign w:val="center"/>
          </w:tcPr>
          <w:p w14:paraId="0AA230EB"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r>
      <w:tr w:rsidR="00FE38AA" w:rsidRPr="009E7FFE" w14:paraId="0EC1D168"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7F190880" w14:textId="77777777" w:rsidR="00FE38AA" w:rsidRDefault="00FE38AA" w:rsidP="00FE38AA">
            <w:pPr>
              <w:pStyle w:val="BodyText"/>
              <w:spacing w:after="120"/>
            </w:pPr>
            <w:r>
              <w:t>Human health and social work activities</w:t>
            </w:r>
          </w:p>
        </w:tc>
        <w:tc>
          <w:tcPr>
            <w:tcW w:w="851" w:type="dxa"/>
            <w:noWrap/>
            <w:vAlign w:val="center"/>
            <w:hideMark/>
          </w:tcPr>
          <w:p w14:paraId="7E681640"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10%</w:t>
            </w:r>
          </w:p>
        </w:tc>
        <w:tc>
          <w:tcPr>
            <w:tcW w:w="992" w:type="dxa"/>
            <w:noWrap/>
            <w:vAlign w:val="center"/>
            <w:hideMark/>
          </w:tcPr>
          <w:p w14:paraId="7A2A89E9"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4CF9A8CE"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852" w:type="dxa"/>
            <w:vAlign w:val="center"/>
          </w:tcPr>
          <w:p w14:paraId="20CDB5BD"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90%</w:t>
            </w:r>
          </w:p>
        </w:tc>
      </w:tr>
      <w:tr w:rsidR="00FE38AA" w:rsidRPr="009E7FFE" w14:paraId="45D5BFE6"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3C8B29AB" w14:textId="77777777" w:rsidR="00FE38AA" w:rsidRDefault="00FE38AA" w:rsidP="00FE38AA">
            <w:pPr>
              <w:pStyle w:val="BodyText"/>
              <w:spacing w:after="120"/>
            </w:pPr>
            <w:r>
              <w:t xml:space="preserve">Information and communication </w:t>
            </w:r>
          </w:p>
        </w:tc>
        <w:tc>
          <w:tcPr>
            <w:tcW w:w="851" w:type="dxa"/>
            <w:noWrap/>
            <w:vAlign w:val="center"/>
            <w:hideMark/>
          </w:tcPr>
          <w:p w14:paraId="41CA6960"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80%</w:t>
            </w:r>
          </w:p>
        </w:tc>
        <w:tc>
          <w:tcPr>
            <w:tcW w:w="992" w:type="dxa"/>
            <w:noWrap/>
            <w:vAlign w:val="center"/>
            <w:hideMark/>
          </w:tcPr>
          <w:p w14:paraId="0D396311"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6D9A38D2"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20%</w:t>
            </w:r>
          </w:p>
        </w:tc>
        <w:tc>
          <w:tcPr>
            <w:tcW w:w="852" w:type="dxa"/>
            <w:vAlign w:val="center"/>
          </w:tcPr>
          <w:p w14:paraId="5082D297"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r>
      <w:tr w:rsidR="00FE38AA" w:rsidRPr="009E7FFE" w14:paraId="70CDD3BE"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342FBA9D" w14:textId="77777777" w:rsidR="00FE38AA" w:rsidRDefault="00FE38AA" w:rsidP="00FE38AA">
            <w:pPr>
              <w:pStyle w:val="BodyText"/>
              <w:spacing w:after="120"/>
            </w:pPr>
            <w:r>
              <w:t xml:space="preserve">Manufacturing </w:t>
            </w:r>
          </w:p>
        </w:tc>
        <w:tc>
          <w:tcPr>
            <w:tcW w:w="851" w:type="dxa"/>
            <w:noWrap/>
            <w:vAlign w:val="center"/>
            <w:hideMark/>
          </w:tcPr>
          <w:p w14:paraId="2616EDA2"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15%</w:t>
            </w:r>
          </w:p>
        </w:tc>
        <w:tc>
          <w:tcPr>
            <w:tcW w:w="992" w:type="dxa"/>
            <w:noWrap/>
            <w:vAlign w:val="center"/>
            <w:hideMark/>
          </w:tcPr>
          <w:p w14:paraId="58A71619"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65%</w:t>
            </w:r>
          </w:p>
        </w:tc>
        <w:tc>
          <w:tcPr>
            <w:tcW w:w="709" w:type="dxa"/>
            <w:vAlign w:val="center"/>
          </w:tcPr>
          <w:p w14:paraId="1D07AA68"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20%</w:t>
            </w:r>
          </w:p>
        </w:tc>
        <w:tc>
          <w:tcPr>
            <w:tcW w:w="852" w:type="dxa"/>
            <w:vAlign w:val="center"/>
          </w:tcPr>
          <w:p w14:paraId="4A210BC8"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r>
      <w:tr w:rsidR="00FE38AA" w:rsidRPr="009E7FFE" w14:paraId="618D3248"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234102EE" w14:textId="77777777" w:rsidR="00FE38AA" w:rsidRDefault="00FE38AA" w:rsidP="00FE38AA">
            <w:pPr>
              <w:pStyle w:val="BodyText"/>
              <w:spacing w:after="120"/>
            </w:pPr>
            <w:r>
              <w:t>Other service activities</w:t>
            </w:r>
          </w:p>
        </w:tc>
        <w:tc>
          <w:tcPr>
            <w:tcW w:w="851" w:type="dxa"/>
            <w:noWrap/>
            <w:vAlign w:val="center"/>
            <w:hideMark/>
          </w:tcPr>
          <w:p w14:paraId="101A3550"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100%</w:t>
            </w:r>
          </w:p>
        </w:tc>
        <w:tc>
          <w:tcPr>
            <w:tcW w:w="992" w:type="dxa"/>
            <w:noWrap/>
            <w:vAlign w:val="center"/>
            <w:hideMark/>
          </w:tcPr>
          <w:p w14:paraId="587BF12A"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25DFAD74"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852" w:type="dxa"/>
            <w:vAlign w:val="center"/>
          </w:tcPr>
          <w:p w14:paraId="110E02C6"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r>
      <w:tr w:rsidR="00FE38AA" w:rsidRPr="009E7FFE" w14:paraId="2868B4DD"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00CED185" w14:textId="77777777" w:rsidR="00FE38AA" w:rsidRDefault="00FE38AA" w:rsidP="00FE38AA">
            <w:pPr>
              <w:pStyle w:val="BodyText"/>
              <w:spacing w:after="120"/>
            </w:pPr>
            <w:r>
              <w:t xml:space="preserve">Professional, scientific and technical activities </w:t>
            </w:r>
          </w:p>
        </w:tc>
        <w:tc>
          <w:tcPr>
            <w:tcW w:w="851" w:type="dxa"/>
            <w:noWrap/>
            <w:vAlign w:val="center"/>
            <w:hideMark/>
          </w:tcPr>
          <w:p w14:paraId="19489B3C"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100%</w:t>
            </w:r>
          </w:p>
        </w:tc>
        <w:tc>
          <w:tcPr>
            <w:tcW w:w="992" w:type="dxa"/>
            <w:noWrap/>
            <w:vAlign w:val="center"/>
            <w:hideMark/>
          </w:tcPr>
          <w:p w14:paraId="1177FDF4"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43563E9D"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852" w:type="dxa"/>
            <w:vAlign w:val="center"/>
          </w:tcPr>
          <w:p w14:paraId="5EACDB5F"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r>
      <w:tr w:rsidR="00FE38AA" w:rsidRPr="009E7FFE" w14:paraId="49EDAE02"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53EF4499" w14:textId="77777777" w:rsidR="00FE38AA" w:rsidRDefault="00FE38AA" w:rsidP="00FE38AA">
            <w:pPr>
              <w:pStyle w:val="BodyText"/>
              <w:spacing w:after="120"/>
            </w:pPr>
            <w:r>
              <w:t>Public administration and defence; compulsory social security</w:t>
            </w:r>
          </w:p>
        </w:tc>
        <w:tc>
          <w:tcPr>
            <w:tcW w:w="851" w:type="dxa"/>
            <w:noWrap/>
            <w:vAlign w:val="center"/>
            <w:hideMark/>
          </w:tcPr>
          <w:p w14:paraId="1D2771E8"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80%</w:t>
            </w:r>
          </w:p>
        </w:tc>
        <w:tc>
          <w:tcPr>
            <w:tcW w:w="992" w:type="dxa"/>
            <w:noWrap/>
            <w:vAlign w:val="center"/>
            <w:hideMark/>
          </w:tcPr>
          <w:p w14:paraId="0D49A056"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5C98A88E"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852" w:type="dxa"/>
            <w:vAlign w:val="center"/>
          </w:tcPr>
          <w:p w14:paraId="67873AF5"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20%</w:t>
            </w:r>
          </w:p>
        </w:tc>
      </w:tr>
      <w:tr w:rsidR="00FE38AA" w:rsidRPr="009E7FFE" w14:paraId="55A3466D"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3E3956DF" w14:textId="77777777" w:rsidR="00FE38AA" w:rsidRDefault="00FE38AA" w:rsidP="00FE38AA">
            <w:pPr>
              <w:pStyle w:val="BodyText"/>
              <w:spacing w:after="120"/>
            </w:pPr>
            <w:r>
              <w:t>Real estate activities</w:t>
            </w:r>
          </w:p>
        </w:tc>
        <w:tc>
          <w:tcPr>
            <w:tcW w:w="851" w:type="dxa"/>
            <w:noWrap/>
            <w:vAlign w:val="center"/>
            <w:hideMark/>
          </w:tcPr>
          <w:p w14:paraId="38C6822D"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10%</w:t>
            </w:r>
          </w:p>
        </w:tc>
        <w:tc>
          <w:tcPr>
            <w:tcW w:w="992" w:type="dxa"/>
            <w:noWrap/>
            <w:vAlign w:val="center"/>
            <w:hideMark/>
          </w:tcPr>
          <w:p w14:paraId="327CD808"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7A788305"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852" w:type="dxa"/>
            <w:vAlign w:val="center"/>
          </w:tcPr>
          <w:p w14:paraId="7C474808"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90%</w:t>
            </w:r>
          </w:p>
        </w:tc>
      </w:tr>
      <w:tr w:rsidR="00FE38AA" w:rsidRPr="009E7FFE" w14:paraId="04F966AA"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73D1B69C" w14:textId="77777777" w:rsidR="00FE38AA" w:rsidRDefault="00FE38AA" w:rsidP="00FE38AA">
            <w:pPr>
              <w:pStyle w:val="BodyText"/>
              <w:spacing w:after="120"/>
            </w:pPr>
            <w:r>
              <w:t>Transportation and storage</w:t>
            </w:r>
          </w:p>
        </w:tc>
        <w:tc>
          <w:tcPr>
            <w:tcW w:w="851" w:type="dxa"/>
            <w:noWrap/>
            <w:vAlign w:val="center"/>
            <w:hideMark/>
          </w:tcPr>
          <w:p w14:paraId="4F5777E8"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30%</w:t>
            </w:r>
          </w:p>
        </w:tc>
        <w:tc>
          <w:tcPr>
            <w:tcW w:w="992" w:type="dxa"/>
            <w:noWrap/>
            <w:vAlign w:val="center"/>
            <w:hideMark/>
          </w:tcPr>
          <w:p w14:paraId="699FD539"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33C3D2A9"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30%</w:t>
            </w:r>
          </w:p>
        </w:tc>
        <w:tc>
          <w:tcPr>
            <w:tcW w:w="852" w:type="dxa"/>
            <w:vAlign w:val="center"/>
          </w:tcPr>
          <w:p w14:paraId="7A7566E5"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40%</w:t>
            </w:r>
          </w:p>
        </w:tc>
      </w:tr>
      <w:tr w:rsidR="00FE38AA" w:rsidRPr="009E7FFE" w14:paraId="7A9DD87E"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6EE44AD1" w14:textId="77777777" w:rsidR="00FE38AA" w:rsidRDefault="00FE38AA" w:rsidP="007E3720">
            <w:pPr>
              <w:pStyle w:val="BodyText"/>
              <w:spacing w:after="120"/>
            </w:pPr>
            <w:r>
              <w:t xml:space="preserve">Water supply, sewerage, waste management </w:t>
            </w:r>
            <w:r w:rsidR="007E3720">
              <w:t>&amp;</w:t>
            </w:r>
            <w:r>
              <w:t xml:space="preserve"> remediation activities</w:t>
            </w:r>
          </w:p>
        </w:tc>
        <w:tc>
          <w:tcPr>
            <w:tcW w:w="851" w:type="dxa"/>
            <w:noWrap/>
            <w:vAlign w:val="center"/>
            <w:hideMark/>
          </w:tcPr>
          <w:p w14:paraId="47172392"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15%</w:t>
            </w:r>
          </w:p>
        </w:tc>
        <w:tc>
          <w:tcPr>
            <w:tcW w:w="992" w:type="dxa"/>
            <w:noWrap/>
            <w:vAlign w:val="center"/>
            <w:hideMark/>
          </w:tcPr>
          <w:p w14:paraId="5DBC6464"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15%</w:t>
            </w:r>
          </w:p>
        </w:tc>
        <w:tc>
          <w:tcPr>
            <w:tcW w:w="709" w:type="dxa"/>
            <w:vAlign w:val="center"/>
          </w:tcPr>
          <w:p w14:paraId="1F642DB1"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20%</w:t>
            </w:r>
          </w:p>
        </w:tc>
        <w:tc>
          <w:tcPr>
            <w:tcW w:w="852" w:type="dxa"/>
            <w:vAlign w:val="center"/>
          </w:tcPr>
          <w:p w14:paraId="61399F37"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50%</w:t>
            </w:r>
          </w:p>
        </w:tc>
      </w:tr>
      <w:tr w:rsidR="00FE38AA" w:rsidRPr="009E7FFE" w14:paraId="0D3F9956" w14:textId="77777777" w:rsidTr="007E3720">
        <w:trPr>
          <w:trHeight w:val="255"/>
        </w:trPr>
        <w:tc>
          <w:tcPr>
            <w:cnfStyle w:val="001000000000" w:firstRow="0" w:lastRow="0" w:firstColumn="1" w:lastColumn="0" w:oddVBand="0" w:evenVBand="0" w:oddHBand="0" w:evenHBand="0" w:firstRowFirstColumn="0" w:firstRowLastColumn="0" w:lastRowFirstColumn="0" w:lastRowLastColumn="0"/>
            <w:tcW w:w="6237" w:type="dxa"/>
            <w:noWrap/>
            <w:vAlign w:val="bottom"/>
            <w:hideMark/>
          </w:tcPr>
          <w:p w14:paraId="14875FF9" w14:textId="77777777" w:rsidR="00FE38AA" w:rsidRDefault="00FE38AA" w:rsidP="007E3720">
            <w:pPr>
              <w:pStyle w:val="BodyText"/>
              <w:spacing w:after="120"/>
            </w:pPr>
            <w:r>
              <w:t xml:space="preserve">Wholesale and retail trade; repair of motor vehicles </w:t>
            </w:r>
            <w:r w:rsidR="007E3720">
              <w:t>&amp;</w:t>
            </w:r>
            <w:r>
              <w:t xml:space="preserve"> motorcycles</w:t>
            </w:r>
          </w:p>
        </w:tc>
        <w:tc>
          <w:tcPr>
            <w:tcW w:w="851" w:type="dxa"/>
            <w:noWrap/>
            <w:vAlign w:val="center"/>
            <w:hideMark/>
          </w:tcPr>
          <w:p w14:paraId="28799339"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15%</w:t>
            </w:r>
          </w:p>
        </w:tc>
        <w:tc>
          <w:tcPr>
            <w:tcW w:w="992" w:type="dxa"/>
            <w:noWrap/>
            <w:vAlign w:val="center"/>
            <w:hideMark/>
          </w:tcPr>
          <w:p w14:paraId="5B11BB49"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 </w:t>
            </w:r>
          </w:p>
        </w:tc>
        <w:tc>
          <w:tcPr>
            <w:tcW w:w="709" w:type="dxa"/>
            <w:vAlign w:val="center"/>
          </w:tcPr>
          <w:p w14:paraId="524AC798"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30%</w:t>
            </w:r>
          </w:p>
        </w:tc>
        <w:tc>
          <w:tcPr>
            <w:tcW w:w="852" w:type="dxa"/>
            <w:vAlign w:val="center"/>
          </w:tcPr>
          <w:p w14:paraId="19D7F786" w14:textId="77777777" w:rsidR="00FE38AA" w:rsidRPr="007E3720" w:rsidRDefault="00FE38AA">
            <w:pPr>
              <w:jc w:val="center"/>
              <w:cnfStyle w:val="000000000000" w:firstRow="0" w:lastRow="0" w:firstColumn="0" w:lastColumn="0" w:oddVBand="0" w:evenVBand="0" w:oddHBand="0" w:evenHBand="0" w:firstRowFirstColumn="0" w:firstRowLastColumn="0" w:lastRowFirstColumn="0" w:lastRowLastColumn="0"/>
              <w:rPr>
                <w:rFonts w:ascii="Calibri" w:hAnsi="Calibri"/>
                <w:color w:val="394A58" w:themeColor="text2"/>
                <w:sz w:val="22"/>
                <w:szCs w:val="22"/>
              </w:rPr>
            </w:pPr>
            <w:r w:rsidRPr="007E3720">
              <w:rPr>
                <w:rFonts w:ascii="Calibri" w:hAnsi="Calibri"/>
                <w:color w:val="394A58" w:themeColor="text2"/>
                <w:sz w:val="22"/>
                <w:szCs w:val="22"/>
              </w:rPr>
              <w:t>55%</w:t>
            </w:r>
          </w:p>
        </w:tc>
      </w:tr>
    </w:tbl>
    <w:p w14:paraId="5BEA40EC" w14:textId="77777777" w:rsidR="00F15F89" w:rsidRDefault="00F15F89" w:rsidP="00F15F89">
      <w:pPr>
        <w:pStyle w:val="TableSource"/>
        <w:jc w:val="both"/>
        <w:rPr>
          <w:kern w:val="28"/>
        </w:rPr>
      </w:pPr>
      <w:r>
        <w:rPr>
          <w:kern w:val="28"/>
        </w:rPr>
        <w:t>Source: Atkins 2014</w:t>
      </w:r>
    </w:p>
    <w:p w14:paraId="44C97EEB" w14:textId="77777777" w:rsidR="00FE38AA" w:rsidRDefault="00FE38AA" w:rsidP="00C124E2">
      <w:pPr>
        <w:pStyle w:val="NormalNoSpace"/>
        <w:spacing w:after="120"/>
        <w:jc w:val="center"/>
        <w:rPr>
          <w:b/>
          <w:color w:val="000000" w:themeColor="accent4"/>
          <w:szCs w:val="20"/>
        </w:rPr>
      </w:pPr>
    </w:p>
    <w:p w14:paraId="0116C768" w14:textId="77777777" w:rsidR="00811E9D" w:rsidRDefault="00811E9D" w:rsidP="00811E9D">
      <w:pPr>
        <w:pStyle w:val="NormalNoSpace"/>
        <w:spacing w:after="120"/>
        <w:jc w:val="both"/>
        <w:rPr>
          <w:kern w:val="28"/>
        </w:rPr>
      </w:pPr>
      <w:r>
        <w:rPr>
          <w:kern w:val="28"/>
        </w:rPr>
        <w:t>Following this,</w:t>
      </w:r>
      <w:r w:rsidRPr="00BD5F72">
        <w:rPr>
          <w:kern w:val="28"/>
        </w:rPr>
        <w:t xml:space="preserve"> job numbers have been converted to floorspace and land demand by applying </w:t>
      </w:r>
      <w:r w:rsidR="00183CF4">
        <w:rPr>
          <w:kern w:val="28"/>
        </w:rPr>
        <w:t>standard</w:t>
      </w:r>
      <w:r w:rsidRPr="00BD5F72">
        <w:rPr>
          <w:kern w:val="28"/>
        </w:rPr>
        <w:t xml:space="preserve"> employment density and plot ratio assumptions. The employment densities used are in line with the HCA’s Employment Densities Guide 2nd Edition (2010) while the plot ratios used are </w:t>
      </w:r>
      <w:r w:rsidR="000969AA">
        <w:rPr>
          <w:kern w:val="28"/>
        </w:rPr>
        <w:t>consistent with</w:t>
      </w:r>
      <w:r w:rsidRPr="00BD5F72">
        <w:rPr>
          <w:kern w:val="28"/>
        </w:rPr>
        <w:t xml:space="preserve"> the ODPM’s Employment Land Reviews: Guidance Note (2004). The employment density and plot ratio assumptions are summarised </w:t>
      </w:r>
      <w:r>
        <w:rPr>
          <w:kern w:val="28"/>
        </w:rPr>
        <w:t xml:space="preserve">in Table </w:t>
      </w:r>
      <w:r w:rsidR="00E44641">
        <w:rPr>
          <w:kern w:val="28"/>
        </w:rPr>
        <w:t>4</w:t>
      </w:r>
      <w:r w:rsidR="00756B1B">
        <w:rPr>
          <w:kern w:val="28"/>
        </w:rPr>
        <w:t>.2</w:t>
      </w:r>
      <w:r w:rsidRPr="00BD5F72">
        <w:rPr>
          <w:kern w:val="28"/>
        </w:rPr>
        <w:t>.</w:t>
      </w:r>
    </w:p>
    <w:p w14:paraId="61EC7F93" w14:textId="77777777" w:rsidR="00183CF4" w:rsidRDefault="00183CF4" w:rsidP="00811E9D">
      <w:pPr>
        <w:pStyle w:val="NormalNoSpace"/>
        <w:spacing w:after="120"/>
        <w:jc w:val="both"/>
        <w:rPr>
          <w:kern w:val="28"/>
        </w:rPr>
      </w:pPr>
      <w:r>
        <w:rPr>
          <w:kern w:val="28"/>
        </w:rPr>
        <w:t xml:space="preserve">It should be noted that the application of standard employment density and plot ratio assumptions may potentially under-estimate gross future land demand in North East Lincolnshire given that some of the specialist activities likely to feature strongly in the Borough over the next 10 or 20 years are especially land hungry in nature.  This includes many of the port, logistics, chemicals and energy </w:t>
      </w:r>
      <w:r w:rsidR="000969AA">
        <w:rPr>
          <w:kern w:val="28"/>
        </w:rPr>
        <w:t>activities</w:t>
      </w:r>
      <w:r>
        <w:rPr>
          <w:kern w:val="28"/>
        </w:rPr>
        <w:t xml:space="preserve">.  Consequently, the estimates set out in this section should be treated as a minimum assessment of future requirements and be subject to review as more empirical evidence becomes available over time.  This evidence should include the gathering of data on actual employment density and plot ratio </w:t>
      </w:r>
      <w:r w:rsidR="00003990">
        <w:rPr>
          <w:kern w:val="28"/>
        </w:rPr>
        <w:t xml:space="preserve">ratios by detailed industrial activity as projects are implemented. </w:t>
      </w:r>
    </w:p>
    <w:p w14:paraId="48E71D58" w14:textId="77777777" w:rsidR="008D352D" w:rsidRDefault="008D352D" w:rsidP="00811E9D">
      <w:pPr>
        <w:pStyle w:val="NormalNoSpace"/>
        <w:spacing w:after="120"/>
        <w:jc w:val="both"/>
        <w:rPr>
          <w:kern w:val="28"/>
        </w:rPr>
      </w:pPr>
      <w:r>
        <w:rPr>
          <w:kern w:val="28"/>
        </w:rPr>
        <w:t>Bearing in mind the relatively high possibility that actual development densities will be significantly lower than st</w:t>
      </w:r>
      <w:r w:rsidR="000969AA">
        <w:rPr>
          <w:kern w:val="28"/>
        </w:rPr>
        <w:t>andard use class guidance ratio</w:t>
      </w:r>
      <w:r>
        <w:rPr>
          <w:kern w:val="28"/>
        </w:rPr>
        <w:t xml:space="preserve">s, it will be particularly important to build in sufficient flexibility and choice in the allocation of land identified as suitable to potentially meet future needs.  This should include a total quantum of allocated land which is notably greater than the theoretical take-up estimates set out in this report. For example, building in sufficient flexibility and choice may require total land allocations to exceed the take-up estimates presented below by approximately 50%. </w:t>
      </w:r>
    </w:p>
    <w:p w14:paraId="655D9055" w14:textId="77777777" w:rsidR="00756B1B" w:rsidRDefault="00756B1B" w:rsidP="00811E9D">
      <w:pPr>
        <w:pStyle w:val="NormalNoSpace"/>
        <w:spacing w:after="120"/>
        <w:jc w:val="both"/>
        <w:rPr>
          <w:kern w:val="28"/>
        </w:rPr>
      </w:pPr>
    </w:p>
    <w:p w14:paraId="51770523" w14:textId="77777777" w:rsidR="00811E9D" w:rsidRPr="00E44641" w:rsidRDefault="00811E9D" w:rsidP="00C124E2">
      <w:pPr>
        <w:pStyle w:val="Caption"/>
        <w:spacing w:after="120"/>
        <w:jc w:val="center"/>
        <w:rPr>
          <w:color w:val="000000" w:themeColor="accent4"/>
          <w:sz w:val="20"/>
          <w:szCs w:val="20"/>
        </w:rPr>
      </w:pPr>
      <w:bookmarkStart w:id="274" w:name="_Ref387651865"/>
      <w:bookmarkStart w:id="275" w:name="_Toc394668612"/>
      <w:r w:rsidRPr="00E44641">
        <w:rPr>
          <w:color w:val="000000" w:themeColor="accent4"/>
          <w:sz w:val="20"/>
          <w:szCs w:val="20"/>
        </w:rPr>
        <w:t xml:space="preserve">Table </w:t>
      </w:r>
      <w:fldSimple w:instr=" STYLEREF 1 \s  \* MERGEFORMAT ">
        <w:r w:rsidR="00E44641" w:rsidRPr="00E44641">
          <w:rPr>
            <w:noProof/>
            <w:color w:val="000000" w:themeColor="accent4"/>
            <w:sz w:val="20"/>
            <w:szCs w:val="20"/>
          </w:rPr>
          <w:t>4</w:t>
        </w:r>
      </w:fldSimple>
      <w:r w:rsidRPr="00E44641">
        <w:rPr>
          <w:color w:val="000000" w:themeColor="accent4"/>
          <w:sz w:val="20"/>
          <w:szCs w:val="20"/>
        </w:rPr>
        <w:t>-</w:t>
      </w:r>
      <w:fldSimple w:instr=" SEQ Table \* ARABIC \s 1  \* MERGEFORMAT ">
        <w:r w:rsidR="00756B1B">
          <w:rPr>
            <w:noProof/>
            <w:color w:val="000000" w:themeColor="accent4"/>
            <w:sz w:val="20"/>
            <w:szCs w:val="20"/>
          </w:rPr>
          <w:t>2</w:t>
        </w:r>
      </w:fldSimple>
      <w:bookmarkEnd w:id="274"/>
      <w:r w:rsidR="00756B1B">
        <w:rPr>
          <w:color w:val="000000" w:themeColor="accent4"/>
          <w:sz w:val="20"/>
          <w:szCs w:val="20"/>
        </w:rPr>
        <w:t xml:space="preserve">:  </w:t>
      </w:r>
      <w:r w:rsidRPr="00E44641">
        <w:rPr>
          <w:color w:val="000000" w:themeColor="accent4"/>
          <w:sz w:val="20"/>
          <w:szCs w:val="20"/>
        </w:rPr>
        <w:t>Employment density and plot ratio assumptions</w:t>
      </w:r>
      <w:bookmarkEnd w:id="275"/>
    </w:p>
    <w:tbl>
      <w:tblPr>
        <w:tblStyle w:val="Atkins14pt"/>
        <w:tblW w:w="5774" w:type="dxa"/>
        <w:jc w:val="center"/>
        <w:tblInd w:w="0" w:type="dxa"/>
        <w:tblLook w:val="04A0" w:firstRow="1" w:lastRow="0" w:firstColumn="1" w:lastColumn="0" w:noHBand="0" w:noVBand="1"/>
      </w:tblPr>
      <w:tblGrid>
        <w:gridCol w:w="1134"/>
        <w:gridCol w:w="2380"/>
        <w:gridCol w:w="2260"/>
      </w:tblGrid>
      <w:tr w:rsidR="00811E9D" w:rsidRPr="00BD5F72" w14:paraId="6F5042BA" w14:textId="77777777" w:rsidTr="00C124E2">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100" w:firstRow="0" w:lastRow="0" w:firstColumn="1" w:lastColumn="0" w:oddVBand="0" w:evenVBand="0" w:oddHBand="0" w:evenHBand="0" w:firstRowFirstColumn="1" w:firstRowLastColumn="0" w:lastRowFirstColumn="0" w:lastRowLastColumn="0"/>
            <w:tcW w:w="1134" w:type="dxa"/>
            <w:shd w:val="clear" w:color="auto" w:fill="EDF1F1" w:themeFill="accent5" w:themeFillTint="33"/>
            <w:hideMark/>
          </w:tcPr>
          <w:p w14:paraId="5E0CFE02" w14:textId="77777777" w:rsidR="00811E9D" w:rsidRPr="00CD3974" w:rsidRDefault="00811E9D" w:rsidP="00811E9D">
            <w:pPr>
              <w:rPr>
                <w:rFonts w:asciiTheme="minorHAnsi" w:eastAsia="Times New Roman" w:hAnsiTheme="minorHAnsi" w:cstheme="minorHAnsi"/>
                <w:bCs/>
                <w:sz w:val="20"/>
              </w:rPr>
            </w:pPr>
            <w:r w:rsidRPr="00CD3974">
              <w:rPr>
                <w:rFonts w:asciiTheme="minorHAnsi" w:eastAsia="Times New Roman" w:hAnsiTheme="minorHAnsi" w:cstheme="minorHAnsi"/>
                <w:bCs/>
                <w:sz w:val="20"/>
              </w:rPr>
              <w:t>Use Class</w:t>
            </w:r>
          </w:p>
        </w:tc>
        <w:tc>
          <w:tcPr>
            <w:tcW w:w="2380" w:type="dxa"/>
            <w:shd w:val="clear" w:color="auto" w:fill="EDF1F1" w:themeFill="accent5" w:themeFillTint="33"/>
            <w:hideMark/>
          </w:tcPr>
          <w:p w14:paraId="33797AF4" w14:textId="77777777" w:rsidR="00811E9D" w:rsidRPr="00CD3974" w:rsidRDefault="00811E9D" w:rsidP="00811E9D">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0"/>
              </w:rPr>
            </w:pPr>
            <w:r w:rsidRPr="00CD3974">
              <w:rPr>
                <w:rFonts w:asciiTheme="minorHAnsi" w:eastAsia="Times New Roman" w:hAnsiTheme="minorHAnsi" w:cstheme="minorHAnsi"/>
                <w:bCs/>
                <w:sz w:val="20"/>
              </w:rPr>
              <w:t>Employment Density</w:t>
            </w:r>
          </w:p>
        </w:tc>
        <w:tc>
          <w:tcPr>
            <w:tcW w:w="2260" w:type="dxa"/>
            <w:shd w:val="clear" w:color="auto" w:fill="EDF1F1" w:themeFill="accent5" w:themeFillTint="33"/>
            <w:hideMark/>
          </w:tcPr>
          <w:p w14:paraId="566EAF84" w14:textId="77777777" w:rsidR="00811E9D" w:rsidRPr="00CD3974" w:rsidRDefault="00811E9D" w:rsidP="00811E9D">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0"/>
              </w:rPr>
            </w:pPr>
            <w:r w:rsidRPr="00CD3974">
              <w:rPr>
                <w:rFonts w:asciiTheme="minorHAnsi" w:eastAsia="Times New Roman" w:hAnsiTheme="minorHAnsi" w:cstheme="minorHAnsi"/>
                <w:bCs/>
                <w:sz w:val="20"/>
              </w:rPr>
              <w:t>Plot Ratio</w:t>
            </w:r>
          </w:p>
        </w:tc>
      </w:tr>
      <w:tr w:rsidR="00811E9D" w:rsidRPr="00BD5F72" w14:paraId="1DCC7002" w14:textId="77777777" w:rsidTr="00C124E2">
        <w:trPr>
          <w:trHeight w:val="300"/>
          <w:jc w:val="center"/>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51CC95C"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B1a/b</w:t>
            </w:r>
          </w:p>
        </w:tc>
        <w:tc>
          <w:tcPr>
            <w:tcW w:w="2380" w:type="dxa"/>
            <w:noWrap/>
            <w:hideMark/>
          </w:tcPr>
          <w:p w14:paraId="6C65CEEC" w14:textId="77777777" w:rsidR="00811E9D" w:rsidRPr="00CD3974" w:rsidRDefault="00811E9D" w:rsidP="00811E9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rPr>
            </w:pPr>
            <w:r w:rsidRPr="00CD3974">
              <w:rPr>
                <w:rFonts w:asciiTheme="minorHAnsi" w:eastAsia="Times New Roman" w:hAnsiTheme="minorHAnsi" w:cstheme="minorHAnsi"/>
                <w:sz w:val="20"/>
              </w:rPr>
              <w:t>12 sqm per FTE</w:t>
            </w:r>
          </w:p>
        </w:tc>
        <w:tc>
          <w:tcPr>
            <w:tcW w:w="2260" w:type="dxa"/>
            <w:noWrap/>
            <w:hideMark/>
          </w:tcPr>
          <w:p w14:paraId="18C0215B" w14:textId="77777777" w:rsidR="00811E9D" w:rsidRPr="00CD3974" w:rsidRDefault="00811E9D" w:rsidP="00811E9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rPr>
            </w:pPr>
            <w:r w:rsidRPr="00CD3974">
              <w:rPr>
                <w:rFonts w:asciiTheme="minorHAnsi" w:eastAsia="Times New Roman" w:hAnsiTheme="minorHAnsi" w:cstheme="minorHAnsi"/>
                <w:sz w:val="20"/>
              </w:rPr>
              <w:t>75% of site area</w:t>
            </w:r>
          </w:p>
        </w:tc>
      </w:tr>
      <w:tr w:rsidR="00811E9D" w:rsidRPr="00BD5F72" w14:paraId="0E2050C4" w14:textId="77777777" w:rsidTr="00C124E2">
        <w:trPr>
          <w:trHeight w:val="300"/>
          <w:jc w:val="center"/>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6F1CF4C"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B1c/B2</w:t>
            </w:r>
          </w:p>
        </w:tc>
        <w:tc>
          <w:tcPr>
            <w:tcW w:w="2380" w:type="dxa"/>
            <w:noWrap/>
            <w:hideMark/>
          </w:tcPr>
          <w:p w14:paraId="45AA76E4" w14:textId="77777777" w:rsidR="00811E9D" w:rsidRPr="00CD3974" w:rsidRDefault="00640168" w:rsidP="00811E9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rPr>
            </w:pPr>
            <w:r>
              <w:rPr>
                <w:rFonts w:asciiTheme="minorHAnsi" w:eastAsia="Times New Roman" w:hAnsiTheme="minorHAnsi" w:cstheme="minorHAnsi"/>
                <w:sz w:val="20"/>
              </w:rPr>
              <w:t>5</w:t>
            </w:r>
            <w:r w:rsidR="00811E9D" w:rsidRPr="00CD3974">
              <w:rPr>
                <w:rFonts w:asciiTheme="minorHAnsi" w:eastAsia="Times New Roman" w:hAnsiTheme="minorHAnsi" w:cstheme="minorHAnsi"/>
                <w:sz w:val="20"/>
              </w:rPr>
              <w:t>0 sqm per FTE</w:t>
            </w:r>
          </w:p>
        </w:tc>
        <w:tc>
          <w:tcPr>
            <w:tcW w:w="2260" w:type="dxa"/>
            <w:noWrap/>
            <w:hideMark/>
          </w:tcPr>
          <w:p w14:paraId="379FF254" w14:textId="77777777" w:rsidR="00811E9D" w:rsidRPr="00CD3974" w:rsidRDefault="00640168" w:rsidP="00811E9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rPr>
            </w:pPr>
            <w:r>
              <w:rPr>
                <w:rFonts w:asciiTheme="minorHAnsi" w:eastAsia="Times New Roman" w:hAnsiTheme="minorHAnsi" w:cstheme="minorHAnsi"/>
                <w:sz w:val="20"/>
              </w:rPr>
              <w:t>3</w:t>
            </w:r>
            <w:r w:rsidR="00811E9D" w:rsidRPr="00CD3974">
              <w:rPr>
                <w:rFonts w:asciiTheme="minorHAnsi" w:eastAsia="Times New Roman" w:hAnsiTheme="minorHAnsi" w:cstheme="minorHAnsi"/>
                <w:sz w:val="20"/>
              </w:rPr>
              <w:t>0% of site area</w:t>
            </w:r>
          </w:p>
        </w:tc>
      </w:tr>
      <w:tr w:rsidR="00811E9D" w:rsidRPr="00BD5F72" w14:paraId="5D8D00C2" w14:textId="77777777" w:rsidTr="00C124E2">
        <w:trPr>
          <w:trHeight w:val="300"/>
          <w:jc w:val="center"/>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8C7374A"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B8</w:t>
            </w:r>
          </w:p>
        </w:tc>
        <w:tc>
          <w:tcPr>
            <w:tcW w:w="2380" w:type="dxa"/>
            <w:noWrap/>
            <w:hideMark/>
          </w:tcPr>
          <w:p w14:paraId="5DA0BB51" w14:textId="77777777" w:rsidR="00811E9D" w:rsidRPr="00CD3974" w:rsidRDefault="00183CF4" w:rsidP="00811E9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rPr>
            </w:pPr>
            <w:r>
              <w:rPr>
                <w:rFonts w:asciiTheme="minorHAnsi" w:eastAsia="Times New Roman" w:hAnsiTheme="minorHAnsi" w:cstheme="minorHAnsi"/>
                <w:sz w:val="20"/>
              </w:rPr>
              <w:t>8</w:t>
            </w:r>
            <w:r w:rsidR="00811E9D" w:rsidRPr="00CD3974">
              <w:rPr>
                <w:rFonts w:asciiTheme="minorHAnsi" w:eastAsia="Times New Roman" w:hAnsiTheme="minorHAnsi" w:cstheme="minorHAnsi"/>
                <w:sz w:val="20"/>
              </w:rPr>
              <w:t>0 sqm per FTE</w:t>
            </w:r>
          </w:p>
        </w:tc>
        <w:tc>
          <w:tcPr>
            <w:tcW w:w="2260" w:type="dxa"/>
            <w:noWrap/>
            <w:hideMark/>
          </w:tcPr>
          <w:p w14:paraId="7A3EFD6C" w14:textId="77777777" w:rsidR="00811E9D" w:rsidRPr="00CD3974" w:rsidRDefault="00811E9D" w:rsidP="00811E9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rPr>
            </w:pPr>
            <w:r w:rsidRPr="00CD3974">
              <w:rPr>
                <w:rFonts w:asciiTheme="minorHAnsi" w:eastAsia="Times New Roman" w:hAnsiTheme="minorHAnsi" w:cstheme="minorHAnsi"/>
                <w:sz w:val="20"/>
              </w:rPr>
              <w:t>30% of site area</w:t>
            </w:r>
          </w:p>
        </w:tc>
      </w:tr>
    </w:tbl>
    <w:p w14:paraId="0562FB4E" w14:textId="77777777" w:rsidR="00811E9D" w:rsidRPr="00BD5F72" w:rsidRDefault="00811E9D" w:rsidP="00811E9D">
      <w:pPr>
        <w:pStyle w:val="NormalNoSpace"/>
        <w:spacing w:after="120"/>
        <w:jc w:val="both"/>
        <w:rPr>
          <w:kern w:val="28"/>
        </w:rPr>
      </w:pPr>
    </w:p>
    <w:p w14:paraId="414F973C" w14:textId="77777777" w:rsidR="00811E9D" w:rsidRPr="00BD5F72" w:rsidRDefault="00811E9D" w:rsidP="00E44641">
      <w:pPr>
        <w:pStyle w:val="BodyText"/>
        <w:rPr>
          <w:kern w:val="28"/>
        </w:rPr>
      </w:pPr>
      <w:r w:rsidRPr="00BD5F72">
        <w:rPr>
          <w:kern w:val="28"/>
        </w:rPr>
        <w:t xml:space="preserve">The economy </w:t>
      </w:r>
      <w:r>
        <w:rPr>
          <w:kern w:val="28"/>
        </w:rPr>
        <w:t xml:space="preserve">outside of London </w:t>
      </w:r>
      <w:r w:rsidRPr="00BD5F72">
        <w:rPr>
          <w:kern w:val="28"/>
        </w:rPr>
        <w:t>is still in the p</w:t>
      </w:r>
      <w:r>
        <w:rPr>
          <w:kern w:val="28"/>
        </w:rPr>
        <w:t>rocess of recovery from the post-2008</w:t>
      </w:r>
      <w:r w:rsidRPr="00BD5F72">
        <w:rPr>
          <w:kern w:val="28"/>
        </w:rPr>
        <w:t xml:space="preserve"> recession. Forecasting future employment growth prospects and the resulting demand for employment land and premises is </w:t>
      </w:r>
      <w:r>
        <w:rPr>
          <w:kern w:val="28"/>
        </w:rPr>
        <w:t>especially challenges</w:t>
      </w:r>
      <w:r w:rsidRPr="00BD5F72">
        <w:rPr>
          <w:kern w:val="28"/>
        </w:rPr>
        <w:t xml:space="preserve"> in these circumstances as there are many uncertainties regarding the pace and length of the</w:t>
      </w:r>
      <w:r>
        <w:rPr>
          <w:kern w:val="28"/>
        </w:rPr>
        <w:t xml:space="preserve"> evident</w:t>
      </w:r>
      <w:r w:rsidRPr="00BD5F72">
        <w:rPr>
          <w:kern w:val="28"/>
        </w:rPr>
        <w:t xml:space="preserve"> economic recovery. </w:t>
      </w:r>
    </w:p>
    <w:p w14:paraId="25699F9B" w14:textId="77777777" w:rsidR="00811E9D" w:rsidRPr="00BD5F72" w:rsidRDefault="00811E9D" w:rsidP="00E44641">
      <w:pPr>
        <w:pStyle w:val="BodyText"/>
        <w:rPr>
          <w:kern w:val="28"/>
        </w:rPr>
      </w:pPr>
      <w:r w:rsidRPr="00BD5F72">
        <w:rPr>
          <w:kern w:val="28"/>
        </w:rPr>
        <w:t xml:space="preserve">Since the plan period for the </w:t>
      </w:r>
      <w:r>
        <w:rPr>
          <w:kern w:val="28"/>
        </w:rPr>
        <w:t xml:space="preserve">local plan is up to 2032 </w:t>
      </w:r>
      <w:r w:rsidRPr="00BD5F72">
        <w:rPr>
          <w:kern w:val="28"/>
        </w:rPr>
        <w:t>the forecasts can be treated as indicative only and should be subject to regular review.</w:t>
      </w:r>
      <w:r>
        <w:rPr>
          <w:kern w:val="28"/>
        </w:rPr>
        <w:t xml:space="preserve">  It should also be emphasised that the estimates presented in this section relate to </w:t>
      </w:r>
      <w:r w:rsidRPr="004D0124">
        <w:rPr>
          <w:kern w:val="28"/>
          <w:u w:val="single"/>
        </w:rPr>
        <w:t>gross</w:t>
      </w:r>
      <w:r>
        <w:rPr>
          <w:kern w:val="28"/>
        </w:rPr>
        <w:t xml:space="preserve"> employment land and floorspace demand and do not take into account factors such as loss of existing employment land to other others and intensification and/or redevelopment of existing sites.</w:t>
      </w:r>
      <w:r w:rsidRPr="00BD5F72">
        <w:rPr>
          <w:kern w:val="28"/>
        </w:rPr>
        <w:t xml:space="preserve"> </w:t>
      </w:r>
      <w:r>
        <w:rPr>
          <w:kern w:val="28"/>
        </w:rPr>
        <w:t>During the next phase of the study, we will be assessing the supply of existing employment land in the Borough in order to provide an objective assessment of the likely demand-supply balance which will be expressed both in quantitative and qualitative terms.</w:t>
      </w:r>
    </w:p>
    <w:p w14:paraId="601CC9BC" w14:textId="77777777" w:rsidR="00811E9D" w:rsidRDefault="00811E9D" w:rsidP="00E01C2D">
      <w:pPr>
        <w:pStyle w:val="Heading2"/>
      </w:pPr>
      <w:bookmarkStart w:id="276" w:name="_Toc391967820"/>
      <w:bookmarkStart w:id="277" w:name="_Toc394668592"/>
      <w:bookmarkStart w:id="278" w:name="_Toc303762633"/>
      <w:bookmarkStart w:id="279" w:name="_Toc317174813"/>
      <w:bookmarkStart w:id="280" w:name="_Toc387673131"/>
      <w:r>
        <w:t>Employment Land Demand Scenarios</w:t>
      </w:r>
      <w:bookmarkEnd w:id="276"/>
      <w:bookmarkEnd w:id="277"/>
    </w:p>
    <w:p w14:paraId="4B7415A0" w14:textId="77777777" w:rsidR="00811E9D" w:rsidRPr="00981047" w:rsidRDefault="00811E9D" w:rsidP="00811E9D">
      <w:pPr>
        <w:pStyle w:val="Heading3"/>
        <w:tabs>
          <w:tab w:val="clear" w:pos="1021"/>
        </w:tabs>
        <w:spacing w:before="240"/>
      </w:pPr>
      <w:r w:rsidRPr="00981047">
        <w:t>Base</w:t>
      </w:r>
      <w:r>
        <w:t>line</w:t>
      </w:r>
      <w:r w:rsidRPr="00981047">
        <w:t xml:space="preserve"> </w:t>
      </w:r>
      <w:r w:rsidRPr="00BD5F72">
        <w:t>scenario</w:t>
      </w:r>
      <w:bookmarkEnd w:id="278"/>
      <w:bookmarkEnd w:id="279"/>
      <w:bookmarkEnd w:id="280"/>
    </w:p>
    <w:p w14:paraId="3F6E7D48" w14:textId="77777777" w:rsidR="00811E9D" w:rsidRPr="00BD5F72" w:rsidRDefault="00756B1B" w:rsidP="00E44641">
      <w:pPr>
        <w:pStyle w:val="BodyText"/>
        <w:rPr>
          <w:kern w:val="28"/>
        </w:rPr>
      </w:pPr>
      <w:r>
        <w:rPr>
          <w:kern w:val="28"/>
        </w:rPr>
        <w:t>Table 4.3</w:t>
      </w:r>
      <w:r w:rsidR="00E44641">
        <w:rPr>
          <w:kern w:val="28"/>
        </w:rPr>
        <w:t xml:space="preserve"> sets out our estimates of existing B use class jobs in North East Lincolnshire and forecasts for growth in these types of jobs under the baseline scenario described in section 3. </w:t>
      </w:r>
      <w:r w:rsidR="00811E9D">
        <w:rPr>
          <w:kern w:val="28"/>
        </w:rPr>
        <w:t xml:space="preserve">Under the baseline scenario, B-use job growth would see a modest increase in office and warehousing and storage jobs equivalent to an overall increase of around </w:t>
      </w:r>
      <w:r w:rsidR="00F11B1D">
        <w:rPr>
          <w:kern w:val="28"/>
        </w:rPr>
        <w:t>4</w:t>
      </w:r>
      <w:r w:rsidR="00811E9D">
        <w:rPr>
          <w:kern w:val="28"/>
        </w:rPr>
        <w:t>.5% which includes a decline of</w:t>
      </w:r>
      <w:r w:rsidR="00F11B1D">
        <w:rPr>
          <w:kern w:val="28"/>
        </w:rPr>
        <w:t xml:space="preserve"> over 4</w:t>
      </w:r>
      <w:r w:rsidR="00811E9D">
        <w:rPr>
          <w:kern w:val="28"/>
        </w:rPr>
        <w:t>% in industrial jobs.</w:t>
      </w:r>
    </w:p>
    <w:p w14:paraId="0CC90B0D" w14:textId="77777777" w:rsidR="00811E9D" w:rsidRDefault="00811E9D" w:rsidP="00C124E2">
      <w:pPr>
        <w:pStyle w:val="TableHeading"/>
        <w:jc w:val="center"/>
      </w:pPr>
      <w:bookmarkStart w:id="281" w:name="_Toc394668613"/>
      <w:r>
        <w:t xml:space="preserve">Table </w:t>
      </w:r>
      <w:fldSimple w:instr=" STYLEREF 1 \s  \* MERGEFORMAT ">
        <w:r w:rsidR="00756B1B">
          <w:rPr>
            <w:noProof/>
          </w:rPr>
          <w:t>4</w:t>
        </w:r>
      </w:fldSimple>
      <w:r>
        <w:t>-</w:t>
      </w:r>
      <w:fldSimple w:instr=" SEQ Table \* ARABIC \s 1  \* MERGEFORMAT ">
        <w:r w:rsidR="00756B1B">
          <w:rPr>
            <w:noProof/>
          </w:rPr>
          <w:t>3</w:t>
        </w:r>
      </w:fldSimple>
      <w:r w:rsidR="00756B1B">
        <w:t xml:space="preserve">:  </w:t>
      </w:r>
      <w:r>
        <w:t>Baseline B-Use Job Growth 2013-2032</w:t>
      </w:r>
      <w:bookmarkEnd w:id="281"/>
    </w:p>
    <w:tbl>
      <w:tblPr>
        <w:tblStyle w:val="Atkins14pt"/>
        <w:tblW w:w="8469" w:type="dxa"/>
        <w:jc w:val="center"/>
        <w:tblInd w:w="0" w:type="dxa"/>
        <w:tblLayout w:type="fixed"/>
        <w:tblLook w:val="04A0" w:firstRow="1" w:lastRow="0" w:firstColumn="1" w:lastColumn="0" w:noHBand="0" w:noVBand="1"/>
      </w:tblPr>
      <w:tblGrid>
        <w:gridCol w:w="2410"/>
        <w:gridCol w:w="1515"/>
        <w:gridCol w:w="1514"/>
        <w:gridCol w:w="1515"/>
        <w:gridCol w:w="1515"/>
      </w:tblGrid>
      <w:tr w:rsidR="00811E9D" w:rsidRPr="001D10A1" w14:paraId="486242EE" w14:textId="77777777" w:rsidTr="00C124E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8469" w:type="dxa"/>
            <w:gridSpan w:val="5"/>
            <w:shd w:val="clear" w:color="auto" w:fill="EDF1F1" w:themeFill="accent5" w:themeFillTint="33"/>
            <w:noWrap/>
            <w:hideMark/>
          </w:tcPr>
          <w:p w14:paraId="17B9A7AC" w14:textId="77777777" w:rsidR="00811E9D" w:rsidRPr="00CD3974" w:rsidRDefault="00811E9D" w:rsidP="00811E9D">
            <w:pPr>
              <w:jc w:val="center"/>
              <w:rPr>
                <w:rFonts w:asciiTheme="minorHAnsi" w:eastAsia="Times New Roman" w:hAnsiTheme="minorHAnsi" w:cstheme="minorHAnsi"/>
                <w:bCs/>
                <w:sz w:val="20"/>
              </w:rPr>
            </w:pPr>
            <w:r w:rsidRPr="00CD3974">
              <w:rPr>
                <w:rFonts w:asciiTheme="minorHAnsi" w:eastAsia="Times New Roman" w:hAnsiTheme="minorHAnsi" w:cstheme="minorHAnsi"/>
                <w:bCs/>
                <w:sz w:val="20"/>
              </w:rPr>
              <w:t>FTE jobs</w:t>
            </w:r>
          </w:p>
        </w:tc>
      </w:tr>
      <w:tr w:rsidR="00811E9D" w:rsidRPr="001D10A1" w14:paraId="0AF71242" w14:textId="77777777" w:rsidTr="00C124E2">
        <w:trPr>
          <w:trHeight w:val="132"/>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EDF1F1" w:themeFill="accent5" w:themeFillTint="33"/>
            <w:hideMark/>
          </w:tcPr>
          <w:p w14:paraId="7CAE8F4E" w14:textId="77777777" w:rsidR="00811E9D" w:rsidRPr="00CD3974" w:rsidRDefault="00811E9D" w:rsidP="00811E9D">
            <w:pPr>
              <w:rPr>
                <w:rFonts w:asciiTheme="minorHAnsi" w:eastAsia="Times New Roman" w:hAnsiTheme="minorHAnsi" w:cstheme="minorHAnsi"/>
                <w:b/>
                <w:bCs/>
                <w:sz w:val="20"/>
              </w:rPr>
            </w:pPr>
            <w:r w:rsidRPr="00CD3974">
              <w:rPr>
                <w:rFonts w:asciiTheme="minorHAnsi" w:eastAsia="Times New Roman" w:hAnsiTheme="minorHAnsi" w:cstheme="minorHAnsi"/>
                <w:b/>
                <w:bCs/>
                <w:sz w:val="20"/>
              </w:rPr>
              <w:t>Use Class</w:t>
            </w:r>
          </w:p>
        </w:tc>
        <w:tc>
          <w:tcPr>
            <w:tcW w:w="1515" w:type="dxa"/>
            <w:shd w:val="clear" w:color="auto" w:fill="EDF1F1" w:themeFill="accent5" w:themeFillTint="33"/>
            <w:hideMark/>
          </w:tcPr>
          <w:p w14:paraId="4FBCA449"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2013</w:t>
            </w:r>
          </w:p>
        </w:tc>
        <w:tc>
          <w:tcPr>
            <w:tcW w:w="1514" w:type="dxa"/>
            <w:shd w:val="clear" w:color="auto" w:fill="EDF1F1" w:themeFill="accent5" w:themeFillTint="33"/>
            <w:hideMark/>
          </w:tcPr>
          <w:p w14:paraId="12F77597"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2032</w:t>
            </w:r>
          </w:p>
        </w:tc>
        <w:tc>
          <w:tcPr>
            <w:tcW w:w="1515" w:type="dxa"/>
            <w:shd w:val="clear" w:color="auto" w:fill="EDF1F1" w:themeFill="accent5" w:themeFillTint="33"/>
          </w:tcPr>
          <w:p w14:paraId="3A66D901"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Difference</w:t>
            </w:r>
          </w:p>
        </w:tc>
        <w:tc>
          <w:tcPr>
            <w:tcW w:w="1515" w:type="dxa"/>
            <w:shd w:val="clear" w:color="auto" w:fill="EDF1F1" w:themeFill="accent5" w:themeFillTint="33"/>
          </w:tcPr>
          <w:p w14:paraId="169FC937"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Change in %</w:t>
            </w:r>
          </w:p>
        </w:tc>
      </w:tr>
      <w:tr w:rsidR="00811E9D" w:rsidRPr="001D10A1" w14:paraId="0C0BA2FA" w14:textId="77777777" w:rsidTr="00C124E2">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43842832"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B1a/b</w:t>
            </w:r>
          </w:p>
        </w:tc>
        <w:tc>
          <w:tcPr>
            <w:tcW w:w="1515" w:type="dxa"/>
            <w:noWrap/>
            <w:vAlign w:val="bottom"/>
            <w:hideMark/>
          </w:tcPr>
          <w:p w14:paraId="4006E52C"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13,737</w:t>
            </w:r>
          </w:p>
        </w:tc>
        <w:tc>
          <w:tcPr>
            <w:tcW w:w="1514" w:type="dxa"/>
            <w:noWrap/>
            <w:vAlign w:val="bottom"/>
            <w:hideMark/>
          </w:tcPr>
          <w:p w14:paraId="6392AF1C"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14,867</w:t>
            </w:r>
          </w:p>
        </w:tc>
        <w:tc>
          <w:tcPr>
            <w:tcW w:w="1515" w:type="dxa"/>
            <w:vAlign w:val="bottom"/>
          </w:tcPr>
          <w:p w14:paraId="0D54B51E"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DF2955">
              <w:rPr>
                <w:rFonts w:asciiTheme="minorHAnsi" w:hAnsiTheme="minorHAnsi" w:cstheme="minorHAnsi"/>
                <w:color w:val="000000"/>
                <w:sz w:val="20"/>
              </w:rPr>
              <w:t>1,130</w:t>
            </w:r>
          </w:p>
        </w:tc>
        <w:tc>
          <w:tcPr>
            <w:tcW w:w="1515" w:type="dxa"/>
            <w:vAlign w:val="bottom"/>
          </w:tcPr>
          <w:p w14:paraId="05B5019D"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DF2955">
              <w:rPr>
                <w:rFonts w:asciiTheme="minorHAnsi" w:hAnsiTheme="minorHAnsi" w:cstheme="minorHAnsi"/>
                <w:color w:val="000000"/>
                <w:sz w:val="20"/>
              </w:rPr>
              <w:t>8.2%</w:t>
            </w:r>
          </w:p>
        </w:tc>
      </w:tr>
      <w:tr w:rsidR="00811E9D" w:rsidRPr="001D10A1" w14:paraId="6E851BAB" w14:textId="77777777" w:rsidTr="00C124E2">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5781A7A"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B1c/B2</w:t>
            </w:r>
          </w:p>
        </w:tc>
        <w:tc>
          <w:tcPr>
            <w:tcW w:w="1515" w:type="dxa"/>
            <w:noWrap/>
            <w:vAlign w:val="bottom"/>
            <w:hideMark/>
          </w:tcPr>
          <w:p w14:paraId="5B9C8300"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6,634</w:t>
            </w:r>
          </w:p>
        </w:tc>
        <w:tc>
          <w:tcPr>
            <w:tcW w:w="1514" w:type="dxa"/>
            <w:noWrap/>
            <w:vAlign w:val="bottom"/>
            <w:hideMark/>
          </w:tcPr>
          <w:p w14:paraId="1E5A782F"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6,348</w:t>
            </w:r>
          </w:p>
        </w:tc>
        <w:tc>
          <w:tcPr>
            <w:tcW w:w="1515" w:type="dxa"/>
            <w:vAlign w:val="bottom"/>
          </w:tcPr>
          <w:p w14:paraId="0FC16D1B"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DF2955">
              <w:rPr>
                <w:rFonts w:asciiTheme="minorHAnsi" w:hAnsiTheme="minorHAnsi" w:cstheme="minorHAnsi"/>
                <w:color w:val="000000"/>
                <w:sz w:val="20"/>
              </w:rPr>
              <w:t>-286</w:t>
            </w:r>
          </w:p>
        </w:tc>
        <w:tc>
          <w:tcPr>
            <w:tcW w:w="1515" w:type="dxa"/>
            <w:vAlign w:val="bottom"/>
          </w:tcPr>
          <w:p w14:paraId="0A8369F9"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DF2955">
              <w:rPr>
                <w:rFonts w:asciiTheme="minorHAnsi" w:hAnsiTheme="minorHAnsi" w:cstheme="minorHAnsi"/>
                <w:color w:val="000000"/>
                <w:sz w:val="20"/>
              </w:rPr>
              <w:t>-4.3%</w:t>
            </w:r>
          </w:p>
        </w:tc>
      </w:tr>
      <w:tr w:rsidR="00811E9D" w:rsidRPr="001D10A1" w14:paraId="4D89339D" w14:textId="77777777" w:rsidTr="00C124E2">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3836164"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B8</w:t>
            </w:r>
          </w:p>
        </w:tc>
        <w:tc>
          <w:tcPr>
            <w:tcW w:w="1515" w:type="dxa"/>
            <w:noWrap/>
            <w:vAlign w:val="bottom"/>
            <w:hideMark/>
          </w:tcPr>
          <w:p w14:paraId="623BECF4"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7,157</w:t>
            </w:r>
          </w:p>
        </w:tc>
        <w:tc>
          <w:tcPr>
            <w:tcW w:w="1514" w:type="dxa"/>
            <w:noWrap/>
            <w:vAlign w:val="bottom"/>
            <w:hideMark/>
          </w:tcPr>
          <w:p w14:paraId="2FFE2C40"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7,553</w:t>
            </w:r>
          </w:p>
        </w:tc>
        <w:tc>
          <w:tcPr>
            <w:tcW w:w="1515" w:type="dxa"/>
            <w:vAlign w:val="bottom"/>
          </w:tcPr>
          <w:p w14:paraId="44F46466"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DF2955">
              <w:rPr>
                <w:rFonts w:asciiTheme="minorHAnsi" w:hAnsiTheme="minorHAnsi" w:cstheme="minorHAnsi"/>
                <w:color w:val="000000"/>
                <w:sz w:val="20"/>
              </w:rPr>
              <w:t>396</w:t>
            </w:r>
          </w:p>
        </w:tc>
        <w:tc>
          <w:tcPr>
            <w:tcW w:w="1515" w:type="dxa"/>
            <w:vAlign w:val="bottom"/>
          </w:tcPr>
          <w:p w14:paraId="6EBC6C07"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DF2955">
              <w:rPr>
                <w:rFonts w:asciiTheme="minorHAnsi" w:hAnsiTheme="minorHAnsi" w:cstheme="minorHAnsi"/>
                <w:color w:val="000000"/>
                <w:sz w:val="20"/>
              </w:rPr>
              <w:t>5.5%</w:t>
            </w:r>
          </w:p>
        </w:tc>
      </w:tr>
      <w:tr w:rsidR="00811E9D" w:rsidRPr="001D10A1" w14:paraId="7C1BEA3E" w14:textId="77777777" w:rsidTr="00C124E2">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38DFD9B" w14:textId="77777777" w:rsidR="00811E9D" w:rsidRPr="00CD3974" w:rsidRDefault="00811E9D" w:rsidP="00811E9D">
            <w:pPr>
              <w:rPr>
                <w:rFonts w:asciiTheme="minorHAnsi" w:eastAsia="Times New Roman" w:hAnsiTheme="minorHAnsi" w:cstheme="minorHAnsi"/>
                <w:b/>
                <w:bCs/>
                <w:sz w:val="20"/>
              </w:rPr>
            </w:pPr>
            <w:r w:rsidRPr="00CD3974">
              <w:rPr>
                <w:rFonts w:asciiTheme="minorHAnsi" w:eastAsia="Times New Roman" w:hAnsiTheme="minorHAnsi" w:cstheme="minorHAnsi"/>
                <w:b/>
                <w:bCs/>
                <w:sz w:val="20"/>
              </w:rPr>
              <w:t>Total B Class FTE jobs</w:t>
            </w:r>
          </w:p>
        </w:tc>
        <w:tc>
          <w:tcPr>
            <w:tcW w:w="1515" w:type="dxa"/>
            <w:noWrap/>
            <w:vAlign w:val="bottom"/>
            <w:hideMark/>
          </w:tcPr>
          <w:p w14:paraId="1946E88C"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rPr>
            </w:pPr>
            <w:r w:rsidRPr="00DF2955">
              <w:rPr>
                <w:rFonts w:asciiTheme="minorHAnsi" w:hAnsiTheme="minorHAnsi" w:cstheme="minorHAnsi"/>
                <w:b/>
                <w:bCs/>
                <w:sz w:val="20"/>
              </w:rPr>
              <w:t>27,529</w:t>
            </w:r>
          </w:p>
        </w:tc>
        <w:tc>
          <w:tcPr>
            <w:tcW w:w="1514" w:type="dxa"/>
            <w:noWrap/>
            <w:vAlign w:val="bottom"/>
            <w:hideMark/>
          </w:tcPr>
          <w:p w14:paraId="5053F00A"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rPr>
            </w:pPr>
            <w:r w:rsidRPr="00DF2955">
              <w:rPr>
                <w:rFonts w:asciiTheme="minorHAnsi" w:hAnsiTheme="minorHAnsi" w:cstheme="minorHAnsi"/>
                <w:b/>
                <w:bCs/>
                <w:sz w:val="20"/>
              </w:rPr>
              <w:t>28,769</w:t>
            </w:r>
          </w:p>
        </w:tc>
        <w:tc>
          <w:tcPr>
            <w:tcW w:w="1515" w:type="dxa"/>
            <w:vAlign w:val="bottom"/>
          </w:tcPr>
          <w:p w14:paraId="3F2C9DC7"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DF2955">
              <w:rPr>
                <w:rFonts w:asciiTheme="minorHAnsi" w:hAnsiTheme="minorHAnsi" w:cstheme="minorHAnsi"/>
                <w:b/>
                <w:bCs/>
                <w:color w:val="000000"/>
                <w:sz w:val="20"/>
              </w:rPr>
              <w:t>1,240</w:t>
            </w:r>
          </w:p>
        </w:tc>
        <w:tc>
          <w:tcPr>
            <w:tcW w:w="1515" w:type="dxa"/>
            <w:vAlign w:val="bottom"/>
          </w:tcPr>
          <w:p w14:paraId="2DADB595"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DF2955">
              <w:rPr>
                <w:rFonts w:asciiTheme="minorHAnsi" w:hAnsiTheme="minorHAnsi" w:cstheme="minorHAnsi"/>
                <w:b/>
                <w:bCs/>
                <w:color w:val="000000"/>
                <w:sz w:val="20"/>
              </w:rPr>
              <w:t>4.5%</w:t>
            </w:r>
          </w:p>
        </w:tc>
      </w:tr>
    </w:tbl>
    <w:p w14:paraId="55F659EA" w14:textId="77777777" w:rsidR="00811E9D" w:rsidRDefault="00811E9D" w:rsidP="00F15F89">
      <w:pPr>
        <w:pStyle w:val="TableSource"/>
        <w:ind w:firstLine="720"/>
        <w:jc w:val="both"/>
        <w:rPr>
          <w:kern w:val="28"/>
        </w:rPr>
      </w:pPr>
      <w:r>
        <w:rPr>
          <w:kern w:val="28"/>
        </w:rPr>
        <w:t>Source: Atkins 2014</w:t>
      </w:r>
    </w:p>
    <w:p w14:paraId="66E4368E" w14:textId="77777777" w:rsidR="00756B1B" w:rsidRDefault="00811E9D" w:rsidP="00756B1B">
      <w:pPr>
        <w:pStyle w:val="NormalNoSpace"/>
        <w:spacing w:after="120"/>
        <w:jc w:val="both"/>
        <w:rPr>
          <w:kern w:val="28"/>
        </w:rPr>
      </w:pPr>
      <w:r>
        <w:rPr>
          <w:kern w:val="28"/>
        </w:rPr>
        <w:t xml:space="preserve">Table </w:t>
      </w:r>
      <w:r w:rsidR="00756B1B">
        <w:rPr>
          <w:kern w:val="28"/>
        </w:rPr>
        <w:t>4.4</w:t>
      </w:r>
      <w:r>
        <w:rPr>
          <w:kern w:val="28"/>
        </w:rPr>
        <w:t xml:space="preserve"> translates the above jobs growth</w:t>
      </w:r>
      <w:r w:rsidR="00756B1B">
        <w:rPr>
          <w:kern w:val="28"/>
        </w:rPr>
        <w:t xml:space="preserve"> estimate to</w:t>
      </w:r>
      <w:r>
        <w:rPr>
          <w:kern w:val="28"/>
        </w:rPr>
        <w:t xml:space="preserve"> gros</w:t>
      </w:r>
      <w:r w:rsidR="00756B1B">
        <w:rPr>
          <w:kern w:val="28"/>
        </w:rPr>
        <w:t>s floorspace demand with Table 4.5</w:t>
      </w:r>
      <w:r>
        <w:rPr>
          <w:kern w:val="28"/>
        </w:rPr>
        <w:t xml:space="preserve"> converting this to approximate land requirements by use class.</w:t>
      </w:r>
    </w:p>
    <w:p w14:paraId="5C0DC98A" w14:textId="77777777" w:rsidR="00FE38AA" w:rsidRDefault="00FE38AA">
      <w:pPr>
        <w:jc w:val="left"/>
        <w:rPr>
          <w:rFonts w:ascii="Arial" w:eastAsiaTheme="minorHAnsi" w:hAnsi="Arial" w:cstheme="minorBidi"/>
          <w:b/>
          <w:color w:val="000000" w:themeColor="accent4"/>
          <w:sz w:val="20"/>
          <w:szCs w:val="22"/>
          <w:lang w:eastAsia="en-US"/>
        </w:rPr>
      </w:pPr>
    </w:p>
    <w:p w14:paraId="17F998D0" w14:textId="77777777" w:rsidR="00811E9D" w:rsidRPr="00756B1B" w:rsidRDefault="00811E9D" w:rsidP="00756B1B">
      <w:pPr>
        <w:pStyle w:val="NormalNoSpace"/>
        <w:spacing w:after="120"/>
        <w:jc w:val="center"/>
        <w:rPr>
          <w:b/>
          <w:color w:val="000000" w:themeColor="accent4"/>
          <w:kern w:val="28"/>
        </w:rPr>
      </w:pPr>
      <w:bookmarkStart w:id="282" w:name="_Toc394668614"/>
      <w:r w:rsidRPr="00756B1B">
        <w:rPr>
          <w:b/>
          <w:color w:val="000000" w:themeColor="accent4"/>
        </w:rPr>
        <w:t xml:space="preserve">Table </w:t>
      </w:r>
      <w:fldSimple w:instr=" STYLEREF 1 \s  \* MERGEFORMAT ">
        <w:r w:rsidR="00756B1B" w:rsidRPr="00756B1B">
          <w:rPr>
            <w:b/>
            <w:noProof/>
            <w:color w:val="000000" w:themeColor="accent4"/>
          </w:rPr>
          <w:t>4</w:t>
        </w:r>
      </w:fldSimple>
      <w:r w:rsidRPr="00756B1B">
        <w:rPr>
          <w:b/>
          <w:color w:val="000000" w:themeColor="accent4"/>
        </w:rPr>
        <w:t>-</w:t>
      </w:r>
      <w:fldSimple w:instr=" SEQ Table \* ARABIC \s 1  \* MERGEFORMAT ">
        <w:r w:rsidR="00756B1B" w:rsidRPr="00756B1B">
          <w:rPr>
            <w:b/>
            <w:noProof/>
            <w:color w:val="000000" w:themeColor="accent4"/>
          </w:rPr>
          <w:t>4</w:t>
        </w:r>
      </w:fldSimple>
      <w:r w:rsidR="00756B1B" w:rsidRPr="00756B1B">
        <w:rPr>
          <w:b/>
          <w:color w:val="000000" w:themeColor="accent4"/>
        </w:rPr>
        <w:t xml:space="preserve">:  </w:t>
      </w:r>
      <w:r w:rsidRPr="00756B1B">
        <w:rPr>
          <w:b/>
          <w:color w:val="000000" w:themeColor="accent4"/>
        </w:rPr>
        <w:t>Gross B use class floorspace demand (sqm) 2013-32 – Baseline Scenario</w:t>
      </w:r>
      <w:bookmarkEnd w:id="282"/>
    </w:p>
    <w:tbl>
      <w:tblPr>
        <w:tblStyle w:val="Atkins14pt"/>
        <w:tblW w:w="6236" w:type="dxa"/>
        <w:jc w:val="center"/>
        <w:tblInd w:w="0" w:type="dxa"/>
        <w:tblLook w:val="04A0" w:firstRow="1" w:lastRow="0" w:firstColumn="1" w:lastColumn="0" w:noHBand="0" w:noVBand="1"/>
      </w:tblPr>
      <w:tblGrid>
        <w:gridCol w:w="2694"/>
        <w:gridCol w:w="3542"/>
      </w:tblGrid>
      <w:tr w:rsidR="00811E9D" w:rsidRPr="003E0BBD" w14:paraId="2A840481" w14:textId="77777777" w:rsidTr="00756B1B">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100" w:firstRow="0" w:lastRow="0" w:firstColumn="1" w:lastColumn="0" w:oddVBand="0" w:evenVBand="0" w:oddHBand="0" w:evenHBand="0" w:firstRowFirstColumn="1" w:firstRowLastColumn="0" w:lastRowFirstColumn="0" w:lastRowLastColumn="0"/>
            <w:tcW w:w="2694" w:type="dxa"/>
            <w:shd w:val="clear" w:color="auto" w:fill="EDF1F1" w:themeFill="accent5" w:themeFillTint="33"/>
            <w:hideMark/>
          </w:tcPr>
          <w:p w14:paraId="5D6829B2" w14:textId="77777777" w:rsidR="00811E9D" w:rsidRPr="00CD3974" w:rsidRDefault="00811E9D" w:rsidP="00811E9D">
            <w:pPr>
              <w:rPr>
                <w:rFonts w:asciiTheme="minorHAnsi" w:eastAsia="Times New Roman" w:hAnsiTheme="minorHAnsi" w:cstheme="minorHAnsi"/>
                <w:b w:val="0"/>
                <w:bCs/>
                <w:sz w:val="20"/>
              </w:rPr>
            </w:pPr>
            <w:r w:rsidRPr="00CD3974">
              <w:rPr>
                <w:rFonts w:asciiTheme="minorHAnsi" w:eastAsia="Times New Roman" w:hAnsiTheme="minorHAnsi" w:cstheme="minorHAnsi"/>
                <w:bCs/>
                <w:sz w:val="20"/>
              </w:rPr>
              <w:t>Use Class</w:t>
            </w:r>
          </w:p>
        </w:tc>
        <w:tc>
          <w:tcPr>
            <w:tcW w:w="3542" w:type="dxa"/>
            <w:shd w:val="clear" w:color="auto" w:fill="EDF1F1" w:themeFill="accent5" w:themeFillTint="33"/>
          </w:tcPr>
          <w:p w14:paraId="00146C1B" w14:textId="77777777" w:rsidR="00811E9D" w:rsidRPr="00CD3974" w:rsidRDefault="00811E9D" w:rsidP="00811E9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sz w:val="20"/>
              </w:rPr>
            </w:pPr>
            <w:r>
              <w:rPr>
                <w:rFonts w:asciiTheme="minorHAnsi" w:eastAsia="Times New Roman" w:hAnsiTheme="minorHAnsi" w:cstheme="minorHAnsi"/>
                <w:bCs/>
                <w:sz w:val="20"/>
              </w:rPr>
              <w:t>Additional Floorspace Demand</w:t>
            </w:r>
            <w:r w:rsidRPr="00CD3974">
              <w:rPr>
                <w:rFonts w:asciiTheme="minorHAnsi" w:eastAsia="Times New Roman" w:hAnsiTheme="minorHAnsi" w:cstheme="minorHAnsi"/>
                <w:bCs/>
                <w:sz w:val="20"/>
              </w:rPr>
              <w:t xml:space="preserve"> (sqm)</w:t>
            </w:r>
          </w:p>
        </w:tc>
      </w:tr>
      <w:tr w:rsidR="00640168" w:rsidRPr="003E0BBD" w14:paraId="67F2DD6D"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2694" w:type="dxa"/>
            <w:noWrap/>
            <w:hideMark/>
          </w:tcPr>
          <w:p w14:paraId="25AD814A" w14:textId="77777777" w:rsidR="00640168" w:rsidRPr="00CD3974" w:rsidRDefault="00640168"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B1a/b</w:t>
            </w:r>
          </w:p>
        </w:tc>
        <w:tc>
          <w:tcPr>
            <w:tcW w:w="3542" w:type="dxa"/>
            <w:vAlign w:val="bottom"/>
          </w:tcPr>
          <w:p w14:paraId="0C45AC62" w14:textId="77777777" w:rsidR="00640168" w:rsidRPr="00640168" w:rsidRDefault="00640168" w:rsidP="006401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640168">
              <w:rPr>
                <w:rFonts w:asciiTheme="minorHAnsi" w:hAnsiTheme="minorHAnsi" w:cstheme="minorHAnsi"/>
                <w:color w:val="000000"/>
                <w:sz w:val="20"/>
              </w:rPr>
              <w:t>13,560</w:t>
            </w:r>
          </w:p>
        </w:tc>
      </w:tr>
      <w:tr w:rsidR="00640168" w:rsidRPr="003E0BBD" w14:paraId="2120529B"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B2596C8" w14:textId="77777777" w:rsidR="00640168" w:rsidRPr="00CD3974" w:rsidRDefault="00640168"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B1c/B2</w:t>
            </w:r>
          </w:p>
        </w:tc>
        <w:tc>
          <w:tcPr>
            <w:tcW w:w="3542" w:type="dxa"/>
            <w:vAlign w:val="bottom"/>
          </w:tcPr>
          <w:p w14:paraId="1C165DFC" w14:textId="77777777" w:rsidR="00640168" w:rsidRPr="00640168" w:rsidRDefault="00640168" w:rsidP="006401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640168">
              <w:rPr>
                <w:rFonts w:asciiTheme="minorHAnsi" w:hAnsiTheme="minorHAnsi" w:cstheme="minorHAnsi"/>
                <w:color w:val="000000"/>
                <w:sz w:val="20"/>
              </w:rPr>
              <w:t>-14,301</w:t>
            </w:r>
          </w:p>
        </w:tc>
      </w:tr>
      <w:tr w:rsidR="00640168" w:rsidRPr="003E0BBD" w14:paraId="6CB2DE13"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2694" w:type="dxa"/>
            <w:noWrap/>
            <w:hideMark/>
          </w:tcPr>
          <w:p w14:paraId="700DD7C7" w14:textId="77777777" w:rsidR="00640168" w:rsidRPr="00CD3974" w:rsidRDefault="00640168"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B8</w:t>
            </w:r>
          </w:p>
        </w:tc>
        <w:tc>
          <w:tcPr>
            <w:tcW w:w="3542" w:type="dxa"/>
            <w:vAlign w:val="bottom"/>
          </w:tcPr>
          <w:p w14:paraId="5E1BD478" w14:textId="77777777" w:rsidR="00640168" w:rsidRPr="00640168" w:rsidRDefault="00640168" w:rsidP="006401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640168">
              <w:rPr>
                <w:rFonts w:asciiTheme="minorHAnsi" w:hAnsiTheme="minorHAnsi" w:cstheme="minorHAnsi"/>
                <w:color w:val="000000"/>
                <w:sz w:val="20"/>
              </w:rPr>
              <w:t>31,702</w:t>
            </w:r>
          </w:p>
        </w:tc>
      </w:tr>
      <w:tr w:rsidR="00640168" w:rsidRPr="003E0BBD" w14:paraId="66829F56" w14:textId="77777777" w:rsidTr="00756B1B">
        <w:trPr>
          <w:trHeight w:val="295"/>
          <w:jc w:val="center"/>
        </w:trPr>
        <w:tc>
          <w:tcPr>
            <w:cnfStyle w:val="001000000000" w:firstRow="0" w:lastRow="0" w:firstColumn="1" w:lastColumn="0" w:oddVBand="0" w:evenVBand="0" w:oddHBand="0" w:evenHBand="0" w:firstRowFirstColumn="0" w:firstRowLastColumn="0" w:lastRowFirstColumn="0" w:lastRowLastColumn="0"/>
            <w:tcW w:w="2694" w:type="dxa"/>
            <w:noWrap/>
            <w:hideMark/>
          </w:tcPr>
          <w:p w14:paraId="24FE80FB" w14:textId="77777777" w:rsidR="00640168" w:rsidRPr="00CD3974" w:rsidRDefault="00640168" w:rsidP="00811E9D">
            <w:pPr>
              <w:rPr>
                <w:rFonts w:asciiTheme="minorHAnsi" w:eastAsia="Times New Roman" w:hAnsiTheme="minorHAnsi" w:cstheme="minorHAnsi"/>
                <w:b/>
                <w:bCs/>
                <w:sz w:val="20"/>
              </w:rPr>
            </w:pPr>
            <w:r>
              <w:rPr>
                <w:rFonts w:asciiTheme="minorHAnsi" w:eastAsia="Times New Roman" w:hAnsiTheme="minorHAnsi" w:cstheme="minorHAnsi"/>
                <w:b/>
                <w:bCs/>
                <w:sz w:val="20"/>
              </w:rPr>
              <w:t>F</w:t>
            </w:r>
            <w:r w:rsidRPr="00CD3974">
              <w:rPr>
                <w:rFonts w:asciiTheme="minorHAnsi" w:eastAsia="Times New Roman" w:hAnsiTheme="minorHAnsi" w:cstheme="minorHAnsi"/>
                <w:b/>
                <w:bCs/>
                <w:sz w:val="20"/>
              </w:rPr>
              <w:t>loorspace</w:t>
            </w:r>
            <w:r>
              <w:rPr>
                <w:rFonts w:asciiTheme="minorHAnsi" w:eastAsia="Times New Roman" w:hAnsiTheme="minorHAnsi" w:cstheme="minorHAnsi"/>
                <w:b/>
                <w:bCs/>
                <w:sz w:val="20"/>
              </w:rPr>
              <w:t xml:space="preserve"> Demand</w:t>
            </w:r>
          </w:p>
        </w:tc>
        <w:tc>
          <w:tcPr>
            <w:tcW w:w="3542" w:type="dxa"/>
            <w:vAlign w:val="bottom"/>
          </w:tcPr>
          <w:p w14:paraId="52A6DD3F" w14:textId="77777777" w:rsidR="00640168" w:rsidRPr="00640168" w:rsidRDefault="00640168" w:rsidP="006401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640168">
              <w:rPr>
                <w:rFonts w:asciiTheme="minorHAnsi" w:hAnsiTheme="minorHAnsi" w:cstheme="minorHAnsi"/>
                <w:b/>
                <w:bCs/>
                <w:color w:val="000000"/>
                <w:sz w:val="20"/>
              </w:rPr>
              <w:t>30,960</w:t>
            </w:r>
          </w:p>
        </w:tc>
      </w:tr>
    </w:tbl>
    <w:p w14:paraId="3C27A432" w14:textId="77777777" w:rsidR="00811E9D" w:rsidRDefault="00811E9D" w:rsidP="00D41987">
      <w:pPr>
        <w:pStyle w:val="TableSource"/>
        <w:ind w:left="1440" w:firstLine="403"/>
        <w:jc w:val="both"/>
      </w:pPr>
      <w:r>
        <w:t>Source: Atkins 2014</w:t>
      </w:r>
    </w:p>
    <w:p w14:paraId="57D2F8F7" w14:textId="77777777" w:rsidR="00811E9D" w:rsidRPr="00756B1B" w:rsidRDefault="00811E9D" w:rsidP="00756B1B">
      <w:pPr>
        <w:pStyle w:val="Caption"/>
        <w:spacing w:after="120"/>
        <w:jc w:val="center"/>
        <w:rPr>
          <w:color w:val="000000" w:themeColor="accent4"/>
          <w:sz w:val="20"/>
          <w:szCs w:val="20"/>
        </w:rPr>
      </w:pPr>
      <w:bookmarkStart w:id="283" w:name="_Toc394668615"/>
      <w:r w:rsidRPr="00756B1B">
        <w:rPr>
          <w:color w:val="000000" w:themeColor="accent4"/>
          <w:sz w:val="20"/>
          <w:szCs w:val="20"/>
        </w:rPr>
        <w:t xml:space="preserve">Table </w:t>
      </w:r>
      <w:fldSimple w:instr=" STYLEREF 1 \s  \* MERGEFORMAT ">
        <w:r w:rsidR="00756B1B" w:rsidRPr="00756B1B">
          <w:rPr>
            <w:noProof/>
            <w:color w:val="000000" w:themeColor="accent4"/>
            <w:sz w:val="20"/>
            <w:szCs w:val="20"/>
          </w:rPr>
          <w:t>4</w:t>
        </w:r>
      </w:fldSimple>
      <w:r w:rsidRPr="00756B1B">
        <w:rPr>
          <w:color w:val="000000" w:themeColor="accent4"/>
          <w:sz w:val="20"/>
          <w:szCs w:val="20"/>
        </w:rPr>
        <w:t>-</w:t>
      </w:r>
      <w:fldSimple w:instr=" SEQ Table \* ARABIC \s 1  \* MERGEFORMAT ">
        <w:r w:rsidR="00756B1B" w:rsidRPr="00756B1B">
          <w:rPr>
            <w:noProof/>
            <w:color w:val="000000" w:themeColor="accent4"/>
            <w:sz w:val="20"/>
            <w:szCs w:val="20"/>
          </w:rPr>
          <w:t>5</w:t>
        </w:r>
      </w:fldSimple>
      <w:r w:rsidR="00756B1B">
        <w:rPr>
          <w:color w:val="000000" w:themeColor="accent4"/>
          <w:sz w:val="20"/>
          <w:szCs w:val="20"/>
        </w:rPr>
        <w:t xml:space="preserve">:  </w:t>
      </w:r>
      <w:r w:rsidRPr="00756B1B">
        <w:rPr>
          <w:color w:val="000000" w:themeColor="accent4"/>
          <w:sz w:val="20"/>
          <w:szCs w:val="20"/>
        </w:rPr>
        <w:t>Gross B use class land demand (ha) 2013-32 – Baseline Scenario</w:t>
      </w:r>
      <w:bookmarkEnd w:id="283"/>
    </w:p>
    <w:tbl>
      <w:tblPr>
        <w:tblStyle w:val="Atkins14pt"/>
        <w:tblW w:w="6023" w:type="dxa"/>
        <w:jc w:val="center"/>
        <w:tblInd w:w="0" w:type="dxa"/>
        <w:tblLook w:val="04A0" w:firstRow="1" w:lastRow="0" w:firstColumn="1" w:lastColumn="0" w:noHBand="0" w:noVBand="1"/>
      </w:tblPr>
      <w:tblGrid>
        <w:gridCol w:w="2907"/>
        <w:gridCol w:w="3116"/>
      </w:tblGrid>
      <w:tr w:rsidR="00811E9D" w:rsidRPr="00CD3974" w14:paraId="2111D2B3" w14:textId="77777777" w:rsidTr="00756B1B">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100" w:firstRow="0" w:lastRow="0" w:firstColumn="1" w:lastColumn="0" w:oddVBand="0" w:evenVBand="0" w:oddHBand="0" w:evenHBand="0" w:firstRowFirstColumn="1" w:firstRowLastColumn="0" w:lastRowFirstColumn="0" w:lastRowLastColumn="0"/>
            <w:tcW w:w="2907" w:type="dxa"/>
            <w:shd w:val="clear" w:color="auto" w:fill="EDF1F1" w:themeFill="accent5" w:themeFillTint="33"/>
            <w:hideMark/>
          </w:tcPr>
          <w:p w14:paraId="53A5FDA9" w14:textId="77777777" w:rsidR="00811E9D" w:rsidRPr="00CD3974" w:rsidRDefault="00811E9D" w:rsidP="00811E9D">
            <w:pPr>
              <w:rPr>
                <w:rFonts w:asciiTheme="minorHAnsi" w:eastAsia="Times New Roman" w:hAnsiTheme="minorHAnsi" w:cstheme="minorHAnsi"/>
                <w:b w:val="0"/>
                <w:bCs/>
                <w:sz w:val="20"/>
              </w:rPr>
            </w:pPr>
            <w:r w:rsidRPr="00CD3974">
              <w:rPr>
                <w:rFonts w:asciiTheme="minorHAnsi" w:eastAsia="Times New Roman" w:hAnsiTheme="minorHAnsi" w:cstheme="minorHAnsi"/>
                <w:bCs/>
                <w:sz w:val="20"/>
              </w:rPr>
              <w:t>Use Class</w:t>
            </w:r>
          </w:p>
        </w:tc>
        <w:tc>
          <w:tcPr>
            <w:tcW w:w="3116" w:type="dxa"/>
            <w:shd w:val="clear" w:color="auto" w:fill="EDF1F1" w:themeFill="accent5" w:themeFillTint="33"/>
          </w:tcPr>
          <w:p w14:paraId="220125BF" w14:textId="77777777" w:rsidR="00811E9D" w:rsidRPr="00CD3974" w:rsidRDefault="00811E9D" w:rsidP="00811E9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sz w:val="20"/>
              </w:rPr>
            </w:pPr>
            <w:r>
              <w:rPr>
                <w:rFonts w:asciiTheme="minorHAnsi" w:eastAsia="Times New Roman" w:hAnsiTheme="minorHAnsi" w:cstheme="minorHAnsi"/>
                <w:bCs/>
                <w:sz w:val="20"/>
              </w:rPr>
              <w:t>Additional Land (ha</w:t>
            </w:r>
            <w:r w:rsidRPr="00CD3974">
              <w:rPr>
                <w:rFonts w:asciiTheme="minorHAnsi" w:eastAsia="Times New Roman" w:hAnsiTheme="minorHAnsi" w:cstheme="minorHAnsi"/>
                <w:bCs/>
                <w:sz w:val="20"/>
              </w:rPr>
              <w:t>)</w:t>
            </w:r>
          </w:p>
        </w:tc>
      </w:tr>
      <w:tr w:rsidR="00640168" w:rsidRPr="009B14EE" w14:paraId="34B7BF11"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2907" w:type="dxa"/>
            <w:noWrap/>
            <w:hideMark/>
          </w:tcPr>
          <w:p w14:paraId="43CCED5A" w14:textId="77777777" w:rsidR="00640168" w:rsidRPr="00CD3974" w:rsidRDefault="00640168"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B1a/b</w:t>
            </w:r>
          </w:p>
        </w:tc>
        <w:tc>
          <w:tcPr>
            <w:tcW w:w="3116" w:type="dxa"/>
            <w:vAlign w:val="bottom"/>
          </w:tcPr>
          <w:p w14:paraId="27BA64BF" w14:textId="77777777" w:rsidR="00640168" w:rsidRPr="00640168" w:rsidRDefault="00640168" w:rsidP="006401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640168">
              <w:rPr>
                <w:rFonts w:asciiTheme="minorHAnsi" w:hAnsiTheme="minorHAnsi" w:cstheme="minorHAnsi"/>
                <w:color w:val="000000"/>
                <w:sz w:val="20"/>
              </w:rPr>
              <w:t>1.8</w:t>
            </w:r>
          </w:p>
        </w:tc>
      </w:tr>
      <w:tr w:rsidR="00640168" w:rsidRPr="009B14EE" w14:paraId="65905768"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2907" w:type="dxa"/>
            <w:noWrap/>
            <w:hideMark/>
          </w:tcPr>
          <w:p w14:paraId="0829B430" w14:textId="77777777" w:rsidR="00640168" w:rsidRPr="00CD3974" w:rsidRDefault="00640168"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B1c/B2</w:t>
            </w:r>
          </w:p>
        </w:tc>
        <w:tc>
          <w:tcPr>
            <w:tcW w:w="3116" w:type="dxa"/>
            <w:vAlign w:val="bottom"/>
          </w:tcPr>
          <w:p w14:paraId="42F25414" w14:textId="77777777" w:rsidR="00640168" w:rsidRPr="00640168" w:rsidRDefault="00640168" w:rsidP="006401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640168">
              <w:rPr>
                <w:rFonts w:asciiTheme="minorHAnsi" w:hAnsiTheme="minorHAnsi" w:cstheme="minorHAnsi"/>
                <w:color w:val="000000"/>
                <w:sz w:val="20"/>
              </w:rPr>
              <w:t>-4.8</w:t>
            </w:r>
          </w:p>
        </w:tc>
      </w:tr>
      <w:tr w:rsidR="00640168" w:rsidRPr="009B14EE" w14:paraId="215555CB"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2907" w:type="dxa"/>
            <w:noWrap/>
            <w:hideMark/>
          </w:tcPr>
          <w:p w14:paraId="6D76304F" w14:textId="77777777" w:rsidR="00640168" w:rsidRPr="00CD3974" w:rsidRDefault="00640168"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B8</w:t>
            </w:r>
          </w:p>
        </w:tc>
        <w:tc>
          <w:tcPr>
            <w:tcW w:w="3116" w:type="dxa"/>
            <w:vAlign w:val="bottom"/>
          </w:tcPr>
          <w:p w14:paraId="6A282661" w14:textId="77777777" w:rsidR="00640168" w:rsidRPr="00640168" w:rsidRDefault="00640168" w:rsidP="006401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640168">
              <w:rPr>
                <w:rFonts w:asciiTheme="minorHAnsi" w:hAnsiTheme="minorHAnsi" w:cstheme="minorHAnsi"/>
                <w:color w:val="000000"/>
                <w:sz w:val="20"/>
              </w:rPr>
              <w:t>10.6</w:t>
            </w:r>
          </w:p>
        </w:tc>
      </w:tr>
      <w:tr w:rsidR="00640168" w:rsidRPr="009B14EE" w14:paraId="3EBC5459" w14:textId="77777777" w:rsidTr="00756B1B">
        <w:trPr>
          <w:trHeight w:val="295"/>
          <w:jc w:val="center"/>
        </w:trPr>
        <w:tc>
          <w:tcPr>
            <w:cnfStyle w:val="001000000000" w:firstRow="0" w:lastRow="0" w:firstColumn="1" w:lastColumn="0" w:oddVBand="0" w:evenVBand="0" w:oddHBand="0" w:evenHBand="0" w:firstRowFirstColumn="0" w:firstRowLastColumn="0" w:lastRowFirstColumn="0" w:lastRowLastColumn="0"/>
            <w:tcW w:w="2907" w:type="dxa"/>
            <w:noWrap/>
            <w:hideMark/>
          </w:tcPr>
          <w:p w14:paraId="61C91E91" w14:textId="77777777" w:rsidR="00640168" w:rsidRPr="00CD3974" w:rsidRDefault="00640168" w:rsidP="00811E9D">
            <w:pPr>
              <w:rPr>
                <w:rFonts w:asciiTheme="minorHAnsi" w:eastAsia="Times New Roman" w:hAnsiTheme="minorHAnsi" w:cstheme="minorHAnsi"/>
                <w:b/>
                <w:bCs/>
                <w:sz w:val="20"/>
              </w:rPr>
            </w:pPr>
            <w:r>
              <w:rPr>
                <w:rFonts w:asciiTheme="minorHAnsi" w:eastAsia="Times New Roman" w:hAnsiTheme="minorHAnsi" w:cstheme="minorHAnsi"/>
                <w:b/>
                <w:bCs/>
                <w:sz w:val="20"/>
              </w:rPr>
              <w:t>Land Demand</w:t>
            </w:r>
          </w:p>
        </w:tc>
        <w:tc>
          <w:tcPr>
            <w:tcW w:w="3116" w:type="dxa"/>
            <w:vAlign w:val="bottom"/>
          </w:tcPr>
          <w:p w14:paraId="7BA68800" w14:textId="77777777" w:rsidR="00640168" w:rsidRPr="00640168" w:rsidRDefault="00640168" w:rsidP="006401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640168">
              <w:rPr>
                <w:rFonts w:asciiTheme="minorHAnsi" w:hAnsiTheme="minorHAnsi" w:cstheme="minorHAnsi"/>
                <w:b/>
                <w:bCs/>
                <w:color w:val="000000"/>
                <w:sz w:val="20"/>
              </w:rPr>
              <w:t>7.6</w:t>
            </w:r>
          </w:p>
        </w:tc>
      </w:tr>
    </w:tbl>
    <w:p w14:paraId="59FCA6FB" w14:textId="77777777" w:rsidR="00811E9D" w:rsidRPr="003E0BBD" w:rsidRDefault="00811E9D" w:rsidP="00D41987">
      <w:pPr>
        <w:pStyle w:val="TableSource"/>
        <w:ind w:left="1440" w:firstLine="403"/>
        <w:jc w:val="both"/>
        <w:rPr>
          <w:rStyle w:val="BodyTextChar"/>
          <w:rFonts w:ascii="Calibri" w:hAnsi="Calibri"/>
          <w:color w:val="auto"/>
          <w:sz w:val="22"/>
        </w:rPr>
      </w:pPr>
      <w:r>
        <w:t>S</w:t>
      </w:r>
      <w:r w:rsidRPr="003E0BBD">
        <w:t>ource: Atkins 201</w:t>
      </w:r>
      <w:r>
        <w:t>4</w:t>
      </w:r>
    </w:p>
    <w:p w14:paraId="4C9EE46B" w14:textId="77777777" w:rsidR="00811E9D" w:rsidRPr="00BD5F72" w:rsidRDefault="00811E9D" w:rsidP="00811E9D">
      <w:pPr>
        <w:pStyle w:val="NormalNoSpace"/>
        <w:spacing w:after="120"/>
        <w:jc w:val="both"/>
        <w:rPr>
          <w:kern w:val="28"/>
        </w:rPr>
      </w:pPr>
      <w:r>
        <w:rPr>
          <w:kern w:val="28"/>
        </w:rPr>
        <w:t>Under the baseline scenario</w:t>
      </w:r>
      <w:r w:rsidRPr="00BD5F72">
        <w:rPr>
          <w:kern w:val="28"/>
        </w:rPr>
        <w:t xml:space="preserve">, </w:t>
      </w:r>
      <w:r>
        <w:rPr>
          <w:kern w:val="28"/>
        </w:rPr>
        <w:t>North East Lincolnshire</w:t>
      </w:r>
      <w:r w:rsidRPr="00BD5F72">
        <w:rPr>
          <w:kern w:val="28"/>
        </w:rPr>
        <w:t xml:space="preserve">’s </w:t>
      </w:r>
      <w:r>
        <w:rPr>
          <w:kern w:val="28"/>
        </w:rPr>
        <w:t xml:space="preserve">gross </w:t>
      </w:r>
      <w:r w:rsidRPr="00BD5F72">
        <w:rPr>
          <w:kern w:val="28"/>
        </w:rPr>
        <w:t xml:space="preserve">employment floorspace </w:t>
      </w:r>
      <w:r>
        <w:rPr>
          <w:kern w:val="28"/>
        </w:rPr>
        <w:t>demand</w:t>
      </w:r>
      <w:r w:rsidRPr="00BD5F72">
        <w:rPr>
          <w:kern w:val="28"/>
        </w:rPr>
        <w:t xml:space="preserve"> </w:t>
      </w:r>
      <w:r>
        <w:rPr>
          <w:kern w:val="28"/>
        </w:rPr>
        <w:t>would</w:t>
      </w:r>
      <w:r w:rsidRPr="00BD5F72">
        <w:rPr>
          <w:kern w:val="28"/>
        </w:rPr>
        <w:t xml:space="preserve"> increase by</w:t>
      </w:r>
      <w:r w:rsidR="00FE38AA">
        <w:rPr>
          <w:kern w:val="28"/>
        </w:rPr>
        <w:t xml:space="preserve"> approximately</w:t>
      </w:r>
      <w:r w:rsidRPr="00BD5F72">
        <w:rPr>
          <w:kern w:val="28"/>
        </w:rPr>
        <w:t xml:space="preserve"> </w:t>
      </w:r>
      <w:r w:rsidR="00204B1E">
        <w:rPr>
          <w:kern w:val="28"/>
        </w:rPr>
        <w:t>31</w:t>
      </w:r>
      <w:r w:rsidRPr="00BD5F72">
        <w:rPr>
          <w:kern w:val="28"/>
        </w:rPr>
        <w:t>,</w:t>
      </w:r>
      <w:r>
        <w:rPr>
          <w:kern w:val="28"/>
        </w:rPr>
        <w:t>000 sqm over the period 2013</w:t>
      </w:r>
      <w:r w:rsidRPr="00BD5F72">
        <w:rPr>
          <w:kern w:val="28"/>
        </w:rPr>
        <w:t>-20</w:t>
      </w:r>
      <w:r>
        <w:rPr>
          <w:kern w:val="28"/>
        </w:rPr>
        <w:t>32</w:t>
      </w:r>
      <w:r w:rsidRPr="00BD5F72">
        <w:rPr>
          <w:kern w:val="28"/>
        </w:rPr>
        <w:t xml:space="preserve">, translating to additional demand for approximately </w:t>
      </w:r>
      <w:r w:rsidR="00FE38AA">
        <w:rPr>
          <w:kern w:val="28"/>
        </w:rPr>
        <w:t>8</w:t>
      </w:r>
      <w:r>
        <w:rPr>
          <w:kern w:val="28"/>
        </w:rPr>
        <w:t xml:space="preserve"> </w:t>
      </w:r>
      <w:r w:rsidRPr="00BD5F72">
        <w:rPr>
          <w:kern w:val="28"/>
        </w:rPr>
        <w:t xml:space="preserve">ha of land. </w:t>
      </w:r>
    </w:p>
    <w:p w14:paraId="06ADB2AB" w14:textId="77777777" w:rsidR="00811E9D" w:rsidRDefault="00811E9D" w:rsidP="00811E9D">
      <w:pPr>
        <w:pStyle w:val="Heading3"/>
        <w:tabs>
          <w:tab w:val="clear" w:pos="1021"/>
        </w:tabs>
        <w:spacing w:before="240"/>
      </w:pPr>
      <w:bookmarkStart w:id="284" w:name="_Toc387673132"/>
      <w:r>
        <w:t>Policy Scenario 1: Moderate Growth</w:t>
      </w:r>
      <w:bookmarkEnd w:id="284"/>
      <w:r>
        <w:t xml:space="preserve"> </w:t>
      </w:r>
    </w:p>
    <w:p w14:paraId="50ABFCC6" w14:textId="77777777" w:rsidR="00811E9D" w:rsidRPr="001D10A1" w:rsidRDefault="00811E9D" w:rsidP="00811E9D">
      <w:pPr>
        <w:pStyle w:val="NormalNoSpace"/>
        <w:spacing w:after="120"/>
        <w:jc w:val="both"/>
        <w:rPr>
          <w:kern w:val="28"/>
        </w:rPr>
      </w:pPr>
      <w:r>
        <w:rPr>
          <w:kern w:val="28"/>
        </w:rPr>
        <w:t>T</w:t>
      </w:r>
      <w:r w:rsidRPr="00BD5F72">
        <w:rPr>
          <w:kern w:val="28"/>
        </w:rPr>
        <w:t xml:space="preserve">his scenario represents a more optimistic outlook </w:t>
      </w:r>
      <w:r>
        <w:rPr>
          <w:kern w:val="28"/>
        </w:rPr>
        <w:t xml:space="preserve">in terms of the Borough’s economic outlook and growth prospects.  </w:t>
      </w:r>
      <w:r w:rsidRPr="00BD5F72">
        <w:rPr>
          <w:kern w:val="28"/>
        </w:rPr>
        <w:t xml:space="preserve"> </w:t>
      </w:r>
      <w:r>
        <w:rPr>
          <w:kern w:val="28"/>
        </w:rPr>
        <w:t xml:space="preserve">Table </w:t>
      </w:r>
      <w:r w:rsidR="00756B1B">
        <w:rPr>
          <w:kern w:val="28"/>
        </w:rPr>
        <w:t>4.6</w:t>
      </w:r>
      <w:r>
        <w:rPr>
          <w:kern w:val="28"/>
        </w:rPr>
        <w:t xml:space="preserve"> summaries the forecast change in B use class jobs whilst Tables </w:t>
      </w:r>
      <w:r w:rsidR="00756B1B">
        <w:rPr>
          <w:kern w:val="28"/>
        </w:rPr>
        <w:t>4.7</w:t>
      </w:r>
      <w:r>
        <w:rPr>
          <w:kern w:val="28"/>
        </w:rPr>
        <w:t xml:space="preserve"> and </w:t>
      </w:r>
      <w:r w:rsidR="00756B1B">
        <w:rPr>
          <w:kern w:val="28"/>
        </w:rPr>
        <w:t>4.8</w:t>
      </w:r>
      <w:r>
        <w:rPr>
          <w:kern w:val="28"/>
        </w:rPr>
        <w:t xml:space="preserve"> presents the scenario findings in terms of gross floorspace and land demand requirements.  The results indicate </w:t>
      </w:r>
      <w:r w:rsidR="00756B1B">
        <w:rPr>
          <w:kern w:val="28"/>
        </w:rPr>
        <w:t xml:space="preserve">potential gross demand of </w:t>
      </w:r>
      <w:r w:rsidR="00FE38AA">
        <w:rPr>
          <w:kern w:val="28"/>
        </w:rPr>
        <w:t>around</w:t>
      </w:r>
      <w:r w:rsidR="00204B1E">
        <w:rPr>
          <w:kern w:val="28"/>
        </w:rPr>
        <w:t xml:space="preserve"> </w:t>
      </w:r>
      <w:r w:rsidR="00FE38AA">
        <w:rPr>
          <w:kern w:val="28"/>
        </w:rPr>
        <w:t>1</w:t>
      </w:r>
      <w:r w:rsidR="00204B1E">
        <w:rPr>
          <w:kern w:val="28"/>
        </w:rPr>
        <w:t>5</w:t>
      </w:r>
      <w:r w:rsidR="00FE38AA">
        <w:rPr>
          <w:kern w:val="28"/>
        </w:rPr>
        <w:t>2</w:t>
      </w:r>
      <w:r>
        <w:rPr>
          <w:kern w:val="28"/>
        </w:rPr>
        <w:t xml:space="preserve">,000 sq.m. of foorspace demand equating to </w:t>
      </w:r>
      <w:r w:rsidR="00FE38AA">
        <w:rPr>
          <w:kern w:val="28"/>
        </w:rPr>
        <w:t>approximately</w:t>
      </w:r>
      <w:r>
        <w:rPr>
          <w:kern w:val="28"/>
        </w:rPr>
        <w:t xml:space="preserve"> </w:t>
      </w:r>
      <w:r w:rsidR="00204B1E">
        <w:rPr>
          <w:kern w:val="28"/>
        </w:rPr>
        <w:t>4</w:t>
      </w:r>
      <w:r w:rsidR="00FE38AA">
        <w:rPr>
          <w:kern w:val="28"/>
        </w:rPr>
        <w:t>6</w:t>
      </w:r>
      <w:r>
        <w:rPr>
          <w:kern w:val="28"/>
        </w:rPr>
        <w:t xml:space="preserve"> hectares of demand for additional employment land.</w:t>
      </w:r>
    </w:p>
    <w:p w14:paraId="710D09AC" w14:textId="77777777" w:rsidR="00811E9D" w:rsidRPr="00981047" w:rsidRDefault="00811E9D" w:rsidP="00811E9D">
      <w:pPr>
        <w:pStyle w:val="DefaultParagraphFontParaChar"/>
        <w:spacing w:before="0" w:after="0"/>
        <w:ind w:left="993"/>
        <w:jc w:val="both"/>
        <w:rPr>
          <w:rFonts w:cs="Arial"/>
          <w:b/>
        </w:rPr>
      </w:pPr>
    </w:p>
    <w:p w14:paraId="1C391235" w14:textId="77777777" w:rsidR="00811E9D" w:rsidRPr="00756B1B" w:rsidRDefault="00811E9D" w:rsidP="00756B1B">
      <w:pPr>
        <w:pStyle w:val="Caption"/>
        <w:spacing w:after="120"/>
        <w:jc w:val="center"/>
        <w:rPr>
          <w:color w:val="000000" w:themeColor="accent4"/>
          <w:sz w:val="20"/>
          <w:szCs w:val="20"/>
        </w:rPr>
      </w:pPr>
      <w:bookmarkStart w:id="285" w:name="_Ref387652908"/>
      <w:bookmarkStart w:id="286" w:name="_Toc394668616"/>
      <w:r w:rsidRPr="00756B1B">
        <w:rPr>
          <w:color w:val="000000" w:themeColor="accent4"/>
          <w:sz w:val="20"/>
          <w:szCs w:val="20"/>
        </w:rPr>
        <w:t xml:space="preserve">Table </w:t>
      </w:r>
      <w:fldSimple w:instr=" STYLEREF 1 \s  \* MERGEFORMAT ">
        <w:r w:rsidR="00756B1B" w:rsidRPr="00756B1B">
          <w:rPr>
            <w:noProof/>
            <w:color w:val="000000" w:themeColor="accent4"/>
            <w:sz w:val="20"/>
            <w:szCs w:val="20"/>
          </w:rPr>
          <w:t>4</w:t>
        </w:r>
      </w:fldSimple>
      <w:r w:rsidRPr="00756B1B">
        <w:rPr>
          <w:color w:val="000000" w:themeColor="accent4"/>
          <w:sz w:val="20"/>
          <w:szCs w:val="20"/>
        </w:rPr>
        <w:t>-</w:t>
      </w:r>
      <w:fldSimple w:instr=" SEQ Table \* ARABIC \s 1  \* MERGEFORMAT ">
        <w:r w:rsidR="00756B1B" w:rsidRPr="00756B1B">
          <w:rPr>
            <w:noProof/>
            <w:color w:val="000000" w:themeColor="accent4"/>
            <w:sz w:val="20"/>
            <w:szCs w:val="20"/>
          </w:rPr>
          <w:t>6</w:t>
        </w:r>
      </w:fldSimple>
      <w:bookmarkEnd w:id="285"/>
      <w:r w:rsidR="00756B1B">
        <w:rPr>
          <w:color w:val="000000" w:themeColor="accent4"/>
          <w:sz w:val="20"/>
          <w:szCs w:val="20"/>
        </w:rPr>
        <w:t xml:space="preserve">:  Policy Scenario 1 - </w:t>
      </w:r>
      <w:r w:rsidRPr="00756B1B">
        <w:rPr>
          <w:color w:val="000000" w:themeColor="accent4"/>
          <w:sz w:val="20"/>
          <w:szCs w:val="20"/>
        </w:rPr>
        <w:t>B-Use Job Growth 2013-2032</w:t>
      </w:r>
      <w:bookmarkEnd w:id="286"/>
    </w:p>
    <w:tbl>
      <w:tblPr>
        <w:tblStyle w:val="Atkins14pt"/>
        <w:tblW w:w="8469" w:type="dxa"/>
        <w:jc w:val="center"/>
        <w:tblInd w:w="0" w:type="dxa"/>
        <w:tblLayout w:type="fixed"/>
        <w:tblLook w:val="04A0" w:firstRow="1" w:lastRow="0" w:firstColumn="1" w:lastColumn="0" w:noHBand="0" w:noVBand="1"/>
      </w:tblPr>
      <w:tblGrid>
        <w:gridCol w:w="2410"/>
        <w:gridCol w:w="1515"/>
        <w:gridCol w:w="1514"/>
        <w:gridCol w:w="1515"/>
        <w:gridCol w:w="1515"/>
      </w:tblGrid>
      <w:tr w:rsidR="00811E9D" w:rsidRPr="001D10A1" w14:paraId="3E83664A" w14:textId="77777777" w:rsidTr="00811E9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8469" w:type="dxa"/>
            <w:gridSpan w:val="5"/>
            <w:shd w:val="clear" w:color="auto" w:fill="EDF1F1" w:themeFill="accent5" w:themeFillTint="33"/>
            <w:noWrap/>
            <w:hideMark/>
          </w:tcPr>
          <w:p w14:paraId="547C4582" w14:textId="77777777" w:rsidR="00811E9D" w:rsidRPr="00CD3974" w:rsidRDefault="00811E9D" w:rsidP="00811E9D">
            <w:pPr>
              <w:jc w:val="center"/>
              <w:rPr>
                <w:rFonts w:asciiTheme="minorHAnsi" w:eastAsia="Times New Roman" w:hAnsiTheme="minorHAnsi" w:cstheme="minorHAnsi"/>
                <w:bCs/>
                <w:sz w:val="20"/>
              </w:rPr>
            </w:pPr>
            <w:r w:rsidRPr="00CD3974">
              <w:rPr>
                <w:rFonts w:asciiTheme="minorHAnsi" w:eastAsia="Times New Roman" w:hAnsiTheme="minorHAnsi" w:cstheme="minorHAnsi"/>
                <w:bCs/>
                <w:sz w:val="20"/>
              </w:rPr>
              <w:t>FTE jobs</w:t>
            </w:r>
          </w:p>
        </w:tc>
      </w:tr>
      <w:tr w:rsidR="00811E9D" w:rsidRPr="001D10A1" w14:paraId="0DA91073" w14:textId="77777777" w:rsidTr="00811E9D">
        <w:trPr>
          <w:trHeight w:val="132"/>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EDF1F1" w:themeFill="accent5" w:themeFillTint="33"/>
            <w:hideMark/>
          </w:tcPr>
          <w:p w14:paraId="51F80B75" w14:textId="77777777" w:rsidR="00811E9D" w:rsidRPr="00CD3974" w:rsidRDefault="00811E9D" w:rsidP="00811E9D">
            <w:pPr>
              <w:rPr>
                <w:rFonts w:asciiTheme="minorHAnsi" w:eastAsia="Times New Roman" w:hAnsiTheme="minorHAnsi" w:cstheme="minorHAnsi"/>
                <w:b/>
                <w:bCs/>
                <w:sz w:val="20"/>
              </w:rPr>
            </w:pPr>
            <w:r w:rsidRPr="00CD3974">
              <w:rPr>
                <w:rFonts w:asciiTheme="minorHAnsi" w:eastAsia="Times New Roman" w:hAnsiTheme="minorHAnsi" w:cstheme="minorHAnsi"/>
                <w:b/>
                <w:bCs/>
                <w:sz w:val="20"/>
              </w:rPr>
              <w:t>Use Class</w:t>
            </w:r>
          </w:p>
        </w:tc>
        <w:tc>
          <w:tcPr>
            <w:tcW w:w="1515" w:type="dxa"/>
            <w:shd w:val="clear" w:color="auto" w:fill="EDF1F1" w:themeFill="accent5" w:themeFillTint="33"/>
            <w:hideMark/>
          </w:tcPr>
          <w:p w14:paraId="33DC7AE5"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2013</w:t>
            </w:r>
          </w:p>
        </w:tc>
        <w:tc>
          <w:tcPr>
            <w:tcW w:w="1514" w:type="dxa"/>
            <w:shd w:val="clear" w:color="auto" w:fill="EDF1F1" w:themeFill="accent5" w:themeFillTint="33"/>
            <w:hideMark/>
          </w:tcPr>
          <w:p w14:paraId="2C63728B"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2032</w:t>
            </w:r>
          </w:p>
        </w:tc>
        <w:tc>
          <w:tcPr>
            <w:tcW w:w="1515" w:type="dxa"/>
            <w:shd w:val="clear" w:color="auto" w:fill="EDF1F1" w:themeFill="accent5" w:themeFillTint="33"/>
          </w:tcPr>
          <w:p w14:paraId="7E2DFFAE"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Difference</w:t>
            </w:r>
          </w:p>
        </w:tc>
        <w:tc>
          <w:tcPr>
            <w:tcW w:w="1515" w:type="dxa"/>
            <w:shd w:val="clear" w:color="auto" w:fill="EDF1F1" w:themeFill="accent5" w:themeFillTint="33"/>
          </w:tcPr>
          <w:p w14:paraId="45B6B776"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Change in %</w:t>
            </w:r>
          </w:p>
        </w:tc>
      </w:tr>
      <w:tr w:rsidR="00811E9D" w:rsidRPr="001D10A1" w14:paraId="39280F2E" w14:textId="77777777" w:rsidTr="00811E9D">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9E8B271"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B1a/b</w:t>
            </w:r>
          </w:p>
        </w:tc>
        <w:tc>
          <w:tcPr>
            <w:tcW w:w="1515" w:type="dxa"/>
            <w:noWrap/>
            <w:vAlign w:val="bottom"/>
            <w:hideMark/>
          </w:tcPr>
          <w:p w14:paraId="5F126866"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13,737</w:t>
            </w:r>
          </w:p>
        </w:tc>
        <w:tc>
          <w:tcPr>
            <w:tcW w:w="1514" w:type="dxa"/>
            <w:noWrap/>
            <w:vAlign w:val="bottom"/>
            <w:hideMark/>
          </w:tcPr>
          <w:p w14:paraId="603BF89B"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2071B">
              <w:rPr>
                <w:rFonts w:asciiTheme="minorHAnsi" w:hAnsiTheme="minorHAnsi" w:cstheme="minorHAnsi"/>
                <w:sz w:val="20"/>
              </w:rPr>
              <w:t>15,768</w:t>
            </w:r>
          </w:p>
        </w:tc>
        <w:tc>
          <w:tcPr>
            <w:tcW w:w="1515" w:type="dxa"/>
            <w:vAlign w:val="bottom"/>
          </w:tcPr>
          <w:p w14:paraId="77BD2D32"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2,031</w:t>
            </w:r>
          </w:p>
        </w:tc>
        <w:tc>
          <w:tcPr>
            <w:tcW w:w="1515" w:type="dxa"/>
            <w:vAlign w:val="bottom"/>
          </w:tcPr>
          <w:p w14:paraId="2F7BBDAB"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14.8%</w:t>
            </w:r>
          </w:p>
        </w:tc>
      </w:tr>
      <w:tr w:rsidR="00811E9D" w:rsidRPr="001D10A1" w14:paraId="2500A1CB" w14:textId="77777777" w:rsidTr="00811E9D">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0DB2B2E"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B1c/B2</w:t>
            </w:r>
          </w:p>
        </w:tc>
        <w:tc>
          <w:tcPr>
            <w:tcW w:w="1515" w:type="dxa"/>
            <w:noWrap/>
            <w:vAlign w:val="bottom"/>
            <w:hideMark/>
          </w:tcPr>
          <w:p w14:paraId="03146AE4"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6,634</w:t>
            </w:r>
          </w:p>
        </w:tc>
        <w:tc>
          <w:tcPr>
            <w:tcW w:w="1514" w:type="dxa"/>
            <w:noWrap/>
            <w:vAlign w:val="bottom"/>
            <w:hideMark/>
          </w:tcPr>
          <w:p w14:paraId="415564E0"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2071B">
              <w:rPr>
                <w:rFonts w:asciiTheme="minorHAnsi" w:hAnsiTheme="minorHAnsi" w:cstheme="minorHAnsi"/>
                <w:sz w:val="20"/>
              </w:rPr>
              <w:t>7,592</w:t>
            </w:r>
          </w:p>
        </w:tc>
        <w:tc>
          <w:tcPr>
            <w:tcW w:w="1515" w:type="dxa"/>
            <w:vAlign w:val="bottom"/>
          </w:tcPr>
          <w:p w14:paraId="040BBA20"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958</w:t>
            </w:r>
          </w:p>
        </w:tc>
        <w:tc>
          <w:tcPr>
            <w:tcW w:w="1515" w:type="dxa"/>
            <w:vAlign w:val="bottom"/>
          </w:tcPr>
          <w:p w14:paraId="50F01273"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14.4%</w:t>
            </w:r>
          </w:p>
        </w:tc>
      </w:tr>
      <w:tr w:rsidR="00811E9D" w:rsidRPr="001D10A1" w14:paraId="1102C328" w14:textId="77777777" w:rsidTr="00811E9D">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44B9E52"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B8</w:t>
            </w:r>
          </w:p>
        </w:tc>
        <w:tc>
          <w:tcPr>
            <w:tcW w:w="1515" w:type="dxa"/>
            <w:noWrap/>
            <w:vAlign w:val="bottom"/>
            <w:hideMark/>
          </w:tcPr>
          <w:p w14:paraId="040584C3"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7,157</w:t>
            </w:r>
          </w:p>
        </w:tc>
        <w:tc>
          <w:tcPr>
            <w:tcW w:w="1514" w:type="dxa"/>
            <w:noWrap/>
            <w:vAlign w:val="bottom"/>
            <w:hideMark/>
          </w:tcPr>
          <w:p w14:paraId="62C2DF91"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2071B">
              <w:rPr>
                <w:rFonts w:asciiTheme="minorHAnsi" w:hAnsiTheme="minorHAnsi" w:cstheme="minorHAnsi"/>
                <w:sz w:val="20"/>
              </w:rPr>
              <w:t>8,151</w:t>
            </w:r>
          </w:p>
        </w:tc>
        <w:tc>
          <w:tcPr>
            <w:tcW w:w="1515" w:type="dxa"/>
            <w:vAlign w:val="bottom"/>
          </w:tcPr>
          <w:p w14:paraId="69079664"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994</w:t>
            </w:r>
          </w:p>
        </w:tc>
        <w:tc>
          <w:tcPr>
            <w:tcW w:w="1515" w:type="dxa"/>
            <w:vAlign w:val="bottom"/>
          </w:tcPr>
          <w:p w14:paraId="63215690"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13.9%</w:t>
            </w:r>
          </w:p>
        </w:tc>
      </w:tr>
      <w:tr w:rsidR="00811E9D" w:rsidRPr="001D10A1" w14:paraId="1F20B737" w14:textId="77777777" w:rsidTr="00811E9D">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2059E23" w14:textId="77777777" w:rsidR="00811E9D" w:rsidRPr="00CD3974" w:rsidRDefault="00811E9D" w:rsidP="00811E9D">
            <w:pPr>
              <w:rPr>
                <w:rFonts w:asciiTheme="minorHAnsi" w:eastAsia="Times New Roman" w:hAnsiTheme="minorHAnsi" w:cstheme="minorHAnsi"/>
                <w:b/>
                <w:bCs/>
                <w:sz w:val="20"/>
              </w:rPr>
            </w:pPr>
            <w:r w:rsidRPr="00CD3974">
              <w:rPr>
                <w:rFonts w:asciiTheme="minorHAnsi" w:eastAsia="Times New Roman" w:hAnsiTheme="minorHAnsi" w:cstheme="minorHAnsi"/>
                <w:b/>
                <w:bCs/>
                <w:sz w:val="20"/>
              </w:rPr>
              <w:t>Total B Class FTE jobs</w:t>
            </w:r>
          </w:p>
        </w:tc>
        <w:tc>
          <w:tcPr>
            <w:tcW w:w="1515" w:type="dxa"/>
            <w:noWrap/>
            <w:vAlign w:val="bottom"/>
            <w:hideMark/>
          </w:tcPr>
          <w:p w14:paraId="1C907EEE"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rPr>
            </w:pPr>
            <w:r w:rsidRPr="00DF2955">
              <w:rPr>
                <w:rFonts w:asciiTheme="minorHAnsi" w:hAnsiTheme="minorHAnsi" w:cstheme="minorHAnsi"/>
                <w:b/>
                <w:bCs/>
                <w:sz w:val="20"/>
              </w:rPr>
              <w:t>27,529</w:t>
            </w:r>
          </w:p>
        </w:tc>
        <w:tc>
          <w:tcPr>
            <w:tcW w:w="1514" w:type="dxa"/>
            <w:noWrap/>
            <w:vAlign w:val="bottom"/>
            <w:hideMark/>
          </w:tcPr>
          <w:p w14:paraId="6E623E9C"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rPr>
            </w:pPr>
            <w:r w:rsidRPr="00E2071B">
              <w:rPr>
                <w:rFonts w:asciiTheme="minorHAnsi" w:hAnsiTheme="minorHAnsi" w:cstheme="minorHAnsi"/>
                <w:b/>
                <w:bCs/>
                <w:sz w:val="20"/>
              </w:rPr>
              <w:t>31,511</w:t>
            </w:r>
          </w:p>
        </w:tc>
        <w:tc>
          <w:tcPr>
            <w:tcW w:w="1515" w:type="dxa"/>
            <w:vAlign w:val="bottom"/>
          </w:tcPr>
          <w:p w14:paraId="4A08D1D2"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E2071B">
              <w:rPr>
                <w:rFonts w:asciiTheme="minorHAnsi" w:hAnsiTheme="minorHAnsi" w:cstheme="minorHAnsi"/>
                <w:b/>
                <w:bCs/>
                <w:color w:val="000000"/>
                <w:sz w:val="20"/>
              </w:rPr>
              <w:t>3,983</w:t>
            </w:r>
          </w:p>
        </w:tc>
        <w:tc>
          <w:tcPr>
            <w:tcW w:w="1515" w:type="dxa"/>
            <w:vAlign w:val="bottom"/>
          </w:tcPr>
          <w:p w14:paraId="4F663589"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E2071B">
              <w:rPr>
                <w:rFonts w:asciiTheme="minorHAnsi" w:hAnsiTheme="minorHAnsi" w:cstheme="minorHAnsi"/>
                <w:b/>
                <w:bCs/>
                <w:color w:val="000000"/>
                <w:sz w:val="20"/>
              </w:rPr>
              <w:t>14.5%</w:t>
            </w:r>
          </w:p>
        </w:tc>
      </w:tr>
    </w:tbl>
    <w:p w14:paraId="452188C7" w14:textId="77777777" w:rsidR="00811E9D" w:rsidRDefault="00811E9D" w:rsidP="00811E9D">
      <w:pPr>
        <w:pStyle w:val="TableSource"/>
        <w:ind w:firstLine="720"/>
        <w:jc w:val="both"/>
        <w:rPr>
          <w:kern w:val="28"/>
        </w:rPr>
      </w:pPr>
      <w:r>
        <w:rPr>
          <w:kern w:val="28"/>
        </w:rPr>
        <w:t>Source: Atkins 2014</w:t>
      </w:r>
    </w:p>
    <w:p w14:paraId="3289254B" w14:textId="77777777" w:rsidR="00811E9D" w:rsidRPr="00756B1B" w:rsidRDefault="00811E9D" w:rsidP="00756B1B">
      <w:pPr>
        <w:pStyle w:val="Caption"/>
        <w:spacing w:after="120"/>
        <w:ind w:left="1440"/>
        <w:jc w:val="both"/>
        <w:rPr>
          <w:color w:val="000000" w:themeColor="accent4"/>
          <w:sz w:val="20"/>
          <w:szCs w:val="20"/>
        </w:rPr>
      </w:pPr>
      <w:bookmarkStart w:id="287" w:name="_Toc394668617"/>
      <w:r w:rsidRPr="00756B1B">
        <w:rPr>
          <w:color w:val="000000" w:themeColor="accent4"/>
          <w:sz w:val="20"/>
          <w:szCs w:val="20"/>
        </w:rPr>
        <w:t xml:space="preserve">Table </w:t>
      </w:r>
      <w:fldSimple w:instr=" STYLEREF 1 \s  \* MERGEFORMAT ">
        <w:r w:rsidR="00756B1B" w:rsidRPr="00756B1B">
          <w:rPr>
            <w:noProof/>
            <w:color w:val="000000" w:themeColor="accent4"/>
            <w:sz w:val="20"/>
            <w:szCs w:val="20"/>
          </w:rPr>
          <w:t>4</w:t>
        </w:r>
      </w:fldSimple>
      <w:r w:rsidRPr="00756B1B">
        <w:rPr>
          <w:color w:val="000000" w:themeColor="accent4"/>
          <w:sz w:val="20"/>
          <w:szCs w:val="20"/>
        </w:rPr>
        <w:t>-</w:t>
      </w:r>
      <w:fldSimple w:instr=" SEQ Table \* ARABIC \s 1  \* MERGEFORMAT ">
        <w:r w:rsidR="00756B1B" w:rsidRPr="00756B1B">
          <w:rPr>
            <w:noProof/>
            <w:color w:val="000000" w:themeColor="accent4"/>
            <w:sz w:val="20"/>
            <w:szCs w:val="20"/>
          </w:rPr>
          <w:t>7</w:t>
        </w:r>
      </w:fldSimple>
      <w:r w:rsidR="00756B1B">
        <w:rPr>
          <w:color w:val="000000" w:themeColor="accent4"/>
          <w:sz w:val="20"/>
          <w:szCs w:val="20"/>
        </w:rPr>
        <w:t xml:space="preserve">:  </w:t>
      </w:r>
      <w:r w:rsidRPr="00756B1B">
        <w:rPr>
          <w:color w:val="000000" w:themeColor="accent4"/>
          <w:sz w:val="20"/>
          <w:szCs w:val="20"/>
        </w:rPr>
        <w:t>Gross B use class floorspace demand (sqm) 2013-32 – Policy Scenario 1</w:t>
      </w:r>
      <w:bookmarkEnd w:id="287"/>
    </w:p>
    <w:tbl>
      <w:tblPr>
        <w:tblStyle w:val="Atkins14pt"/>
        <w:tblW w:w="7690" w:type="dxa"/>
        <w:jc w:val="center"/>
        <w:tblInd w:w="0" w:type="dxa"/>
        <w:tblLook w:val="04A0" w:firstRow="1" w:lastRow="0" w:firstColumn="1" w:lastColumn="0" w:noHBand="0" w:noVBand="1"/>
      </w:tblPr>
      <w:tblGrid>
        <w:gridCol w:w="3579"/>
        <w:gridCol w:w="4111"/>
      </w:tblGrid>
      <w:tr w:rsidR="00811E9D" w:rsidRPr="003E0BBD" w14:paraId="0DDEEEB3" w14:textId="77777777" w:rsidTr="00756B1B">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100" w:firstRow="0" w:lastRow="0" w:firstColumn="1" w:lastColumn="0" w:oddVBand="0" w:evenVBand="0" w:oddHBand="0" w:evenHBand="0" w:firstRowFirstColumn="1" w:firstRowLastColumn="0" w:lastRowFirstColumn="0" w:lastRowLastColumn="0"/>
            <w:tcW w:w="3579" w:type="dxa"/>
            <w:shd w:val="clear" w:color="auto" w:fill="EDF1F1" w:themeFill="accent5" w:themeFillTint="33"/>
            <w:hideMark/>
          </w:tcPr>
          <w:p w14:paraId="52687068" w14:textId="77777777" w:rsidR="00811E9D" w:rsidRPr="00CD3974" w:rsidRDefault="00811E9D" w:rsidP="00811E9D">
            <w:pPr>
              <w:rPr>
                <w:rFonts w:asciiTheme="minorHAnsi" w:eastAsia="Times New Roman" w:hAnsiTheme="minorHAnsi" w:cstheme="minorHAnsi"/>
                <w:b w:val="0"/>
                <w:bCs/>
                <w:sz w:val="20"/>
              </w:rPr>
            </w:pPr>
            <w:r w:rsidRPr="00CD3974">
              <w:rPr>
                <w:rFonts w:asciiTheme="minorHAnsi" w:eastAsia="Times New Roman" w:hAnsiTheme="minorHAnsi" w:cstheme="minorHAnsi"/>
                <w:bCs/>
                <w:sz w:val="20"/>
              </w:rPr>
              <w:t>Use Class</w:t>
            </w:r>
          </w:p>
        </w:tc>
        <w:tc>
          <w:tcPr>
            <w:tcW w:w="4111" w:type="dxa"/>
            <w:shd w:val="clear" w:color="auto" w:fill="EDF1F1" w:themeFill="accent5" w:themeFillTint="33"/>
          </w:tcPr>
          <w:p w14:paraId="0BAD2E89" w14:textId="77777777" w:rsidR="00811E9D" w:rsidRPr="00CD3974" w:rsidRDefault="00811E9D" w:rsidP="00811E9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sz w:val="20"/>
              </w:rPr>
            </w:pPr>
            <w:r>
              <w:rPr>
                <w:rFonts w:asciiTheme="minorHAnsi" w:eastAsia="Times New Roman" w:hAnsiTheme="minorHAnsi" w:cstheme="minorHAnsi"/>
                <w:bCs/>
                <w:sz w:val="20"/>
              </w:rPr>
              <w:t>Additional Floorspace Demand</w:t>
            </w:r>
            <w:r w:rsidRPr="00CD3974">
              <w:rPr>
                <w:rFonts w:asciiTheme="minorHAnsi" w:eastAsia="Times New Roman" w:hAnsiTheme="minorHAnsi" w:cstheme="minorHAnsi"/>
                <w:bCs/>
                <w:sz w:val="20"/>
              </w:rPr>
              <w:t xml:space="preserve"> (sqm)</w:t>
            </w:r>
          </w:p>
        </w:tc>
      </w:tr>
      <w:tr w:rsidR="0096628E" w:rsidRPr="003E0BBD" w14:paraId="22CB82F0"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3579" w:type="dxa"/>
            <w:noWrap/>
            <w:hideMark/>
          </w:tcPr>
          <w:p w14:paraId="3C7813F5"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B1a/b</w:t>
            </w:r>
          </w:p>
        </w:tc>
        <w:tc>
          <w:tcPr>
            <w:tcW w:w="4111" w:type="dxa"/>
            <w:vAlign w:val="bottom"/>
          </w:tcPr>
          <w:p w14:paraId="65A26A0E"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24,374</w:t>
            </w:r>
          </w:p>
        </w:tc>
      </w:tr>
      <w:tr w:rsidR="0096628E" w:rsidRPr="003E0BBD" w14:paraId="5B954225"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3579" w:type="dxa"/>
            <w:noWrap/>
            <w:hideMark/>
          </w:tcPr>
          <w:p w14:paraId="746B0195"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B1c/B2</w:t>
            </w:r>
          </w:p>
        </w:tc>
        <w:tc>
          <w:tcPr>
            <w:tcW w:w="4111" w:type="dxa"/>
            <w:vAlign w:val="bottom"/>
          </w:tcPr>
          <w:p w14:paraId="4828AD82"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47,895</w:t>
            </w:r>
          </w:p>
        </w:tc>
      </w:tr>
      <w:tr w:rsidR="0096628E" w:rsidRPr="003E0BBD" w14:paraId="63FB6046"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3579" w:type="dxa"/>
            <w:noWrap/>
            <w:hideMark/>
          </w:tcPr>
          <w:p w14:paraId="08177131"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B8</w:t>
            </w:r>
          </w:p>
        </w:tc>
        <w:tc>
          <w:tcPr>
            <w:tcW w:w="4111" w:type="dxa"/>
            <w:vAlign w:val="bottom"/>
          </w:tcPr>
          <w:p w14:paraId="065E1FEC"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79,504</w:t>
            </w:r>
          </w:p>
        </w:tc>
      </w:tr>
      <w:tr w:rsidR="0096628E" w:rsidRPr="003E0BBD" w14:paraId="2760814D" w14:textId="77777777" w:rsidTr="00756B1B">
        <w:trPr>
          <w:trHeight w:val="295"/>
          <w:jc w:val="center"/>
        </w:trPr>
        <w:tc>
          <w:tcPr>
            <w:cnfStyle w:val="001000000000" w:firstRow="0" w:lastRow="0" w:firstColumn="1" w:lastColumn="0" w:oddVBand="0" w:evenVBand="0" w:oddHBand="0" w:evenHBand="0" w:firstRowFirstColumn="0" w:firstRowLastColumn="0" w:lastRowFirstColumn="0" w:lastRowLastColumn="0"/>
            <w:tcW w:w="3579" w:type="dxa"/>
            <w:noWrap/>
            <w:hideMark/>
          </w:tcPr>
          <w:p w14:paraId="3DA93878" w14:textId="77777777" w:rsidR="0096628E" w:rsidRPr="00CD3974" w:rsidRDefault="0096628E" w:rsidP="00811E9D">
            <w:pPr>
              <w:rPr>
                <w:rFonts w:asciiTheme="minorHAnsi" w:eastAsia="Times New Roman" w:hAnsiTheme="minorHAnsi" w:cstheme="minorHAnsi"/>
                <w:b/>
                <w:bCs/>
                <w:sz w:val="20"/>
              </w:rPr>
            </w:pPr>
            <w:r>
              <w:rPr>
                <w:rFonts w:asciiTheme="minorHAnsi" w:eastAsia="Times New Roman" w:hAnsiTheme="minorHAnsi" w:cstheme="minorHAnsi"/>
                <w:b/>
                <w:bCs/>
                <w:sz w:val="20"/>
              </w:rPr>
              <w:t>F</w:t>
            </w:r>
            <w:r w:rsidRPr="00CD3974">
              <w:rPr>
                <w:rFonts w:asciiTheme="minorHAnsi" w:eastAsia="Times New Roman" w:hAnsiTheme="minorHAnsi" w:cstheme="minorHAnsi"/>
                <w:b/>
                <w:bCs/>
                <w:sz w:val="20"/>
              </w:rPr>
              <w:t>loorspace</w:t>
            </w:r>
            <w:r>
              <w:rPr>
                <w:rFonts w:asciiTheme="minorHAnsi" w:eastAsia="Times New Roman" w:hAnsiTheme="minorHAnsi" w:cstheme="minorHAnsi"/>
                <w:b/>
                <w:bCs/>
                <w:sz w:val="20"/>
              </w:rPr>
              <w:t xml:space="preserve"> Demand</w:t>
            </w:r>
          </w:p>
        </w:tc>
        <w:tc>
          <w:tcPr>
            <w:tcW w:w="4111" w:type="dxa"/>
            <w:vAlign w:val="bottom"/>
          </w:tcPr>
          <w:p w14:paraId="1FE821AC"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96628E">
              <w:rPr>
                <w:rFonts w:asciiTheme="minorHAnsi" w:hAnsiTheme="minorHAnsi" w:cstheme="minorHAnsi"/>
                <w:b/>
                <w:bCs/>
                <w:color w:val="000000"/>
                <w:sz w:val="20"/>
              </w:rPr>
              <w:t>151,773</w:t>
            </w:r>
          </w:p>
        </w:tc>
      </w:tr>
    </w:tbl>
    <w:p w14:paraId="3C4D3B31" w14:textId="77777777" w:rsidR="00811E9D" w:rsidRDefault="00811E9D" w:rsidP="00D41987">
      <w:pPr>
        <w:pStyle w:val="TableSource"/>
        <w:ind w:left="720" w:firstLine="273"/>
        <w:jc w:val="both"/>
      </w:pPr>
      <w:r>
        <w:t>Source: Atkins 2014</w:t>
      </w:r>
    </w:p>
    <w:p w14:paraId="79E4A6EE" w14:textId="77777777" w:rsidR="009E10B2" w:rsidRDefault="009E10B2">
      <w:pPr>
        <w:jc w:val="left"/>
        <w:rPr>
          <w:rFonts w:asciiTheme="minorHAnsi" w:hAnsiTheme="minorHAnsi"/>
          <w:b/>
          <w:bCs/>
          <w:color w:val="000000" w:themeColor="accent4"/>
          <w:sz w:val="20"/>
        </w:rPr>
      </w:pPr>
      <w:r>
        <w:rPr>
          <w:color w:val="000000" w:themeColor="accent4"/>
          <w:sz w:val="20"/>
        </w:rPr>
        <w:br w:type="page"/>
      </w:r>
    </w:p>
    <w:p w14:paraId="53E4FA63" w14:textId="77777777" w:rsidR="00811E9D" w:rsidRPr="00756B1B" w:rsidRDefault="00811E9D" w:rsidP="00756B1B">
      <w:pPr>
        <w:pStyle w:val="Caption"/>
        <w:spacing w:after="120"/>
        <w:jc w:val="center"/>
        <w:rPr>
          <w:color w:val="000000" w:themeColor="accent4"/>
          <w:sz w:val="20"/>
          <w:szCs w:val="20"/>
        </w:rPr>
      </w:pPr>
      <w:bookmarkStart w:id="288" w:name="_Toc394668618"/>
      <w:r w:rsidRPr="00756B1B">
        <w:rPr>
          <w:color w:val="000000" w:themeColor="accent4"/>
          <w:sz w:val="20"/>
          <w:szCs w:val="20"/>
        </w:rPr>
        <w:t xml:space="preserve">Table </w:t>
      </w:r>
      <w:fldSimple w:instr=" STYLEREF 1 \s  \* MERGEFORMAT ">
        <w:r w:rsidR="00756B1B" w:rsidRPr="00756B1B">
          <w:rPr>
            <w:noProof/>
            <w:color w:val="000000" w:themeColor="accent4"/>
            <w:sz w:val="20"/>
            <w:szCs w:val="20"/>
          </w:rPr>
          <w:t>4</w:t>
        </w:r>
      </w:fldSimple>
      <w:r w:rsidRPr="00756B1B">
        <w:rPr>
          <w:color w:val="000000" w:themeColor="accent4"/>
          <w:sz w:val="20"/>
          <w:szCs w:val="20"/>
        </w:rPr>
        <w:t>-</w:t>
      </w:r>
      <w:fldSimple w:instr=" SEQ Table \* ARABIC \s 1  \* MERGEFORMAT ">
        <w:r w:rsidR="00756B1B" w:rsidRPr="00756B1B">
          <w:rPr>
            <w:noProof/>
            <w:color w:val="000000" w:themeColor="accent4"/>
            <w:sz w:val="20"/>
            <w:szCs w:val="20"/>
          </w:rPr>
          <w:t>8</w:t>
        </w:r>
      </w:fldSimple>
      <w:r w:rsidR="00756B1B">
        <w:rPr>
          <w:color w:val="000000" w:themeColor="accent4"/>
          <w:sz w:val="20"/>
          <w:szCs w:val="20"/>
        </w:rPr>
        <w:t xml:space="preserve">:  </w:t>
      </w:r>
      <w:r w:rsidRPr="00756B1B">
        <w:rPr>
          <w:color w:val="000000" w:themeColor="accent4"/>
          <w:sz w:val="20"/>
          <w:szCs w:val="20"/>
        </w:rPr>
        <w:t>Gross B use class land demand (ha) 2013-32 – Policy Scenario 1</w:t>
      </w:r>
      <w:bookmarkEnd w:id="288"/>
    </w:p>
    <w:tbl>
      <w:tblPr>
        <w:tblStyle w:val="Atkins14pt"/>
        <w:tblW w:w="7545" w:type="dxa"/>
        <w:jc w:val="center"/>
        <w:tblInd w:w="0" w:type="dxa"/>
        <w:tblLook w:val="04A0" w:firstRow="1" w:lastRow="0" w:firstColumn="1" w:lastColumn="0" w:noHBand="0" w:noVBand="1"/>
      </w:tblPr>
      <w:tblGrid>
        <w:gridCol w:w="3434"/>
        <w:gridCol w:w="4111"/>
      </w:tblGrid>
      <w:tr w:rsidR="00811E9D" w:rsidRPr="00CD3974" w14:paraId="7070EF5D" w14:textId="77777777" w:rsidTr="00756B1B">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100" w:firstRow="0" w:lastRow="0" w:firstColumn="1" w:lastColumn="0" w:oddVBand="0" w:evenVBand="0" w:oddHBand="0" w:evenHBand="0" w:firstRowFirstColumn="1" w:firstRowLastColumn="0" w:lastRowFirstColumn="0" w:lastRowLastColumn="0"/>
            <w:tcW w:w="3434" w:type="dxa"/>
            <w:shd w:val="clear" w:color="auto" w:fill="EDF1F1" w:themeFill="accent5" w:themeFillTint="33"/>
            <w:hideMark/>
          </w:tcPr>
          <w:p w14:paraId="1266809C" w14:textId="77777777" w:rsidR="00811E9D" w:rsidRPr="00CD3974" w:rsidRDefault="00811E9D" w:rsidP="00811E9D">
            <w:pPr>
              <w:rPr>
                <w:rFonts w:asciiTheme="minorHAnsi" w:eastAsia="Times New Roman" w:hAnsiTheme="minorHAnsi" w:cstheme="minorHAnsi"/>
                <w:b w:val="0"/>
                <w:bCs/>
                <w:sz w:val="20"/>
              </w:rPr>
            </w:pPr>
            <w:r w:rsidRPr="00CD3974">
              <w:rPr>
                <w:rFonts w:asciiTheme="minorHAnsi" w:eastAsia="Times New Roman" w:hAnsiTheme="minorHAnsi" w:cstheme="minorHAnsi"/>
                <w:bCs/>
                <w:sz w:val="20"/>
              </w:rPr>
              <w:t>Use Class</w:t>
            </w:r>
          </w:p>
        </w:tc>
        <w:tc>
          <w:tcPr>
            <w:tcW w:w="4111" w:type="dxa"/>
            <w:shd w:val="clear" w:color="auto" w:fill="EDF1F1" w:themeFill="accent5" w:themeFillTint="33"/>
          </w:tcPr>
          <w:p w14:paraId="01608F95" w14:textId="77777777" w:rsidR="00811E9D" w:rsidRPr="00CD3974" w:rsidRDefault="00811E9D" w:rsidP="00811E9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sz w:val="20"/>
              </w:rPr>
            </w:pPr>
            <w:r>
              <w:rPr>
                <w:rFonts w:asciiTheme="minorHAnsi" w:eastAsia="Times New Roman" w:hAnsiTheme="minorHAnsi" w:cstheme="minorHAnsi"/>
                <w:bCs/>
                <w:sz w:val="20"/>
              </w:rPr>
              <w:t>Additional Land (ha</w:t>
            </w:r>
            <w:r w:rsidRPr="00CD3974">
              <w:rPr>
                <w:rFonts w:asciiTheme="minorHAnsi" w:eastAsia="Times New Roman" w:hAnsiTheme="minorHAnsi" w:cstheme="minorHAnsi"/>
                <w:bCs/>
                <w:sz w:val="20"/>
              </w:rPr>
              <w:t>)</w:t>
            </w:r>
          </w:p>
        </w:tc>
      </w:tr>
      <w:tr w:rsidR="0096628E" w:rsidRPr="009B14EE" w14:paraId="30EFE64C"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3434" w:type="dxa"/>
            <w:noWrap/>
            <w:hideMark/>
          </w:tcPr>
          <w:p w14:paraId="379BB162"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B1a/b</w:t>
            </w:r>
          </w:p>
        </w:tc>
        <w:tc>
          <w:tcPr>
            <w:tcW w:w="4111" w:type="dxa"/>
            <w:vAlign w:val="bottom"/>
          </w:tcPr>
          <w:p w14:paraId="6AF0BF83"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3.2</w:t>
            </w:r>
          </w:p>
        </w:tc>
      </w:tr>
      <w:tr w:rsidR="0096628E" w:rsidRPr="009B14EE" w14:paraId="07996931"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3434" w:type="dxa"/>
            <w:noWrap/>
            <w:hideMark/>
          </w:tcPr>
          <w:p w14:paraId="7E62C60D"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B1c/B2</w:t>
            </w:r>
          </w:p>
        </w:tc>
        <w:tc>
          <w:tcPr>
            <w:tcW w:w="4111" w:type="dxa"/>
            <w:vAlign w:val="bottom"/>
          </w:tcPr>
          <w:p w14:paraId="2E54D5C3"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16.0</w:t>
            </w:r>
          </w:p>
        </w:tc>
      </w:tr>
      <w:tr w:rsidR="0096628E" w:rsidRPr="009B14EE" w14:paraId="113A919D" w14:textId="77777777" w:rsidTr="00756B1B">
        <w:trPr>
          <w:trHeight w:val="300"/>
          <w:jc w:val="center"/>
        </w:trPr>
        <w:tc>
          <w:tcPr>
            <w:cnfStyle w:val="001000000000" w:firstRow="0" w:lastRow="0" w:firstColumn="1" w:lastColumn="0" w:oddVBand="0" w:evenVBand="0" w:oddHBand="0" w:evenHBand="0" w:firstRowFirstColumn="0" w:firstRowLastColumn="0" w:lastRowFirstColumn="0" w:lastRowLastColumn="0"/>
            <w:tcW w:w="3434" w:type="dxa"/>
            <w:noWrap/>
            <w:hideMark/>
          </w:tcPr>
          <w:p w14:paraId="23653DFE"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B8</w:t>
            </w:r>
          </w:p>
        </w:tc>
        <w:tc>
          <w:tcPr>
            <w:tcW w:w="4111" w:type="dxa"/>
            <w:vAlign w:val="bottom"/>
          </w:tcPr>
          <w:p w14:paraId="7E07EDCB"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26.5</w:t>
            </w:r>
          </w:p>
        </w:tc>
      </w:tr>
      <w:tr w:rsidR="0096628E" w:rsidRPr="009B14EE" w14:paraId="09D99E9E" w14:textId="77777777" w:rsidTr="00756B1B">
        <w:trPr>
          <w:trHeight w:val="295"/>
          <w:jc w:val="center"/>
        </w:trPr>
        <w:tc>
          <w:tcPr>
            <w:cnfStyle w:val="001000000000" w:firstRow="0" w:lastRow="0" w:firstColumn="1" w:lastColumn="0" w:oddVBand="0" w:evenVBand="0" w:oddHBand="0" w:evenHBand="0" w:firstRowFirstColumn="0" w:firstRowLastColumn="0" w:lastRowFirstColumn="0" w:lastRowLastColumn="0"/>
            <w:tcW w:w="3434" w:type="dxa"/>
            <w:noWrap/>
            <w:hideMark/>
          </w:tcPr>
          <w:p w14:paraId="0EF0FA19" w14:textId="77777777" w:rsidR="0096628E" w:rsidRPr="00CD3974" w:rsidRDefault="0096628E" w:rsidP="00811E9D">
            <w:pPr>
              <w:rPr>
                <w:rFonts w:asciiTheme="minorHAnsi" w:eastAsia="Times New Roman" w:hAnsiTheme="minorHAnsi" w:cstheme="minorHAnsi"/>
                <w:b/>
                <w:bCs/>
                <w:sz w:val="20"/>
              </w:rPr>
            </w:pPr>
            <w:r>
              <w:rPr>
                <w:rFonts w:asciiTheme="minorHAnsi" w:eastAsia="Times New Roman" w:hAnsiTheme="minorHAnsi" w:cstheme="minorHAnsi"/>
                <w:b/>
                <w:bCs/>
                <w:sz w:val="20"/>
              </w:rPr>
              <w:t>Land Demand</w:t>
            </w:r>
          </w:p>
        </w:tc>
        <w:tc>
          <w:tcPr>
            <w:tcW w:w="4111" w:type="dxa"/>
            <w:vAlign w:val="bottom"/>
          </w:tcPr>
          <w:p w14:paraId="4DB73E30"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96628E">
              <w:rPr>
                <w:rFonts w:asciiTheme="minorHAnsi" w:hAnsiTheme="minorHAnsi" w:cstheme="minorHAnsi"/>
                <w:b/>
                <w:bCs/>
                <w:color w:val="000000"/>
                <w:sz w:val="20"/>
              </w:rPr>
              <w:t>45.7</w:t>
            </w:r>
          </w:p>
        </w:tc>
      </w:tr>
    </w:tbl>
    <w:p w14:paraId="7CA6CB71" w14:textId="77777777" w:rsidR="00811E9D" w:rsidRPr="003E0BBD" w:rsidRDefault="00811E9D" w:rsidP="00D41987">
      <w:pPr>
        <w:pStyle w:val="TableSource"/>
        <w:ind w:left="301" w:firstLine="720"/>
        <w:jc w:val="both"/>
        <w:rPr>
          <w:rStyle w:val="BodyTextChar"/>
          <w:rFonts w:ascii="Calibri" w:hAnsi="Calibri"/>
          <w:color w:val="auto"/>
          <w:sz w:val="22"/>
        </w:rPr>
      </w:pPr>
      <w:r>
        <w:t>S</w:t>
      </w:r>
      <w:r w:rsidRPr="003E0BBD">
        <w:t>ource: Atkins 201</w:t>
      </w:r>
      <w:r>
        <w:t>4</w:t>
      </w:r>
    </w:p>
    <w:p w14:paraId="25D7A929" w14:textId="77777777" w:rsidR="00811E9D" w:rsidRDefault="00811E9D" w:rsidP="00811E9D">
      <w:pPr>
        <w:pStyle w:val="Heading3"/>
        <w:tabs>
          <w:tab w:val="clear" w:pos="1021"/>
        </w:tabs>
        <w:spacing w:before="240"/>
      </w:pPr>
      <w:bookmarkStart w:id="289" w:name="_Toc387673133"/>
      <w:r>
        <w:t>Policy Scenario 2: High Growth</w:t>
      </w:r>
      <w:bookmarkEnd w:id="289"/>
      <w:r>
        <w:t xml:space="preserve"> </w:t>
      </w:r>
    </w:p>
    <w:p w14:paraId="5D814E27" w14:textId="77777777" w:rsidR="00811E9D" w:rsidRDefault="00811E9D" w:rsidP="00811E9D">
      <w:pPr>
        <w:pStyle w:val="NormalNoSpace"/>
        <w:spacing w:after="120"/>
        <w:jc w:val="both"/>
        <w:rPr>
          <w:kern w:val="28"/>
        </w:rPr>
      </w:pPr>
      <w:r>
        <w:rPr>
          <w:kern w:val="28"/>
        </w:rPr>
        <w:t xml:space="preserve">Tables </w:t>
      </w:r>
      <w:r w:rsidR="00756B1B">
        <w:rPr>
          <w:kern w:val="28"/>
        </w:rPr>
        <w:t>4.9</w:t>
      </w:r>
      <w:r>
        <w:rPr>
          <w:kern w:val="28"/>
        </w:rPr>
        <w:t>-</w:t>
      </w:r>
      <w:r w:rsidR="00756B1B">
        <w:rPr>
          <w:kern w:val="28"/>
        </w:rPr>
        <w:t>4.11</w:t>
      </w:r>
      <w:r>
        <w:rPr>
          <w:kern w:val="28"/>
        </w:rPr>
        <w:t xml:space="preserve"> summarise the outputs of the high growth scenario.  This indicates potential gross demand for approximately 2</w:t>
      </w:r>
      <w:r w:rsidR="00204B1E">
        <w:rPr>
          <w:kern w:val="28"/>
        </w:rPr>
        <w:t>9</w:t>
      </w:r>
      <w:r w:rsidR="009E10B2">
        <w:rPr>
          <w:kern w:val="28"/>
        </w:rPr>
        <w:t>0</w:t>
      </w:r>
      <w:r>
        <w:rPr>
          <w:kern w:val="28"/>
        </w:rPr>
        <w:t xml:space="preserve">,000 sq.m. additional employment floorspace, equivalent to around </w:t>
      </w:r>
      <w:r w:rsidR="00204B1E">
        <w:rPr>
          <w:kern w:val="28"/>
        </w:rPr>
        <w:t>8</w:t>
      </w:r>
      <w:r w:rsidR="009E10B2">
        <w:rPr>
          <w:kern w:val="28"/>
        </w:rPr>
        <w:t>9</w:t>
      </w:r>
      <w:r>
        <w:rPr>
          <w:kern w:val="28"/>
        </w:rPr>
        <w:t xml:space="preserve"> additional hectares of land.</w:t>
      </w:r>
    </w:p>
    <w:p w14:paraId="44A01A37" w14:textId="77777777" w:rsidR="00204B1E" w:rsidRPr="00BD5F72" w:rsidRDefault="00204B1E" w:rsidP="00811E9D">
      <w:pPr>
        <w:pStyle w:val="NormalNoSpace"/>
        <w:spacing w:after="120"/>
        <w:jc w:val="both"/>
        <w:rPr>
          <w:kern w:val="28"/>
        </w:rPr>
      </w:pPr>
      <w:r>
        <w:rPr>
          <w:kern w:val="28"/>
        </w:rPr>
        <w:t>Bearing in mind the potential for under estimating actual future take of employment land in North East Lincolnshire given the land hungry nature of priority sectors being targeted for investment as well as the need to build in sufficient flexibility and choice for efficient market operation, the total demand for employ</w:t>
      </w:r>
      <w:r w:rsidR="00603429">
        <w:rPr>
          <w:kern w:val="28"/>
        </w:rPr>
        <w:t>ment land could, more realistically, be close to 145 ha under Policy Scenario 2.</w:t>
      </w:r>
    </w:p>
    <w:p w14:paraId="4D1A86F9" w14:textId="77777777" w:rsidR="00811E9D" w:rsidRPr="00756B1B" w:rsidRDefault="00811E9D" w:rsidP="00756B1B">
      <w:pPr>
        <w:pStyle w:val="Caption"/>
        <w:spacing w:after="120"/>
        <w:jc w:val="center"/>
        <w:rPr>
          <w:color w:val="000000" w:themeColor="accent4"/>
          <w:sz w:val="20"/>
          <w:szCs w:val="20"/>
        </w:rPr>
      </w:pPr>
      <w:bookmarkStart w:id="290" w:name="_Toc394668619"/>
      <w:r w:rsidRPr="00756B1B">
        <w:rPr>
          <w:color w:val="000000" w:themeColor="accent4"/>
          <w:sz w:val="20"/>
          <w:szCs w:val="20"/>
        </w:rPr>
        <w:t xml:space="preserve">Table </w:t>
      </w:r>
      <w:fldSimple w:instr=" STYLEREF 1 \s  \* MERGEFORMAT ">
        <w:r w:rsidR="00756B1B" w:rsidRPr="00756B1B">
          <w:rPr>
            <w:noProof/>
            <w:color w:val="000000" w:themeColor="accent4"/>
            <w:sz w:val="20"/>
            <w:szCs w:val="20"/>
          </w:rPr>
          <w:t>4</w:t>
        </w:r>
      </w:fldSimple>
      <w:r w:rsidRPr="00756B1B">
        <w:rPr>
          <w:color w:val="000000" w:themeColor="accent4"/>
          <w:sz w:val="20"/>
          <w:szCs w:val="20"/>
        </w:rPr>
        <w:t>-</w:t>
      </w:r>
      <w:fldSimple w:instr=" SEQ Table \* ARABIC \s 1  \* MERGEFORMAT ">
        <w:r w:rsidR="00756B1B" w:rsidRPr="00756B1B">
          <w:rPr>
            <w:noProof/>
            <w:color w:val="000000" w:themeColor="accent4"/>
            <w:sz w:val="20"/>
            <w:szCs w:val="20"/>
          </w:rPr>
          <w:t>9</w:t>
        </w:r>
      </w:fldSimple>
      <w:r w:rsidR="00756B1B">
        <w:rPr>
          <w:color w:val="000000" w:themeColor="accent4"/>
          <w:sz w:val="20"/>
          <w:szCs w:val="20"/>
        </w:rPr>
        <w:t xml:space="preserve">:  Policy Scenario 2 - </w:t>
      </w:r>
      <w:r w:rsidRPr="00756B1B">
        <w:rPr>
          <w:color w:val="000000" w:themeColor="accent4"/>
          <w:sz w:val="20"/>
          <w:szCs w:val="20"/>
        </w:rPr>
        <w:t>B-Use Job Growth 2013-2032</w:t>
      </w:r>
      <w:bookmarkEnd w:id="290"/>
    </w:p>
    <w:tbl>
      <w:tblPr>
        <w:tblStyle w:val="Atkins14pt"/>
        <w:tblW w:w="8469" w:type="dxa"/>
        <w:jc w:val="center"/>
        <w:tblInd w:w="0" w:type="dxa"/>
        <w:tblLayout w:type="fixed"/>
        <w:tblLook w:val="04A0" w:firstRow="1" w:lastRow="0" w:firstColumn="1" w:lastColumn="0" w:noHBand="0" w:noVBand="1"/>
      </w:tblPr>
      <w:tblGrid>
        <w:gridCol w:w="2410"/>
        <w:gridCol w:w="1515"/>
        <w:gridCol w:w="1514"/>
        <w:gridCol w:w="1515"/>
        <w:gridCol w:w="1515"/>
      </w:tblGrid>
      <w:tr w:rsidR="00811E9D" w:rsidRPr="001D10A1" w14:paraId="06A514EA" w14:textId="77777777" w:rsidTr="00811E9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8469" w:type="dxa"/>
            <w:gridSpan w:val="5"/>
            <w:shd w:val="clear" w:color="auto" w:fill="EDF1F1" w:themeFill="accent5" w:themeFillTint="33"/>
            <w:noWrap/>
            <w:hideMark/>
          </w:tcPr>
          <w:p w14:paraId="0DB8D3E1" w14:textId="77777777" w:rsidR="00811E9D" w:rsidRPr="00CD3974" w:rsidRDefault="00811E9D" w:rsidP="00811E9D">
            <w:pPr>
              <w:jc w:val="center"/>
              <w:rPr>
                <w:rFonts w:asciiTheme="minorHAnsi" w:eastAsia="Times New Roman" w:hAnsiTheme="minorHAnsi" w:cstheme="minorHAnsi"/>
                <w:bCs/>
                <w:sz w:val="20"/>
              </w:rPr>
            </w:pPr>
            <w:r w:rsidRPr="00CD3974">
              <w:rPr>
                <w:rFonts w:asciiTheme="minorHAnsi" w:eastAsia="Times New Roman" w:hAnsiTheme="minorHAnsi" w:cstheme="minorHAnsi"/>
                <w:bCs/>
                <w:sz w:val="20"/>
              </w:rPr>
              <w:t>FTE jobs</w:t>
            </w:r>
          </w:p>
        </w:tc>
      </w:tr>
      <w:tr w:rsidR="00811E9D" w:rsidRPr="001D10A1" w14:paraId="0A3F6520" w14:textId="77777777" w:rsidTr="00811E9D">
        <w:trPr>
          <w:trHeight w:val="132"/>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EDF1F1" w:themeFill="accent5" w:themeFillTint="33"/>
            <w:hideMark/>
          </w:tcPr>
          <w:p w14:paraId="06201500" w14:textId="77777777" w:rsidR="00811E9D" w:rsidRPr="00CD3974" w:rsidRDefault="00811E9D" w:rsidP="00811E9D">
            <w:pPr>
              <w:rPr>
                <w:rFonts w:asciiTheme="minorHAnsi" w:eastAsia="Times New Roman" w:hAnsiTheme="minorHAnsi" w:cstheme="minorHAnsi"/>
                <w:b/>
                <w:bCs/>
                <w:sz w:val="20"/>
              </w:rPr>
            </w:pPr>
            <w:r w:rsidRPr="00CD3974">
              <w:rPr>
                <w:rFonts w:asciiTheme="minorHAnsi" w:eastAsia="Times New Roman" w:hAnsiTheme="minorHAnsi" w:cstheme="minorHAnsi"/>
                <w:b/>
                <w:bCs/>
                <w:sz w:val="20"/>
              </w:rPr>
              <w:t>Use Class</w:t>
            </w:r>
          </w:p>
        </w:tc>
        <w:tc>
          <w:tcPr>
            <w:tcW w:w="1515" w:type="dxa"/>
            <w:shd w:val="clear" w:color="auto" w:fill="EDF1F1" w:themeFill="accent5" w:themeFillTint="33"/>
            <w:hideMark/>
          </w:tcPr>
          <w:p w14:paraId="17D25920"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2013</w:t>
            </w:r>
          </w:p>
        </w:tc>
        <w:tc>
          <w:tcPr>
            <w:tcW w:w="1514" w:type="dxa"/>
            <w:shd w:val="clear" w:color="auto" w:fill="EDF1F1" w:themeFill="accent5" w:themeFillTint="33"/>
            <w:hideMark/>
          </w:tcPr>
          <w:p w14:paraId="7BB1D5F8"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2032</w:t>
            </w:r>
          </w:p>
        </w:tc>
        <w:tc>
          <w:tcPr>
            <w:tcW w:w="1515" w:type="dxa"/>
            <w:shd w:val="clear" w:color="auto" w:fill="EDF1F1" w:themeFill="accent5" w:themeFillTint="33"/>
          </w:tcPr>
          <w:p w14:paraId="706A97E2"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Difference</w:t>
            </w:r>
          </w:p>
        </w:tc>
        <w:tc>
          <w:tcPr>
            <w:tcW w:w="1515" w:type="dxa"/>
            <w:shd w:val="clear" w:color="auto" w:fill="EDF1F1" w:themeFill="accent5" w:themeFillTint="33"/>
          </w:tcPr>
          <w:p w14:paraId="44519EA1" w14:textId="77777777" w:rsidR="00811E9D" w:rsidRPr="00CD3974"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rPr>
            </w:pPr>
            <w:r w:rsidRPr="00CD3974">
              <w:rPr>
                <w:rFonts w:asciiTheme="minorHAnsi" w:eastAsia="Times New Roman" w:hAnsiTheme="minorHAnsi" w:cstheme="minorHAnsi"/>
                <w:b/>
                <w:bCs/>
                <w:sz w:val="20"/>
              </w:rPr>
              <w:t>Change in %</w:t>
            </w:r>
          </w:p>
        </w:tc>
      </w:tr>
      <w:tr w:rsidR="00811E9D" w:rsidRPr="001D10A1" w14:paraId="6B1BBA55" w14:textId="77777777" w:rsidTr="00811E9D">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D173FE9"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B1a/b</w:t>
            </w:r>
          </w:p>
        </w:tc>
        <w:tc>
          <w:tcPr>
            <w:tcW w:w="1515" w:type="dxa"/>
            <w:noWrap/>
            <w:vAlign w:val="bottom"/>
            <w:hideMark/>
          </w:tcPr>
          <w:p w14:paraId="3FFBABD4"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13,737</w:t>
            </w:r>
          </w:p>
        </w:tc>
        <w:tc>
          <w:tcPr>
            <w:tcW w:w="1514" w:type="dxa"/>
            <w:noWrap/>
            <w:vAlign w:val="bottom"/>
            <w:hideMark/>
          </w:tcPr>
          <w:p w14:paraId="34FBCA38"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2071B">
              <w:rPr>
                <w:rFonts w:asciiTheme="minorHAnsi" w:hAnsiTheme="minorHAnsi" w:cstheme="minorHAnsi"/>
                <w:sz w:val="20"/>
              </w:rPr>
              <w:t>16,761</w:t>
            </w:r>
          </w:p>
        </w:tc>
        <w:tc>
          <w:tcPr>
            <w:tcW w:w="1515" w:type="dxa"/>
            <w:vAlign w:val="bottom"/>
          </w:tcPr>
          <w:p w14:paraId="3A8996E4"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3,024</w:t>
            </w:r>
          </w:p>
        </w:tc>
        <w:tc>
          <w:tcPr>
            <w:tcW w:w="1515" w:type="dxa"/>
            <w:vAlign w:val="bottom"/>
          </w:tcPr>
          <w:p w14:paraId="4B6E8CC8"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22.0%</w:t>
            </w:r>
          </w:p>
        </w:tc>
      </w:tr>
      <w:tr w:rsidR="00811E9D" w:rsidRPr="001D10A1" w14:paraId="7217DB0D" w14:textId="77777777" w:rsidTr="00811E9D">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1C83B61"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B1c/B2</w:t>
            </w:r>
          </w:p>
        </w:tc>
        <w:tc>
          <w:tcPr>
            <w:tcW w:w="1515" w:type="dxa"/>
            <w:noWrap/>
            <w:vAlign w:val="bottom"/>
            <w:hideMark/>
          </w:tcPr>
          <w:p w14:paraId="199AAC51"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6,634</w:t>
            </w:r>
          </w:p>
        </w:tc>
        <w:tc>
          <w:tcPr>
            <w:tcW w:w="1514" w:type="dxa"/>
            <w:noWrap/>
            <w:vAlign w:val="bottom"/>
            <w:hideMark/>
          </w:tcPr>
          <w:p w14:paraId="5DD15C1E"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2071B">
              <w:rPr>
                <w:rFonts w:asciiTheme="minorHAnsi" w:hAnsiTheme="minorHAnsi" w:cstheme="minorHAnsi"/>
                <w:sz w:val="20"/>
              </w:rPr>
              <w:t>8,791</w:t>
            </w:r>
          </w:p>
        </w:tc>
        <w:tc>
          <w:tcPr>
            <w:tcW w:w="1515" w:type="dxa"/>
            <w:vAlign w:val="bottom"/>
          </w:tcPr>
          <w:p w14:paraId="43C7C9AF"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2,156</w:t>
            </w:r>
          </w:p>
        </w:tc>
        <w:tc>
          <w:tcPr>
            <w:tcW w:w="1515" w:type="dxa"/>
            <w:vAlign w:val="bottom"/>
          </w:tcPr>
          <w:p w14:paraId="62910FCB"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32.5%</w:t>
            </w:r>
          </w:p>
        </w:tc>
      </w:tr>
      <w:tr w:rsidR="00811E9D" w:rsidRPr="001D10A1" w14:paraId="3A96E4AF" w14:textId="77777777" w:rsidTr="00811E9D">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183B68AD" w14:textId="77777777" w:rsidR="00811E9D" w:rsidRPr="00CD3974" w:rsidRDefault="00811E9D"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B8</w:t>
            </w:r>
          </w:p>
        </w:tc>
        <w:tc>
          <w:tcPr>
            <w:tcW w:w="1515" w:type="dxa"/>
            <w:noWrap/>
            <w:vAlign w:val="bottom"/>
            <w:hideMark/>
          </w:tcPr>
          <w:p w14:paraId="3A2B7E81"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2955">
              <w:rPr>
                <w:rFonts w:asciiTheme="minorHAnsi" w:hAnsiTheme="minorHAnsi" w:cstheme="minorHAnsi"/>
                <w:sz w:val="20"/>
              </w:rPr>
              <w:t>7,157</w:t>
            </w:r>
          </w:p>
        </w:tc>
        <w:tc>
          <w:tcPr>
            <w:tcW w:w="1514" w:type="dxa"/>
            <w:noWrap/>
            <w:vAlign w:val="bottom"/>
            <w:hideMark/>
          </w:tcPr>
          <w:p w14:paraId="31A0E38C"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2071B">
              <w:rPr>
                <w:rFonts w:asciiTheme="minorHAnsi" w:hAnsiTheme="minorHAnsi" w:cstheme="minorHAnsi"/>
                <w:sz w:val="20"/>
              </w:rPr>
              <w:t>8,976</w:t>
            </w:r>
          </w:p>
        </w:tc>
        <w:tc>
          <w:tcPr>
            <w:tcW w:w="1515" w:type="dxa"/>
            <w:vAlign w:val="bottom"/>
          </w:tcPr>
          <w:p w14:paraId="04462CAF"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1,819</w:t>
            </w:r>
          </w:p>
        </w:tc>
        <w:tc>
          <w:tcPr>
            <w:tcW w:w="1515" w:type="dxa"/>
            <w:vAlign w:val="bottom"/>
          </w:tcPr>
          <w:p w14:paraId="132CD93E"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E2071B">
              <w:rPr>
                <w:rFonts w:asciiTheme="minorHAnsi" w:hAnsiTheme="minorHAnsi" w:cstheme="minorHAnsi"/>
                <w:color w:val="000000"/>
                <w:sz w:val="20"/>
              </w:rPr>
              <w:t>25.4%</w:t>
            </w:r>
          </w:p>
        </w:tc>
      </w:tr>
      <w:tr w:rsidR="00811E9D" w:rsidRPr="001D10A1" w14:paraId="061EC7B4" w14:textId="77777777" w:rsidTr="00811E9D">
        <w:trPr>
          <w:trHeight w:val="300"/>
          <w:jc w:val="cent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49CFDA27" w14:textId="77777777" w:rsidR="00811E9D" w:rsidRPr="00CD3974" w:rsidRDefault="00811E9D" w:rsidP="00811E9D">
            <w:pPr>
              <w:rPr>
                <w:rFonts w:asciiTheme="minorHAnsi" w:eastAsia="Times New Roman" w:hAnsiTheme="minorHAnsi" w:cstheme="minorHAnsi"/>
                <w:b/>
                <w:bCs/>
                <w:sz w:val="20"/>
              </w:rPr>
            </w:pPr>
            <w:r w:rsidRPr="00CD3974">
              <w:rPr>
                <w:rFonts w:asciiTheme="minorHAnsi" w:eastAsia="Times New Roman" w:hAnsiTheme="minorHAnsi" w:cstheme="minorHAnsi"/>
                <w:b/>
                <w:bCs/>
                <w:sz w:val="20"/>
              </w:rPr>
              <w:t>Total B Class FTE jobs</w:t>
            </w:r>
          </w:p>
        </w:tc>
        <w:tc>
          <w:tcPr>
            <w:tcW w:w="1515" w:type="dxa"/>
            <w:noWrap/>
            <w:vAlign w:val="bottom"/>
            <w:hideMark/>
          </w:tcPr>
          <w:p w14:paraId="45F0D612" w14:textId="77777777" w:rsidR="00811E9D" w:rsidRPr="00DF2955"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rPr>
            </w:pPr>
            <w:r w:rsidRPr="00DF2955">
              <w:rPr>
                <w:rFonts w:asciiTheme="minorHAnsi" w:hAnsiTheme="minorHAnsi" w:cstheme="minorHAnsi"/>
                <w:b/>
                <w:bCs/>
                <w:sz w:val="20"/>
              </w:rPr>
              <w:t>27,529</w:t>
            </w:r>
          </w:p>
        </w:tc>
        <w:tc>
          <w:tcPr>
            <w:tcW w:w="1514" w:type="dxa"/>
            <w:noWrap/>
            <w:vAlign w:val="bottom"/>
            <w:hideMark/>
          </w:tcPr>
          <w:p w14:paraId="43514A74"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rPr>
            </w:pPr>
            <w:r w:rsidRPr="00E2071B">
              <w:rPr>
                <w:rFonts w:asciiTheme="minorHAnsi" w:hAnsiTheme="minorHAnsi" w:cstheme="minorHAnsi"/>
                <w:b/>
                <w:bCs/>
                <w:sz w:val="20"/>
              </w:rPr>
              <w:t>34,528</w:t>
            </w:r>
          </w:p>
        </w:tc>
        <w:tc>
          <w:tcPr>
            <w:tcW w:w="1515" w:type="dxa"/>
            <w:vAlign w:val="bottom"/>
          </w:tcPr>
          <w:p w14:paraId="20A21CC8"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E2071B">
              <w:rPr>
                <w:rFonts w:asciiTheme="minorHAnsi" w:hAnsiTheme="minorHAnsi" w:cstheme="minorHAnsi"/>
                <w:b/>
                <w:bCs/>
                <w:color w:val="000000"/>
                <w:sz w:val="20"/>
              </w:rPr>
              <w:t>6,999</w:t>
            </w:r>
          </w:p>
        </w:tc>
        <w:tc>
          <w:tcPr>
            <w:tcW w:w="1515" w:type="dxa"/>
            <w:vAlign w:val="bottom"/>
          </w:tcPr>
          <w:p w14:paraId="0636F9EE" w14:textId="77777777" w:rsidR="00811E9D" w:rsidRPr="00E2071B" w:rsidRDefault="00811E9D" w:rsidP="00811E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E2071B">
              <w:rPr>
                <w:rFonts w:asciiTheme="minorHAnsi" w:hAnsiTheme="minorHAnsi" w:cstheme="minorHAnsi"/>
                <w:b/>
                <w:bCs/>
                <w:color w:val="000000"/>
                <w:sz w:val="20"/>
              </w:rPr>
              <w:t>25.4%</w:t>
            </w:r>
          </w:p>
        </w:tc>
      </w:tr>
    </w:tbl>
    <w:p w14:paraId="65DFE642" w14:textId="77777777" w:rsidR="00811E9D" w:rsidRDefault="00811E9D" w:rsidP="00D41987">
      <w:pPr>
        <w:pStyle w:val="TableSource"/>
        <w:ind w:firstLine="567"/>
        <w:jc w:val="both"/>
        <w:rPr>
          <w:kern w:val="28"/>
        </w:rPr>
      </w:pPr>
      <w:r>
        <w:rPr>
          <w:kern w:val="28"/>
        </w:rPr>
        <w:t>Source: Atkins 2014</w:t>
      </w:r>
    </w:p>
    <w:p w14:paraId="59914FB6" w14:textId="77777777" w:rsidR="00811E9D" w:rsidRPr="00756B1B" w:rsidRDefault="00811E9D" w:rsidP="00756B1B">
      <w:pPr>
        <w:pStyle w:val="Caption"/>
        <w:spacing w:after="120"/>
        <w:jc w:val="center"/>
        <w:rPr>
          <w:color w:val="000000" w:themeColor="accent4"/>
          <w:sz w:val="20"/>
          <w:szCs w:val="20"/>
        </w:rPr>
      </w:pPr>
      <w:bookmarkStart w:id="291" w:name="_Toc394668620"/>
      <w:bookmarkStart w:id="292" w:name="_Toc303762636"/>
      <w:bookmarkStart w:id="293" w:name="_Toc317174816"/>
      <w:r w:rsidRPr="00756B1B">
        <w:rPr>
          <w:color w:val="000000" w:themeColor="accent4"/>
          <w:sz w:val="20"/>
          <w:szCs w:val="20"/>
        </w:rPr>
        <w:t xml:space="preserve">Table </w:t>
      </w:r>
      <w:fldSimple w:instr=" STYLEREF 1 \s  \* MERGEFORMAT ">
        <w:r w:rsidR="00756B1B" w:rsidRPr="00756B1B">
          <w:rPr>
            <w:noProof/>
            <w:color w:val="000000" w:themeColor="accent4"/>
            <w:sz w:val="20"/>
            <w:szCs w:val="20"/>
          </w:rPr>
          <w:t>4</w:t>
        </w:r>
      </w:fldSimple>
      <w:r w:rsidRPr="00756B1B">
        <w:rPr>
          <w:color w:val="000000" w:themeColor="accent4"/>
          <w:sz w:val="20"/>
          <w:szCs w:val="20"/>
        </w:rPr>
        <w:t>-</w:t>
      </w:r>
      <w:fldSimple w:instr=" SEQ Table \* ARABIC \s 1  \* MERGEFORMAT ">
        <w:r w:rsidR="00756B1B" w:rsidRPr="00756B1B">
          <w:rPr>
            <w:noProof/>
            <w:color w:val="000000" w:themeColor="accent4"/>
            <w:sz w:val="20"/>
            <w:szCs w:val="20"/>
          </w:rPr>
          <w:t>10</w:t>
        </w:r>
      </w:fldSimple>
      <w:r w:rsidR="00756B1B">
        <w:rPr>
          <w:color w:val="000000" w:themeColor="accent4"/>
          <w:sz w:val="20"/>
          <w:szCs w:val="20"/>
        </w:rPr>
        <w:t xml:space="preserve">:  </w:t>
      </w:r>
      <w:r w:rsidRPr="00756B1B">
        <w:rPr>
          <w:color w:val="000000" w:themeColor="accent4"/>
          <w:sz w:val="20"/>
          <w:szCs w:val="20"/>
        </w:rPr>
        <w:t>Gross B use class floorspace demand (sqm) 2013-32 – Policy Scenario 2</w:t>
      </w:r>
      <w:bookmarkEnd w:id="291"/>
    </w:p>
    <w:tbl>
      <w:tblPr>
        <w:tblStyle w:val="Atkins14pt"/>
        <w:tblW w:w="7868" w:type="dxa"/>
        <w:jc w:val="center"/>
        <w:tblInd w:w="0" w:type="dxa"/>
        <w:tblLook w:val="04A0" w:firstRow="1" w:lastRow="0" w:firstColumn="1" w:lastColumn="0" w:noHBand="0" w:noVBand="1"/>
      </w:tblPr>
      <w:tblGrid>
        <w:gridCol w:w="3935"/>
        <w:gridCol w:w="3933"/>
      </w:tblGrid>
      <w:tr w:rsidR="00811E9D" w:rsidRPr="003E0BBD" w14:paraId="0E02493B" w14:textId="77777777" w:rsidTr="00D41987">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100" w:firstRow="0" w:lastRow="0" w:firstColumn="1" w:lastColumn="0" w:oddVBand="0" w:evenVBand="0" w:oddHBand="0" w:evenHBand="0" w:firstRowFirstColumn="1" w:firstRowLastColumn="0" w:lastRowFirstColumn="0" w:lastRowLastColumn="0"/>
            <w:tcW w:w="3935" w:type="dxa"/>
            <w:shd w:val="clear" w:color="auto" w:fill="EDF1F1" w:themeFill="accent5" w:themeFillTint="33"/>
            <w:hideMark/>
          </w:tcPr>
          <w:p w14:paraId="36ABDBE0" w14:textId="77777777" w:rsidR="00811E9D" w:rsidRPr="00CD3974" w:rsidRDefault="00811E9D" w:rsidP="00811E9D">
            <w:pPr>
              <w:rPr>
                <w:rFonts w:asciiTheme="minorHAnsi" w:eastAsia="Times New Roman" w:hAnsiTheme="minorHAnsi" w:cstheme="minorHAnsi"/>
                <w:b w:val="0"/>
                <w:bCs/>
                <w:sz w:val="20"/>
              </w:rPr>
            </w:pPr>
            <w:r w:rsidRPr="00CD3974">
              <w:rPr>
                <w:rFonts w:asciiTheme="minorHAnsi" w:eastAsia="Times New Roman" w:hAnsiTheme="minorHAnsi" w:cstheme="minorHAnsi"/>
                <w:bCs/>
                <w:sz w:val="20"/>
              </w:rPr>
              <w:t>Use Class</w:t>
            </w:r>
          </w:p>
        </w:tc>
        <w:tc>
          <w:tcPr>
            <w:tcW w:w="3933" w:type="dxa"/>
            <w:shd w:val="clear" w:color="auto" w:fill="EDF1F1" w:themeFill="accent5" w:themeFillTint="33"/>
          </w:tcPr>
          <w:p w14:paraId="7A1EE348" w14:textId="77777777" w:rsidR="00811E9D" w:rsidRPr="00CD3974" w:rsidRDefault="00811E9D" w:rsidP="00811E9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sz w:val="20"/>
              </w:rPr>
            </w:pPr>
            <w:r>
              <w:rPr>
                <w:rFonts w:asciiTheme="minorHAnsi" w:eastAsia="Times New Roman" w:hAnsiTheme="minorHAnsi" w:cstheme="minorHAnsi"/>
                <w:bCs/>
                <w:sz w:val="20"/>
              </w:rPr>
              <w:t>Additional Floorspace Demand</w:t>
            </w:r>
            <w:r w:rsidRPr="00CD3974">
              <w:rPr>
                <w:rFonts w:asciiTheme="minorHAnsi" w:eastAsia="Times New Roman" w:hAnsiTheme="minorHAnsi" w:cstheme="minorHAnsi"/>
                <w:bCs/>
                <w:sz w:val="20"/>
              </w:rPr>
              <w:t xml:space="preserve"> (sqm)</w:t>
            </w:r>
          </w:p>
        </w:tc>
      </w:tr>
      <w:tr w:rsidR="0096628E" w:rsidRPr="003E0BBD" w14:paraId="686947AF" w14:textId="77777777" w:rsidTr="00D41987">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8C00A85"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B1a/b</w:t>
            </w:r>
          </w:p>
        </w:tc>
        <w:tc>
          <w:tcPr>
            <w:tcW w:w="3933" w:type="dxa"/>
            <w:vAlign w:val="bottom"/>
          </w:tcPr>
          <w:p w14:paraId="4A6038A1"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36,285</w:t>
            </w:r>
          </w:p>
        </w:tc>
      </w:tr>
      <w:tr w:rsidR="0096628E" w:rsidRPr="003E0BBD" w14:paraId="1F74FA73" w14:textId="77777777" w:rsidTr="00D41987">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9F0048E"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B1c/B2</w:t>
            </w:r>
          </w:p>
        </w:tc>
        <w:tc>
          <w:tcPr>
            <w:tcW w:w="3933" w:type="dxa"/>
            <w:vAlign w:val="bottom"/>
          </w:tcPr>
          <w:p w14:paraId="77EB785A"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107,823</w:t>
            </w:r>
          </w:p>
        </w:tc>
      </w:tr>
      <w:tr w:rsidR="0096628E" w:rsidRPr="003E0BBD" w14:paraId="3DAE904C" w14:textId="77777777" w:rsidTr="00D41987">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5B8DB07"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B8</w:t>
            </w:r>
          </w:p>
        </w:tc>
        <w:tc>
          <w:tcPr>
            <w:tcW w:w="3933" w:type="dxa"/>
            <w:vAlign w:val="bottom"/>
          </w:tcPr>
          <w:p w14:paraId="7FB77FCB"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145,532</w:t>
            </w:r>
          </w:p>
        </w:tc>
      </w:tr>
      <w:tr w:rsidR="0096628E" w:rsidRPr="003E0BBD" w14:paraId="4A30EBE3" w14:textId="77777777" w:rsidTr="00D41987">
        <w:trPr>
          <w:trHeight w:val="295"/>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CE28FB2" w14:textId="77777777" w:rsidR="0096628E" w:rsidRPr="00CD3974" w:rsidRDefault="0096628E" w:rsidP="00811E9D">
            <w:pPr>
              <w:rPr>
                <w:rFonts w:asciiTheme="minorHAnsi" w:eastAsia="Times New Roman" w:hAnsiTheme="minorHAnsi" w:cstheme="minorHAnsi"/>
                <w:b/>
                <w:bCs/>
                <w:sz w:val="20"/>
              </w:rPr>
            </w:pPr>
            <w:r>
              <w:rPr>
                <w:rFonts w:asciiTheme="minorHAnsi" w:eastAsia="Times New Roman" w:hAnsiTheme="minorHAnsi" w:cstheme="minorHAnsi"/>
                <w:b/>
                <w:bCs/>
                <w:sz w:val="20"/>
              </w:rPr>
              <w:t>F</w:t>
            </w:r>
            <w:r w:rsidRPr="00CD3974">
              <w:rPr>
                <w:rFonts w:asciiTheme="minorHAnsi" w:eastAsia="Times New Roman" w:hAnsiTheme="minorHAnsi" w:cstheme="minorHAnsi"/>
                <w:b/>
                <w:bCs/>
                <w:sz w:val="20"/>
              </w:rPr>
              <w:t>loorspace</w:t>
            </w:r>
            <w:r>
              <w:rPr>
                <w:rFonts w:asciiTheme="minorHAnsi" w:eastAsia="Times New Roman" w:hAnsiTheme="minorHAnsi" w:cstheme="minorHAnsi"/>
                <w:b/>
                <w:bCs/>
                <w:sz w:val="20"/>
              </w:rPr>
              <w:t xml:space="preserve"> Demand</w:t>
            </w:r>
          </w:p>
        </w:tc>
        <w:tc>
          <w:tcPr>
            <w:tcW w:w="3933" w:type="dxa"/>
            <w:vAlign w:val="bottom"/>
          </w:tcPr>
          <w:p w14:paraId="4AAF8292"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96628E">
              <w:rPr>
                <w:rFonts w:asciiTheme="minorHAnsi" w:hAnsiTheme="minorHAnsi" w:cstheme="minorHAnsi"/>
                <w:b/>
                <w:bCs/>
                <w:color w:val="000000"/>
                <w:sz w:val="20"/>
              </w:rPr>
              <w:t>289,639</w:t>
            </w:r>
          </w:p>
        </w:tc>
      </w:tr>
    </w:tbl>
    <w:p w14:paraId="51D63CEE" w14:textId="77777777" w:rsidR="00811E9D" w:rsidRDefault="00811E9D" w:rsidP="00D41987">
      <w:pPr>
        <w:pStyle w:val="TableSource"/>
        <w:ind w:left="720" w:firstLine="131"/>
        <w:jc w:val="both"/>
      </w:pPr>
      <w:r>
        <w:t>Source: Atkins 2014</w:t>
      </w:r>
    </w:p>
    <w:p w14:paraId="22EC4BA8" w14:textId="77777777" w:rsidR="00811E9D" w:rsidRPr="00D41987" w:rsidRDefault="00811E9D" w:rsidP="00D41987">
      <w:pPr>
        <w:pStyle w:val="Caption"/>
        <w:spacing w:after="120"/>
        <w:jc w:val="center"/>
        <w:rPr>
          <w:color w:val="000000" w:themeColor="accent4"/>
          <w:sz w:val="20"/>
          <w:szCs w:val="20"/>
        </w:rPr>
      </w:pPr>
      <w:bookmarkStart w:id="294" w:name="_Toc394668621"/>
      <w:r w:rsidRPr="00D41987">
        <w:rPr>
          <w:color w:val="000000" w:themeColor="accent4"/>
          <w:sz w:val="20"/>
          <w:szCs w:val="20"/>
        </w:rPr>
        <w:t xml:space="preserve">Table </w:t>
      </w:r>
      <w:fldSimple w:instr=" STYLEREF 1 \s  \* MERGEFORMAT ">
        <w:r w:rsidR="00D41987" w:rsidRPr="00D41987">
          <w:rPr>
            <w:noProof/>
            <w:color w:val="000000" w:themeColor="accent4"/>
            <w:sz w:val="20"/>
            <w:szCs w:val="20"/>
          </w:rPr>
          <w:t>4</w:t>
        </w:r>
      </w:fldSimple>
      <w:r w:rsidRPr="00D41987">
        <w:rPr>
          <w:color w:val="000000" w:themeColor="accent4"/>
          <w:sz w:val="20"/>
          <w:szCs w:val="20"/>
        </w:rPr>
        <w:t>-</w:t>
      </w:r>
      <w:fldSimple w:instr=" SEQ Table \* ARABIC \s 1  \* MERGEFORMAT ">
        <w:r w:rsidR="00D41987" w:rsidRPr="00D41987">
          <w:rPr>
            <w:noProof/>
            <w:color w:val="000000" w:themeColor="accent4"/>
            <w:sz w:val="20"/>
            <w:szCs w:val="20"/>
          </w:rPr>
          <w:t>11</w:t>
        </w:r>
      </w:fldSimple>
      <w:r w:rsidR="00D41987">
        <w:rPr>
          <w:color w:val="000000" w:themeColor="accent4"/>
          <w:sz w:val="20"/>
          <w:szCs w:val="20"/>
        </w:rPr>
        <w:t xml:space="preserve">:  </w:t>
      </w:r>
      <w:r w:rsidRPr="00D41987">
        <w:rPr>
          <w:color w:val="000000" w:themeColor="accent4"/>
          <w:sz w:val="20"/>
          <w:szCs w:val="20"/>
        </w:rPr>
        <w:t>Gross B use class land demand (ha) 2013-32 – Policy Scenario 2</w:t>
      </w:r>
      <w:bookmarkEnd w:id="294"/>
    </w:p>
    <w:tbl>
      <w:tblPr>
        <w:tblStyle w:val="Atkins14pt"/>
        <w:tblW w:w="7781" w:type="dxa"/>
        <w:jc w:val="center"/>
        <w:tblInd w:w="0" w:type="dxa"/>
        <w:tblLook w:val="04A0" w:firstRow="1" w:lastRow="0" w:firstColumn="1" w:lastColumn="0" w:noHBand="0" w:noVBand="1"/>
      </w:tblPr>
      <w:tblGrid>
        <w:gridCol w:w="4251"/>
        <w:gridCol w:w="3530"/>
      </w:tblGrid>
      <w:tr w:rsidR="00811E9D" w:rsidRPr="00CD3974" w14:paraId="22828889" w14:textId="77777777" w:rsidTr="00D41987">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100" w:firstRow="0" w:lastRow="0" w:firstColumn="1" w:lastColumn="0" w:oddVBand="0" w:evenVBand="0" w:oddHBand="0" w:evenHBand="0" w:firstRowFirstColumn="1" w:firstRowLastColumn="0" w:lastRowFirstColumn="0" w:lastRowLastColumn="0"/>
            <w:tcW w:w="4251" w:type="dxa"/>
            <w:shd w:val="clear" w:color="auto" w:fill="EDF1F1" w:themeFill="accent5" w:themeFillTint="33"/>
            <w:hideMark/>
          </w:tcPr>
          <w:p w14:paraId="5E1F33A9" w14:textId="77777777" w:rsidR="00811E9D" w:rsidRPr="00CD3974" w:rsidRDefault="00811E9D" w:rsidP="00811E9D">
            <w:pPr>
              <w:rPr>
                <w:rFonts w:asciiTheme="minorHAnsi" w:eastAsia="Times New Roman" w:hAnsiTheme="minorHAnsi" w:cstheme="minorHAnsi"/>
                <w:b w:val="0"/>
                <w:bCs/>
                <w:sz w:val="20"/>
              </w:rPr>
            </w:pPr>
            <w:r w:rsidRPr="00CD3974">
              <w:rPr>
                <w:rFonts w:asciiTheme="minorHAnsi" w:eastAsia="Times New Roman" w:hAnsiTheme="minorHAnsi" w:cstheme="minorHAnsi"/>
                <w:bCs/>
                <w:sz w:val="20"/>
              </w:rPr>
              <w:t>Use Class</w:t>
            </w:r>
          </w:p>
        </w:tc>
        <w:tc>
          <w:tcPr>
            <w:tcW w:w="3530" w:type="dxa"/>
            <w:shd w:val="clear" w:color="auto" w:fill="EDF1F1" w:themeFill="accent5" w:themeFillTint="33"/>
          </w:tcPr>
          <w:p w14:paraId="6E0DCD1B" w14:textId="77777777" w:rsidR="00811E9D" w:rsidRPr="00CD3974" w:rsidRDefault="00811E9D" w:rsidP="00811E9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sz w:val="20"/>
              </w:rPr>
            </w:pPr>
            <w:r>
              <w:rPr>
                <w:rFonts w:asciiTheme="minorHAnsi" w:eastAsia="Times New Roman" w:hAnsiTheme="minorHAnsi" w:cstheme="minorHAnsi"/>
                <w:bCs/>
                <w:sz w:val="20"/>
              </w:rPr>
              <w:t>Additional Land (ha</w:t>
            </w:r>
            <w:r w:rsidRPr="00CD3974">
              <w:rPr>
                <w:rFonts w:asciiTheme="minorHAnsi" w:eastAsia="Times New Roman" w:hAnsiTheme="minorHAnsi" w:cstheme="minorHAnsi"/>
                <w:bCs/>
                <w:sz w:val="20"/>
              </w:rPr>
              <w:t>)</w:t>
            </w:r>
          </w:p>
        </w:tc>
      </w:tr>
      <w:tr w:rsidR="0096628E" w:rsidRPr="009B14EE" w14:paraId="37ACB9F9" w14:textId="77777777" w:rsidTr="00D41987">
        <w:trPr>
          <w:trHeight w:val="300"/>
          <w:jc w:val="center"/>
        </w:trPr>
        <w:tc>
          <w:tcPr>
            <w:cnfStyle w:val="001000000000" w:firstRow="0" w:lastRow="0" w:firstColumn="1" w:lastColumn="0" w:oddVBand="0" w:evenVBand="0" w:oddHBand="0" w:evenHBand="0" w:firstRowFirstColumn="0" w:firstRowLastColumn="0" w:lastRowFirstColumn="0" w:lastRowLastColumn="0"/>
            <w:tcW w:w="4251" w:type="dxa"/>
            <w:noWrap/>
            <w:hideMark/>
          </w:tcPr>
          <w:p w14:paraId="04BCAFD6"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B1a/b</w:t>
            </w:r>
          </w:p>
        </w:tc>
        <w:tc>
          <w:tcPr>
            <w:tcW w:w="3530" w:type="dxa"/>
            <w:vAlign w:val="bottom"/>
          </w:tcPr>
          <w:p w14:paraId="55B263D5"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4.8</w:t>
            </w:r>
          </w:p>
        </w:tc>
      </w:tr>
      <w:tr w:rsidR="0096628E" w:rsidRPr="009B14EE" w14:paraId="3ECF42B0" w14:textId="77777777" w:rsidTr="00D41987">
        <w:trPr>
          <w:trHeight w:val="300"/>
          <w:jc w:val="center"/>
        </w:trPr>
        <w:tc>
          <w:tcPr>
            <w:cnfStyle w:val="001000000000" w:firstRow="0" w:lastRow="0" w:firstColumn="1" w:lastColumn="0" w:oddVBand="0" w:evenVBand="0" w:oddHBand="0" w:evenHBand="0" w:firstRowFirstColumn="0" w:firstRowLastColumn="0" w:lastRowFirstColumn="0" w:lastRowLastColumn="0"/>
            <w:tcW w:w="4251" w:type="dxa"/>
            <w:noWrap/>
            <w:hideMark/>
          </w:tcPr>
          <w:p w14:paraId="786745E4"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B1c/B2</w:t>
            </w:r>
          </w:p>
        </w:tc>
        <w:tc>
          <w:tcPr>
            <w:tcW w:w="3530" w:type="dxa"/>
            <w:vAlign w:val="bottom"/>
          </w:tcPr>
          <w:p w14:paraId="2CF14420"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35.9</w:t>
            </w:r>
          </w:p>
        </w:tc>
      </w:tr>
      <w:tr w:rsidR="0096628E" w:rsidRPr="009B14EE" w14:paraId="7494B548" w14:textId="77777777" w:rsidTr="00D41987">
        <w:trPr>
          <w:trHeight w:val="300"/>
          <w:jc w:val="center"/>
        </w:trPr>
        <w:tc>
          <w:tcPr>
            <w:cnfStyle w:val="001000000000" w:firstRow="0" w:lastRow="0" w:firstColumn="1" w:lastColumn="0" w:oddVBand="0" w:evenVBand="0" w:oddHBand="0" w:evenHBand="0" w:firstRowFirstColumn="0" w:firstRowLastColumn="0" w:lastRowFirstColumn="0" w:lastRowLastColumn="0"/>
            <w:tcW w:w="4251" w:type="dxa"/>
            <w:noWrap/>
            <w:hideMark/>
          </w:tcPr>
          <w:p w14:paraId="303E2338" w14:textId="77777777" w:rsidR="0096628E" w:rsidRPr="00CD3974" w:rsidRDefault="0096628E" w:rsidP="00811E9D">
            <w:pPr>
              <w:rPr>
                <w:rFonts w:asciiTheme="minorHAnsi" w:eastAsia="Times New Roman" w:hAnsiTheme="minorHAnsi" w:cstheme="minorHAnsi"/>
                <w:sz w:val="20"/>
              </w:rPr>
            </w:pPr>
            <w:r w:rsidRPr="00CD3974">
              <w:rPr>
                <w:rFonts w:asciiTheme="minorHAnsi" w:eastAsia="Times New Roman" w:hAnsiTheme="minorHAnsi" w:cstheme="minorHAnsi"/>
                <w:sz w:val="20"/>
              </w:rPr>
              <w:t>B8</w:t>
            </w:r>
          </w:p>
        </w:tc>
        <w:tc>
          <w:tcPr>
            <w:tcW w:w="3530" w:type="dxa"/>
            <w:vAlign w:val="bottom"/>
          </w:tcPr>
          <w:p w14:paraId="5AD9E78B"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6628E">
              <w:rPr>
                <w:rFonts w:asciiTheme="minorHAnsi" w:hAnsiTheme="minorHAnsi" w:cstheme="minorHAnsi"/>
                <w:color w:val="000000"/>
                <w:sz w:val="20"/>
              </w:rPr>
              <w:t>48.5</w:t>
            </w:r>
          </w:p>
        </w:tc>
      </w:tr>
      <w:tr w:rsidR="0096628E" w:rsidRPr="009B14EE" w14:paraId="6CF525C8" w14:textId="77777777" w:rsidTr="00D41987">
        <w:trPr>
          <w:trHeight w:val="295"/>
          <w:jc w:val="center"/>
        </w:trPr>
        <w:tc>
          <w:tcPr>
            <w:cnfStyle w:val="001000000000" w:firstRow="0" w:lastRow="0" w:firstColumn="1" w:lastColumn="0" w:oddVBand="0" w:evenVBand="0" w:oddHBand="0" w:evenHBand="0" w:firstRowFirstColumn="0" w:firstRowLastColumn="0" w:lastRowFirstColumn="0" w:lastRowLastColumn="0"/>
            <w:tcW w:w="4251" w:type="dxa"/>
            <w:noWrap/>
            <w:hideMark/>
          </w:tcPr>
          <w:p w14:paraId="07FB79AE" w14:textId="77777777" w:rsidR="0096628E" w:rsidRPr="00CD3974" w:rsidRDefault="0096628E" w:rsidP="00811E9D">
            <w:pPr>
              <w:rPr>
                <w:rFonts w:asciiTheme="minorHAnsi" w:eastAsia="Times New Roman" w:hAnsiTheme="minorHAnsi" w:cstheme="minorHAnsi"/>
                <w:b/>
                <w:bCs/>
                <w:sz w:val="20"/>
              </w:rPr>
            </w:pPr>
            <w:r>
              <w:rPr>
                <w:rFonts w:asciiTheme="minorHAnsi" w:eastAsia="Times New Roman" w:hAnsiTheme="minorHAnsi" w:cstheme="minorHAnsi"/>
                <w:b/>
                <w:bCs/>
                <w:sz w:val="20"/>
              </w:rPr>
              <w:t>Land Demand</w:t>
            </w:r>
          </w:p>
        </w:tc>
        <w:tc>
          <w:tcPr>
            <w:tcW w:w="3530" w:type="dxa"/>
            <w:vAlign w:val="bottom"/>
          </w:tcPr>
          <w:p w14:paraId="5577B8B0" w14:textId="77777777" w:rsidR="0096628E" w:rsidRPr="0096628E" w:rsidRDefault="0096628E" w:rsidP="009662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rPr>
            </w:pPr>
            <w:r w:rsidRPr="0096628E">
              <w:rPr>
                <w:rFonts w:asciiTheme="minorHAnsi" w:hAnsiTheme="minorHAnsi" w:cstheme="minorHAnsi"/>
                <w:b/>
                <w:bCs/>
                <w:color w:val="000000"/>
                <w:sz w:val="20"/>
              </w:rPr>
              <w:t>89.3</w:t>
            </w:r>
          </w:p>
        </w:tc>
      </w:tr>
    </w:tbl>
    <w:p w14:paraId="13B74E70" w14:textId="77777777" w:rsidR="00811E9D" w:rsidRPr="003E0BBD" w:rsidRDefault="00811E9D" w:rsidP="00D41987">
      <w:pPr>
        <w:pStyle w:val="TableSource"/>
        <w:ind w:firstLine="993"/>
        <w:jc w:val="both"/>
        <w:rPr>
          <w:rStyle w:val="BodyTextChar"/>
          <w:rFonts w:ascii="Calibri" w:hAnsi="Calibri"/>
          <w:color w:val="auto"/>
          <w:sz w:val="22"/>
        </w:rPr>
      </w:pPr>
      <w:r>
        <w:t>S</w:t>
      </w:r>
      <w:r w:rsidRPr="003E0BBD">
        <w:t>ource: Atkins 201</w:t>
      </w:r>
      <w:r>
        <w:t>4</w:t>
      </w:r>
    </w:p>
    <w:p w14:paraId="7A48DE00" w14:textId="77777777" w:rsidR="006A76D6" w:rsidRDefault="006A76D6" w:rsidP="00811E9D">
      <w:pPr>
        <w:pStyle w:val="Heading2"/>
      </w:pPr>
      <w:bookmarkStart w:id="295" w:name="_Toc394668593"/>
      <w:r>
        <w:t>Site and Location Preferences</w:t>
      </w:r>
      <w:bookmarkEnd w:id="295"/>
    </w:p>
    <w:p w14:paraId="5879927F" w14:textId="77777777" w:rsidR="006A76D6" w:rsidRPr="00F15F89" w:rsidRDefault="006A76D6" w:rsidP="00F15F89">
      <w:pPr>
        <w:pStyle w:val="BodyText"/>
      </w:pPr>
      <w:r w:rsidRPr="00F15F89">
        <w:t xml:space="preserve">The Employment Land Review provides a more detailed assessment of the typical site and locational requirements of different sectors.  </w:t>
      </w:r>
      <w:r w:rsidR="00EA1CCB">
        <w:t xml:space="preserve">However, Table 4.12 provides a summary of typical site and location requirements by broad sector.  This is based on feedback from face-to-face interviews with business representatives and findings from the empirical business survey. </w:t>
      </w:r>
    </w:p>
    <w:p w14:paraId="4AF5EC93" w14:textId="77777777" w:rsidR="00EA1CCB" w:rsidRDefault="00EA1CCB">
      <w:pPr>
        <w:jc w:val="left"/>
        <w:rPr>
          <w:rFonts w:ascii="Arial" w:hAnsi="Arial"/>
          <w:b/>
          <w:color w:val="000000" w:themeColor="accent4"/>
          <w:sz w:val="20"/>
        </w:rPr>
      </w:pPr>
      <w:r>
        <w:rPr>
          <w:b/>
          <w:color w:val="000000" w:themeColor="accent4"/>
        </w:rPr>
        <w:br w:type="page"/>
      </w:r>
    </w:p>
    <w:p w14:paraId="5781A675" w14:textId="77777777" w:rsidR="00F15F89" w:rsidRPr="00EA1CCB" w:rsidRDefault="00EA1CCB" w:rsidP="00EA1CCB">
      <w:pPr>
        <w:pStyle w:val="TableText"/>
        <w:jc w:val="center"/>
        <w:rPr>
          <w:b/>
          <w:color w:val="000000" w:themeColor="accent4"/>
        </w:rPr>
      </w:pPr>
      <w:bookmarkStart w:id="296" w:name="_Toc394668622"/>
      <w:r w:rsidRPr="00EA1CCB">
        <w:rPr>
          <w:b/>
          <w:color w:val="000000" w:themeColor="accent4"/>
        </w:rPr>
        <w:t xml:space="preserve">Table </w:t>
      </w:r>
      <w:fldSimple w:instr=" STYLEREF 1 \s  \* MERGEFORMAT ">
        <w:r w:rsidRPr="00EA1CCB">
          <w:rPr>
            <w:b/>
            <w:noProof/>
            <w:color w:val="000000" w:themeColor="accent4"/>
          </w:rPr>
          <w:t>4</w:t>
        </w:r>
      </w:fldSimple>
      <w:r w:rsidRPr="00EA1CCB">
        <w:rPr>
          <w:b/>
          <w:color w:val="000000" w:themeColor="accent4"/>
        </w:rPr>
        <w:t>-</w:t>
      </w:r>
      <w:fldSimple w:instr=" SEQ Table \* ARABIC \s 1  \* MERGEFORMAT ">
        <w:r w:rsidRPr="00EA1CCB">
          <w:rPr>
            <w:b/>
            <w:noProof/>
            <w:color w:val="000000" w:themeColor="accent4"/>
          </w:rPr>
          <w:t>12</w:t>
        </w:r>
      </w:fldSimple>
      <w:r w:rsidRPr="00EA1CCB">
        <w:rPr>
          <w:b/>
          <w:color w:val="000000" w:themeColor="accent4"/>
        </w:rPr>
        <w:t>:  Typical Site and Location Preferences by Sector</w:t>
      </w:r>
      <w:bookmarkEnd w:id="296"/>
    </w:p>
    <w:tbl>
      <w:tblPr>
        <w:tblStyle w:val="TableGrid"/>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6316"/>
        <w:gridCol w:w="1539"/>
      </w:tblGrid>
      <w:tr w:rsidR="00F15F89" w:rsidRPr="00F15F89" w14:paraId="7D711AB3" w14:textId="77777777" w:rsidTr="00BF2F06">
        <w:trPr>
          <w:cnfStyle w:val="100000000000" w:firstRow="1" w:lastRow="0" w:firstColumn="0" w:lastColumn="0" w:oddVBand="0" w:evenVBand="0" w:oddHBand="0" w:evenHBand="0" w:firstRowFirstColumn="0" w:firstRowLastColumn="0" w:lastRowFirstColumn="0" w:lastRowLastColumn="0"/>
          <w:jc w:val="center"/>
        </w:trPr>
        <w:tc>
          <w:tcPr>
            <w:tcW w:w="1484" w:type="dxa"/>
            <w:tcBorders>
              <w:bottom w:val="none" w:sz="0" w:space="0" w:color="auto"/>
            </w:tcBorders>
            <w:shd w:val="clear" w:color="auto" w:fill="EDF1F1" w:themeFill="accent5" w:themeFillTint="33"/>
          </w:tcPr>
          <w:p w14:paraId="23DBB54A" w14:textId="77777777" w:rsidR="00F15F89" w:rsidRPr="00F15F89" w:rsidRDefault="00F15F89" w:rsidP="00BF2F06">
            <w:pPr>
              <w:jc w:val="left"/>
              <w:rPr>
                <w:rFonts w:asciiTheme="minorHAnsi" w:hAnsiTheme="minorHAnsi" w:cstheme="minorHAnsi"/>
                <w:b w:val="0"/>
                <w:color w:val="000000" w:themeColor="accent4"/>
                <w:sz w:val="20"/>
              </w:rPr>
            </w:pPr>
            <w:r w:rsidRPr="00F15F89">
              <w:rPr>
                <w:rFonts w:asciiTheme="minorHAnsi" w:hAnsiTheme="minorHAnsi" w:cstheme="minorHAnsi"/>
                <w:color w:val="000000" w:themeColor="accent4"/>
                <w:sz w:val="20"/>
              </w:rPr>
              <w:t>Sector</w:t>
            </w:r>
          </w:p>
        </w:tc>
        <w:tc>
          <w:tcPr>
            <w:tcW w:w="6316" w:type="dxa"/>
            <w:tcBorders>
              <w:bottom w:val="none" w:sz="0" w:space="0" w:color="auto"/>
            </w:tcBorders>
            <w:shd w:val="clear" w:color="auto" w:fill="EDF1F1" w:themeFill="accent5" w:themeFillTint="33"/>
          </w:tcPr>
          <w:p w14:paraId="3EC6A91B" w14:textId="77777777" w:rsidR="00F15F89" w:rsidRPr="00F15F89" w:rsidRDefault="00F15F89" w:rsidP="00F15F89">
            <w:pPr>
              <w:rPr>
                <w:rFonts w:asciiTheme="minorHAnsi" w:hAnsiTheme="minorHAnsi" w:cstheme="minorHAnsi"/>
                <w:b w:val="0"/>
                <w:color w:val="000000" w:themeColor="accent4"/>
                <w:sz w:val="20"/>
              </w:rPr>
            </w:pPr>
            <w:r w:rsidRPr="00F15F89">
              <w:rPr>
                <w:rFonts w:asciiTheme="minorHAnsi" w:hAnsiTheme="minorHAnsi" w:cstheme="minorHAnsi"/>
                <w:color w:val="000000" w:themeColor="accent4"/>
                <w:sz w:val="20"/>
              </w:rPr>
              <w:t>Sites</w:t>
            </w:r>
          </w:p>
        </w:tc>
        <w:tc>
          <w:tcPr>
            <w:tcW w:w="1539" w:type="dxa"/>
            <w:tcBorders>
              <w:bottom w:val="none" w:sz="0" w:space="0" w:color="auto"/>
            </w:tcBorders>
            <w:shd w:val="clear" w:color="auto" w:fill="EDF1F1" w:themeFill="accent5" w:themeFillTint="33"/>
          </w:tcPr>
          <w:p w14:paraId="665246C0" w14:textId="77777777" w:rsidR="00F15F89" w:rsidRPr="00F15F89" w:rsidRDefault="00F15F89" w:rsidP="00F15F89">
            <w:pPr>
              <w:rPr>
                <w:rFonts w:asciiTheme="minorHAnsi" w:hAnsiTheme="minorHAnsi" w:cstheme="minorHAnsi"/>
                <w:b w:val="0"/>
                <w:color w:val="000000" w:themeColor="accent4"/>
                <w:sz w:val="20"/>
              </w:rPr>
            </w:pPr>
            <w:r w:rsidRPr="00F15F89">
              <w:rPr>
                <w:rFonts w:asciiTheme="minorHAnsi" w:hAnsiTheme="minorHAnsi" w:cstheme="minorHAnsi"/>
                <w:color w:val="000000" w:themeColor="accent4"/>
                <w:sz w:val="20"/>
              </w:rPr>
              <w:t>Use Class</w:t>
            </w:r>
          </w:p>
        </w:tc>
      </w:tr>
      <w:tr w:rsidR="00F15F89" w:rsidRPr="00F15F89" w14:paraId="081CE486" w14:textId="77777777" w:rsidTr="00BF2F06">
        <w:trPr>
          <w:jc w:val="center"/>
        </w:trPr>
        <w:tc>
          <w:tcPr>
            <w:tcW w:w="1484" w:type="dxa"/>
          </w:tcPr>
          <w:p w14:paraId="771A34E4" w14:textId="77777777" w:rsidR="00F15F89" w:rsidRPr="00F15F89" w:rsidRDefault="00F15F89" w:rsidP="00BF2F06">
            <w:pPr>
              <w:jc w:val="left"/>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Food Manufacturing</w:t>
            </w:r>
          </w:p>
        </w:tc>
        <w:tc>
          <w:tcPr>
            <w:tcW w:w="6316" w:type="dxa"/>
          </w:tcPr>
          <w:p w14:paraId="436C1660"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 xml:space="preserve">Food manufacturing firms require large and uncontaminated (often modern) premises with </w:t>
            </w:r>
            <w:r w:rsidR="00EA1CCB">
              <w:rPr>
                <w:rFonts w:asciiTheme="minorHAnsi" w:hAnsiTheme="minorHAnsi" w:cstheme="minorHAnsi"/>
                <w:color w:val="000000" w:themeColor="accent4"/>
                <w:sz w:val="20"/>
              </w:rPr>
              <w:t>good access to the local and strategic road network</w:t>
            </w:r>
            <w:r w:rsidRPr="00F15F89">
              <w:rPr>
                <w:rFonts w:asciiTheme="minorHAnsi" w:hAnsiTheme="minorHAnsi" w:cstheme="minorHAnsi"/>
                <w:color w:val="000000" w:themeColor="accent4"/>
                <w:sz w:val="20"/>
              </w:rPr>
              <w:t>. Firms indicated a preference to be either proximate to the docks (and other food manufacturing firms) or in larger premises outside urban areas.</w:t>
            </w:r>
          </w:p>
          <w:p w14:paraId="24A32AFB"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Location: Grimsby Docks Town Centre &amp; Business Parks</w:t>
            </w:r>
          </w:p>
        </w:tc>
        <w:tc>
          <w:tcPr>
            <w:tcW w:w="1539" w:type="dxa"/>
          </w:tcPr>
          <w:p w14:paraId="22B4AB50"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 xml:space="preserve">B2 and some B8. </w:t>
            </w:r>
          </w:p>
        </w:tc>
      </w:tr>
      <w:tr w:rsidR="00F15F89" w:rsidRPr="00F15F89" w14:paraId="52169D91" w14:textId="77777777" w:rsidTr="00BF2F06">
        <w:trPr>
          <w:jc w:val="center"/>
        </w:trPr>
        <w:tc>
          <w:tcPr>
            <w:tcW w:w="1484" w:type="dxa"/>
          </w:tcPr>
          <w:p w14:paraId="57778E98" w14:textId="77777777" w:rsidR="00F15F89" w:rsidRPr="00F15F89" w:rsidRDefault="00F15F89" w:rsidP="00BF2F06">
            <w:pPr>
              <w:jc w:val="left"/>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Port</w:t>
            </w:r>
            <w:r w:rsidR="00BF2F06">
              <w:rPr>
                <w:rFonts w:asciiTheme="minorHAnsi" w:hAnsiTheme="minorHAnsi" w:cstheme="minorHAnsi"/>
                <w:color w:val="000000" w:themeColor="accent4"/>
                <w:sz w:val="20"/>
              </w:rPr>
              <w:t>s</w:t>
            </w:r>
            <w:r w:rsidRPr="00F15F89">
              <w:rPr>
                <w:rFonts w:asciiTheme="minorHAnsi" w:hAnsiTheme="minorHAnsi" w:cstheme="minorHAnsi"/>
                <w:color w:val="000000" w:themeColor="accent4"/>
                <w:sz w:val="20"/>
              </w:rPr>
              <w:t xml:space="preserve"> &amp; Logistics</w:t>
            </w:r>
          </w:p>
        </w:tc>
        <w:tc>
          <w:tcPr>
            <w:tcW w:w="6316" w:type="dxa"/>
          </w:tcPr>
          <w:p w14:paraId="20A6339D"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 xml:space="preserve">Firms within this sector often require large storage space, with good transport links which is positioned away from activities which may impact the goods or materials they are importing. For example keeping cars separate from coal imports. Firms require locations that are next to or on the port sites. </w:t>
            </w:r>
          </w:p>
          <w:p w14:paraId="2316D212"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Location: Immingham &amp; Grimsby Docks and immediate area.</w:t>
            </w:r>
          </w:p>
        </w:tc>
        <w:tc>
          <w:tcPr>
            <w:tcW w:w="1539" w:type="dxa"/>
          </w:tcPr>
          <w:p w14:paraId="3D85D3AE"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B8</w:t>
            </w:r>
          </w:p>
        </w:tc>
      </w:tr>
      <w:tr w:rsidR="00F15F89" w:rsidRPr="00F15F89" w14:paraId="498DC228" w14:textId="77777777" w:rsidTr="00BF2F06">
        <w:trPr>
          <w:jc w:val="center"/>
        </w:trPr>
        <w:tc>
          <w:tcPr>
            <w:tcW w:w="1484" w:type="dxa"/>
          </w:tcPr>
          <w:p w14:paraId="48A797F8" w14:textId="77777777" w:rsidR="00F15F89" w:rsidRPr="00F15F89" w:rsidRDefault="00F15F89" w:rsidP="00BF2F06">
            <w:pPr>
              <w:jc w:val="left"/>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Chemicals and Process Industries</w:t>
            </w:r>
          </w:p>
        </w:tc>
        <w:tc>
          <w:tcPr>
            <w:tcW w:w="6316" w:type="dxa"/>
          </w:tcPr>
          <w:p w14:paraId="607DEC32"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 xml:space="preserve">Firms within this sector require land which is separate from urban areas (including a safety ‘buffer zone’ for some) and has accessible road linkages. For some, proximity to port facilities or oil refineries is important. </w:t>
            </w:r>
          </w:p>
          <w:p w14:paraId="59DB119B"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Location: Immingham Docks and South Humber Bank.</w:t>
            </w:r>
          </w:p>
        </w:tc>
        <w:tc>
          <w:tcPr>
            <w:tcW w:w="1539" w:type="dxa"/>
          </w:tcPr>
          <w:p w14:paraId="443F402C"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‘Sui Generis’ and some B8.</w:t>
            </w:r>
          </w:p>
        </w:tc>
      </w:tr>
      <w:tr w:rsidR="00F15F89" w:rsidRPr="00F15F89" w14:paraId="156EBF04" w14:textId="77777777" w:rsidTr="00BF2F06">
        <w:trPr>
          <w:jc w:val="center"/>
        </w:trPr>
        <w:tc>
          <w:tcPr>
            <w:tcW w:w="1484" w:type="dxa"/>
          </w:tcPr>
          <w:p w14:paraId="5E5E6121" w14:textId="77777777" w:rsidR="00F15F89" w:rsidRPr="00F15F89" w:rsidRDefault="00F15F89" w:rsidP="00BF2F06">
            <w:pPr>
              <w:jc w:val="left"/>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Renewable Energy</w:t>
            </w:r>
          </w:p>
        </w:tc>
        <w:tc>
          <w:tcPr>
            <w:tcW w:w="6316" w:type="dxa"/>
          </w:tcPr>
          <w:p w14:paraId="65C11EB4"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Firms in the renewable energy sector require different types of land depending on the renewable energy technology they are operating, managing or installing. We provide an overview here:</w:t>
            </w:r>
          </w:p>
          <w:p w14:paraId="3CC3D8ED" w14:textId="77777777" w:rsidR="00F15F89" w:rsidRPr="00F15F89" w:rsidRDefault="00F15F89" w:rsidP="00F15F89">
            <w:pPr>
              <w:pStyle w:val="ListParagraph"/>
              <w:numPr>
                <w:ilvl w:val="0"/>
                <w:numId w:val="29"/>
              </w:numPr>
              <w:ind w:left="269" w:hanging="269"/>
              <w:jc w:val="both"/>
              <w:rPr>
                <w:rFonts w:asciiTheme="minorHAnsi" w:hAnsiTheme="minorHAnsi" w:cstheme="minorHAnsi"/>
                <w:color w:val="000000" w:themeColor="accent4"/>
                <w:szCs w:val="20"/>
              </w:rPr>
            </w:pPr>
            <w:r w:rsidRPr="00F15F89">
              <w:rPr>
                <w:rFonts w:asciiTheme="minorHAnsi" w:hAnsiTheme="minorHAnsi" w:cstheme="minorHAnsi"/>
                <w:color w:val="000000" w:themeColor="accent4"/>
                <w:szCs w:val="20"/>
              </w:rPr>
              <w:t xml:space="preserve">Hydropower – (wind, wave and tidal): Require proximity to docks and access to water (although may have arrangements with other firms).  </w:t>
            </w:r>
          </w:p>
          <w:p w14:paraId="4065C767" w14:textId="77777777" w:rsidR="00F15F89" w:rsidRPr="00F15F89" w:rsidRDefault="00F15F89" w:rsidP="00F15F89">
            <w:pPr>
              <w:pStyle w:val="ListParagraph"/>
              <w:numPr>
                <w:ilvl w:val="0"/>
                <w:numId w:val="29"/>
              </w:numPr>
              <w:ind w:left="269" w:hanging="269"/>
              <w:jc w:val="both"/>
              <w:rPr>
                <w:rFonts w:asciiTheme="minorHAnsi" w:hAnsiTheme="minorHAnsi" w:cstheme="minorHAnsi"/>
                <w:color w:val="000000" w:themeColor="accent4"/>
                <w:szCs w:val="20"/>
              </w:rPr>
            </w:pPr>
            <w:r w:rsidRPr="00F15F89">
              <w:rPr>
                <w:rFonts w:asciiTheme="minorHAnsi" w:hAnsiTheme="minorHAnsi" w:cstheme="minorHAnsi"/>
                <w:color w:val="000000" w:themeColor="accent4"/>
                <w:szCs w:val="20"/>
              </w:rPr>
              <w:t>Wind (onshore), Geothermal, Solar: Require accessible locations which can be accessed</w:t>
            </w:r>
            <w:r w:rsidR="009B53A7">
              <w:rPr>
                <w:rFonts w:asciiTheme="minorHAnsi" w:hAnsiTheme="minorHAnsi" w:cstheme="minorHAnsi"/>
                <w:color w:val="000000" w:themeColor="accent4"/>
                <w:szCs w:val="20"/>
              </w:rPr>
              <w:t xml:space="preserve"> readily</w:t>
            </w:r>
            <w:r w:rsidRPr="00F15F89">
              <w:rPr>
                <w:rFonts w:asciiTheme="minorHAnsi" w:hAnsiTheme="minorHAnsi" w:cstheme="minorHAnsi"/>
                <w:color w:val="000000" w:themeColor="accent4"/>
                <w:szCs w:val="20"/>
              </w:rPr>
              <w:t xml:space="preserve"> by road. </w:t>
            </w:r>
          </w:p>
          <w:p w14:paraId="1B9F82F3" w14:textId="77777777" w:rsidR="00F15F89" w:rsidRPr="00F15F89" w:rsidRDefault="00F15F89" w:rsidP="00F15F89">
            <w:pPr>
              <w:pStyle w:val="ListParagraph"/>
              <w:numPr>
                <w:ilvl w:val="0"/>
                <w:numId w:val="29"/>
              </w:numPr>
              <w:ind w:left="269" w:hanging="269"/>
              <w:jc w:val="both"/>
              <w:rPr>
                <w:rFonts w:asciiTheme="minorHAnsi" w:hAnsiTheme="minorHAnsi" w:cstheme="minorHAnsi"/>
                <w:color w:val="000000" w:themeColor="accent4"/>
                <w:szCs w:val="20"/>
              </w:rPr>
            </w:pPr>
            <w:r w:rsidRPr="00F15F89">
              <w:rPr>
                <w:rFonts w:asciiTheme="minorHAnsi" w:hAnsiTheme="minorHAnsi" w:cstheme="minorHAnsi"/>
                <w:color w:val="000000" w:themeColor="accent4"/>
                <w:szCs w:val="20"/>
              </w:rPr>
              <w:t>Bioenergy: Requirement for premises which are close to docks (for raw products) and other transport links (e.g. road or rail)</w:t>
            </w:r>
          </w:p>
          <w:p w14:paraId="516F7786" w14:textId="77777777" w:rsidR="00F15F89" w:rsidRPr="00F15F89" w:rsidRDefault="00F15F89" w:rsidP="00F15F89">
            <w:pPr>
              <w:rPr>
                <w:rFonts w:asciiTheme="minorHAnsi" w:hAnsiTheme="minorHAnsi" w:cstheme="minorHAnsi"/>
                <w:color w:val="000000" w:themeColor="accent4"/>
                <w:sz w:val="20"/>
              </w:rPr>
            </w:pPr>
          </w:p>
          <w:p w14:paraId="3C4921F4"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Location: Grimsby Docks, Business Parks, Central</w:t>
            </w:r>
          </w:p>
        </w:tc>
        <w:tc>
          <w:tcPr>
            <w:tcW w:w="1539" w:type="dxa"/>
          </w:tcPr>
          <w:p w14:paraId="5CA8520C"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B1 – for office functions.</w:t>
            </w:r>
          </w:p>
          <w:p w14:paraId="40609058"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B2 – for technical or manufacturing.</w:t>
            </w:r>
          </w:p>
          <w:p w14:paraId="538E4EB8"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B8 – for storage of materials.</w:t>
            </w:r>
          </w:p>
        </w:tc>
      </w:tr>
      <w:tr w:rsidR="00F15F89" w:rsidRPr="00F15F89" w14:paraId="1B6443B7" w14:textId="77777777" w:rsidTr="00BF2F06">
        <w:trPr>
          <w:jc w:val="center"/>
        </w:trPr>
        <w:tc>
          <w:tcPr>
            <w:tcW w:w="1484" w:type="dxa"/>
          </w:tcPr>
          <w:p w14:paraId="54A2AB95" w14:textId="77777777" w:rsidR="00F15F89" w:rsidRPr="00F15F89" w:rsidRDefault="00F15F89" w:rsidP="00BF2F06">
            <w:pPr>
              <w:jc w:val="left"/>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Visitor Economy, Services and Retail</w:t>
            </w:r>
          </w:p>
        </w:tc>
        <w:tc>
          <w:tcPr>
            <w:tcW w:w="6316" w:type="dxa"/>
          </w:tcPr>
          <w:p w14:paraId="7F9D56A1"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Businesses in this sector have a range of activities. Their requirements are often specific and dependent on markets. We list the broad activities and their indicative site preference below:</w:t>
            </w:r>
          </w:p>
          <w:p w14:paraId="52116715" w14:textId="77777777" w:rsidR="00F15F89" w:rsidRPr="00F15F89" w:rsidRDefault="00F15F89" w:rsidP="00F15F89">
            <w:pPr>
              <w:pStyle w:val="ListParagraph"/>
              <w:numPr>
                <w:ilvl w:val="0"/>
                <w:numId w:val="29"/>
              </w:numPr>
              <w:ind w:left="269" w:hanging="269"/>
              <w:jc w:val="both"/>
              <w:rPr>
                <w:rFonts w:asciiTheme="minorHAnsi" w:hAnsiTheme="minorHAnsi" w:cstheme="minorHAnsi"/>
                <w:color w:val="000000" w:themeColor="accent4"/>
                <w:szCs w:val="20"/>
              </w:rPr>
            </w:pPr>
            <w:r w:rsidRPr="00F15F89">
              <w:rPr>
                <w:rFonts w:asciiTheme="minorHAnsi" w:hAnsiTheme="minorHAnsi" w:cstheme="minorHAnsi"/>
                <w:color w:val="000000" w:themeColor="accent4"/>
                <w:szCs w:val="20"/>
              </w:rPr>
              <w:t>Retail: Close to other retail firms and areas of high footfall.</w:t>
            </w:r>
          </w:p>
          <w:p w14:paraId="00AC6F91" w14:textId="77777777" w:rsidR="00F15F89" w:rsidRPr="00F15F89" w:rsidRDefault="00F15F89" w:rsidP="00F15F89">
            <w:pPr>
              <w:pStyle w:val="ListParagraph"/>
              <w:numPr>
                <w:ilvl w:val="0"/>
                <w:numId w:val="29"/>
              </w:numPr>
              <w:ind w:left="269" w:hanging="269"/>
              <w:jc w:val="both"/>
              <w:rPr>
                <w:rFonts w:asciiTheme="minorHAnsi" w:hAnsiTheme="minorHAnsi" w:cstheme="minorHAnsi"/>
                <w:color w:val="000000" w:themeColor="accent4"/>
                <w:szCs w:val="20"/>
              </w:rPr>
            </w:pPr>
            <w:r w:rsidRPr="00F15F89">
              <w:rPr>
                <w:rFonts w:asciiTheme="minorHAnsi" w:hAnsiTheme="minorHAnsi" w:cstheme="minorHAnsi"/>
                <w:color w:val="000000" w:themeColor="accent4"/>
                <w:szCs w:val="20"/>
              </w:rPr>
              <w:t>Food/Drink: Close to urban areas and visitor attractions.</w:t>
            </w:r>
          </w:p>
          <w:p w14:paraId="7240C678" w14:textId="77777777" w:rsidR="00F15F89" w:rsidRPr="00F5666C" w:rsidRDefault="00F15F89" w:rsidP="00F15F89">
            <w:pPr>
              <w:pStyle w:val="ListParagraph"/>
              <w:numPr>
                <w:ilvl w:val="0"/>
                <w:numId w:val="29"/>
              </w:numPr>
              <w:ind w:left="269" w:hanging="269"/>
              <w:jc w:val="both"/>
              <w:rPr>
                <w:rFonts w:asciiTheme="minorHAnsi" w:hAnsiTheme="minorHAnsi" w:cstheme="minorHAnsi"/>
                <w:color w:val="000000" w:themeColor="accent4"/>
                <w:szCs w:val="20"/>
              </w:rPr>
            </w:pPr>
            <w:r w:rsidRPr="00F15F89">
              <w:rPr>
                <w:rFonts w:asciiTheme="minorHAnsi" w:hAnsiTheme="minorHAnsi" w:cstheme="minorHAnsi"/>
                <w:color w:val="000000" w:themeColor="accent4"/>
                <w:szCs w:val="20"/>
              </w:rPr>
              <w:t>Visitor Economy: Proximity to natural, historical and cultural assets often in urban areas.</w:t>
            </w:r>
          </w:p>
          <w:p w14:paraId="3A0ADDA9" w14:textId="77777777" w:rsidR="00F15F89" w:rsidRPr="00F15F89" w:rsidRDefault="00F15F89" w:rsidP="009B53A7">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 xml:space="preserve">Location: Urban </w:t>
            </w:r>
            <w:r w:rsidR="009B53A7">
              <w:rPr>
                <w:rFonts w:asciiTheme="minorHAnsi" w:hAnsiTheme="minorHAnsi" w:cstheme="minorHAnsi"/>
                <w:color w:val="000000" w:themeColor="accent4"/>
                <w:sz w:val="20"/>
              </w:rPr>
              <w:t>centres</w:t>
            </w:r>
            <w:r w:rsidRPr="00F15F89">
              <w:rPr>
                <w:rFonts w:asciiTheme="minorHAnsi" w:hAnsiTheme="minorHAnsi" w:cstheme="minorHAnsi"/>
                <w:color w:val="000000" w:themeColor="accent4"/>
                <w:sz w:val="20"/>
              </w:rPr>
              <w:t xml:space="preserve"> and near to natural, historical and cultural assets.</w:t>
            </w:r>
          </w:p>
        </w:tc>
        <w:tc>
          <w:tcPr>
            <w:tcW w:w="1539" w:type="dxa"/>
          </w:tcPr>
          <w:p w14:paraId="4DE66958" w14:textId="77777777" w:rsidR="00F15F89" w:rsidRPr="00F15F89" w:rsidRDefault="00F15F89" w:rsidP="00F15F89">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A1, A3, A4, A5 and C1</w:t>
            </w:r>
          </w:p>
        </w:tc>
      </w:tr>
      <w:tr w:rsidR="00EA1CCB" w:rsidRPr="00F15F89" w14:paraId="12A31969" w14:textId="77777777" w:rsidTr="00BF2F06">
        <w:trPr>
          <w:jc w:val="center"/>
        </w:trPr>
        <w:tc>
          <w:tcPr>
            <w:tcW w:w="1484" w:type="dxa"/>
          </w:tcPr>
          <w:p w14:paraId="708688C9" w14:textId="77777777" w:rsidR="00EA1CCB" w:rsidRPr="00F15F89" w:rsidRDefault="00EA1CCB" w:rsidP="00BF2F06">
            <w:pPr>
              <w:jc w:val="left"/>
              <w:rPr>
                <w:rFonts w:asciiTheme="minorHAnsi" w:hAnsiTheme="minorHAnsi" w:cstheme="minorHAnsi"/>
                <w:color w:val="000000" w:themeColor="accent4"/>
                <w:sz w:val="20"/>
              </w:rPr>
            </w:pPr>
            <w:r>
              <w:rPr>
                <w:rFonts w:asciiTheme="minorHAnsi" w:hAnsiTheme="minorHAnsi" w:cstheme="minorHAnsi"/>
                <w:color w:val="000000" w:themeColor="accent4"/>
                <w:sz w:val="20"/>
              </w:rPr>
              <w:t xml:space="preserve">Other Manufacturing </w:t>
            </w:r>
          </w:p>
        </w:tc>
        <w:tc>
          <w:tcPr>
            <w:tcW w:w="6316" w:type="dxa"/>
          </w:tcPr>
          <w:p w14:paraId="743A87E5" w14:textId="77777777" w:rsidR="00EA1CCB" w:rsidRDefault="009B53A7" w:rsidP="00F15F89">
            <w:pPr>
              <w:rPr>
                <w:rFonts w:asciiTheme="minorHAnsi" w:hAnsiTheme="minorHAnsi" w:cstheme="minorHAnsi"/>
                <w:color w:val="000000" w:themeColor="accent4"/>
                <w:sz w:val="20"/>
              </w:rPr>
            </w:pPr>
            <w:r>
              <w:rPr>
                <w:rFonts w:asciiTheme="minorHAnsi" w:hAnsiTheme="minorHAnsi" w:cstheme="minorHAnsi"/>
                <w:color w:val="000000" w:themeColor="accent4"/>
                <w:sz w:val="20"/>
              </w:rPr>
              <w:t>Variety of site and location requirements depending on scale, nature and viability of operation. Ranging from specialist business park locations to lower grade industrial estates and stand-alone premises.  Typically, access to local and strategic road network is important and distance from residential and other sensitive uses.</w:t>
            </w:r>
          </w:p>
          <w:p w14:paraId="047C4638" w14:textId="77777777" w:rsidR="00BF2F06" w:rsidRPr="00F15F89" w:rsidRDefault="00BF2F06" w:rsidP="00F15F89">
            <w:pPr>
              <w:rPr>
                <w:rFonts w:asciiTheme="minorHAnsi" w:hAnsiTheme="minorHAnsi" w:cstheme="minorHAnsi"/>
                <w:color w:val="000000" w:themeColor="accent4"/>
                <w:sz w:val="20"/>
              </w:rPr>
            </w:pPr>
            <w:r>
              <w:rPr>
                <w:rFonts w:asciiTheme="minorHAnsi" w:hAnsiTheme="minorHAnsi" w:cstheme="minorHAnsi"/>
                <w:color w:val="000000" w:themeColor="accent4"/>
                <w:sz w:val="20"/>
              </w:rPr>
              <w:t>Location: Various</w:t>
            </w:r>
          </w:p>
        </w:tc>
        <w:tc>
          <w:tcPr>
            <w:tcW w:w="1539" w:type="dxa"/>
          </w:tcPr>
          <w:p w14:paraId="2E9E86B8" w14:textId="77777777" w:rsidR="00EA1CCB" w:rsidRPr="00F15F89" w:rsidRDefault="009B53A7" w:rsidP="00F15F89">
            <w:pPr>
              <w:rPr>
                <w:rFonts w:asciiTheme="minorHAnsi" w:hAnsiTheme="minorHAnsi" w:cstheme="minorHAnsi"/>
                <w:color w:val="000000" w:themeColor="accent4"/>
                <w:sz w:val="20"/>
              </w:rPr>
            </w:pPr>
            <w:r>
              <w:rPr>
                <w:rFonts w:asciiTheme="minorHAnsi" w:hAnsiTheme="minorHAnsi" w:cstheme="minorHAnsi"/>
                <w:color w:val="000000" w:themeColor="accent4"/>
                <w:sz w:val="20"/>
              </w:rPr>
              <w:t>B1c, B2 and ancillary B8.</w:t>
            </w:r>
          </w:p>
        </w:tc>
      </w:tr>
      <w:tr w:rsidR="00EA1CCB" w:rsidRPr="00F15F89" w14:paraId="291BBB9C" w14:textId="77777777" w:rsidTr="00BF2F06">
        <w:trPr>
          <w:jc w:val="center"/>
        </w:trPr>
        <w:tc>
          <w:tcPr>
            <w:tcW w:w="1484" w:type="dxa"/>
          </w:tcPr>
          <w:p w14:paraId="16129F73" w14:textId="77777777" w:rsidR="00EA1CCB" w:rsidRPr="00F15F89" w:rsidRDefault="009B53A7" w:rsidP="00BF2F06">
            <w:pPr>
              <w:jc w:val="left"/>
              <w:rPr>
                <w:rFonts w:asciiTheme="minorHAnsi" w:hAnsiTheme="minorHAnsi" w:cstheme="minorHAnsi"/>
                <w:color w:val="000000" w:themeColor="accent4"/>
                <w:sz w:val="20"/>
              </w:rPr>
            </w:pPr>
            <w:r>
              <w:rPr>
                <w:rFonts w:asciiTheme="minorHAnsi" w:hAnsiTheme="minorHAnsi" w:cstheme="minorHAnsi"/>
                <w:color w:val="000000" w:themeColor="accent4"/>
                <w:sz w:val="20"/>
              </w:rPr>
              <w:t>Public Sector</w:t>
            </w:r>
          </w:p>
        </w:tc>
        <w:tc>
          <w:tcPr>
            <w:tcW w:w="6316" w:type="dxa"/>
          </w:tcPr>
          <w:p w14:paraId="637BAB22" w14:textId="77777777" w:rsidR="00BF2F06" w:rsidRDefault="00BF2F06" w:rsidP="00F15F89">
            <w:pPr>
              <w:rPr>
                <w:rFonts w:asciiTheme="minorHAnsi" w:hAnsiTheme="minorHAnsi" w:cstheme="minorHAnsi"/>
                <w:color w:val="000000" w:themeColor="accent4"/>
                <w:sz w:val="20"/>
              </w:rPr>
            </w:pPr>
            <w:r>
              <w:rPr>
                <w:rFonts w:asciiTheme="minorHAnsi" w:hAnsiTheme="minorHAnsi" w:cstheme="minorHAnsi"/>
                <w:color w:val="000000" w:themeColor="accent4"/>
                <w:sz w:val="20"/>
              </w:rPr>
              <w:t>Administrative functions of the public sector typically require town centre, edge-of-centre or business park locations.</w:t>
            </w:r>
          </w:p>
          <w:p w14:paraId="1A612593" w14:textId="77777777" w:rsidR="00EA1CCB" w:rsidRPr="00F15F89" w:rsidRDefault="00BF2F06" w:rsidP="00F15F89">
            <w:pPr>
              <w:rPr>
                <w:rFonts w:asciiTheme="minorHAnsi" w:hAnsiTheme="minorHAnsi" w:cstheme="minorHAnsi"/>
                <w:color w:val="000000" w:themeColor="accent4"/>
                <w:sz w:val="20"/>
              </w:rPr>
            </w:pPr>
            <w:r>
              <w:rPr>
                <w:rFonts w:asciiTheme="minorHAnsi" w:hAnsiTheme="minorHAnsi" w:cstheme="minorHAnsi"/>
                <w:color w:val="000000" w:themeColor="accent4"/>
                <w:sz w:val="20"/>
              </w:rPr>
              <w:t xml:space="preserve">Location:  Grimsby </w:t>
            </w:r>
          </w:p>
        </w:tc>
        <w:tc>
          <w:tcPr>
            <w:tcW w:w="1539" w:type="dxa"/>
          </w:tcPr>
          <w:p w14:paraId="1BEB334C" w14:textId="77777777" w:rsidR="00EA1CCB" w:rsidRPr="00F15F89" w:rsidRDefault="00BF2F06" w:rsidP="00F15F89">
            <w:pPr>
              <w:rPr>
                <w:rFonts w:asciiTheme="minorHAnsi" w:hAnsiTheme="minorHAnsi" w:cstheme="minorHAnsi"/>
                <w:color w:val="000000" w:themeColor="accent4"/>
                <w:sz w:val="20"/>
              </w:rPr>
            </w:pPr>
            <w:r>
              <w:rPr>
                <w:rFonts w:asciiTheme="minorHAnsi" w:hAnsiTheme="minorHAnsi" w:cstheme="minorHAnsi"/>
                <w:color w:val="000000" w:themeColor="accent4"/>
                <w:sz w:val="20"/>
              </w:rPr>
              <w:t>B1a.</w:t>
            </w:r>
          </w:p>
        </w:tc>
      </w:tr>
      <w:tr w:rsidR="00EA1CCB" w:rsidRPr="00F15F89" w14:paraId="2A5C7083" w14:textId="77777777" w:rsidTr="00BF2F06">
        <w:trPr>
          <w:jc w:val="center"/>
        </w:trPr>
        <w:tc>
          <w:tcPr>
            <w:tcW w:w="1484" w:type="dxa"/>
          </w:tcPr>
          <w:p w14:paraId="27F910B6" w14:textId="77777777" w:rsidR="00EA1CCB" w:rsidRPr="00F15F89" w:rsidRDefault="00BF2F06" w:rsidP="00BF2F06">
            <w:pPr>
              <w:jc w:val="left"/>
              <w:rPr>
                <w:rFonts w:asciiTheme="minorHAnsi" w:hAnsiTheme="minorHAnsi" w:cstheme="minorHAnsi"/>
                <w:color w:val="000000" w:themeColor="accent4"/>
                <w:sz w:val="20"/>
              </w:rPr>
            </w:pPr>
            <w:r>
              <w:rPr>
                <w:rFonts w:asciiTheme="minorHAnsi" w:hAnsiTheme="minorHAnsi" w:cstheme="minorHAnsi"/>
                <w:color w:val="000000" w:themeColor="accent4"/>
                <w:sz w:val="20"/>
              </w:rPr>
              <w:t>Education &amp; Health</w:t>
            </w:r>
          </w:p>
        </w:tc>
        <w:tc>
          <w:tcPr>
            <w:tcW w:w="6316" w:type="dxa"/>
          </w:tcPr>
          <w:p w14:paraId="1902E312" w14:textId="77777777" w:rsidR="00EA1CCB" w:rsidRDefault="00BF2F06" w:rsidP="00F15F89">
            <w:pPr>
              <w:rPr>
                <w:rFonts w:asciiTheme="minorHAnsi" w:hAnsiTheme="minorHAnsi" w:cstheme="minorHAnsi"/>
                <w:color w:val="000000" w:themeColor="accent4"/>
                <w:sz w:val="20"/>
              </w:rPr>
            </w:pPr>
            <w:r>
              <w:rPr>
                <w:rFonts w:asciiTheme="minorHAnsi" w:hAnsiTheme="minorHAnsi" w:cstheme="minorHAnsi"/>
                <w:color w:val="000000" w:themeColor="accent4"/>
                <w:sz w:val="20"/>
              </w:rPr>
              <w:t>Depending on scale and function of the service in question, education and health facilities will be located in good proximity to residential areas.  Typically on edge-of-centre locations and some out-of-centre locations.</w:t>
            </w:r>
          </w:p>
          <w:p w14:paraId="1ECDF1EC" w14:textId="77777777" w:rsidR="00BF2F06" w:rsidRPr="00F15F89" w:rsidRDefault="00BF2F06" w:rsidP="00F15F89">
            <w:pPr>
              <w:rPr>
                <w:rFonts w:asciiTheme="minorHAnsi" w:hAnsiTheme="minorHAnsi" w:cstheme="minorHAnsi"/>
                <w:color w:val="000000" w:themeColor="accent4"/>
                <w:sz w:val="20"/>
              </w:rPr>
            </w:pPr>
            <w:r>
              <w:rPr>
                <w:rFonts w:asciiTheme="minorHAnsi" w:hAnsiTheme="minorHAnsi" w:cstheme="minorHAnsi"/>
                <w:color w:val="000000" w:themeColor="accent4"/>
                <w:sz w:val="20"/>
              </w:rPr>
              <w:t>Location:  Grimsby, Immingham and other centres.</w:t>
            </w:r>
          </w:p>
        </w:tc>
        <w:tc>
          <w:tcPr>
            <w:tcW w:w="1539" w:type="dxa"/>
          </w:tcPr>
          <w:p w14:paraId="5DC6B00B" w14:textId="77777777" w:rsidR="00EA1CCB" w:rsidRPr="00F15F89" w:rsidRDefault="00BF2F06" w:rsidP="00F15F89">
            <w:pPr>
              <w:rPr>
                <w:rFonts w:asciiTheme="minorHAnsi" w:hAnsiTheme="minorHAnsi" w:cstheme="minorHAnsi"/>
                <w:color w:val="000000" w:themeColor="accent4"/>
                <w:sz w:val="20"/>
              </w:rPr>
            </w:pPr>
            <w:r>
              <w:rPr>
                <w:rFonts w:asciiTheme="minorHAnsi" w:hAnsiTheme="minorHAnsi" w:cstheme="minorHAnsi"/>
                <w:color w:val="000000" w:themeColor="accent4"/>
                <w:sz w:val="20"/>
              </w:rPr>
              <w:t>Sui Generis &amp; B1a.</w:t>
            </w:r>
          </w:p>
        </w:tc>
      </w:tr>
      <w:tr w:rsidR="009B53A7" w:rsidRPr="00F15F89" w14:paraId="183248BC" w14:textId="77777777" w:rsidTr="00BF2F06">
        <w:trPr>
          <w:jc w:val="center"/>
        </w:trPr>
        <w:tc>
          <w:tcPr>
            <w:tcW w:w="1484" w:type="dxa"/>
          </w:tcPr>
          <w:p w14:paraId="37551540" w14:textId="77777777" w:rsidR="009B53A7" w:rsidRPr="00F15F89" w:rsidRDefault="00BF2F06" w:rsidP="00BF2F06">
            <w:pPr>
              <w:jc w:val="left"/>
              <w:rPr>
                <w:rFonts w:asciiTheme="minorHAnsi" w:hAnsiTheme="minorHAnsi" w:cstheme="minorHAnsi"/>
                <w:color w:val="000000" w:themeColor="accent4"/>
                <w:sz w:val="20"/>
              </w:rPr>
            </w:pPr>
            <w:r>
              <w:rPr>
                <w:rFonts w:asciiTheme="minorHAnsi" w:hAnsiTheme="minorHAnsi" w:cstheme="minorHAnsi"/>
                <w:color w:val="000000" w:themeColor="accent4"/>
                <w:sz w:val="20"/>
              </w:rPr>
              <w:t>Other Services</w:t>
            </w:r>
          </w:p>
        </w:tc>
        <w:tc>
          <w:tcPr>
            <w:tcW w:w="6316" w:type="dxa"/>
          </w:tcPr>
          <w:p w14:paraId="561D12EA" w14:textId="77777777" w:rsidR="009B53A7" w:rsidRPr="00F15F89" w:rsidRDefault="00BF2F06" w:rsidP="00F15F89">
            <w:pPr>
              <w:rPr>
                <w:rFonts w:asciiTheme="minorHAnsi" w:hAnsiTheme="minorHAnsi" w:cstheme="minorHAnsi"/>
                <w:color w:val="000000" w:themeColor="accent4"/>
                <w:sz w:val="20"/>
              </w:rPr>
            </w:pPr>
            <w:r>
              <w:rPr>
                <w:rFonts w:asciiTheme="minorHAnsi" w:hAnsiTheme="minorHAnsi" w:cstheme="minorHAnsi"/>
                <w:color w:val="000000" w:themeColor="accent4"/>
                <w:sz w:val="20"/>
              </w:rPr>
              <w:t>Variety of site and location requirements depending on scale, markets served and viability.  Many services will require a town centre, edge-of-centre and in some case business park location.</w:t>
            </w:r>
          </w:p>
        </w:tc>
        <w:tc>
          <w:tcPr>
            <w:tcW w:w="1539" w:type="dxa"/>
          </w:tcPr>
          <w:p w14:paraId="346B6C9B" w14:textId="77777777" w:rsidR="009B53A7" w:rsidRPr="00F15F89" w:rsidRDefault="00BF2F06" w:rsidP="00BF2F06">
            <w:pPr>
              <w:rPr>
                <w:rFonts w:asciiTheme="minorHAnsi" w:hAnsiTheme="minorHAnsi" w:cstheme="minorHAnsi"/>
                <w:color w:val="000000" w:themeColor="accent4"/>
                <w:sz w:val="20"/>
              </w:rPr>
            </w:pPr>
            <w:r w:rsidRPr="00F15F89">
              <w:rPr>
                <w:rFonts w:asciiTheme="minorHAnsi" w:hAnsiTheme="minorHAnsi" w:cstheme="minorHAnsi"/>
                <w:color w:val="000000" w:themeColor="accent4"/>
                <w:sz w:val="20"/>
              </w:rPr>
              <w:t xml:space="preserve">A1, A3, A4, A5 and </w:t>
            </w:r>
            <w:r>
              <w:rPr>
                <w:rFonts w:asciiTheme="minorHAnsi" w:hAnsiTheme="minorHAnsi" w:cstheme="minorHAnsi"/>
                <w:color w:val="000000" w:themeColor="accent4"/>
                <w:sz w:val="20"/>
              </w:rPr>
              <w:t>B</w:t>
            </w:r>
            <w:r w:rsidRPr="00F15F89">
              <w:rPr>
                <w:rFonts w:asciiTheme="minorHAnsi" w:hAnsiTheme="minorHAnsi" w:cstheme="minorHAnsi"/>
                <w:color w:val="000000" w:themeColor="accent4"/>
                <w:sz w:val="20"/>
              </w:rPr>
              <w:t>1</w:t>
            </w:r>
            <w:r>
              <w:rPr>
                <w:rFonts w:asciiTheme="minorHAnsi" w:hAnsiTheme="minorHAnsi" w:cstheme="minorHAnsi"/>
                <w:color w:val="000000" w:themeColor="accent4"/>
                <w:sz w:val="20"/>
              </w:rPr>
              <w:t>a.</w:t>
            </w:r>
          </w:p>
        </w:tc>
      </w:tr>
    </w:tbl>
    <w:p w14:paraId="5C1D0047" w14:textId="77777777" w:rsidR="00F15F89" w:rsidRPr="00F15F89" w:rsidRDefault="00F15F89" w:rsidP="00EA1CCB">
      <w:pPr>
        <w:ind w:left="284"/>
        <w:rPr>
          <w:rFonts w:asciiTheme="minorHAnsi" w:hAnsiTheme="minorHAnsi" w:cstheme="minorHAnsi"/>
          <w:color w:val="000000" w:themeColor="accent4"/>
          <w:sz w:val="18"/>
          <w:szCs w:val="18"/>
        </w:rPr>
      </w:pPr>
      <w:r w:rsidRPr="00F15F89">
        <w:rPr>
          <w:rFonts w:asciiTheme="minorHAnsi" w:hAnsiTheme="minorHAnsi" w:cstheme="minorHAnsi"/>
          <w:color w:val="000000" w:themeColor="accent4"/>
          <w:sz w:val="18"/>
          <w:szCs w:val="18"/>
        </w:rPr>
        <w:t xml:space="preserve">Note:  All sectors are likely to require B1 for their office functions. For example, Youngs head office would be categorised as B1 but their manufacturing plant is B2.  In some cases, the B1 function of key sector firms will be located alongside production and processing plants.  In others, this function will be located in strategic locations such as prime business parks close to the motorway network.  Some will seek to be located in city and major town centres for reasons specific to individual firms. </w:t>
      </w:r>
      <w:r w:rsidR="00F5666C">
        <w:rPr>
          <w:rFonts w:asciiTheme="minorHAnsi" w:hAnsiTheme="minorHAnsi" w:cstheme="minorHAnsi"/>
          <w:color w:val="000000" w:themeColor="accent4"/>
          <w:sz w:val="18"/>
          <w:szCs w:val="18"/>
        </w:rPr>
        <w:t>Source:  Atkins, 2014.</w:t>
      </w:r>
    </w:p>
    <w:p w14:paraId="5FA09588" w14:textId="77777777" w:rsidR="00811E9D" w:rsidRDefault="00ED04F3" w:rsidP="00811E9D">
      <w:pPr>
        <w:pStyle w:val="Heading2"/>
        <w:tabs>
          <w:tab w:val="clear" w:pos="1021"/>
        </w:tabs>
      </w:pPr>
      <w:bookmarkStart w:id="297" w:name="_Toc394668594"/>
      <w:r>
        <w:t xml:space="preserve">Land-Use </w:t>
      </w:r>
      <w:r w:rsidR="00811E9D">
        <w:t>Scenarios Summary</w:t>
      </w:r>
      <w:bookmarkEnd w:id="297"/>
    </w:p>
    <w:p w14:paraId="2E957845" w14:textId="77777777" w:rsidR="00811E9D" w:rsidRPr="00D353DF" w:rsidRDefault="00811E9D" w:rsidP="00811E9D">
      <w:pPr>
        <w:pStyle w:val="BodyText"/>
      </w:pPr>
      <w:bookmarkStart w:id="298" w:name="_Ref387665085"/>
      <w:r>
        <w:t xml:space="preserve">Figures </w:t>
      </w:r>
      <w:r w:rsidR="009E10B2">
        <w:t>4</w:t>
      </w:r>
      <w:r>
        <w:t xml:space="preserve">.1 and </w:t>
      </w:r>
      <w:r w:rsidR="009E10B2">
        <w:t>4</w:t>
      </w:r>
      <w:r>
        <w:t xml:space="preserve">.2 summarise the potential B-use jobs and land demand implication of the three economic scenarios. </w:t>
      </w:r>
    </w:p>
    <w:p w14:paraId="3733BE31" w14:textId="77777777" w:rsidR="00811E9D" w:rsidRPr="009E10B2" w:rsidRDefault="00811E9D" w:rsidP="009E10B2">
      <w:pPr>
        <w:pStyle w:val="Caption"/>
        <w:jc w:val="center"/>
        <w:rPr>
          <w:color w:val="000000" w:themeColor="accent4"/>
          <w:kern w:val="28"/>
          <w:sz w:val="20"/>
          <w:szCs w:val="20"/>
        </w:rPr>
      </w:pPr>
      <w:bookmarkStart w:id="299" w:name="_Toc394657982"/>
      <w:r w:rsidRPr="009E10B2">
        <w:rPr>
          <w:color w:val="000000" w:themeColor="accent4"/>
          <w:kern w:val="28"/>
          <w:sz w:val="20"/>
          <w:szCs w:val="20"/>
        </w:rPr>
        <w:t xml:space="preserve">Figure </w:t>
      </w:r>
      <w:fldSimple w:instr=" STYLEREF 1 \s  \* MERGEFORMAT ">
        <w:r w:rsidR="009E10B2" w:rsidRPr="009E10B2">
          <w:rPr>
            <w:noProof/>
            <w:color w:val="000000" w:themeColor="accent4"/>
            <w:kern w:val="28"/>
            <w:sz w:val="20"/>
            <w:szCs w:val="20"/>
          </w:rPr>
          <w:t>4</w:t>
        </w:r>
      </w:fldSimple>
      <w:r w:rsidRPr="009E10B2">
        <w:rPr>
          <w:color w:val="000000" w:themeColor="accent4"/>
          <w:kern w:val="28"/>
          <w:sz w:val="20"/>
          <w:szCs w:val="20"/>
        </w:rPr>
        <w:t>-</w:t>
      </w:r>
      <w:fldSimple w:instr=" SEQ Figure \* ARABIC \s 1  \* MERGEFORMAT ">
        <w:r w:rsidR="009E10B2" w:rsidRPr="009E10B2">
          <w:rPr>
            <w:noProof/>
            <w:color w:val="000000" w:themeColor="accent4"/>
            <w:kern w:val="28"/>
            <w:sz w:val="20"/>
            <w:szCs w:val="20"/>
          </w:rPr>
          <w:t>1</w:t>
        </w:r>
      </w:fldSimple>
      <w:bookmarkEnd w:id="298"/>
      <w:r w:rsidR="009E10B2">
        <w:rPr>
          <w:color w:val="000000" w:themeColor="accent4"/>
          <w:kern w:val="28"/>
          <w:sz w:val="20"/>
          <w:szCs w:val="20"/>
        </w:rPr>
        <w:t xml:space="preserve">:  </w:t>
      </w:r>
      <w:r w:rsidRPr="009E10B2">
        <w:rPr>
          <w:color w:val="000000" w:themeColor="accent4"/>
          <w:kern w:val="28"/>
          <w:sz w:val="20"/>
          <w:szCs w:val="20"/>
        </w:rPr>
        <w:t>B Use Class Job Growth Scenarios 2013-2032 (FTE)</w:t>
      </w:r>
      <w:bookmarkEnd w:id="299"/>
    </w:p>
    <w:p w14:paraId="57143072" w14:textId="77777777" w:rsidR="00811E9D" w:rsidRDefault="009E10B2" w:rsidP="00811E9D">
      <w:pPr>
        <w:pStyle w:val="Caption"/>
        <w:rPr>
          <w:kern w:val="28"/>
        </w:rPr>
      </w:pPr>
      <w:r w:rsidRPr="009E10B2">
        <w:rPr>
          <w:noProof/>
          <w:lang w:eastAsia="en-GB"/>
        </w:rPr>
        <w:drawing>
          <wp:inline distT="0" distB="0" distL="0" distR="0" wp14:anchorId="5FCB781F" wp14:editId="1BCC366C">
            <wp:extent cx="6120130" cy="381793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120130" cy="3817932"/>
                    </a:xfrm>
                    <a:prstGeom prst="rect">
                      <a:avLst/>
                    </a:prstGeom>
                    <a:noFill/>
                    <a:ln w="9525">
                      <a:noFill/>
                      <a:miter lim="800000"/>
                      <a:headEnd/>
                      <a:tailEnd/>
                    </a:ln>
                  </pic:spPr>
                </pic:pic>
              </a:graphicData>
            </a:graphic>
          </wp:inline>
        </w:drawing>
      </w:r>
    </w:p>
    <w:p w14:paraId="3C936CAA" w14:textId="77777777" w:rsidR="00811E9D" w:rsidRDefault="00811E9D" w:rsidP="00811E9D">
      <w:pPr>
        <w:pStyle w:val="Caption"/>
        <w:rPr>
          <w:noProof/>
          <w:lang w:eastAsia="en-GB"/>
        </w:rPr>
      </w:pPr>
      <w:r w:rsidRPr="00E76DA9">
        <w:rPr>
          <w:b w:val="0"/>
          <w:kern w:val="28"/>
        </w:rPr>
        <w:t>Source: Atkins 2014</w:t>
      </w:r>
      <w:r w:rsidRPr="00E76DA9">
        <w:rPr>
          <w:noProof/>
          <w:lang w:eastAsia="en-GB"/>
        </w:rPr>
        <w:t xml:space="preserve"> </w:t>
      </w:r>
    </w:p>
    <w:p w14:paraId="7EBC9B22" w14:textId="77777777" w:rsidR="00811E9D" w:rsidRPr="009E10B2" w:rsidRDefault="00811E9D" w:rsidP="009E10B2">
      <w:pPr>
        <w:pStyle w:val="Caption"/>
        <w:jc w:val="center"/>
        <w:rPr>
          <w:noProof/>
          <w:color w:val="000000" w:themeColor="accent4"/>
          <w:kern w:val="28"/>
          <w:sz w:val="20"/>
          <w:szCs w:val="20"/>
          <w:lang w:eastAsia="en-GB"/>
        </w:rPr>
      </w:pPr>
      <w:bookmarkStart w:id="300" w:name="_Ref387665092"/>
      <w:bookmarkStart w:id="301" w:name="_Toc391968069"/>
      <w:bookmarkStart w:id="302" w:name="_Toc394657983"/>
      <w:r w:rsidRPr="009E10B2">
        <w:rPr>
          <w:color w:val="000000" w:themeColor="accent4"/>
          <w:kern w:val="28"/>
          <w:sz w:val="20"/>
          <w:szCs w:val="20"/>
        </w:rPr>
        <w:t xml:space="preserve">Figure </w:t>
      </w:r>
      <w:fldSimple w:instr=" STYLEREF 1 \s  \* MERGEFORMAT ">
        <w:r w:rsidR="009E10B2" w:rsidRPr="009E10B2">
          <w:rPr>
            <w:noProof/>
            <w:color w:val="000000" w:themeColor="accent4"/>
            <w:kern w:val="28"/>
            <w:sz w:val="20"/>
            <w:szCs w:val="20"/>
          </w:rPr>
          <w:t>4</w:t>
        </w:r>
      </w:fldSimple>
      <w:r w:rsidRPr="009E10B2">
        <w:rPr>
          <w:color w:val="000000" w:themeColor="accent4"/>
          <w:kern w:val="28"/>
          <w:sz w:val="20"/>
          <w:szCs w:val="20"/>
        </w:rPr>
        <w:t>-</w:t>
      </w:r>
      <w:fldSimple w:instr=" SEQ Figure \* ARABIC \s 1  \* MERGEFORMAT ">
        <w:r w:rsidR="009E10B2" w:rsidRPr="009E10B2">
          <w:rPr>
            <w:noProof/>
            <w:color w:val="000000" w:themeColor="accent4"/>
            <w:kern w:val="28"/>
            <w:sz w:val="20"/>
            <w:szCs w:val="20"/>
          </w:rPr>
          <w:t>2</w:t>
        </w:r>
      </w:fldSimple>
      <w:bookmarkEnd w:id="300"/>
      <w:r w:rsidR="009E10B2">
        <w:rPr>
          <w:color w:val="000000" w:themeColor="accent4"/>
          <w:kern w:val="28"/>
          <w:sz w:val="20"/>
          <w:szCs w:val="20"/>
        </w:rPr>
        <w:t xml:space="preserve">:  Additional </w:t>
      </w:r>
      <w:r w:rsidRPr="009E10B2">
        <w:rPr>
          <w:color w:val="000000" w:themeColor="accent4"/>
          <w:kern w:val="28"/>
          <w:sz w:val="20"/>
          <w:szCs w:val="20"/>
        </w:rPr>
        <w:t>B Use Class Gross Land Demand Scenarios 2013-2032</w:t>
      </w:r>
      <w:bookmarkEnd w:id="301"/>
      <w:r w:rsidR="009E10B2">
        <w:rPr>
          <w:color w:val="000000" w:themeColor="accent4"/>
          <w:kern w:val="28"/>
          <w:sz w:val="20"/>
          <w:szCs w:val="20"/>
        </w:rPr>
        <w:t xml:space="preserve"> (ha)</w:t>
      </w:r>
      <w:bookmarkEnd w:id="302"/>
    </w:p>
    <w:p w14:paraId="24985E57" w14:textId="77777777" w:rsidR="008D1A2F" w:rsidRPr="008D1A2F" w:rsidRDefault="00590640" w:rsidP="009E10B2">
      <w:pPr>
        <w:pStyle w:val="BodyText"/>
        <w:jc w:val="center"/>
        <w:rPr>
          <w:lang w:eastAsia="en-GB"/>
        </w:rPr>
      </w:pPr>
      <w:r w:rsidRPr="00590640">
        <w:rPr>
          <w:noProof/>
          <w:lang w:eastAsia="en-GB"/>
        </w:rPr>
        <w:drawing>
          <wp:inline distT="0" distB="0" distL="0" distR="0" wp14:anchorId="04509C10" wp14:editId="237FC896">
            <wp:extent cx="5029200" cy="30765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67F42B" w14:textId="77777777" w:rsidR="000A01BC" w:rsidRPr="009E10B2" w:rsidRDefault="00811E9D" w:rsidP="00590640">
      <w:pPr>
        <w:pStyle w:val="TableSource"/>
        <w:ind w:left="426"/>
        <w:rPr>
          <w:noProof/>
          <w:lang w:eastAsia="en-GB"/>
        </w:rPr>
      </w:pPr>
      <w:r w:rsidRPr="00E76DA9">
        <w:rPr>
          <w:kern w:val="28"/>
        </w:rPr>
        <w:t>Source: Atkins 2014</w:t>
      </w:r>
      <w:r w:rsidRPr="00E76DA9">
        <w:rPr>
          <w:noProof/>
          <w:lang w:eastAsia="en-GB"/>
        </w:rPr>
        <w:t xml:space="preserve"> </w:t>
      </w:r>
      <w:bookmarkEnd w:id="292"/>
      <w:bookmarkEnd w:id="293"/>
    </w:p>
    <w:p w14:paraId="230ED0D1" w14:textId="77777777" w:rsidR="000A01BC" w:rsidRDefault="00E41B3D" w:rsidP="000A01BC">
      <w:pPr>
        <w:pStyle w:val="Heading1"/>
        <w:pageBreakBefore w:val="0"/>
        <w:tabs>
          <w:tab w:val="clear" w:pos="1021"/>
        </w:tabs>
        <w:spacing w:after="360"/>
      </w:pPr>
      <w:bookmarkStart w:id="303" w:name="_Toc394668595"/>
      <w:r>
        <w:t>Conclusions</w:t>
      </w:r>
      <w:bookmarkEnd w:id="303"/>
      <w:r>
        <w:t xml:space="preserve"> </w:t>
      </w:r>
    </w:p>
    <w:p w14:paraId="0A6DA870" w14:textId="77777777" w:rsidR="00F82293" w:rsidRDefault="003436AC" w:rsidP="00E41B3D">
      <w:pPr>
        <w:pStyle w:val="BodyText"/>
      </w:pPr>
      <w:r>
        <w:t>North East Lincolnshire benefits from a well established and strong economic development policy framework which provides a clear focus for the development of forward-looking employment and land-use policies in the Local Plan and associated strategy documents.  This targeted and prioritised policy framework is reflected in the recently finalised Strategic Economic Plans of the Humber and Lincolnshire LEPs as well as the Borough’s Development and Growth Plan.  These strategy documents provide a sound rationale for pursuing</w:t>
      </w:r>
      <w:r w:rsidR="00F82293">
        <w:t xml:space="preserve"> policy and funding support f</w:t>
      </w:r>
      <w:r>
        <w:t xml:space="preserve">or the five priority sectors </w:t>
      </w:r>
      <w:r w:rsidR="00F82293">
        <w:t>identified in this study:</w:t>
      </w:r>
    </w:p>
    <w:p w14:paraId="2BE3813E" w14:textId="77777777" w:rsidR="00F82293" w:rsidRDefault="00F82293" w:rsidP="00F82293">
      <w:pPr>
        <w:pStyle w:val="ListBullet"/>
      </w:pPr>
      <w:r>
        <w:t>Ports &amp; logistics.</w:t>
      </w:r>
    </w:p>
    <w:p w14:paraId="51E1F5F9" w14:textId="77777777" w:rsidR="00F82293" w:rsidRDefault="00F82293" w:rsidP="00F82293">
      <w:pPr>
        <w:pStyle w:val="ListBullet"/>
      </w:pPr>
      <w:r>
        <w:t>Food manufacturing.</w:t>
      </w:r>
    </w:p>
    <w:p w14:paraId="64A6321D" w14:textId="77777777" w:rsidR="00F82293" w:rsidRDefault="00F82293" w:rsidP="00F82293">
      <w:pPr>
        <w:pStyle w:val="ListBullet"/>
      </w:pPr>
      <w:r>
        <w:t>Renewables &amp; energy.</w:t>
      </w:r>
    </w:p>
    <w:p w14:paraId="56DD6883" w14:textId="77777777" w:rsidR="00F82293" w:rsidRDefault="00F82293" w:rsidP="00F82293">
      <w:pPr>
        <w:pStyle w:val="ListBullet"/>
      </w:pPr>
      <w:r>
        <w:t>Chemicals &amp; process industries.</w:t>
      </w:r>
    </w:p>
    <w:p w14:paraId="06FF4B9A" w14:textId="77777777" w:rsidR="00E41B3D" w:rsidRPr="00E41B3D" w:rsidRDefault="00F82293" w:rsidP="00F82293">
      <w:pPr>
        <w:pStyle w:val="ListBullet"/>
      </w:pPr>
      <w:r>
        <w:t>Visitor economy, services &amp; retail.</w:t>
      </w:r>
      <w:r w:rsidR="003436AC">
        <w:t xml:space="preserve">   </w:t>
      </w:r>
    </w:p>
    <w:p w14:paraId="0B03F68A" w14:textId="77777777" w:rsidR="00CD3974" w:rsidRDefault="00F82293" w:rsidP="00F82293">
      <w:pPr>
        <w:pStyle w:val="BodyText"/>
      </w:pPr>
      <w:r>
        <w:t xml:space="preserve">Despite the notable importance of these key sectors and activity clusters, the future of the North East Lincolnshire economy will depend on the expansion and diversification of all aspects of the economy which should be reflected in the Local Plan and related strategies.  This should include all forms of viable </w:t>
      </w:r>
      <w:r w:rsidR="00914CB2">
        <w:t>manufacturing</w:t>
      </w:r>
      <w:r>
        <w:t>, a wide range of private sector services activities and town centre uses including retail and leisure, and core public sector functions ranging from education and health to public administration.</w:t>
      </w:r>
    </w:p>
    <w:p w14:paraId="3215CA53" w14:textId="77777777" w:rsidR="00914CB2" w:rsidRDefault="00914CB2" w:rsidP="00F82293">
      <w:pPr>
        <w:pStyle w:val="BodyText"/>
      </w:pPr>
      <w:r>
        <w:t>This study assessed three key scenarios ranging from a ‘do-nothing’ baseline position through to a strong policy and highly market focussed scenario.  The scenarios included implications for total jobs growth by economic sector, B use class jobs and implied future additional B use floorspace and land demand.</w:t>
      </w:r>
    </w:p>
    <w:p w14:paraId="08FFA2DB" w14:textId="77777777" w:rsidR="00F82293" w:rsidRDefault="00914CB2" w:rsidP="00F82293">
      <w:pPr>
        <w:pStyle w:val="BodyText"/>
      </w:pPr>
      <w:r>
        <w:t>In summary, the scenario analysis demonstrated potential for:</w:t>
      </w:r>
    </w:p>
    <w:p w14:paraId="521750B9" w14:textId="77777777" w:rsidR="00914CB2" w:rsidRDefault="00914CB2" w:rsidP="00914CB2">
      <w:pPr>
        <w:pStyle w:val="ListBullet"/>
      </w:pPr>
      <w:r>
        <w:t>Total employment to increase from 64,500 to up to 78,700 with scenario growth ranging from 4,400 to 14,000 additional jobs in the period up to 2032.</w:t>
      </w:r>
    </w:p>
    <w:p w14:paraId="6380A6A4" w14:textId="77777777" w:rsidR="00914CB2" w:rsidRDefault="00914CB2" w:rsidP="00914CB2">
      <w:pPr>
        <w:pStyle w:val="ListBullet"/>
      </w:pPr>
      <w:r>
        <w:t>B use employment rising from 27,500 jobs to up to 34,500 with scenario growth ranging from 1,200 to 7,000 additional B use class jobs.</w:t>
      </w:r>
    </w:p>
    <w:p w14:paraId="5985CED3" w14:textId="77777777" w:rsidR="00914CB2" w:rsidRDefault="00914CB2" w:rsidP="00914CB2">
      <w:pPr>
        <w:pStyle w:val="ListBullet"/>
      </w:pPr>
      <w:r>
        <w:t>Additional B use class floorspace needs ra</w:t>
      </w:r>
      <w:r w:rsidR="00F77D6D">
        <w:t>nging from an extra 30,000 to 29</w:t>
      </w:r>
      <w:r>
        <w:t>0,000 sq.m.</w:t>
      </w:r>
    </w:p>
    <w:p w14:paraId="7D5C480B" w14:textId="77777777" w:rsidR="00914CB2" w:rsidRDefault="00914CB2" w:rsidP="00914CB2">
      <w:pPr>
        <w:pStyle w:val="ListBullet"/>
      </w:pPr>
      <w:r>
        <w:t>Additional B use clase em</w:t>
      </w:r>
      <w:r w:rsidR="003E2620">
        <w:t>ployment land need ranging from</w:t>
      </w:r>
      <w:r w:rsidR="00F77D6D">
        <w:t xml:space="preserve"> an extra 8ha 2032 to 8</w:t>
      </w:r>
      <w:r>
        <w:t>9ha in the period up 2032.</w:t>
      </w:r>
    </w:p>
    <w:p w14:paraId="5844D491" w14:textId="77777777" w:rsidR="00F77D6D" w:rsidRDefault="00F77D6D" w:rsidP="00914CB2">
      <w:pPr>
        <w:pStyle w:val="ListBullet"/>
      </w:pPr>
      <w:r>
        <w:t>Potential for the allocation of up 145ha of suitable employment land for the period up to 2032 in order to make sufficient allowance for the land hungry nature of many of the growth sectors being targeted  in the Borough as well as building in a reasonable degree of flexibility and choice for occupier, developer and investor markets.</w:t>
      </w:r>
    </w:p>
    <w:p w14:paraId="639BA134" w14:textId="77777777" w:rsidR="000A01BC" w:rsidRDefault="000A01BC" w:rsidP="00F43E95">
      <w:pPr>
        <w:pStyle w:val="BodyText"/>
        <w:rPr>
          <w:sz w:val="18"/>
          <w:szCs w:val="18"/>
        </w:rPr>
      </w:pPr>
    </w:p>
    <w:p w14:paraId="6484429F" w14:textId="77777777" w:rsidR="00C94A6B" w:rsidRDefault="001E11A8" w:rsidP="000A01BC">
      <w:pPr>
        <w:pStyle w:val="Heading2"/>
        <w:numPr>
          <w:ilvl w:val="0"/>
          <w:numId w:val="0"/>
        </w:numPr>
        <w:ind w:left="1021"/>
        <w:rPr>
          <w:b w:val="0"/>
        </w:rPr>
      </w:pPr>
      <w:r>
        <w:br w:type="page"/>
      </w:r>
      <w:r w:rsidR="000A01BC">
        <w:rPr>
          <w:b w:val="0"/>
        </w:rPr>
        <w:t xml:space="preserve"> </w:t>
      </w:r>
    </w:p>
    <w:p w14:paraId="40FCBBD5" w14:textId="77777777" w:rsidR="00C94A6B" w:rsidRDefault="00C94A6B" w:rsidP="00553A80">
      <w:pPr>
        <w:rPr>
          <w:b/>
        </w:rPr>
      </w:pPr>
    </w:p>
    <w:p w14:paraId="3ABEADB3" w14:textId="3733E3D3" w:rsidR="00127152" w:rsidRDefault="001039D3">
      <w:r>
        <w:rPr>
          <w:noProof/>
          <w:lang w:eastAsia="en-GB"/>
        </w:rPr>
        <mc:AlternateContent>
          <mc:Choice Requires="wps">
            <w:drawing>
              <wp:anchor distT="0" distB="0" distL="114300" distR="114300" simplePos="0" relativeHeight="251680768" behindDoc="0" locked="1" layoutInCell="0" allowOverlap="1" wp14:anchorId="783EF3DC" wp14:editId="1E1C1A91">
                <wp:simplePos x="0" y="0"/>
                <wp:positionH relativeFrom="page">
                  <wp:posOffset>633730</wp:posOffset>
                </wp:positionH>
                <wp:positionV relativeFrom="page">
                  <wp:posOffset>9828530</wp:posOffset>
                </wp:positionV>
                <wp:extent cx="3510915" cy="66040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1E97F" w14:textId="77777777" w:rsidR="005319A7" w:rsidRPr="00812D6D" w:rsidRDefault="005319A7" w:rsidP="00DD4C6F">
                            <w:pPr>
                              <w:pStyle w:val="Footer"/>
                              <w:jc w:val="left"/>
                            </w:pPr>
                            <w:r w:rsidRPr="00812D6D">
                              <w:t>© Atkins Ltd except where stated otherwise.</w:t>
                            </w:r>
                          </w:p>
                          <w:p w14:paraId="6F379E5A" w14:textId="77777777" w:rsidR="005319A7" w:rsidRDefault="005319A7" w:rsidP="00DD4C6F">
                            <w:pPr>
                              <w:pStyle w:val="Footer"/>
                              <w:jc w:val="left"/>
                            </w:pPr>
                          </w:p>
                          <w:p w14:paraId="43C2CE25" w14:textId="77777777" w:rsidR="005319A7" w:rsidRPr="00812D6D" w:rsidRDefault="005319A7" w:rsidP="00DD4C6F">
                            <w:pPr>
                              <w:pStyle w:val="Footer"/>
                              <w:jc w:val="left"/>
                            </w:pPr>
                            <w:r w:rsidRPr="00812D6D">
                              <w:t>The Atkins logo, ‘Carbon Critical Design’ and the strapline</w:t>
                            </w:r>
                            <w:r>
                              <w:br/>
                            </w:r>
                            <w:r w:rsidRPr="00812D6D">
                              <w:t>‘Plan Design Enable’ are trademarks of Atkins Ltd</w:t>
                            </w:r>
                            <w:r>
                              <w:rPr>
                                <w:rFonts w:ascii="Frutiger-Roman" w:hAnsi="Frutiger-Roman" w:cs="Frutiger-Roman"/>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3EF3DC" id="Text Box 4" o:spid="_x0000_s1027" type="#_x0000_t202" style="position:absolute;left:0;text-align:left;margin-left:49.9pt;margin-top:773.9pt;width:276.45pt;height:5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Lu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" o:allowincell="f" filled="f" stroked="f">
                <v:textbox>
                  <w:txbxContent>
                    <w:p w14:paraId="6911E97F" w14:textId="77777777" w:rsidR="005319A7" w:rsidRPr="00812D6D" w:rsidRDefault="005319A7" w:rsidP="00DD4C6F">
                      <w:pPr>
                        <w:pStyle w:val="Footer"/>
                        <w:jc w:val="left"/>
                      </w:pPr>
                      <w:r w:rsidRPr="00812D6D">
                        <w:t>© Atkins Ltd except where stated otherwise.</w:t>
                      </w:r>
                    </w:p>
                    <w:p w14:paraId="6F379E5A" w14:textId="77777777" w:rsidR="005319A7" w:rsidRDefault="005319A7" w:rsidP="00DD4C6F">
                      <w:pPr>
                        <w:pStyle w:val="Footer"/>
                        <w:jc w:val="left"/>
                      </w:pPr>
                    </w:p>
                    <w:p w14:paraId="43C2CE25" w14:textId="77777777" w:rsidR="005319A7" w:rsidRPr="00812D6D" w:rsidRDefault="005319A7" w:rsidP="00DD4C6F">
                      <w:pPr>
                        <w:pStyle w:val="Footer"/>
                        <w:jc w:val="left"/>
                      </w:pPr>
                      <w:r w:rsidRPr="00812D6D">
                        <w:t>The Atkins logo, ‘Carbon Critical Design’ and the strapline</w:t>
                      </w:r>
                      <w:r>
                        <w:br/>
                      </w:r>
                      <w:r w:rsidRPr="00812D6D">
                        <w:t>‘Plan Design Enable’ are trademarks of Atkins Ltd</w:t>
                      </w:r>
                      <w:r>
                        <w:rPr>
                          <w:rFonts w:ascii="Frutiger-Roman" w:hAnsi="Frutiger-Roman" w:cs="Frutiger-Roman"/>
                          <w:szCs w:val="18"/>
                        </w:rPr>
                        <w:t>.</w:t>
                      </w:r>
                    </w:p>
                  </w:txbxContent>
                </v:textbox>
                <w10:wrap anchorx="page" anchory="page"/>
                <w10:anchorlock/>
              </v:shape>
            </w:pict>
          </mc:Fallback>
        </mc:AlternateContent>
      </w:r>
      <w:r w:rsidR="00192586">
        <w:rPr>
          <w:noProof/>
          <w:lang w:eastAsia="en-GB"/>
        </w:rPr>
        <w:drawing>
          <wp:anchor distT="0" distB="0" distL="114300" distR="114300" simplePos="0" relativeHeight="251672576" behindDoc="1" locked="0" layoutInCell="0" allowOverlap="1" wp14:anchorId="221E492B" wp14:editId="7EE9AF0A">
            <wp:simplePos x="0" y="0"/>
            <wp:positionH relativeFrom="page">
              <wp:posOffset>-10795</wp:posOffset>
            </wp:positionH>
            <wp:positionV relativeFrom="page">
              <wp:posOffset>0</wp:posOffset>
            </wp:positionV>
            <wp:extent cx="7582555" cy="10728000"/>
            <wp:effectExtent l="19050" t="0" r="0" b="0"/>
            <wp:wrapNone/>
            <wp:docPr id="4" name="Picture 2" descr="G:\Atkins\8755 Bid templates\8755 Design files\Production\Colourway 1\Covers\Covers_Kaleid_No Images 4 5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kins\8755 Bid templates\8755 Design files\Production\Colourway 1\Covers\Covers_Kaleid_No Images 4 5 copy.gif"/>
                    <pic:cNvPicPr>
                      <a:picLocks noChangeAspect="1" noChangeArrowheads="1"/>
                    </pic:cNvPicPr>
                  </pic:nvPicPr>
                  <pic:blipFill>
                    <a:blip r:embed="rId22" cstate="print"/>
                    <a:srcRect/>
                    <a:stretch>
                      <a:fillRect/>
                    </a:stretch>
                  </pic:blipFill>
                  <pic:spPr bwMode="auto">
                    <a:xfrm>
                      <a:off x="0" y="0"/>
                      <a:ext cx="7582555" cy="10728000"/>
                    </a:xfrm>
                    <a:prstGeom prst="rect">
                      <a:avLst/>
                    </a:prstGeom>
                    <a:noFill/>
                    <a:ln w="9525">
                      <a:noFill/>
                      <a:miter lim="800000"/>
                      <a:headEnd/>
                      <a:tailEnd/>
                    </a:ln>
                  </pic:spPr>
                </pic:pic>
              </a:graphicData>
            </a:graphic>
          </wp:anchor>
        </w:drawing>
      </w:r>
      <w:r w:rsidR="001577F5">
        <w:t xml:space="preserve"> </w:t>
      </w:r>
    </w:p>
    <w:tbl>
      <w:tblPr>
        <w:tblStyle w:val="TableGrid"/>
        <w:tblW w:w="0" w:type="auto"/>
        <w:tblLook w:val="04A0" w:firstRow="1" w:lastRow="0" w:firstColumn="1" w:lastColumn="0" w:noHBand="0" w:noVBand="1"/>
      </w:tblPr>
      <w:tblGrid>
        <w:gridCol w:w="4928"/>
      </w:tblGrid>
      <w:tr w:rsidR="00127152" w:rsidRPr="008A34AA" w14:paraId="5477685B" w14:textId="77777777" w:rsidTr="00A7202A">
        <w:trPr>
          <w:cnfStyle w:val="100000000000" w:firstRow="1" w:lastRow="0" w:firstColumn="0" w:lastColumn="0" w:oddVBand="0" w:evenVBand="0" w:oddHBand="0" w:evenHBand="0" w:firstRowFirstColumn="0" w:firstRowLastColumn="0" w:lastRowFirstColumn="0" w:lastRowLastColumn="0"/>
          <w:trHeight w:val="1002"/>
        </w:trPr>
        <w:tc>
          <w:tcPr>
            <w:tcW w:w="4928" w:type="dxa"/>
          </w:tcPr>
          <w:p w14:paraId="401A8544" w14:textId="77777777" w:rsidR="008A34AA" w:rsidRPr="003E2620" w:rsidRDefault="008A34AA" w:rsidP="006A6B9C">
            <w:pPr>
              <w:pStyle w:val="BodyText"/>
              <w:spacing w:after="0"/>
              <w:jc w:val="left"/>
            </w:pPr>
            <w:r>
              <w:t>Contact name</w:t>
            </w:r>
            <w:r w:rsidR="003E2620">
              <w:t>:  Richard Coburn, Associate Director.</w:t>
            </w:r>
          </w:p>
        </w:tc>
      </w:tr>
      <w:tr w:rsidR="008A34AA" w:rsidRPr="008A34AA" w14:paraId="72DEC750" w14:textId="77777777" w:rsidTr="00A7202A">
        <w:tc>
          <w:tcPr>
            <w:tcW w:w="4928" w:type="dxa"/>
          </w:tcPr>
          <w:p w14:paraId="03EB3F0F" w14:textId="77777777" w:rsidR="008A34AA" w:rsidRPr="00081197" w:rsidRDefault="008A34AA" w:rsidP="006A6B9C">
            <w:pPr>
              <w:pStyle w:val="BodyText"/>
              <w:spacing w:after="0"/>
              <w:jc w:val="left"/>
            </w:pPr>
            <w:r w:rsidRPr="008A34AA">
              <w:rPr>
                <w:b/>
              </w:rPr>
              <w:t>Email:</w:t>
            </w:r>
            <w:r w:rsidR="003E2620">
              <w:rPr>
                <w:b/>
              </w:rPr>
              <w:t xml:space="preserve"> Richard.coburn@atkinsglobal.com</w:t>
            </w:r>
          </w:p>
        </w:tc>
      </w:tr>
      <w:tr w:rsidR="00127152" w:rsidRPr="008A34AA" w14:paraId="47EAD45A" w14:textId="77777777" w:rsidTr="00A7202A">
        <w:tc>
          <w:tcPr>
            <w:tcW w:w="4928" w:type="dxa"/>
          </w:tcPr>
          <w:p w14:paraId="67912FFC" w14:textId="77777777" w:rsidR="00127152" w:rsidRPr="00081197" w:rsidRDefault="00127152" w:rsidP="006A6B9C">
            <w:pPr>
              <w:pStyle w:val="BodyText"/>
              <w:spacing w:after="0"/>
              <w:jc w:val="left"/>
            </w:pPr>
          </w:p>
        </w:tc>
      </w:tr>
      <w:tr w:rsidR="008A34AA" w:rsidRPr="008A34AA" w14:paraId="5E35AD1F" w14:textId="77777777" w:rsidTr="00A7202A">
        <w:tc>
          <w:tcPr>
            <w:tcW w:w="4928" w:type="dxa"/>
          </w:tcPr>
          <w:p w14:paraId="16E15990" w14:textId="77777777" w:rsidR="008A34AA" w:rsidRPr="00081197" w:rsidRDefault="008A34AA" w:rsidP="006A6B9C">
            <w:pPr>
              <w:pStyle w:val="BodyText"/>
              <w:spacing w:after="0"/>
              <w:jc w:val="left"/>
            </w:pPr>
            <w:r w:rsidRPr="008A34AA">
              <w:rPr>
                <w:b/>
              </w:rPr>
              <w:t>Direct telephone:</w:t>
            </w:r>
            <w:r w:rsidR="003E2620">
              <w:rPr>
                <w:b/>
              </w:rPr>
              <w:t xml:space="preserve"> 020 7121 7324</w:t>
            </w:r>
          </w:p>
        </w:tc>
      </w:tr>
      <w:tr w:rsidR="008A34AA" w:rsidRPr="008A34AA" w14:paraId="3759F5A4" w14:textId="77777777" w:rsidTr="00A7202A">
        <w:tc>
          <w:tcPr>
            <w:tcW w:w="4928" w:type="dxa"/>
          </w:tcPr>
          <w:p w14:paraId="4C3F66DC" w14:textId="77777777" w:rsidR="008A34AA" w:rsidRPr="00081197" w:rsidRDefault="008A34AA" w:rsidP="006A6B9C">
            <w:pPr>
              <w:pStyle w:val="BodyText"/>
              <w:spacing w:after="0"/>
              <w:jc w:val="left"/>
            </w:pPr>
          </w:p>
        </w:tc>
      </w:tr>
    </w:tbl>
    <w:p w14:paraId="113167C0" w14:textId="77777777" w:rsidR="00127152" w:rsidRPr="0006413F" w:rsidRDefault="00127152" w:rsidP="0006413F">
      <w:pPr>
        <w:pStyle w:val="BodyText"/>
      </w:pPr>
    </w:p>
    <w:sectPr w:rsidR="00127152" w:rsidRPr="0006413F" w:rsidSect="00E01C2D">
      <w:footerReference w:type="default" r:id="rId23"/>
      <w:pgSz w:w="11906" w:h="16838" w:code="9"/>
      <w:pgMar w:top="964" w:right="1134" w:bottom="964" w:left="1134" w:header="510" w:footer="510" w:gutter="0"/>
      <w:cols w:space="284"/>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F7EE1" w14:textId="77777777" w:rsidR="005319A7" w:rsidRDefault="005319A7">
      <w:r>
        <w:separator/>
      </w:r>
    </w:p>
  </w:endnote>
  <w:endnote w:type="continuationSeparator" w:id="0">
    <w:p w14:paraId="582814F4" w14:textId="77777777" w:rsidR="005319A7" w:rsidRDefault="0053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C7589" w14:textId="77777777" w:rsidR="005319A7" w:rsidRDefault="005319A7" w:rsidP="006A6B9C">
    <w:pPr>
      <w:pStyle w:val="Footer"/>
      <w:pBdr>
        <w:top w:val="single" w:sz="4" w:space="2" w:color="BED600"/>
      </w:pBdr>
      <w:jc w:val="left"/>
    </w:pPr>
    <w:r w:rsidRPr="006B663A">
      <w:rPr>
        <w:b/>
      </w:rPr>
      <w:t>Atkins</w:t>
    </w:r>
    <w:r>
      <w:t xml:space="preserve"> North East Lincolnshire Futures Report July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8197A" w14:textId="77777777" w:rsidR="005319A7" w:rsidRPr="00127152" w:rsidRDefault="005319A7" w:rsidP="00127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DDC49" w14:textId="77777777" w:rsidR="005319A7" w:rsidRDefault="005319A7">
      <w:r>
        <w:separator/>
      </w:r>
    </w:p>
  </w:footnote>
  <w:footnote w:type="continuationSeparator" w:id="0">
    <w:p w14:paraId="1D9FC277" w14:textId="77777777" w:rsidR="005319A7" w:rsidRDefault="005319A7">
      <w:r>
        <w:continuationSeparator/>
      </w:r>
    </w:p>
  </w:footnote>
  <w:footnote w:id="1">
    <w:p w14:paraId="50397848" w14:textId="77777777" w:rsidR="005319A7" w:rsidRPr="007318C2" w:rsidRDefault="005319A7" w:rsidP="009768CA">
      <w:pPr>
        <w:pStyle w:val="FootnoteText"/>
        <w:rPr>
          <w:lang w:val="en-GB"/>
        </w:rPr>
      </w:pPr>
      <w:r>
        <w:rPr>
          <w:rStyle w:val="FootnoteReference"/>
        </w:rPr>
        <w:footnoteRef/>
      </w:r>
      <w:r>
        <w:t xml:space="preserve"> </w:t>
      </w:r>
      <w:r>
        <w:rPr>
          <w:lang w:val="en-GB"/>
        </w:rPr>
        <w:t>North East Lincolnshire Strategic Housing Market Assessment, GVA, May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19048" w14:textId="77777777" w:rsidR="005319A7" w:rsidRPr="006B663A" w:rsidRDefault="005319A7" w:rsidP="006A6B9C">
    <w:pPr>
      <w:pStyle w:val="Header"/>
      <w:pBdr>
        <w:bottom w:val="single" w:sz="4" w:space="2" w:color="BED600"/>
      </w:pBdr>
      <w:jc w:val="right"/>
      <w:rPr>
        <w:b/>
      </w:rPr>
    </w:pPr>
    <w:r w:rsidRPr="006B663A">
      <w:rPr>
        <w:b/>
      </w:rPr>
      <w:fldChar w:fldCharType="begin"/>
    </w:r>
    <w:r w:rsidRPr="006B663A">
      <w:rPr>
        <w:b/>
      </w:rPr>
      <w:instrText xml:space="preserve"> PAGE   \* MERGEFORMAT </w:instrText>
    </w:r>
    <w:r w:rsidRPr="006B663A">
      <w:rPr>
        <w:b/>
      </w:rPr>
      <w:fldChar w:fldCharType="separate"/>
    </w:r>
    <w:r w:rsidR="004B31F9">
      <w:rPr>
        <w:b/>
        <w:noProof/>
      </w:rPr>
      <w:t>2</w:t>
    </w:r>
    <w:r w:rsidRPr="006B663A">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6B7"/>
    <w:multiLevelType w:val="multilevel"/>
    <w:tmpl w:val="5BFE9936"/>
    <w:numStyleLink w:val="Atkinsbullets"/>
  </w:abstractNum>
  <w:abstractNum w:abstractNumId="1">
    <w:nsid w:val="05D90022"/>
    <w:multiLevelType w:val="hybridMultilevel"/>
    <w:tmpl w:val="AC360478"/>
    <w:lvl w:ilvl="0" w:tplc="08090001">
      <w:start w:val="1"/>
      <w:numFmt w:val="bullet"/>
      <w:lvlText w:val=""/>
      <w:lvlJc w:val="left"/>
      <w:pPr>
        <w:ind w:left="445" w:hanging="360"/>
      </w:pPr>
      <w:rPr>
        <w:rFonts w:ascii="Symbol" w:hAnsi="Symbol"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2">
    <w:nsid w:val="07073EA3"/>
    <w:multiLevelType w:val="hybridMultilevel"/>
    <w:tmpl w:val="5DD4E2D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nsid w:val="09110F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A2E65"/>
    <w:multiLevelType w:val="multilevel"/>
    <w:tmpl w:val="C28E78FA"/>
    <w:lvl w:ilvl="0">
      <w:start w:val="1"/>
      <w:numFmt w:val="decimal"/>
      <w:pStyle w:val="Heading1"/>
      <w:lvlText w:val="%1."/>
      <w:lvlJc w:val="left"/>
      <w:pPr>
        <w:tabs>
          <w:tab w:val="num" w:pos="1021"/>
        </w:tabs>
        <w:ind w:left="1021" w:hanging="1021"/>
      </w:pPr>
      <w:rPr>
        <w:rFonts w:hint="default"/>
      </w:rPr>
    </w:lvl>
    <w:lvl w:ilvl="1">
      <w:start w:val="1"/>
      <w:numFmt w:val="decimal"/>
      <w:pStyle w:val="Heading2"/>
      <w:lvlText w:val="%1.%2."/>
      <w:lvlJc w:val="left"/>
      <w:pPr>
        <w:tabs>
          <w:tab w:val="num" w:pos="1021"/>
        </w:tabs>
        <w:ind w:left="1021" w:hanging="102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021"/>
        </w:tabs>
        <w:ind w:left="1021" w:hanging="102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upperLetter"/>
      <w:pStyle w:val="Heading6"/>
      <w:lvlText w:val="%6."/>
      <w:lvlJc w:val="left"/>
      <w:pPr>
        <w:tabs>
          <w:tab w:val="num" w:pos="1021"/>
        </w:tabs>
        <w:ind w:left="1021" w:hanging="1021"/>
      </w:pPr>
      <w:rPr>
        <w:rFonts w:hint="default"/>
      </w:rPr>
    </w:lvl>
    <w:lvl w:ilvl="6">
      <w:start w:val="1"/>
      <w:numFmt w:val="decimal"/>
      <w:pStyle w:val="Heading7"/>
      <w:lvlText w:val="%6.%7."/>
      <w:lvlJc w:val="left"/>
      <w:pPr>
        <w:tabs>
          <w:tab w:val="num" w:pos="1021"/>
        </w:tabs>
        <w:ind w:left="1021" w:hanging="1021"/>
      </w:pPr>
      <w:rPr>
        <w:rFonts w:hint="default"/>
      </w:rPr>
    </w:lvl>
    <w:lvl w:ilvl="7">
      <w:start w:val="1"/>
      <w:numFmt w:val="decimal"/>
      <w:pStyle w:val="Heading8"/>
      <w:lvlText w:val="%6.%7.%8."/>
      <w:lvlJc w:val="left"/>
      <w:pPr>
        <w:tabs>
          <w:tab w:val="num" w:pos="1021"/>
        </w:tabs>
        <w:ind w:left="1021" w:hanging="1021"/>
      </w:pPr>
      <w:rPr>
        <w:rFonts w:hint="default"/>
      </w:rPr>
    </w:lvl>
    <w:lvl w:ilvl="8">
      <w:start w:val="1"/>
      <w:numFmt w:val="decimal"/>
      <w:pStyle w:val="Heading9"/>
      <w:lvlText w:val="%6.%7.%8.%9."/>
      <w:lvlJc w:val="left"/>
      <w:pPr>
        <w:tabs>
          <w:tab w:val="num" w:pos="1021"/>
        </w:tabs>
        <w:ind w:left="1021" w:hanging="1021"/>
      </w:pPr>
      <w:rPr>
        <w:rFonts w:hint="default"/>
      </w:rPr>
    </w:lvl>
  </w:abstractNum>
  <w:abstractNum w:abstractNumId="5">
    <w:nsid w:val="0CB66207"/>
    <w:multiLevelType w:val="multilevel"/>
    <w:tmpl w:val="5BFE9936"/>
    <w:styleLink w:val="Atkinsbullets"/>
    <w:lvl w:ilvl="0">
      <w:start w:val="1"/>
      <w:numFmt w:val="bullet"/>
      <w:pStyle w:val="ListBullet"/>
      <w:lvlText w:val=""/>
      <w:lvlJc w:val="left"/>
      <w:pPr>
        <w:tabs>
          <w:tab w:val="num" w:pos="567"/>
        </w:tabs>
        <w:ind w:left="1021" w:hanging="454"/>
      </w:pPr>
      <w:rPr>
        <w:rFonts w:ascii="Wingdings" w:hAnsi="Wingdings" w:hint="default"/>
      </w:rPr>
    </w:lvl>
    <w:lvl w:ilvl="1">
      <w:start w:val="1"/>
      <w:numFmt w:val="bullet"/>
      <w:lvlText w:val="–"/>
      <w:lvlJc w:val="left"/>
      <w:pPr>
        <w:tabs>
          <w:tab w:val="num" w:pos="1021"/>
        </w:tabs>
        <w:ind w:left="1475" w:hanging="454"/>
      </w:pPr>
      <w:rPr>
        <w:rFonts w:ascii="Tahoma" w:hAnsi="Tahoma" w:hint="default"/>
      </w:rPr>
    </w:lvl>
    <w:lvl w:ilvl="2">
      <w:start w:val="1"/>
      <w:numFmt w:val="bullet"/>
      <w:lvlText w:val="–"/>
      <w:lvlJc w:val="left"/>
      <w:pPr>
        <w:tabs>
          <w:tab w:val="num" w:pos="1475"/>
        </w:tabs>
        <w:ind w:left="1929" w:hanging="454"/>
      </w:pPr>
      <w:rPr>
        <w:rFonts w:ascii="Tahoma" w:hAnsi="Tahoma" w:hint="default"/>
      </w:rPr>
    </w:lvl>
    <w:lvl w:ilvl="3">
      <w:start w:val="1"/>
      <w:numFmt w:val="bullet"/>
      <w:lvlText w:val="–"/>
      <w:lvlJc w:val="left"/>
      <w:pPr>
        <w:tabs>
          <w:tab w:val="num" w:pos="1929"/>
        </w:tabs>
        <w:ind w:left="2383" w:hanging="454"/>
      </w:pPr>
      <w:rPr>
        <w:rFonts w:ascii="Tahoma" w:hAnsi="Tahoma" w:hint="default"/>
      </w:rPr>
    </w:lvl>
    <w:lvl w:ilvl="4">
      <w:start w:val="1"/>
      <w:numFmt w:val="bullet"/>
      <w:lvlText w:val="–"/>
      <w:lvlJc w:val="left"/>
      <w:pPr>
        <w:tabs>
          <w:tab w:val="num" w:pos="2383"/>
        </w:tabs>
        <w:ind w:left="2837" w:hanging="454"/>
      </w:pPr>
      <w:rPr>
        <w:rFonts w:ascii="Tahoma" w:hAnsi="Tahoma" w:hint="default"/>
      </w:rPr>
    </w:lvl>
    <w:lvl w:ilvl="5">
      <w:start w:val="1"/>
      <w:numFmt w:val="bullet"/>
      <w:lvlText w:val="–"/>
      <w:lvlJc w:val="left"/>
      <w:pPr>
        <w:tabs>
          <w:tab w:val="num" w:pos="2837"/>
        </w:tabs>
        <w:ind w:left="3291" w:hanging="454"/>
      </w:pPr>
      <w:rPr>
        <w:rFonts w:ascii="Tahoma" w:hAnsi="Tahoma" w:hint="default"/>
      </w:rPr>
    </w:lvl>
    <w:lvl w:ilvl="6">
      <w:start w:val="1"/>
      <w:numFmt w:val="bullet"/>
      <w:lvlText w:val="–"/>
      <w:lvlJc w:val="left"/>
      <w:pPr>
        <w:tabs>
          <w:tab w:val="num" w:pos="3291"/>
        </w:tabs>
        <w:ind w:left="3745" w:hanging="454"/>
      </w:pPr>
      <w:rPr>
        <w:rFonts w:ascii="Tahoma" w:hAnsi="Tahoma" w:hint="default"/>
      </w:rPr>
    </w:lvl>
    <w:lvl w:ilvl="7">
      <w:start w:val="1"/>
      <w:numFmt w:val="bullet"/>
      <w:lvlText w:val="–"/>
      <w:lvlJc w:val="left"/>
      <w:pPr>
        <w:tabs>
          <w:tab w:val="num" w:pos="3745"/>
        </w:tabs>
        <w:ind w:left="4199" w:hanging="454"/>
      </w:pPr>
      <w:rPr>
        <w:rFonts w:ascii="Tahoma" w:hAnsi="Tahoma" w:hint="default"/>
      </w:rPr>
    </w:lvl>
    <w:lvl w:ilvl="8">
      <w:start w:val="1"/>
      <w:numFmt w:val="bullet"/>
      <w:lvlText w:val="–"/>
      <w:lvlJc w:val="left"/>
      <w:pPr>
        <w:tabs>
          <w:tab w:val="num" w:pos="4199"/>
        </w:tabs>
        <w:ind w:left="4653" w:hanging="454"/>
      </w:pPr>
      <w:rPr>
        <w:rFonts w:ascii="Tahoma" w:hAnsi="Tahoma" w:hint="default"/>
      </w:rPr>
    </w:lvl>
  </w:abstractNum>
  <w:abstractNum w:abstractNumId="6">
    <w:nsid w:val="12643E20"/>
    <w:multiLevelType w:val="multilevel"/>
    <w:tmpl w:val="051C41E6"/>
    <w:styleLink w:val="ATKINSNUMBERS"/>
    <w:lvl w:ilvl="0">
      <w:start w:val="1"/>
      <w:numFmt w:val="decimal"/>
      <w:lvlText w:val="%1)"/>
      <w:lvlJc w:val="left"/>
      <w:pPr>
        <w:tabs>
          <w:tab w:val="num" w:pos="567"/>
        </w:tabs>
        <w:ind w:left="567" w:hanging="567"/>
      </w:pPr>
      <w:rPr>
        <w:rFonts w:asciiTheme="minorHAnsi" w:hAnsiTheme="minorHAnsi" w:hint="default"/>
        <w:b w:val="0"/>
        <w:i w:val="0"/>
      </w:rPr>
    </w:lvl>
    <w:lvl w:ilvl="1">
      <w:start w:val="1"/>
      <w:numFmt w:val="decimal"/>
      <w:lvlText w:val="%2)"/>
      <w:lvlJc w:val="left"/>
      <w:pPr>
        <w:tabs>
          <w:tab w:val="num" w:pos="1134"/>
        </w:tabs>
        <w:ind w:left="1134" w:hanging="567"/>
      </w:pPr>
      <w:rPr>
        <w:rFonts w:hint="default"/>
      </w:rPr>
    </w:lvl>
    <w:lvl w:ilvl="2">
      <w:start w:val="1"/>
      <w:numFmt w:val="decimal"/>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right"/>
      <w:pPr>
        <w:tabs>
          <w:tab w:val="num" w:pos="5103"/>
        </w:tabs>
        <w:ind w:left="5103" w:hanging="567"/>
      </w:pPr>
      <w:rPr>
        <w:rFonts w:hint="default"/>
      </w:rPr>
    </w:lvl>
  </w:abstractNum>
  <w:abstractNum w:abstractNumId="7">
    <w:nsid w:val="1722242D"/>
    <w:multiLevelType w:val="hybridMultilevel"/>
    <w:tmpl w:val="F168CE5A"/>
    <w:lvl w:ilvl="0" w:tplc="58DC783A">
      <w:start w:val="1"/>
      <w:numFmt w:val="decimal"/>
      <w:pStyle w:val="TableTitle"/>
      <w:lvlText w:val="Table %1."/>
      <w:lvlJc w:val="left"/>
      <w:pPr>
        <w:ind w:left="644" w:hanging="360"/>
      </w:pPr>
      <w:rPr>
        <w:rFonts w:hint="default"/>
      </w:rPr>
    </w:lvl>
    <w:lvl w:ilvl="1" w:tplc="C196295A" w:tentative="1">
      <w:start w:val="1"/>
      <w:numFmt w:val="lowerLetter"/>
      <w:lvlText w:val="%2."/>
      <w:lvlJc w:val="left"/>
      <w:pPr>
        <w:ind w:left="1364" w:hanging="360"/>
      </w:pPr>
    </w:lvl>
    <w:lvl w:ilvl="2" w:tplc="BD309376" w:tentative="1">
      <w:start w:val="1"/>
      <w:numFmt w:val="lowerRoman"/>
      <w:lvlText w:val="%3."/>
      <w:lvlJc w:val="right"/>
      <w:pPr>
        <w:ind w:left="2084" w:hanging="180"/>
      </w:pPr>
    </w:lvl>
    <w:lvl w:ilvl="3" w:tplc="B9989F0A" w:tentative="1">
      <w:start w:val="1"/>
      <w:numFmt w:val="decimal"/>
      <w:lvlText w:val="%4."/>
      <w:lvlJc w:val="left"/>
      <w:pPr>
        <w:ind w:left="2804" w:hanging="360"/>
      </w:pPr>
    </w:lvl>
    <w:lvl w:ilvl="4" w:tplc="CF1A98E4" w:tentative="1">
      <w:start w:val="1"/>
      <w:numFmt w:val="lowerLetter"/>
      <w:lvlText w:val="%5."/>
      <w:lvlJc w:val="left"/>
      <w:pPr>
        <w:ind w:left="3524" w:hanging="360"/>
      </w:pPr>
    </w:lvl>
    <w:lvl w:ilvl="5" w:tplc="E0D27BA4" w:tentative="1">
      <w:start w:val="1"/>
      <w:numFmt w:val="lowerRoman"/>
      <w:lvlText w:val="%6."/>
      <w:lvlJc w:val="right"/>
      <w:pPr>
        <w:ind w:left="4244" w:hanging="180"/>
      </w:pPr>
    </w:lvl>
    <w:lvl w:ilvl="6" w:tplc="D2883004" w:tentative="1">
      <w:start w:val="1"/>
      <w:numFmt w:val="decimal"/>
      <w:lvlText w:val="%7."/>
      <w:lvlJc w:val="left"/>
      <w:pPr>
        <w:ind w:left="4964" w:hanging="360"/>
      </w:pPr>
    </w:lvl>
    <w:lvl w:ilvl="7" w:tplc="60203FF2" w:tentative="1">
      <w:start w:val="1"/>
      <w:numFmt w:val="lowerLetter"/>
      <w:lvlText w:val="%8."/>
      <w:lvlJc w:val="left"/>
      <w:pPr>
        <w:ind w:left="5684" w:hanging="360"/>
      </w:pPr>
    </w:lvl>
    <w:lvl w:ilvl="8" w:tplc="9BD4AF7A" w:tentative="1">
      <w:start w:val="1"/>
      <w:numFmt w:val="lowerRoman"/>
      <w:lvlText w:val="%9."/>
      <w:lvlJc w:val="right"/>
      <w:pPr>
        <w:ind w:left="6404" w:hanging="180"/>
      </w:pPr>
    </w:lvl>
  </w:abstractNum>
  <w:abstractNum w:abstractNumId="8">
    <w:nsid w:val="24A80CD2"/>
    <w:multiLevelType w:val="hybridMultilevel"/>
    <w:tmpl w:val="0468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37256"/>
    <w:multiLevelType w:val="hybridMultilevel"/>
    <w:tmpl w:val="4130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B90DFC"/>
    <w:multiLevelType w:val="hybridMultilevel"/>
    <w:tmpl w:val="608E9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FA1C99"/>
    <w:multiLevelType w:val="hybridMultilevel"/>
    <w:tmpl w:val="924CD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A26D63"/>
    <w:multiLevelType w:val="multilevel"/>
    <w:tmpl w:val="0AAE1E2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FE34DA9"/>
    <w:multiLevelType w:val="hybridMultilevel"/>
    <w:tmpl w:val="0BD4411E"/>
    <w:lvl w:ilvl="0" w:tplc="A784F374">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4">
    <w:nsid w:val="315F5491"/>
    <w:multiLevelType w:val="hybridMultilevel"/>
    <w:tmpl w:val="0B70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55074"/>
    <w:multiLevelType w:val="hybridMultilevel"/>
    <w:tmpl w:val="E4B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C61552"/>
    <w:multiLevelType w:val="hybridMultilevel"/>
    <w:tmpl w:val="1BF85466"/>
    <w:lvl w:ilvl="0" w:tplc="102E35F2">
      <w:start w:val="1"/>
      <w:numFmt w:val="bullet"/>
      <w:lvlText w:val=""/>
      <w:lvlJc w:val="left"/>
      <w:pPr>
        <w:ind w:left="720" w:hanging="360"/>
      </w:pPr>
      <w:rPr>
        <w:rFonts w:ascii="Symbol" w:hAnsi="Symbol" w:hint="default"/>
      </w:rPr>
    </w:lvl>
    <w:lvl w:ilvl="1" w:tplc="D594077C" w:tentative="1">
      <w:start w:val="1"/>
      <w:numFmt w:val="bullet"/>
      <w:lvlText w:val="o"/>
      <w:lvlJc w:val="left"/>
      <w:pPr>
        <w:ind w:left="1440" w:hanging="360"/>
      </w:pPr>
      <w:rPr>
        <w:rFonts w:ascii="Courier New" w:hAnsi="Courier New" w:cs="Courier New" w:hint="default"/>
      </w:rPr>
    </w:lvl>
    <w:lvl w:ilvl="2" w:tplc="5E38DCCA" w:tentative="1">
      <w:start w:val="1"/>
      <w:numFmt w:val="bullet"/>
      <w:lvlText w:val=""/>
      <w:lvlJc w:val="left"/>
      <w:pPr>
        <w:ind w:left="2160" w:hanging="360"/>
      </w:pPr>
      <w:rPr>
        <w:rFonts w:ascii="Wingdings" w:hAnsi="Wingdings" w:hint="default"/>
      </w:rPr>
    </w:lvl>
    <w:lvl w:ilvl="3" w:tplc="B5E24D20" w:tentative="1">
      <w:start w:val="1"/>
      <w:numFmt w:val="bullet"/>
      <w:lvlText w:val=""/>
      <w:lvlJc w:val="left"/>
      <w:pPr>
        <w:ind w:left="2880" w:hanging="360"/>
      </w:pPr>
      <w:rPr>
        <w:rFonts w:ascii="Symbol" w:hAnsi="Symbol" w:hint="default"/>
      </w:rPr>
    </w:lvl>
    <w:lvl w:ilvl="4" w:tplc="11EE258E" w:tentative="1">
      <w:start w:val="1"/>
      <w:numFmt w:val="bullet"/>
      <w:lvlText w:val="o"/>
      <w:lvlJc w:val="left"/>
      <w:pPr>
        <w:ind w:left="3600" w:hanging="360"/>
      </w:pPr>
      <w:rPr>
        <w:rFonts w:ascii="Courier New" w:hAnsi="Courier New" w:cs="Courier New" w:hint="default"/>
      </w:rPr>
    </w:lvl>
    <w:lvl w:ilvl="5" w:tplc="279CFF32" w:tentative="1">
      <w:start w:val="1"/>
      <w:numFmt w:val="bullet"/>
      <w:lvlText w:val=""/>
      <w:lvlJc w:val="left"/>
      <w:pPr>
        <w:ind w:left="4320" w:hanging="360"/>
      </w:pPr>
      <w:rPr>
        <w:rFonts w:ascii="Wingdings" w:hAnsi="Wingdings" w:hint="default"/>
      </w:rPr>
    </w:lvl>
    <w:lvl w:ilvl="6" w:tplc="B77A669C" w:tentative="1">
      <w:start w:val="1"/>
      <w:numFmt w:val="bullet"/>
      <w:lvlText w:val=""/>
      <w:lvlJc w:val="left"/>
      <w:pPr>
        <w:ind w:left="5040" w:hanging="360"/>
      </w:pPr>
      <w:rPr>
        <w:rFonts w:ascii="Symbol" w:hAnsi="Symbol" w:hint="default"/>
      </w:rPr>
    </w:lvl>
    <w:lvl w:ilvl="7" w:tplc="E9C23E2A" w:tentative="1">
      <w:start w:val="1"/>
      <w:numFmt w:val="bullet"/>
      <w:lvlText w:val="o"/>
      <w:lvlJc w:val="left"/>
      <w:pPr>
        <w:ind w:left="5760" w:hanging="360"/>
      </w:pPr>
      <w:rPr>
        <w:rFonts w:ascii="Courier New" w:hAnsi="Courier New" w:cs="Courier New" w:hint="default"/>
      </w:rPr>
    </w:lvl>
    <w:lvl w:ilvl="8" w:tplc="2500D1A6" w:tentative="1">
      <w:start w:val="1"/>
      <w:numFmt w:val="bullet"/>
      <w:lvlText w:val=""/>
      <w:lvlJc w:val="left"/>
      <w:pPr>
        <w:ind w:left="6480" w:hanging="360"/>
      </w:pPr>
      <w:rPr>
        <w:rFonts w:ascii="Wingdings" w:hAnsi="Wingdings" w:hint="default"/>
      </w:rPr>
    </w:lvl>
  </w:abstractNum>
  <w:abstractNum w:abstractNumId="17">
    <w:nsid w:val="47892287"/>
    <w:multiLevelType w:val="hybridMultilevel"/>
    <w:tmpl w:val="79D4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2642BD"/>
    <w:multiLevelType w:val="hybridMultilevel"/>
    <w:tmpl w:val="04EC173A"/>
    <w:lvl w:ilvl="0" w:tplc="08090001">
      <w:start w:val="1"/>
      <w:numFmt w:val="decimal"/>
      <w:pStyle w:val="ListNumber"/>
      <w:lvlText w:val="%1)"/>
      <w:lvlJc w:val="left"/>
      <w:pPr>
        <w:ind w:left="360" w:hanging="360"/>
      </w:pPr>
      <w:rPr>
        <w:rFonts w:asciiTheme="minorHAnsi" w:hAnsiTheme="minorHAnsi" w:hint="default"/>
        <w:b w:val="0"/>
        <w:i w:val="0"/>
        <w:color w:val="00000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nsid w:val="4F011735"/>
    <w:multiLevelType w:val="hybridMultilevel"/>
    <w:tmpl w:val="2004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B93A5F"/>
    <w:multiLevelType w:val="hybridMultilevel"/>
    <w:tmpl w:val="14B2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F715AA"/>
    <w:multiLevelType w:val="hybridMultilevel"/>
    <w:tmpl w:val="BA34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E31346"/>
    <w:multiLevelType w:val="hybridMultilevel"/>
    <w:tmpl w:val="282A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D1008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731C4FAE"/>
    <w:multiLevelType w:val="hybridMultilevel"/>
    <w:tmpl w:val="D43C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BE717E"/>
    <w:multiLevelType w:val="hybridMultilevel"/>
    <w:tmpl w:val="5D888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905046C"/>
    <w:multiLevelType w:val="hybridMultilevel"/>
    <w:tmpl w:val="82C0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333671"/>
    <w:multiLevelType w:val="hybridMultilevel"/>
    <w:tmpl w:val="88CEE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F942C19"/>
    <w:multiLevelType w:val="hybridMultilevel"/>
    <w:tmpl w:val="0852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2"/>
  </w:num>
  <w:num w:numId="4">
    <w:abstractNumId w:val="18"/>
  </w:num>
  <w:num w:numId="5">
    <w:abstractNumId w:val="6"/>
  </w:num>
  <w:num w:numId="6">
    <w:abstractNumId w:val="4"/>
  </w:num>
  <w:num w:numId="7">
    <w:abstractNumId w:val="5"/>
  </w:num>
  <w:num w:numId="8">
    <w:abstractNumId w:val="0"/>
  </w:num>
  <w:num w:numId="9">
    <w:abstractNumId w:val="11"/>
  </w:num>
  <w:num w:numId="10">
    <w:abstractNumId w:val="13"/>
  </w:num>
  <w:num w:numId="11">
    <w:abstractNumId w:val="1"/>
  </w:num>
  <w:num w:numId="12">
    <w:abstractNumId w:val="7"/>
  </w:num>
  <w:num w:numId="13">
    <w:abstractNumId w:val="16"/>
  </w:num>
  <w:num w:numId="14">
    <w:abstractNumId w:val="26"/>
  </w:num>
  <w:num w:numId="15">
    <w:abstractNumId w:val="22"/>
  </w:num>
  <w:num w:numId="16">
    <w:abstractNumId w:val="24"/>
  </w:num>
  <w:num w:numId="17">
    <w:abstractNumId w:val="15"/>
  </w:num>
  <w:num w:numId="18">
    <w:abstractNumId w:val="8"/>
  </w:num>
  <w:num w:numId="19">
    <w:abstractNumId w:val="14"/>
  </w:num>
  <w:num w:numId="20">
    <w:abstractNumId w:val="10"/>
  </w:num>
  <w:num w:numId="21">
    <w:abstractNumId w:val="27"/>
  </w:num>
  <w:num w:numId="22">
    <w:abstractNumId w:val="28"/>
  </w:num>
  <w:num w:numId="23">
    <w:abstractNumId w:val="21"/>
  </w:num>
  <w:num w:numId="24">
    <w:abstractNumId w:val="2"/>
  </w:num>
  <w:num w:numId="25">
    <w:abstractNumId w:val="19"/>
  </w:num>
  <w:num w:numId="26">
    <w:abstractNumId w:val="9"/>
  </w:num>
  <w:num w:numId="27">
    <w:abstractNumId w:val="17"/>
  </w:num>
  <w:num w:numId="28">
    <w:abstractNumId w:val="25"/>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revisionView w:markup="0"/>
  <w:trackRevisions/>
  <w:styleLockTheme/>
  <w:styleLockQFSet/>
  <w:defaultTabStop w:val="720"/>
  <w:drawingGridHorizontalSpacing w:val="120"/>
  <w:displayHorizontalDrawingGridEvery w:val="2"/>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4C"/>
    <w:rsid w:val="00003990"/>
    <w:rsid w:val="000105C5"/>
    <w:rsid w:val="00011EA8"/>
    <w:rsid w:val="00013561"/>
    <w:rsid w:val="00014C57"/>
    <w:rsid w:val="00014FF8"/>
    <w:rsid w:val="00015FBF"/>
    <w:rsid w:val="00021F6B"/>
    <w:rsid w:val="00030303"/>
    <w:rsid w:val="00031564"/>
    <w:rsid w:val="00034BEA"/>
    <w:rsid w:val="00043866"/>
    <w:rsid w:val="0005171B"/>
    <w:rsid w:val="00051E6D"/>
    <w:rsid w:val="0006140B"/>
    <w:rsid w:val="000619D6"/>
    <w:rsid w:val="0006413F"/>
    <w:rsid w:val="00081197"/>
    <w:rsid w:val="00082543"/>
    <w:rsid w:val="000826B3"/>
    <w:rsid w:val="000869DD"/>
    <w:rsid w:val="000925B0"/>
    <w:rsid w:val="000969AA"/>
    <w:rsid w:val="000970E3"/>
    <w:rsid w:val="000A0032"/>
    <w:rsid w:val="000A01BC"/>
    <w:rsid w:val="000A2AF4"/>
    <w:rsid w:val="000A49E0"/>
    <w:rsid w:val="000C0D8A"/>
    <w:rsid w:val="000C2D7F"/>
    <w:rsid w:val="000C6C51"/>
    <w:rsid w:val="000C778A"/>
    <w:rsid w:val="000D5258"/>
    <w:rsid w:val="000D5D8D"/>
    <w:rsid w:val="000D63F1"/>
    <w:rsid w:val="000E32A6"/>
    <w:rsid w:val="000F1854"/>
    <w:rsid w:val="0010334B"/>
    <w:rsid w:val="001039D3"/>
    <w:rsid w:val="001103B1"/>
    <w:rsid w:val="00111A57"/>
    <w:rsid w:val="00125F8C"/>
    <w:rsid w:val="00127152"/>
    <w:rsid w:val="00134C75"/>
    <w:rsid w:val="00136399"/>
    <w:rsid w:val="00137D86"/>
    <w:rsid w:val="0014002E"/>
    <w:rsid w:val="00147811"/>
    <w:rsid w:val="001478BD"/>
    <w:rsid w:val="00147F51"/>
    <w:rsid w:val="00150A65"/>
    <w:rsid w:val="00151C88"/>
    <w:rsid w:val="001577E2"/>
    <w:rsid w:val="001577F5"/>
    <w:rsid w:val="00161265"/>
    <w:rsid w:val="00167676"/>
    <w:rsid w:val="00167EFE"/>
    <w:rsid w:val="0017653B"/>
    <w:rsid w:val="00183CF4"/>
    <w:rsid w:val="00186E9D"/>
    <w:rsid w:val="00187573"/>
    <w:rsid w:val="00192586"/>
    <w:rsid w:val="00197BA7"/>
    <w:rsid w:val="001A0DB9"/>
    <w:rsid w:val="001A3AA0"/>
    <w:rsid w:val="001A7862"/>
    <w:rsid w:val="001B501C"/>
    <w:rsid w:val="001C453A"/>
    <w:rsid w:val="001C4F47"/>
    <w:rsid w:val="001C5347"/>
    <w:rsid w:val="001E11A8"/>
    <w:rsid w:val="001F0948"/>
    <w:rsid w:val="001F1E81"/>
    <w:rsid w:val="00204B1E"/>
    <w:rsid w:val="00210DDD"/>
    <w:rsid w:val="0021123C"/>
    <w:rsid w:val="00215CFD"/>
    <w:rsid w:val="00220D9A"/>
    <w:rsid w:val="00224AF2"/>
    <w:rsid w:val="00225670"/>
    <w:rsid w:val="002409FB"/>
    <w:rsid w:val="00241CE4"/>
    <w:rsid w:val="0024777B"/>
    <w:rsid w:val="002477DC"/>
    <w:rsid w:val="00257072"/>
    <w:rsid w:val="0026377B"/>
    <w:rsid w:val="00271D1A"/>
    <w:rsid w:val="0027322B"/>
    <w:rsid w:val="0028060D"/>
    <w:rsid w:val="00282ECE"/>
    <w:rsid w:val="0029424A"/>
    <w:rsid w:val="00295BB7"/>
    <w:rsid w:val="002A4615"/>
    <w:rsid w:val="002B1BFE"/>
    <w:rsid w:val="002C03B4"/>
    <w:rsid w:val="002C1244"/>
    <w:rsid w:val="002C1B3E"/>
    <w:rsid w:val="002C71BC"/>
    <w:rsid w:val="002D49DE"/>
    <w:rsid w:val="002E1D25"/>
    <w:rsid w:val="002F1EF2"/>
    <w:rsid w:val="00304C5C"/>
    <w:rsid w:val="00320F8E"/>
    <w:rsid w:val="003309C1"/>
    <w:rsid w:val="0033612D"/>
    <w:rsid w:val="00336792"/>
    <w:rsid w:val="003436AC"/>
    <w:rsid w:val="00353049"/>
    <w:rsid w:val="00357B58"/>
    <w:rsid w:val="0036742B"/>
    <w:rsid w:val="00371762"/>
    <w:rsid w:val="00375680"/>
    <w:rsid w:val="00382303"/>
    <w:rsid w:val="00384B0D"/>
    <w:rsid w:val="00386AF4"/>
    <w:rsid w:val="0039020C"/>
    <w:rsid w:val="00394D71"/>
    <w:rsid w:val="00396EE9"/>
    <w:rsid w:val="003A19C8"/>
    <w:rsid w:val="003A38E4"/>
    <w:rsid w:val="003B1EF7"/>
    <w:rsid w:val="003B3A13"/>
    <w:rsid w:val="003C4519"/>
    <w:rsid w:val="003C5E34"/>
    <w:rsid w:val="003D08FE"/>
    <w:rsid w:val="003D0F38"/>
    <w:rsid w:val="003D2953"/>
    <w:rsid w:val="003E2620"/>
    <w:rsid w:val="003E2828"/>
    <w:rsid w:val="003F04CD"/>
    <w:rsid w:val="003F6D68"/>
    <w:rsid w:val="00400CFE"/>
    <w:rsid w:val="00400D04"/>
    <w:rsid w:val="00414C5E"/>
    <w:rsid w:val="00426B5C"/>
    <w:rsid w:val="00444C6F"/>
    <w:rsid w:val="00445002"/>
    <w:rsid w:val="00445ED3"/>
    <w:rsid w:val="00462E40"/>
    <w:rsid w:val="00463C60"/>
    <w:rsid w:val="00474139"/>
    <w:rsid w:val="00480519"/>
    <w:rsid w:val="00487AE9"/>
    <w:rsid w:val="0049194F"/>
    <w:rsid w:val="00492398"/>
    <w:rsid w:val="004969A0"/>
    <w:rsid w:val="004971E0"/>
    <w:rsid w:val="004A67F8"/>
    <w:rsid w:val="004A7BA5"/>
    <w:rsid w:val="004B10B4"/>
    <w:rsid w:val="004B31F9"/>
    <w:rsid w:val="004B48BB"/>
    <w:rsid w:val="004C7749"/>
    <w:rsid w:val="004D34E5"/>
    <w:rsid w:val="004D3606"/>
    <w:rsid w:val="004D6558"/>
    <w:rsid w:val="004E4D39"/>
    <w:rsid w:val="004E6645"/>
    <w:rsid w:val="004E6931"/>
    <w:rsid w:val="004F114A"/>
    <w:rsid w:val="004F683B"/>
    <w:rsid w:val="004F7D30"/>
    <w:rsid w:val="00503DF9"/>
    <w:rsid w:val="00506964"/>
    <w:rsid w:val="00510A3D"/>
    <w:rsid w:val="00515FDC"/>
    <w:rsid w:val="00516780"/>
    <w:rsid w:val="005252A4"/>
    <w:rsid w:val="005319A7"/>
    <w:rsid w:val="00532FBA"/>
    <w:rsid w:val="00544CE5"/>
    <w:rsid w:val="00553A80"/>
    <w:rsid w:val="0055423A"/>
    <w:rsid w:val="0056168A"/>
    <w:rsid w:val="005628A3"/>
    <w:rsid w:val="00567E26"/>
    <w:rsid w:val="00576EF0"/>
    <w:rsid w:val="00577D2D"/>
    <w:rsid w:val="00577E88"/>
    <w:rsid w:val="00582B52"/>
    <w:rsid w:val="005852DE"/>
    <w:rsid w:val="00586A1D"/>
    <w:rsid w:val="00590640"/>
    <w:rsid w:val="00594589"/>
    <w:rsid w:val="00595B24"/>
    <w:rsid w:val="005A46F9"/>
    <w:rsid w:val="005A6810"/>
    <w:rsid w:val="005B15FE"/>
    <w:rsid w:val="005B3364"/>
    <w:rsid w:val="005B54BD"/>
    <w:rsid w:val="005C0E48"/>
    <w:rsid w:val="005C4225"/>
    <w:rsid w:val="005D13AB"/>
    <w:rsid w:val="005D2DB9"/>
    <w:rsid w:val="005D552C"/>
    <w:rsid w:val="005E15FF"/>
    <w:rsid w:val="005E2F7F"/>
    <w:rsid w:val="005E31F3"/>
    <w:rsid w:val="005F295E"/>
    <w:rsid w:val="005F2FDE"/>
    <w:rsid w:val="005F2FE6"/>
    <w:rsid w:val="005F7ED5"/>
    <w:rsid w:val="006008E0"/>
    <w:rsid w:val="00603429"/>
    <w:rsid w:val="00613FAF"/>
    <w:rsid w:val="00640168"/>
    <w:rsid w:val="00640178"/>
    <w:rsid w:val="00641A10"/>
    <w:rsid w:val="00642FC3"/>
    <w:rsid w:val="0065107D"/>
    <w:rsid w:val="006518A5"/>
    <w:rsid w:val="00653ABA"/>
    <w:rsid w:val="00660EBC"/>
    <w:rsid w:val="00661819"/>
    <w:rsid w:val="00672701"/>
    <w:rsid w:val="00680314"/>
    <w:rsid w:val="00687CE6"/>
    <w:rsid w:val="00691F4C"/>
    <w:rsid w:val="006920F7"/>
    <w:rsid w:val="00694018"/>
    <w:rsid w:val="00694FFB"/>
    <w:rsid w:val="006A0443"/>
    <w:rsid w:val="006A46A5"/>
    <w:rsid w:val="006A6B9C"/>
    <w:rsid w:val="006A76D6"/>
    <w:rsid w:val="006B11C4"/>
    <w:rsid w:val="006B663A"/>
    <w:rsid w:val="006B6E8E"/>
    <w:rsid w:val="006C4057"/>
    <w:rsid w:val="006C5642"/>
    <w:rsid w:val="006C7C3B"/>
    <w:rsid w:val="006E5044"/>
    <w:rsid w:val="006E6FDE"/>
    <w:rsid w:val="006E7855"/>
    <w:rsid w:val="006F29EA"/>
    <w:rsid w:val="006F3818"/>
    <w:rsid w:val="006F4289"/>
    <w:rsid w:val="006F4C46"/>
    <w:rsid w:val="00701D3B"/>
    <w:rsid w:val="00702CBB"/>
    <w:rsid w:val="00703880"/>
    <w:rsid w:val="00704CF0"/>
    <w:rsid w:val="00705130"/>
    <w:rsid w:val="007253D2"/>
    <w:rsid w:val="00730657"/>
    <w:rsid w:val="007318C2"/>
    <w:rsid w:val="00733742"/>
    <w:rsid w:val="00734065"/>
    <w:rsid w:val="0073714A"/>
    <w:rsid w:val="007461BF"/>
    <w:rsid w:val="00746D7A"/>
    <w:rsid w:val="0074713A"/>
    <w:rsid w:val="007477AE"/>
    <w:rsid w:val="0075013E"/>
    <w:rsid w:val="00754941"/>
    <w:rsid w:val="00756B1B"/>
    <w:rsid w:val="00756B5D"/>
    <w:rsid w:val="007615B0"/>
    <w:rsid w:val="0076740C"/>
    <w:rsid w:val="00770B7D"/>
    <w:rsid w:val="00787147"/>
    <w:rsid w:val="007A083A"/>
    <w:rsid w:val="007A2702"/>
    <w:rsid w:val="007A6217"/>
    <w:rsid w:val="007A77C1"/>
    <w:rsid w:val="007B1D6F"/>
    <w:rsid w:val="007B480F"/>
    <w:rsid w:val="007B4C11"/>
    <w:rsid w:val="007C299A"/>
    <w:rsid w:val="007C41C4"/>
    <w:rsid w:val="007C6E1A"/>
    <w:rsid w:val="007C78DC"/>
    <w:rsid w:val="007D2889"/>
    <w:rsid w:val="007D4606"/>
    <w:rsid w:val="007D4C70"/>
    <w:rsid w:val="007D5158"/>
    <w:rsid w:val="007D7BA8"/>
    <w:rsid w:val="007E12FF"/>
    <w:rsid w:val="007E16E2"/>
    <w:rsid w:val="007E364A"/>
    <w:rsid w:val="007E3720"/>
    <w:rsid w:val="00804B1E"/>
    <w:rsid w:val="008051B6"/>
    <w:rsid w:val="00805B67"/>
    <w:rsid w:val="00805BD6"/>
    <w:rsid w:val="008076F9"/>
    <w:rsid w:val="00811E9D"/>
    <w:rsid w:val="0081490F"/>
    <w:rsid w:val="00815299"/>
    <w:rsid w:val="00817109"/>
    <w:rsid w:val="00817D22"/>
    <w:rsid w:val="00824FB3"/>
    <w:rsid w:val="00830441"/>
    <w:rsid w:val="00831EB8"/>
    <w:rsid w:val="00835054"/>
    <w:rsid w:val="00837152"/>
    <w:rsid w:val="00844D99"/>
    <w:rsid w:val="0084635A"/>
    <w:rsid w:val="00855467"/>
    <w:rsid w:val="00856EB3"/>
    <w:rsid w:val="00856FDF"/>
    <w:rsid w:val="00860207"/>
    <w:rsid w:val="00860899"/>
    <w:rsid w:val="00861C14"/>
    <w:rsid w:val="0086630B"/>
    <w:rsid w:val="00870C14"/>
    <w:rsid w:val="00872403"/>
    <w:rsid w:val="00873585"/>
    <w:rsid w:val="008817E2"/>
    <w:rsid w:val="008818A5"/>
    <w:rsid w:val="008854A0"/>
    <w:rsid w:val="00887E14"/>
    <w:rsid w:val="0089028E"/>
    <w:rsid w:val="008A34AA"/>
    <w:rsid w:val="008B0DE9"/>
    <w:rsid w:val="008B2F39"/>
    <w:rsid w:val="008B401E"/>
    <w:rsid w:val="008C31EF"/>
    <w:rsid w:val="008D1A2F"/>
    <w:rsid w:val="008D352D"/>
    <w:rsid w:val="008D4CB1"/>
    <w:rsid w:val="008E1494"/>
    <w:rsid w:val="008E69BD"/>
    <w:rsid w:val="008F0D14"/>
    <w:rsid w:val="0090114A"/>
    <w:rsid w:val="0090197C"/>
    <w:rsid w:val="00906989"/>
    <w:rsid w:val="009078C0"/>
    <w:rsid w:val="00910CC4"/>
    <w:rsid w:val="00912B2E"/>
    <w:rsid w:val="00913A11"/>
    <w:rsid w:val="00914CB2"/>
    <w:rsid w:val="00926873"/>
    <w:rsid w:val="009306CF"/>
    <w:rsid w:val="00933FC6"/>
    <w:rsid w:val="009503A7"/>
    <w:rsid w:val="009531DD"/>
    <w:rsid w:val="009561D9"/>
    <w:rsid w:val="009564EF"/>
    <w:rsid w:val="00964C90"/>
    <w:rsid w:val="0096628E"/>
    <w:rsid w:val="009702D3"/>
    <w:rsid w:val="009706B3"/>
    <w:rsid w:val="00970877"/>
    <w:rsid w:val="00971CC0"/>
    <w:rsid w:val="00975392"/>
    <w:rsid w:val="009768CA"/>
    <w:rsid w:val="00977026"/>
    <w:rsid w:val="00983248"/>
    <w:rsid w:val="00984A3D"/>
    <w:rsid w:val="009911A0"/>
    <w:rsid w:val="00994482"/>
    <w:rsid w:val="009A5AD8"/>
    <w:rsid w:val="009B2A1A"/>
    <w:rsid w:val="009B42FA"/>
    <w:rsid w:val="009B53A7"/>
    <w:rsid w:val="009C1183"/>
    <w:rsid w:val="009C26DC"/>
    <w:rsid w:val="009C408A"/>
    <w:rsid w:val="009C5827"/>
    <w:rsid w:val="009C7605"/>
    <w:rsid w:val="009C7DB1"/>
    <w:rsid w:val="009D2F83"/>
    <w:rsid w:val="009D5D25"/>
    <w:rsid w:val="009E10B2"/>
    <w:rsid w:val="009E2240"/>
    <w:rsid w:val="009E27C4"/>
    <w:rsid w:val="009F35D4"/>
    <w:rsid w:val="00A00683"/>
    <w:rsid w:val="00A015D3"/>
    <w:rsid w:val="00A01C64"/>
    <w:rsid w:val="00A04457"/>
    <w:rsid w:val="00A12BD8"/>
    <w:rsid w:val="00A15EF3"/>
    <w:rsid w:val="00A42C95"/>
    <w:rsid w:val="00A43802"/>
    <w:rsid w:val="00A51875"/>
    <w:rsid w:val="00A5275A"/>
    <w:rsid w:val="00A60B20"/>
    <w:rsid w:val="00A64556"/>
    <w:rsid w:val="00A67CD0"/>
    <w:rsid w:val="00A7202A"/>
    <w:rsid w:val="00A814A1"/>
    <w:rsid w:val="00A86ECF"/>
    <w:rsid w:val="00AA0624"/>
    <w:rsid w:val="00AA0C6D"/>
    <w:rsid w:val="00AA1DDB"/>
    <w:rsid w:val="00AB1BA6"/>
    <w:rsid w:val="00AB3A00"/>
    <w:rsid w:val="00AB5095"/>
    <w:rsid w:val="00AB75A5"/>
    <w:rsid w:val="00AD3D7E"/>
    <w:rsid w:val="00AE0FFD"/>
    <w:rsid w:val="00AE4D8B"/>
    <w:rsid w:val="00AF0F36"/>
    <w:rsid w:val="00AF4585"/>
    <w:rsid w:val="00B03DA8"/>
    <w:rsid w:val="00B07D9A"/>
    <w:rsid w:val="00B210E9"/>
    <w:rsid w:val="00B23BD1"/>
    <w:rsid w:val="00B31598"/>
    <w:rsid w:val="00B37D58"/>
    <w:rsid w:val="00B453BD"/>
    <w:rsid w:val="00B46D1E"/>
    <w:rsid w:val="00B5153E"/>
    <w:rsid w:val="00B5560F"/>
    <w:rsid w:val="00B734A5"/>
    <w:rsid w:val="00B820E1"/>
    <w:rsid w:val="00B82896"/>
    <w:rsid w:val="00B829D1"/>
    <w:rsid w:val="00B97662"/>
    <w:rsid w:val="00BA20DE"/>
    <w:rsid w:val="00BB3FC0"/>
    <w:rsid w:val="00BB7AA4"/>
    <w:rsid w:val="00BC148B"/>
    <w:rsid w:val="00BC3D06"/>
    <w:rsid w:val="00BC7B9A"/>
    <w:rsid w:val="00BD337C"/>
    <w:rsid w:val="00BE016E"/>
    <w:rsid w:val="00BE7588"/>
    <w:rsid w:val="00BF0ADD"/>
    <w:rsid w:val="00BF2092"/>
    <w:rsid w:val="00BF2F06"/>
    <w:rsid w:val="00BF5DD5"/>
    <w:rsid w:val="00C0683E"/>
    <w:rsid w:val="00C0699C"/>
    <w:rsid w:val="00C06E7F"/>
    <w:rsid w:val="00C124E2"/>
    <w:rsid w:val="00C14D86"/>
    <w:rsid w:val="00C1702E"/>
    <w:rsid w:val="00C4066B"/>
    <w:rsid w:val="00C458F5"/>
    <w:rsid w:val="00C62ABB"/>
    <w:rsid w:val="00C6480C"/>
    <w:rsid w:val="00C70097"/>
    <w:rsid w:val="00C72743"/>
    <w:rsid w:val="00C72F9A"/>
    <w:rsid w:val="00C85EE6"/>
    <w:rsid w:val="00C94A6B"/>
    <w:rsid w:val="00CA1585"/>
    <w:rsid w:val="00CA24BD"/>
    <w:rsid w:val="00CB0D6A"/>
    <w:rsid w:val="00CB35C9"/>
    <w:rsid w:val="00CB46CA"/>
    <w:rsid w:val="00CC6852"/>
    <w:rsid w:val="00CD1AFD"/>
    <w:rsid w:val="00CD2381"/>
    <w:rsid w:val="00CD2BA1"/>
    <w:rsid w:val="00CD3974"/>
    <w:rsid w:val="00CD4B12"/>
    <w:rsid w:val="00CE1FBB"/>
    <w:rsid w:val="00CE7A01"/>
    <w:rsid w:val="00CF2426"/>
    <w:rsid w:val="00CF361A"/>
    <w:rsid w:val="00D05EEF"/>
    <w:rsid w:val="00D1035B"/>
    <w:rsid w:val="00D1320B"/>
    <w:rsid w:val="00D17026"/>
    <w:rsid w:val="00D21CBC"/>
    <w:rsid w:val="00D22489"/>
    <w:rsid w:val="00D240CA"/>
    <w:rsid w:val="00D267C1"/>
    <w:rsid w:val="00D317F8"/>
    <w:rsid w:val="00D318B7"/>
    <w:rsid w:val="00D35D99"/>
    <w:rsid w:val="00D36D4F"/>
    <w:rsid w:val="00D41987"/>
    <w:rsid w:val="00D64386"/>
    <w:rsid w:val="00D72F96"/>
    <w:rsid w:val="00D7512A"/>
    <w:rsid w:val="00D76336"/>
    <w:rsid w:val="00D8364A"/>
    <w:rsid w:val="00D85676"/>
    <w:rsid w:val="00D90888"/>
    <w:rsid w:val="00D97F03"/>
    <w:rsid w:val="00DA26FE"/>
    <w:rsid w:val="00DB4AD6"/>
    <w:rsid w:val="00DB5103"/>
    <w:rsid w:val="00DB72AF"/>
    <w:rsid w:val="00DC636F"/>
    <w:rsid w:val="00DD36A3"/>
    <w:rsid w:val="00DD4C6F"/>
    <w:rsid w:val="00DE2838"/>
    <w:rsid w:val="00DE405A"/>
    <w:rsid w:val="00DE5903"/>
    <w:rsid w:val="00DE5F32"/>
    <w:rsid w:val="00DF38AE"/>
    <w:rsid w:val="00DF66EB"/>
    <w:rsid w:val="00E008F4"/>
    <w:rsid w:val="00E01C2D"/>
    <w:rsid w:val="00E0327A"/>
    <w:rsid w:val="00E0392D"/>
    <w:rsid w:val="00E10BE8"/>
    <w:rsid w:val="00E21A75"/>
    <w:rsid w:val="00E271AD"/>
    <w:rsid w:val="00E275A9"/>
    <w:rsid w:val="00E41B3D"/>
    <w:rsid w:val="00E44641"/>
    <w:rsid w:val="00E44D69"/>
    <w:rsid w:val="00E4768A"/>
    <w:rsid w:val="00E73098"/>
    <w:rsid w:val="00E909C9"/>
    <w:rsid w:val="00E92BB8"/>
    <w:rsid w:val="00E942BF"/>
    <w:rsid w:val="00EA167E"/>
    <w:rsid w:val="00EA1929"/>
    <w:rsid w:val="00EA1CCB"/>
    <w:rsid w:val="00EA6F70"/>
    <w:rsid w:val="00EB1F6D"/>
    <w:rsid w:val="00EB4428"/>
    <w:rsid w:val="00EC49C9"/>
    <w:rsid w:val="00EC7804"/>
    <w:rsid w:val="00ED04F3"/>
    <w:rsid w:val="00ED546D"/>
    <w:rsid w:val="00ED7D5B"/>
    <w:rsid w:val="00EE099F"/>
    <w:rsid w:val="00EE5A30"/>
    <w:rsid w:val="00EE5BDF"/>
    <w:rsid w:val="00EE627C"/>
    <w:rsid w:val="00EE7D28"/>
    <w:rsid w:val="00EF1CB3"/>
    <w:rsid w:val="00EF1D45"/>
    <w:rsid w:val="00EF73CE"/>
    <w:rsid w:val="00F02089"/>
    <w:rsid w:val="00F03511"/>
    <w:rsid w:val="00F07351"/>
    <w:rsid w:val="00F11B1D"/>
    <w:rsid w:val="00F14B38"/>
    <w:rsid w:val="00F15F89"/>
    <w:rsid w:val="00F215C2"/>
    <w:rsid w:val="00F220E5"/>
    <w:rsid w:val="00F43E95"/>
    <w:rsid w:val="00F45EA3"/>
    <w:rsid w:val="00F469E0"/>
    <w:rsid w:val="00F5666C"/>
    <w:rsid w:val="00F63D53"/>
    <w:rsid w:val="00F7019B"/>
    <w:rsid w:val="00F72FFB"/>
    <w:rsid w:val="00F7310F"/>
    <w:rsid w:val="00F77D6D"/>
    <w:rsid w:val="00F82293"/>
    <w:rsid w:val="00F84D50"/>
    <w:rsid w:val="00F851DF"/>
    <w:rsid w:val="00F916C7"/>
    <w:rsid w:val="00F934B0"/>
    <w:rsid w:val="00FA1D98"/>
    <w:rsid w:val="00FA380C"/>
    <w:rsid w:val="00FB169F"/>
    <w:rsid w:val="00FB1C0D"/>
    <w:rsid w:val="00FB3575"/>
    <w:rsid w:val="00FD1BE9"/>
    <w:rsid w:val="00FE1E31"/>
    <w:rsid w:val="00FE339A"/>
    <w:rsid w:val="00FE38AA"/>
    <w:rsid w:val="00FF1CAD"/>
    <w:rsid w:val="00FF5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0C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Batang"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nhideWhenUsed="0"/>
    <w:lsdException w:name="List Bullet" w:semiHidden="0" w:unhideWhenUsed="0" w:qFormat="1"/>
    <w:lsdException w:name="List Number" w:semiHidden="0" w:unhideWhenUsed="0" w:qFormat="1"/>
    <w:lsdException w:name="Title" w:semiHidden="0" w:uiPriority="10" w:unhideWhenUsed="0"/>
    <w:lsdException w:name="Default Paragraph Font" w:uiPriority="1"/>
    <w:lsdException w:name="Body Text" w:semiHidden="0" w:uiPriority="0" w:unhideWhenUsed="0" w:qFormat="1"/>
    <w:lsdException w:name="Subtitle"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7" w:unhideWhenUsed="0"/>
    <w:lsdException w:name="TOC Heading" w:uiPriority="39" w:qFormat="1"/>
  </w:latentStyles>
  <w:style w:type="paragraph" w:default="1" w:styleId="Normal">
    <w:name w:val="Normal"/>
    <w:uiPriority w:val="2"/>
    <w:rsid w:val="00F934B0"/>
    <w:pPr>
      <w:jc w:val="both"/>
    </w:pPr>
    <w:rPr>
      <w:rFonts w:ascii="Times New Roman" w:hAnsi="Times New Roman"/>
      <w:sz w:val="24"/>
      <w:lang w:eastAsia="ko-KR"/>
    </w:rPr>
  </w:style>
  <w:style w:type="paragraph" w:styleId="Heading1">
    <w:name w:val="heading 1"/>
    <w:aliases w:val="Heading 1 Char Char,ERA Section Heading,Section Header,h1,1,1 Char,Heading 1 Char2,ERA Section Heading Char,Section Header Char,h1 Char2,Heading 1 Char1 Char,ERA Section Heading Char Char Char,Section Header Char Char Char,Chapter Heading"/>
    <w:basedOn w:val="Heading2"/>
    <w:next w:val="BodyText"/>
    <w:link w:val="Heading1Char"/>
    <w:qFormat/>
    <w:rsid w:val="006A6B9C"/>
    <w:pPr>
      <w:pageBreakBefore/>
      <w:numPr>
        <w:ilvl w:val="0"/>
      </w:numPr>
      <w:spacing w:before="0" w:after="840"/>
      <w:outlineLvl w:val="0"/>
    </w:pPr>
    <w:rPr>
      <w:color w:val="394A58"/>
      <w:sz w:val="48"/>
    </w:rPr>
  </w:style>
  <w:style w:type="paragraph" w:styleId="Heading2">
    <w:name w:val="heading 2"/>
    <w:aliases w:val="Heading 2 Char Char Char,Heading 2 Char Char Char Char Char,Heading 2 Char Char,Heading 2 Char Char Char Char Char Char Char Char Char Char,Heading 2 Char Char Char Char Char Char Char Char Char Char Char Char Char Char, Char Char Char, Char"/>
    <w:basedOn w:val="Heading3"/>
    <w:next w:val="BodyText"/>
    <w:uiPriority w:val="99"/>
    <w:qFormat/>
    <w:rsid w:val="005B54BD"/>
    <w:pPr>
      <w:numPr>
        <w:ilvl w:val="1"/>
      </w:numPr>
      <w:outlineLvl w:val="1"/>
    </w:pPr>
    <w:rPr>
      <w:sz w:val="26"/>
    </w:rPr>
  </w:style>
  <w:style w:type="paragraph" w:styleId="Heading3">
    <w:name w:val="heading 3"/>
    <w:aliases w:val="Heading 3 Char Char Char Char,Heading 3 Char Char Char Char Char,Heading 3 Char Char Char"/>
    <w:basedOn w:val="Heading4"/>
    <w:next w:val="BodyText"/>
    <w:uiPriority w:val="99"/>
    <w:qFormat/>
    <w:rsid w:val="005B54BD"/>
    <w:pPr>
      <w:numPr>
        <w:ilvl w:val="2"/>
      </w:numPr>
      <w:outlineLvl w:val="2"/>
    </w:pPr>
  </w:style>
  <w:style w:type="paragraph" w:styleId="Heading4">
    <w:name w:val="heading 4"/>
    <w:basedOn w:val="Heading5"/>
    <w:next w:val="BodyText"/>
    <w:uiPriority w:val="99"/>
    <w:qFormat/>
    <w:rsid w:val="005B54BD"/>
    <w:pPr>
      <w:numPr>
        <w:ilvl w:val="3"/>
      </w:numPr>
      <w:outlineLvl w:val="3"/>
    </w:pPr>
  </w:style>
  <w:style w:type="paragraph" w:styleId="Heading5">
    <w:name w:val="heading 5"/>
    <w:aliases w:val="Paragraph Text,Lower Case,Bold &amp; Italic,paragraph Char,Lower Case Char,Bold &amp; Italic Char,paragraph,Heading 5 Char1,Lower Case Char1,Bold &amp; Italic Char1,paragraph Char Char Char,Heading 5 Char Char Char Char,Heading 51 Char Cha"/>
    <w:basedOn w:val="Heading6"/>
    <w:next w:val="BodyText"/>
    <w:uiPriority w:val="99"/>
    <w:qFormat/>
    <w:rsid w:val="008817E2"/>
    <w:pPr>
      <w:numPr>
        <w:ilvl w:val="4"/>
      </w:numPr>
      <w:spacing w:before="360" w:after="40"/>
      <w:outlineLvl w:val="4"/>
    </w:pPr>
    <w:rPr>
      <w:color w:val="156570"/>
      <w:sz w:val="22"/>
    </w:rPr>
  </w:style>
  <w:style w:type="paragraph" w:styleId="Heading6">
    <w:name w:val="heading 6"/>
    <w:aliases w:val="level 1 bullet 1,level 1 bullet Char,level 1 bullet Char Char Char,level 1 bullet,level 1 bullet 1 Char Char Char,level 1 bullet 1 Char Char Char Char Char Char Char,level 1 bullet 1 Char Char Char Char Char Char Char Cha,Heading 61"/>
    <w:next w:val="BodyText"/>
    <w:uiPriority w:val="99"/>
    <w:qFormat/>
    <w:rsid w:val="005B54BD"/>
    <w:pPr>
      <w:keepNext/>
      <w:keepLines/>
      <w:numPr>
        <w:ilvl w:val="5"/>
        <w:numId w:val="6"/>
      </w:numPr>
      <w:spacing w:before="840" w:after="840"/>
      <w:outlineLvl w:val="5"/>
    </w:pPr>
    <w:rPr>
      <w:b/>
      <w:color w:val="394A58"/>
      <w:sz w:val="36"/>
      <w:lang w:eastAsia="ko-KR"/>
    </w:rPr>
  </w:style>
  <w:style w:type="paragraph" w:styleId="Heading7">
    <w:name w:val="heading 7"/>
    <w:next w:val="BodyText"/>
    <w:uiPriority w:val="99"/>
    <w:qFormat/>
    <w:rsid w:val="005B54BD"/>
    <w:pPr>
      <w:numPr>
        <w:ilvl w:val="6"/>
        <w:numId w:val="6"/>
      </w:numPr>
      <w:spacing w:before="360" w:after="40"/>
      <w:outlineLvl w:val="6"/>
    </w:pPr>
    <w:rPr>
      <w:rFonts w:asciiTheme="minorHAnsi" w:hAnsiTheme="minorHAnsi"/>
      <w:b/>
      <w:color w:val="156570"/>
      <w:sz w:val="22"/>
      <w:lang w:eastAsia="ko-KR"/>
    </w:rPr>
  </w:style>
  <w:style w:type="paragraph" w:styleId="Heading8">
    <w:name w:val="heading 8"/>
    <w:aliases w:val="Bullet 3"/>
    <w:next w:val="BodyText"/>
    <w:uiPriority w:val="99"/>
    <w:qFormat/>
    <w:rsid w:val="005B54BD"/>
    <w:pPr>
      <w:numPr>
        <w:ilvl w:val="7"/>
        <w:numId w:val="6"/>
      </w:numPr>
      <w:spacing w:before="360" w:after="40"/>
      <w:outlineLvl w:val="7"/>
    </w:pPr>
    <w:rPr>
      <w:rFonts w:asciiTheme="minorHAnsi" w:hAnsiTheme="minorHAnsi"/>
      <w:b/>
      <w:iCs/>
      <w:color w:val="156570"/>
      <w:lang w:eastAsia="ko-KR"/>
    </w:rPr>
  </w:style>
  <w:style w:type="paragraph" w:styleId="Heading9">
    <w:name w:val="heading 9"/>
    <w:next w:val="BodyText"/>
    <w:uiPriority w:val="99"/>
    <w:qFormat/>
    <w:rsid w:val="005B54BD"/>
    <w:pPr>
      <w:numPr>
        <w:ilvl w:val="8"/>
        <w:numId w:val="6"/>
      </w:numPr>
      <w:spacing w:before="360" w:after="40"/>
      <w:outlineLvl w:val="8"/>
    </w:pPr>
    <w:rPr>
      <w:rFonts w:asciiTheme="minorHAnsi" w:hAnsiTheme="minorHAnsi"/>
      <w:b/>
      <w:color w:val="15657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3575"/>
    <w:pPr>
      <w:contextualSpacing/>
    </w:pPr>
    <w:rPr>
      <w:rFonts w:asciiTheme="minorHAnsi" w:hAnsiTheme="minorHAnsi"/>
      <w:color w:val="394A58"/>
      <w:lang w:eastAsia="ko-KR"/>
    </w:rPr>
  </w:style>
  <w:style w:type="character" w:styleId="IntenseEmphasis">
    <w:name w:val="Intense Emphasis"/>
    <w:basedOn w:val="DefaultParagraphFont"/>
    <w:uiPriority w:val="21"/>
    <w:semiHidden/>
    <w:rsid w:val="007B4C11"/>
    <w:rPr>
      <w:b/>
      <w:bCs/>
      <w:i/>
      <w:iCs/>
      <w:color w:val="4F81BD"/>
    </w:rPr>
  </w:style>
  <w:style w:type="character" w:styleId="Hyperlink">
    <w:name w:val="Hyperlink"/>
    <w:basedOn w:val="DefaultParagraphFont"/>
    <w:uiPriority w:val="99"/>
    <w:rsid w:val="00B5153E"/>
    <w:rPr>
      <w:color w:val="156570"/>
      <w:u w:val="single" w:color="000000"/>
    </w:rPr>
  </w:style>
  <w:style w:type="numbering" w:styleId="111111">
    <w:name w:val="Outline List 2"/>
    <w:basedOn w:val="NoList"/>
    <w:semiHidden/>
    <w:rsid w:val="00186E9D"/>
    <w:pPr>
      <w:numPr>
        <w:numId w:val="1"/>
      </w:numPr>
    </w:pPr>
  </w:style>
  <w:style w:type="numbering" w:styleId="1ai">
    <w:name w:val="Outline List 1"/>
    <w:basedOn w:val="NoList"/>
    <w:semiHidden/>
    <w:rsid w:val="00186E9D"/>
    <w:pPr>
      <w:numPr>
        <w:numId w:val="2"/>
      </w:numPr>
    </w:pPr>
  </w:style>
  <w:style w:type="numbering" w:styleId="ArticleSection">
    <w:name w:val="Outline List 3"/>
    <w:basedOn w:val="NoList"/>
    <w:semiHidden/>
    <w:rsid w:val="00186E9D"/>
    <w:pPr>
      <w:numPr>
        <w:numId w:val="3"/>
      </w:numPr>
    </w:pPr>
  </w:style>
  <w:style w:type="table" w:styleId="Table3Deffects1">
    <w:name w:val="Table 3D effects 1"/>
    <w:basedOn w:val="TableNormal"/>
    <w:semiHidden/>
    <w:rsid w:val="00186E9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86E9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86E9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86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86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86E9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86E9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86E9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86E9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86E9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86E9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86E9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86E9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86E9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86E9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86E9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86E9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E2F7F"/>
    <w:pPr>
      <w:jc w:val="both"/>
    </w:pPr>
    <w:rPr>
      <w:rFonts w:asciiTheme="minorHAnsi" w:hAnsiTheme="minorHAnsi"/>
    </w:rPr>
    <w:tblPr>
      <w:tblInd w:w="0" w:type="dxa"/>
      <w:tblCellMar>
        <w:top w:w="0" w:type="dxa"/>
        <w:left w:w="108" w:type="dxa"/>
        <w:bottom w:w="0" w:type="dxa"/>
        <w:right w:w="108" w:type="dxa"/>
      </w:tblCellMar>
    </w:tblPr>
    <w:tblStylePr w:type="firstRow">
      <w:rPr>
        <w:b/>
      </w:rPr>
      <w:tblPr/>
      <w:tcPr>
        <w:tcBorders>
          <w:bottom w:val="nil"/>
        </w:tcBorders>
      </w:tcPr>
    </w:tblStylePr>
    <w:tblStylePr w:type="lastRow">
      <w:tblPr/>
      <w:tcPr>
        <w:tcBorders>
          <w:bottom w:val="nil"/>
        </w:tcBorders>
      </w:tcPr>
    </w:tblStylePr>
  </w:style>
  <w:style w:type="table" w:styleId="TableGrid1">
    <w:name w:val="Table Grid 1"/>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86E9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86E9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86E9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86E9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86E9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86E9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86E9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86E9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86E9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86E9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86E9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86E9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86E9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86E9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86E9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86E9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86E9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86E9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86E9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aliases w:val="Heading 1 Char Char Char,ERA Section Heading Char1,Section Header Char1,h1 Char,1 Char1,1 Char Char,Heading 1 Char2 Char,ERA Section Heading Char Char,Section Header Char Char,h1 Char2 Char,Heading 1 Char1 Char Char,Chapter Heading Char"/>
    <w:basedOn w:val="DefaultParagraphFont"/>
    <w:link w:val="Heading1"/>
    <w:uiPriority w:val="1"/>
    <w:rsid w:val="006A6B9C"/>
    <w:rPr>
      <w:b/>
      <w:color w:val="394A58"/>
      <w:sz w:val="48"/>
      <w:lang w:eastAsia="ko-KR"/>
    </w:rPr>
  </w:style>
  <w:style w:type="paragraph" w:styleId="BodyText">
    <w:name w:val="Body Text"/>
    <w:link w:val="BodyTextChar"/>
    <w:qFormat/>
    <w:rsid w:val="005B54BD"/>
    <w:pPr>
      <w:spacing w:after="240"/>
    </w:pPr>
    <w:rPr>
      <w:color w:val="394A58"/>
      <w:lang w:eastAsia="ko-KR"/>
    </w:rPr>
  </w:style>
  <w:style w:type="character" w:customStyle="1" w:styleId="BodyTextChar">
    <w:name w:val="Body Text Char"/>
    <w:basedOn w:val="DefaultParagraphFont"/>
    <w:link w:val="BodyText"/>
    <w:rsid w:val="005B54BD"/>
    <w:rPr>
      <w:color w:val="394A58"/>
      <w:lang w:eastAsia="ko-KR"/>
    </w:rPr>
  </w:style>
  <w:style w:type="paragraph" w:styleId="Header">
    <w:name w:val="header"/>
    <w:basedOn w:val="Normal"/>
    <w:link w:val="HeaderChar"/>
    <w:uiPriority w:val="99"/>
    <w:rsid w:val="00B5153E"/>
    <w:pPr>
      <w:tabs>
        <w:tab w:val="center" w:pos="4513"/>
        <w:tab w:val="right" w:pos="9026"/>
      </w:tabs>
    </w:pPr>
    <w:rPr>
      <w:rFonts w:ascii="Arial" w:hAnsi="Arial"/>
      <w:color w:val="394A58"/>
      <w:sz w:val="18"/>
    </w:rPr>
  </w:style>
  <w:style w:type="character" w:customStyle="1" w:styleId="HeaderChar">
    <w:name w:val="Header Char"/>
    <w:basedOn w:val="DefaultParagraphFont"/>
    <w:link w:val="Header"/>
    <w:uiPriority w:val="99"/>
    <w:rsid w:val="00B5153E"/>
    <w:rPr>
      <w:color w:val="394A58"/>
      <w:sz w:val="18"/>
      <w:lang w:eastAsia="ko-KR"/>
    </w:rPr>
  </w:style>
  <w:style w:type="paragraph" w:styleId="Footer">
    <w:name w:val="footer"/>
    <w:basedOn w:val="Normal"/>
    <w:link w:val="FooterChar"/>
    <w:uiPriority w:val="99"/>
    <w:rsid w:val="00B5153E"/>
    <w:pPr>
      <w:tabs>
        <w:tab w:val="center" w:pos="4513"/>
        <w:tab w:val="right" w:pos="9026"/>
      </w:tabs>
    </w:pPr>
    <w:rPr>
      <w:rFonts w:ascii="Arial" w:hAnsi="Arial"/>
      <w:color w:val="394A58"/>
      <w:sz w:val="18"/>
    </w:rPr>
  </w:style>
  <w:style w:type="character" w:customStyle="1" w:styleId="FooterChar">
    <w:name w:val="Footer Char"/>
    <w:basedOn w:val="DefaultParagraphFont"/>
    <w:link w:val="Footer"/>
    <w:uiPriority w:val="99"/>
    <w:rsid w:val="00B5153E"/>
    <w:rPr>
      <w:color w:val="394A58"/>
      <w:sz w:val="18"/>
      <w:lang w:eastAsia="ko-KR"/>
    </w:rPr>
  </w:style>
  <w:style w:type="paragraph" w:customStyle="1" w:styleId="Quotelarge">
    <w:name w:val="Quote large"/>
    <w:next w:val="BodyText"/>
    <w:link w:val="QuotelargeChar"/>
    <w:uiPriority w:val="2"/>
    <w:qFormat/>
    <w:rsid w:val="00EE627C"/>
    <w:pPr>
      <w:spacing w:after="480"/>
      <w:ind w:right="1701"/>
    </w:pPr>
    <w:rPr>
      <w:color w:val="156570"/>
      <w:sz w:val="48"/>
      <w:lang w:eastAsia="ko-KR"/>
    </w:rPr>
  </w:style>
  <w:style w:type="paragraph" w:styleId="ListBullet">
    <w:name w:val="List Bullet"/>
    <w:basedOn w:val="BodyText"/>
    <w:uiPriority w:val="99"/>
    <w:qFormat/>
    <w:rsid w:val="000C6C51"/>
    <w:pPr>
      <w:numPr>
        <w:numId w:val="8"/>
      </w:numPr>
    </w:pPr>
  </w:style>
  <w:style w:type="character" w:customStyle="1" w:styleId="QuotelargeChar">
    <w:name w:val="Quote large Char"/>
    <w:basedOn w:val="DefaultParagraphFont"/>
    <w:link w:val="Quotelarge"/>
    <w:uiPriority w:val="2"/>
    <w:rsid w:val="00EE627C"/>
    <w:rPr>
      <w:color w:val="156570"/>
      <w:sz w:val="48"/>
      <w:lang w:eastAsia="ko-KR"/>
    </w:rPr>
  </w:style>
  <w:style w:type="character" w:customStyle="1" w:styleId="NoSpacingChar">
    <w:name w:val="No Spacing Char"/>
    <w:basedOn w:val="DefaultParagraphFont"/>
    <w:link w:val="NoSpacing"/>
    <w:uiPriority w:val="1"/>
    <w:rsid w:val="00EE627C"/>
    <w:rPr>
      <w:rFonts w:asciiTheme="minorHAnsi" w:hAnsiTheme="minorHAnsi"/>
      <w:color w:val="394A58"/>
      <w:lang w:eastAsia="ko-KR"/>
    </w:rPr>
  </w:style>
  <w:style w:type="paragraph" w:styleId="BalloonText">
    <w:name w:val="Balloon Text"/>
    <w:basedOn w:val="Normal"/>
    <w:link w:val="BalloonTextChar"/>
    <w:uiPriority w:val="99"/>
    <w:semiHidden/>
    <w:unhideWhenUsed/>
    <w:rsid w:val="00F469E0"/>
    <w:rPr>
      <w:rFonts w:ascii="Tahoma" w:hAnsi="Tahoma" w:cs="Tahoma"/>
      <w:sz w:val="16"/>
      <w:szCs w:val="16"/>
    </w:rPr>
  </w:style>
  <w:style w:type="character" w:customStyle="1" w:styleId="BalloonTextChar">
    <w:name w:val="Balloon Text Char"/>
    <w:basedOn w:val="DefaultParagraphFont"/>
    <w:link w:val="BalloonText"/>
    <w:uiPriority w:val="99"/>
    <w:semiHidden/>
    <w:rsid w:val="00F469E0"/>
    <w:rPr>
      <w:rFonts w:ascii="Tahoma" w:hAnsi="Tahoma" w:cs="Tahoma"/>
      <w:sz w:val="16"/>
      <w:szCs w:val="16"/>
      <w:lang w:eastAsia="ko-KR"/>
    </w:rPr>
  </w:style>
  <w:style w:type="paragraph" w:styleId="TOC1">
    <w:name w:val="toc 1"/>
    <w:next w:val="BodyText"/>
    <w:autoRedefine/>
    <w:uiPriority w:val="39"/>
    <w:rsid w:val="006A6B9C"/>
    <w:pPr>
      <w:tabs>
        <w:tab w:val="left" w:pos="851"/>
        <w:tab w:val="right" w:pos="9639"/>
      </w:tabs>
      <w:spacing w:before="240"/>
      <w:ind w:left="851" w:right="3402" w:hanging="851"/>
    </w:pPr>
    <w:rPr>
      <w:b/>
      <w:color w:val="394A58"/>
      <w:lang w:eastAsia="ko-KR"/>
    </w:rPr>
  </w:style>
  <w:style w:type="paragraph" w:styleId="TOC2">
    <w:name w:val="toc 2"/>
    <w:basedOn w:val="Normal"/>
    <w:next w:val="Normal"/>
    <w:autoRedefine/>
    <w:uiPriority w:val="39"/>
    <w:rsid w:val="006A6B9C"/>
    <w:pPr>
      <w:tabs>
        <w:tab w:val="left" w:pos="851"/>
        <w:tab w:val="right" w:pos="9639"/>
      </w:tabs>
      <w:spacing w:before="40" w:after="40"/>
      <w:ind w:left="851" w:right="3402" w:hanging="851"/>
      <w:jc w:val="left"/>
    </w:pPr>
    <w:rPr>
      <w:rFonts w:ascii="Arial" w:hAnsi="Arial"/>
      <w:color w:val="394A58"/>
      <w:sz w:val="20"/>
    </w:rPr>
  </w:style>
  <w:style w:type="paragraph" w:styleId="TOC3">
    <w:name w:val="toc 3"/>
    <w:basedOn w:val="Normal"/>
    <w:next w:val="Normal"/>
    <w:autoRedefine/>
    <w:uiPriority w:val="39"/>
    <w:rsid w:val="006A6B9C"/>
    <w:pPr>
      <w:tabs>
        <w:tab w:val="right" w:pos="9639"/>
      </w:tabs>
      <w:spacing w:before="20" w:after="20"/>
      <w:ind w:right="3402"/>
      <w:jc w:val="left"/>
    </w:pPr>
    <w:rPr>
      <w:rFonts w:ascii="Arial" w:hAnsi="Arial"/>
      <w:color w:val="394A58"/>
      <w:sz w:val="20"/>
    </w:rPr>
  </w:style>
  <w:style w:type="paragraph" w:customStyle="1" w:styleId="Introductionheading">
    <w:name w:val="Introduction heading"/>
    <w:basedOn w:val="Sectionintroduction"/>
    <w:next w:val="BodyText"/>
    <w:link w:val="IntroductionheadingChar"/>
    <w:uiPriority w:val="2"/>
    <w:qFormat/>
    <w:rsid w:val="00503DF9"/>
    <w:pPr>
      <w:tabs>
        <w:tab w:val="left" w:pos="7230"/>
      </w:tabs>
    </w:pPr>
    <w:rPr>
      <w:color w:val="FFFFFF" w:themeColor="background1"/>
    </w:rPr>
  </w:style>
  <w:style w:type="table" w:customStyle="1" w:styleId="AtkinsI">
    <w:name w:val="Atkins_I"/>
    <w:basedOn w:val="TableNormal"/>
    <w:uiPriority w:val="99"/>
    <w:qFormat/>
    <w:rsid w:val="00FB3575"/>
    <w:pPr>
      <w:jc w:val="right"/>
    </w:pPr>
    <w:tblPr>
      <w:tblInd w:w="0" w:type="dxa"/>
      <w:tblCellMar>
        <w:top w:w="45" w:type="dxa"/>
        <w:left w:w="45" w:type="dxa"/>
        <w:bottom w:w="45" w:type="dxa"/>
        <w:right w:w="45" w:type="dxa"/>
      </w:tblCellMar>
    </w:tblPr>
    <w:tcPr>
      <w:vAlign w:val="bottom"/>
    </w:tcPr>
    <w:tblStylePr w:type="firstRow">
      <w:pPr>
        <w:wordWrap/>
        <w:jc w:val="right"/>
      </w:pPr>
      <w:rPr>
        <w:b/>
      </w:rPr>
      <w:tblPr/>
      <w:trPr>
        <w:tblHeader/>
      </w:trPr>
      <w:tcPr>
        <w:tcBorders>
          <w:bottom w:val="single" w:sz="4" w:space="0" w:color="auto"/>
        </w:tcBorders>
      </w:tcPr>
    </w:tblStylePr>
    <w:tblStylePr w:type="lastRow">
      <w:tblPr/>
      <w:tcPr>
        <w:tcBorders>
          <w:bottom w:val="single" w:sz="4" w:space="0" w:color="auto"/>
        </w:tcBorders>
      </w:tcPr>
    </w:tblStylePr>
    <w:tblStylePr w:type="firstCol">
      <w:pPr>
        <w:jc w:val="left"/>
      </w:pPr>
    </w:tblStylePr>
    <w:tblStylePr w:type="nwCell">
      <w:pPr>
        <w:jc w:val="left"/>
      </w:pPr>
    </w:tblStylePr>
  </w:style>
  <w:style w:type="character" w:customStyle="1" w:styleId="IntroductionheadingChar">
    <w:name w:val="Introduction heading Char"/>
    <w:basedOn w:val="Heading1Char"/>
    <w:link w:val="Introductionheading"/>
    <w:uiPriority w:val="2"/>
    <w:rsid w:val="00503DF9"/>
    <w:rPr>
      <w:b/>
      <w:color w:val="FFFFFF" w:themeColor="background1"/>
      <w:sz w:val="48"/>
      <w:lang w:eastAsia="ko-KR"/>
    </w:rPr>
  </w:style>
  <w:style w:type="table" w:styleId="LightShading-Accent4">
    <w:name w:val="Light Shading Accent 4"/>
    <w:basedOn w:val="TableNormal"/>
    <w:uiPriority w:val="60"/>
    <w:rsid w:val="006E6FDE"/>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rsid w:val="006E6FDE"/>
    <w:rPr>
      <w:color w:val="788F93" w:themeColor="accent5" w:themeShade="BF"/>
    </w:rPr>
    <w:tblPr>
      <w:tblStyleRowBandSize w:val="1"/>
      <w:tblStyleColBandSize w:val="1"/>
      <w:tblInd w:w="0" w:type="dxa"/>
      <w:tblBorders>
        <w:top w:val="single" w:sz="8" w:space="0" w:color="AAB9BB" w:themeColor="accent5"/>
        <w:bottom w:val="single" w:sz="8" w:space="0" w:color="AAB9B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B9BB" w:themeColor="accent5"/>
          <w:left w:val="nil"/>
          <w:bottom w:val="single" w:sz="8" w:space="0" w:color="AAB9BB" w:themeColor="accent5"/>
          <w:right w:val="nil"/>
          <w:insideH w:val="nil"/>
          <w:insideV w:val="nil"/>
        </w:tcBorders>
      </w:tcPr>
    </w:tblStylePr>
    <w:tblStylePr w:type="lastRow">
      <w:pPr>
        <w:spacing w:before="0" w:after="0" w:line="240" w:lineRule="auto"/>
      </w:pPr>
      <w:rPr>
        <w:b/>
        <w:bCs/>
      </w:rPr>
      <w:tblPr/>
      <w:tcPr>
        <w:tcBorders>
          <w:top w:val="single" w:sz="8" w:space="0" w:color="AAB9BB" w:themeColor="accent5"/>
          <w:left w:val="nil"/>
          <w:bottom w:val="single" w:sz="8" w:space="0" w:color="AAB9B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DEE" w:themeFill="accent5" w:themeFillTint="3F"/>
      </w:tcPr>
    </w:tblStylePr>
    <w:tblStylePr w:type="band1Horz">
      <w:tblPr/>
      <w:tcPr>
        <w:tcBorders>
          <w:left w:val="nil"/>
          <w:right w:val="nil"/>
          <w:insideH w:val="nil"/>
          <w:insideV w:val="nil"/>
        </w:tcBorders>
        <w:shd w:val="clear" w:color="auto" w:fill="E9EDEE" w:themeFill="accent5" w:themeFillTint="3F"/>
      </w:tcPr>
    </w:tblStylePr>
  </w:style>
  <w:style w:type="paragraph" w:customStyle="1" w:styleId="DecimalAligned">
    <w:name w:val="Decimal Aligned"/>
    <w:basedOn w:val="Normal"/>
    <w:uiPriority w:val="40"/>
    <w:rsid w:val="00B5153E"/>
    <w:pPr>
      <w:tabs>
        <w:tab w:val="decimal" w:pos="360"/>
      </w:tabs>
      <w:spacing w:after="200" w:line="276" w:lineRule="auto"/>
      <w:jc w:val="left"/>
    </w:pPr>
    <w:rPr>
      <w:rFonts w:asciiTheme="minorHAnsi" w:eastAsiaTheme="minorEastAsia" w:hAnsiTheme="minorHAnsi" w:cstheme="minorBidi"/>
      <w:color w:val="394A58"/>
      <w:sz w:val="22"/>
      <w:szCs w:val="22"/>
      <w:lang w:val="en-US" w:eastAsia="en-US"/>
    </w:rPr>
  </w:style>
  <w:style w:type="paragraph" w:styleId="FootnoteText">
    <w:name w:val="footnote text"/>
    <w:basedOn w:val="Normal"/>
    <w:link w:val="FootnoteTextChar"/>
    <w:uiPriority w:val="99"/>
    <w:unhideWhenUsed/>
    <w:rsid w:val="00B5153E"/>
    <w:pPr>
      <w:jc w:val="left"/>
    </w:pPr>
    <w:rPr>
      <w:rFonts w:asciiTheme="minorHAnsi" w:eastAsiaTheme="minorEastAsia" w:hAnsiTheme="minorHAnsi" w:cstheme="minorBidi"/>
      <w:color w:val="394A58"/>
      <w:sz w:val="20"/>
      <w:lang w:val="en-US" w:eastAsia="en-US"/>
    </w:rPr>
  </w:style>
  <w:style w:type="character" w:customStyle="1" w:styleId="FootnoteTextChar">
    <w:name w:val="Footnote Text Char"/>
    <w:basedOn w:val="DefaultParagraphFont"/>
    <w:link w:val="FootnoteText"/>
    <w:uiPriority w:val="99"/>
    <w:rsid w:val="00B5153E"/>
    <w:rPr>
      <w:rFonts w:asciiTheme="minorHAnsi" w:eastAsiaTheme="minorEastAsia" w:hAnsiTheme="minorHAnsi" w:cstheme="minorBidi"/>
      <w:color w:val="394A58"/>
      <w:lang w:val="en-US" w:eastAsia="en-US"/>
    </w:rPr>
  </w:style>
  <w:style w:type="character" w:styleId="SubtleEmphasis">
    <w:name w:val="Subtle Emphasis"/>
    <w:basedOn w:val="DefaultParagraphFont"/>
    <w:uiPriority w:val="19"/>
    <w:rsid w:val="006E6FDE"/>
    <w:rPr>
      <w:rFonts w:eastAsiaTheme="minorEastAsia" w:cstheme="minorBidi"/>
      <w:bCs w:val="0"/>
      <w:i/>
      <w:iCs/>
      <w:color w:val="808080" w:themeColor="text1" w:themeTint="7F"/>
      <w:szCs w:val="22"/>
      <w:lang w:val="en-US"/>
    </w:rPr>
  </w:style>
  <w:style w:type="table" w:styleId="LightShading-Accent2">
    <w:name w:val="Light Shading Accent 2"/>
    <w:basedOn w:val="TableNormal"/>
    <w:uiPriority w:val="60"/>
    <w:rsid w:val="00EF1CB3"/>
    <w:rPr>
      <w:color w:val="4A7379" w:themeColor="accent2" w:themeShade="BF"/>
    </w:rPr>
    <w:tblPr>
      <w:tblStyleRowBandSize w:val="1"/>
      <w:tblStyleColBandSize w:val="1"/>
      <w:tblInd w:w="0" w:type="dxa"/>
      <w:tblBorders>
        <w:top w:val="single" w:sz="8" w:space="0" w:color="6599A1" w:themeColor="accent2"/>
        <w:bottom w:val="single" w:sz="8" w:space="0" w:color="6599A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99A1" w:themeColor="accent2"/>
          <w:left w:val="nil"/>
          <w:bottom w:val="single" w:sz="8" w:space="0" w:color="6599A1" w:themeColor="accent2"/>
          <w:right w:val="nil"/>
          <w:insideH w:val="nil"/>
          <w:insideV w:val="nil"/>
        </w:tcBorders>
      </w:tcPr>
    </w:tblStylePr>
    <w:tblStylePr w:type="lastRow">
      <w:pPr>
        <w:spacing w:before="0" w:after="0" w:line="240" w:lineRule="auto"/>
      </w:pPr>
      <w:rPr>
        <w:b/>
        <w:bCs/>
      </w:rPr>
      <w:tblPr/>
      <w:tcPr>
        <w:tcBorders>
          <w:top w:val="single" w:sz="8" w:space="0" w:color="6599A1" w:themeColor="accent2"/>
          <w:left w:val="nil"/>
          <w:bottom w:val="single" w:sz="8" w:space="0" w:color="6599A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E7" w:themeFill="accent2" w:themeFillTint="3F"/>
      </w:tcPr>
    </w:tblStylePr>
    <w:tblStylePr w:type="band1Horz">
      <w:tblPr/>
      <w:tcPr>
        <w:tcBorders>
          <w:left w:val="nil"/>
          <w:right w:val="nil"/>
          <w:insideH w:val="nil"/>
          <w:insideV w:val="nil"/>
        </w:tcBorders>
        <w:shd w:val="clear" w:color="auto" w:fill="D8E5E7" w:themeFill="accent2" w:themeFillTint="3F"/>
      </w:tcPr>
    </w:tblStylePr>
  </w:style>
  <w:style w:type="paragraph" w:styleId="Caption">
    <w:name w:val="caption"/>
    <w:next w:val="BodyText"/>
    <w:qFormat/>
    <w:rsid w:val="006A6B9C"/>
    <w:pPr>
      <w:spacing w:before="120" w:after="360"/>
    </w:pPr>
    <w:rPr>
      <w:rFonts w:asciiTheme="minorHAnsi" w:hAnsiTheme="minorHAnsi"/>
      <w:b/>
      <w:bCs/>
      <w:color w:val="156570"/>
      <w:sz w:val="16"/>
      <w:szCs w:val="18"/>
      <w:lang w:eastAsia="ko-KR"/>
    </w:rPr>
  </w:style>
  <w:style w:type="paragraph" w:styleId="Bibliography">
    <w:name w:val="Bibliography"/>
    <w:next w:val="BodyText"/>
    <w:uiPriority w:val="37"/>
    <w:rsid w:val="00EE627C"/>
    <w:rPr>
      <w:rFonts w:asciiTheme="minorHAnsi" w:hAnsiTheme="minorHAnsi"/>
      <w:color w:val="156570"/>
      <w:lang w:eastAsia="ko-KR"/>
    </w:rPr>
  </w:style>
  <w:style w:type="paragraph" w:styleId="ListNumber">
    <w:name w:val="List Number"/>
    <w:next w:val="BodyText"/>
    <w:uiPriority w:val="99"/>
    <w:qFormat/>
    <w:rsid w:val="00B5153E"/>
    <w:pPr>
      <w:numPr>
        <w:numId w:val="4"/>
      </w:numPr>
      <w:spacing w:after="120"/>
      <w:ind w:left="1022" w:hanging="455"/>
      <w:contextualSpacing/>
    </w:pPr>
    <w:rPr>
      <w:rFonts w:asciiTheme="minorHAnsi" w:hAnsiTheme="minorHAnsi"/>
      <w:color w:val="394A58"/>
      <w:lang w:eastAsia="ko-KR"/>
    </w:rPr>
  </w:style>
  <w:style w:type="numbering" w:customStyle="1" w:styleId="ATKINSNUMBERS">
    <w:name w:val="ATKINS_NUMBERS"/>
    <w:uiPriority w:val="99"/>
    <w:rsid w:val="00830441"/>
    <w:pPr>
      <w:numPr>
        <w:numId w:val="5"/>
      </w:numPr>
    </w:pPr>
  </w:style>
  <w:style w:type="paragraph" w:styleId="TableofFigures">
    <w:name w:val="table of figures"/>
    <w:basedOn w:val="Normal"/>
    <w:next w:val="Normal"/>
    <w:uiPriority w:val="99"/>
    <w:unhideWhenUsed/>
    <w:rsid w:val="006E7855"/>
    <w:rPr>
      <w:rFonts w:asciiTheme="minorHAnsi" w:hAnsiTheme="minorHAnsi"/>
      <w:color w:val="394A58" w:themeColor="text2"/>
      <w:sz w:val="20"/>
    </w:rPr>
  </w:style>
  <w:style w:type="character" w:styleId="FootnoteReference">
    <w:name w:val="footnote reference"/>
    <w:basedOn w:val="DefaultParagraphFont"/>
    <w:uiPriority w:val="99"/>
    <w:semiHidden/>
    <w:unhideWhenUsed/>
    <w:rsid w:val="002409FB"/>
    <w:rPr>
      <w:vertAlign w:val="superscript"/>
    </w:rPr>
  </w:style>
  <w:style w:type="paragraph" w:customStyle="1" w:styleId="Sectionintroduction">
    <w:name w:val="Section introduction"/>
    <w:basedOn w:val="Quotelarge"/>
    <w:link w:val="SectionintroductionChar"/>
    <w:uiPriority w:val="2"/>
    <w:qFormat/>
    <w:rsid w:val="008E1494"/>
    <w:pPr>
      <w:spacing w:before="1080" w:after="120"/>
    </w:pPr>
    <w:rPr>
      <w:b/>
    </w:rPr>
  </w:style>
  <w:style w:type="character" w:customStyle="1" w:styleId="SectionintroductionChar">
    <w:name w:val="Section introduction Char"/>
    <w:basedOn w:val="QuotelargeChar"/>
    <w:link w:val="Sectionintroduction"/>
    <w:uiPriority w:val="2"/>
    <w:rsid w:val="00F934B0"/>
    <w:rPr>
      <w:b/>
      <w:color w:val="156570"/>
      <w:sz w:val="48"/>
      <w:lang w:eastAsia="ko-KR"/>
    </w:rPr>
  </w:style>
  <w:style w:type="character" w:styleId="PlaceholderText">
    <w:name w:val="Placeholder Text"/>
    <w:basedOn w:val="DefaultParagraphFont"/>
    <w:uiPriority w:val="99"/>
    <w:semiHidden/>
    <w:rsid w:val="00BF0ADD"/>
    <w:rPr>
      <w:color w:val="808080"/>
    </w:rPr>
  </w:style>
  <w:style w:type="paragraph" w:customStyle="1" w:styleId="CoverCompanyname">
    <w:name w:val="Cover_Company name"/>
    <w:uiPriority w:val="2"/>
    <w:rsid w:val="00EE627C"/>
    <w:rPr>
      <w:color w:val="156570"/>
      <w:sz w:val="48"/>
      <w:lang w:eastAsia="ko-KR"/>
    </w:rPr>
  </w:style>
  <w:style w:type="paragraph" w:customStyle="1" w:styleId="CoverTitleofdocument">
    <w:name w:val="Cover_Title of document"/>
    <w:uiPriority w:val="2"/>
    <w:rsid w:val="00EE627C"/>
    <w:rPr>
      <w:color w:val="156570"/>
      <w:sz w:val="48"/>
      <w:lang w:eastAsia="ko-KR"/>
    </w:rPr>
  </w:style>
  <w:style w:type="paragraph" w:customStyle="1" w:styleId="CoverTendersubmission">
    <w:name w:val="Cover_Tender submission"/>
    <w:uiPriority w:val="2"/>
    <w:rsid w:val="00EE627C"/>
    <w:pPr>
      <w:ind w:left="1021" w:hanging="1021"/>
    </w:pPr>
    <w:rPr>
      <w:b/>
      <w:color w:val="156570"/>
      <w:sz w:val="22"/>
      <w:lang w:eastAsia="ko-KR"/>
    </w:rPr>
  </w:style>
  <w:style w:type="paragraph" w:customStyle="1" w:styleId="Coverdate">
    <w:name w:val="Cover_date"/>
    <w:uiPriority w:val="2"/>
    <w:rsid w:val="00EE627C"/>
    <w:pPr>
      <w:ind w:left="1021" w:hanging="1021"/>
    </w:pPr>
    <w:rPr>
      <w:color w:val="156570"/>
      <w:sz w:val="22"/>
      <w:lang w:eastAsia="ko-KR"/>
    </w:rPr>
  </w:style>
  <w:style w:type="paragraph" w:customStyle="1" w:styleId="StyleHeading6Left0cmFirstline0cm">
    <w:name w:val="Style Heading 6 + Left:  0 cm First line:  0 cm"/>
    <w:basedOn w:val="Heading6"/>
    <w:uiPriority w:val="2"/>
    <w:rsid w:val="00444C6F"/>
    <w:pPr>
      <w:numPr>
        <w:ilvl w:val="0"/>
        <w:numId w:val="0"/>
      </w:numPr>
    </w:pPr>
    <w:rPr>
      <w:rFonts w:eastAsia="Times New Roman" w:cs="Times New Roman"/>
      <w:bCs/>
    </w:rPr>
  </w:style>
  <w:style w:type="character" w:styleId="FollowedHyperlink">
    <w:name w:val="FollowedHyperlink"/>
    <w:basedOn w:val="DefaultParagraphFont"/>
    <w:uiPriority w:val="99"/>
    <w:semiHidden/>
    <w:unhideWhenUsed/>
    <w:rsid w:val="00F02089"/>
    <w:rPr>
      <w:color w:val="BED600" w:themeColor="followedHyperlink"/>
      <w:u w:val="single"/>
    </w:rPr>
  </w:style>
  <w:style w:type="paragraph" w:customStyle="1" w:styleId="DividerHeader">
    <w:name w:val="Divider Header"/>
    <w:basedOn w:val="Sectionintroduction"/>
    <w:uiPriority w:val="2"/>
    <w:qFormat/>
    <w:rsid w:val="005F2FDE"/>
    <w:rPr>
      <w:color w:val="FFFFFF" w:themeColor="background1"/>
    </w:rPr>
  </w:style>
  <w:style w:type="paragraph" w:customStyle="1" w:styleId="Dividersub">
    <w:name w:val="Divider sub"/>
    <w:basedOn w:val="Quotelarge"/>
    <w:uiPriority w:val="2"/>
    <w:rsid w:val="005F2FDE"/>
    <w:rPr>
      <w:color w:val="FFFFFF" w:themeColor="background1"/>
    </w:rPr>
  </w:style>
  <w:style w:type="paragraph" w:customStyle="1" w:styleId="Chapterbreaktext">
    <w:name w:val="Chapter break text"/>
    <w:basedOn w:val="Quotelarge"/>
    <w:link w:val="ChapterbreaktextChar"/>
    <w:uiPriority w:val="2"/>
    <w:qFormat/>
    <w:rsid w:val="0024777B"/>
    <w:pPr>
      <w:spacing w:before="1080" w:after="120"/>
    </w:pPr>
    <w:rPr>
      <w:b/>
    </w:rPr>
  </w:style>
  <w:style w:type="character" w:customStyle="1" w:styleId="ChapterbreaktextChar">
    <w:name w:val="Chapter break text Char"/>
    <w:basedOn w:val="QuotelargeChar"/>
    <w:link w:val="Chapterbreaktext"/>
    <w:uiPriority w:val="2"/>
    <w:rsid w:val="0024777B"/>
    <w:rPr>
      <w:b/>
      <w:color w:val="156570"/>
      <w:sz w:val="48"/>
      <w:lang w:eastAsia="ko-KR"/>
    </w:rPr>
  </w:style>
  <w:style w:type="numbering" w:customStyle="1" w:styleId="Atkinsbullets">
    <w:name w:val="Atkins_bullets"/>
    <w:uiPriority w:val="99"/>
    <w:rsid w:val="000C6C51"/>
    <w:pPr>
      <w:numPr>
        <w:numId w:val="7"/>
      </w:numPr>
    </w:pPr>
  </w:style>
  <w:style w:type="table" w:customStyle="1" w:styleId="Atkins14pt">
    <w:name w:val="Atkins_1/4pt"/>
    <w:basedOn w:val="TableNormal"/>
    <w:uiPriority w:val="99"/>
    <w:qFormat/>
    <w:rsid w:val="00371762"/>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57" w:type="dxa"/>
        <w:bottom w:w="0" w:type="dxa"/>
        <w:right w:w="0" w:type="dxa"/>
      </w:tblCellMar>
    </w:tblPr>
    <w:tblStylePr w:type="firstRow">
      <w:pPr>
        <w:wordWrap/>
        <w:jc w:val="left"/>
      </w:pPr>
      <w:rPr>
        <w:rFonts w:ascii="Arial" w:hAnsi="Arial"/>
        <w:b/>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styleId="ListParagraph">
    <w:name w:val="List Paragraph"/>
    <w:basedOn w:val="Normal"/>
    <w:uiPriority w:val="34"/>
    <w:qFormat/>
    <w:rsid w:val="00553A80"/>
    <w:pPr>
      <w:ind w:left="720"/>
      <w:contextualSpacing/>
      <w:jc w:val="left"/>
    </w:pPr>
    <w:rPr>
      <w:rFonts w:ascii="Arial" w:eastAsiaTheme="minorHAnsi" w:hAnsi="Arial" w:cstheme="minorBidi"/>
      <w:sz w:val="20"/>
      <w:szCs w:val="22"/>
      <w:lang w:eastAsia="en-US"/>
    </w:rPr>
  </w:style>
  <w:style w:type="paragraph" w:customStyle="1" w:styleId="TableText">
    <w:name w:val="TableText"/>
    <w:basedOn w:val="BodyText"/>
    <w:uiPriority w:val="16"/>
    <w:qFormat/>
    <w:rsid w:val="00553A80"/>
    <w:pPr>
      <w:spacing w:before="40" w:after="40"/>
    </w:pPr>
    <w:rPr>
      <w:color w:val="394A58" w:themeColor="text2"/>
    </w:rPr>
  </w:style>
  <w:style w:type="paragraph" w:customStyle="1" w:styleId="NormalNoSpace">
    <w:name w:val="NormalNoSpace"/>
    <w:basedOn w:val="Normal"/>
    <w:qFormat/>
    <w:rsid w:val="00553A80"/>
    <w:pPr>
      <w:jc w:val="left"/>
    </w:pPr>
    <w:rPr>
      <w:rFonts w:ascii="Arial" w:eastAsiaTheme="minorHAnsi" w:hAnsi="Arial" w:cstheme="minorBidi"/>
      <w:color w:val="394A58" w:themeColor="text2"/>
      <w:sz w:val="20"/>
      <w:szCs w:val="22"/>
      <w:lang w:eastAsia="en-US"/>
    </w:rPr>
  </w:style>
  <w:style w:type="paragraph" w:customStyle="1" w:styleId="TableHeading">
    <w:name w:val="TableHeading"/>
    <w:basedOn w:val="TableText"/>
    <w:uiPriority w:val="16"/>
    <w:qFormat/>
    <w:rsid w:val="000A01BC"/>
    <w:pPr>
      <w:spacing w:before="60" w:after="60"/>
    </w:pPr>
    <w:rPr>
      <w:b/>
    </w:rPr>
  </w:style>
  <w:style w:type="paragraph" w:customStyle="1" w:styleId="TableTitle">
    <w:name w:val="TableTitle"/>
    <w:basedOn w:val="Normal"/>
    <w:uiPriority w:val="15"/>
    <w:qFormat/>
    <w:rsid w:val="000A01BC"/>
    <w:pPr>
      <w:numPr>
        <w:numId w:val="12"/>
      </w:numPr>
      <w:spacing w:before="240" w:after="120"/>
      <w:ind w:left="1021" w:hanging="1021"/>
      <w:jc w:val="left"/>
    </w:pPr>
    <w:rPr>
      <w:rFonts w:ascii="Arial" w:eastAsiaTheme="minorHAnsi" w:hAnsi="Arial" w:cstheme="minorBidi"/>
      <w:b/>
      <w:color w:val="394A58" w:themeColor="text2"/>
      <w:sz w:val="20"/>
      <w:szCs w:val="22"/>
      <w:lang w:eastAsia="en-US"/>
    </w:rPr>
  </w:style>
  <w:style w:type="paragraph" w:customStyle="1" w:styleId="FooterBold">
    <w:name w:val="FooterBold"/>
    <w:basedOn w:val="Footer"/>
    <w:rsid w:val="000A01BC"/>
    <w:pPr>
      <w:spacing w:before="80"/>
      <w:jc w:val="left"/>
    </w:pPr>
    <w:rPr>
      <w:rFonts w:eastAsiaTheme="minorHAnsi" w:cstheme="minorBidi"/>
      <w:b/>
      <w:color w:val="BED600" w:themeColor="background2"/>
      <w:szCs w:val="22"/>
      <w:lang w:eastAsia="en-US"/>
    </w:rPr>
  </w:style>
  <w:style w:type="paragraph" w:customStyle="1" w:styleId="TableSource">
    <w:name w:val="TableSource"/>
    <w:basedOn w:val="Normal"/>
    <w:next w:val="Normal"/>
    <w:uiPriority w:val="17"/>
    <w:qFormat/>
    <w:rsid w:val="000A01BC"/>
    <w:pPr>
      <w:spacing w:before="120" w:after="240"/>
      <w:jc w:val="left"/>
    </w:pPr>
    <w:rPr>
      <w:rFonts w:ascii="Arial" w:eastAsiaTheme="minorHAnsi" w:hAnsi="Arial" w:cstheme="minorBidi"/>
      <w:color w:val="394A58" w:themeColor="text2"/>
      <w:sz w:val="16"/>
      <w:szCs w:val="22"/>
      <w:lang w:eastAsia="en-US"/>
    </w:rPr>
  </w:style>
  <w:style w:type="paragraph" w:customStyle="1" w:styleId="DefaultParagraphFontParaChar">
    <w:name w:val="Default Paragraph Font Para Char"/>
    <w:basedOn w:val="Normal"/>
    <w:rsid w:val="000A01BC"/>
    <w:pPr>
      <w:spacing w:before="120" w:after="120"/>
      <w:jc w:val="left"/>
    </w:pPr>
    <w:rPr>
      <w:rFonts w:ascii="Arial" w:eastAsia="SimSun" w:hAnsi="Arial" w:cs="Times New Roman"/>
      <w:sz w:val="20"/>
      <w:szCs w:val="24"/>
      <w:lang w:eastAsia="zh-CN"/>
    </w:rPr>
  </w:style>
  <w:style w:type="character" w:styleId="CommentReference">
    <w:name w:val="annotation reference"/>
    <w:basedOn w:val="DefaultParagraphFont"/>
    <w:semiHidden/>
    <w:unhideWhenUsed/>
    <w:rsid w:val="00787147"/>
    <w:rPr>
      <w:sz w:val="16"/>
      <w:szCs w:val="16"/>
    </w:rPr>
  </w:style>
  <w:style w:type="paragraph" w:styleId="CommentText">
    <w:name w:val="annotation text"/>
    <w:basedOn w:val="Normal"/>
    <w:link w:val="CommentTextChar"/>
    <w:semiHidden/>
    <w:unhideWhenUsed/>
    <w:rsid w:val="00787147"/>
    <w:rPr>
      <w:sz w:val="20"/>
    </w:rPr>
  </w:style>
  <w:style w:type="character" w:customStyle="1" w:styleId="CommentTextChar">
    <w:name w:val="Comment Text Char"/>
    <w:basedOn w:val="DefaultParagraphFont"/>
    <w:link w:val="CommentText"/>
    <w:semiHidden/>
    <w:rsid w:val="00787147"/>
    <w:rPr>
      <w:rFonts w:ascii="Times New Roman" w:hAnsi="Times New Roman"/>
      <w:lang w:eastAsia="ko-KR"/>
    </w:rPr>
  </w:style>
  <w:style w:type="paragraph" w:styleId="CommentSubject">
    <w:name w:val="annotation subject"/>
    <w:basedOn w:val="CommentText"/>
    <w:next w:val="CommentText"/>
    <w:link w:val="CommentSubjectChar"/>
    <w:uiPriority w:val="99"/>
    <w:semiHidden/>
    <w:unhideWhenUsed/>
    <w:rsid w:val="00787147"/>
    <w:rPr>
      <w:b/>
      <w:bCs/>
    </w:rPr>
  </w:style>
  <w:style w:type="character" w:customStyle="1" w:styleId="CommentSubjectChar">
    <w:name w:val="Comment Subject Char"/>
    <w:basedOn w:val="CommentTextChar"/>
    <w:link w:val="CommentSubject"/>
    <w:uiPriority w:val="99"/>
    <w:semiHidden/>
    <w:rsid w:val="00787147"/>
    <w:rPr>
      <w:rFonts w:ascii="Times New Roman" w:hAnsi="Times New Roman"/>
      <w:b/>
      <w:bCs/>
      <w:lang w:eastAsia="ko-KR"/>
    </w:rPr>
  </w:style>
  <w:style w:type="paragraph" w:customStyle="1" w:styleId="Heading4NoNumb">
    <w:name w:val="Heading 4NoNumb"/>
    <w:basedOn w:val="Heading4"/>
    <w:next w:val="Normal"/>
    <w:uiPriority w:val="23"/>
    <w:qFormat/>
    <w:rsid w:val="004969A0"/>
    <w:pPr>
      <w:numPr>
        <w:ilvl w:val="0"/>
        <w:numId w:val="0"/>
      </w:numPr>
      <w:spacing w:before="240"/>
    </w:pPr>
    <w:rPr>
      <w:rFonts w:eastAsia="Times New Roman" w:cs="Times New Roman"/>
      <w:bCs/>
      <w:iCs/>
      <w:color w:val="BED600" w:themeColor="background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Batang"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nhideWhenUsed="0"/>
    <w:lsdException w:name="List Bullet" w:semiHidden="0" w:unhideWhenUsed="0" w:qFormat="1"/>
    <w:lsdException w:name="List Number" w:semiHidden="0" w:unhideWhenUsed="0" w:qFormat="1"/>
    <w:lsdException w:name="Title" w:semiHidden="0" w:uiPriority="10" w:unhideWhenUsed="0"/>
    <w:lsdException w:name="Default Paragraph Font" w:uiPriority="1"/>
    <w:lsdException w:name="Body Text" w:semiHidden="0" w:uiPriority="0" w:unhideWhenUsed="0" w:qFormat="1"/>
    <w:lsdException w:name="Subtitle"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7" w:unhideWhenUsed="0"/>
    <w:lsdException w:name="TOC Heading" w:uiPriority="39" w:qFormat="1"/>
  </w:latentStyles>
  <w:style w:type="paragraph" w:default="1" w:styleId="Normal">
    <w:name w:val="Normal"/>
    <w:uiPriority w:val="2"/>
    <w:rsid w:val="00F934B0"/>
    <w:pPr>
      <w:jc w:val="both"/>
    </w:pPr>
    <w:rPr>
      <w:rFonts w:ascii="Times New Roman" w:hAnsi="Times New Roman"/>
      <w:sz w:val="24"/>
      <w:lang w:eastAsia="ko-KR"/>
    </w:rPr>
  </w:style>
  <w:style w:type="paragraph" w:styleId="Heading1">
    <w:name w:val="heading 1"/>
    <w:aliases w:val="Heading 1 Char Char,ERA Section Heading,Section Header,h1,1,1 Char,Heading 1 Char2,ERA Section Heading Char,Section Header Char,h1 Char2,Heading 1 Char1 Char,ERA Section Heading Char Char Char,Section Header Char Char Char,Chapter Heading"/>
    <w:basedOn w:val="Heading2"/>
    <w:next w:val="BodyText"/>
    <w:link w:val="Heading1Char"/>
    <w:qFormat/>
    <w:rsid w:val="006A6B9C"/>
    <w:pPr>
      <w:pageBreakBefore/>
      <w:numPr>
        <w:ilvl w:val="0"/>
      </w:numPr>
      <w:spacing w:before="0" w:after="840"/>
      <w:outlineLvl w:val="0"/>
    </w:pPr>
    <w:rPr>
      <w:color w:val="394A58"/>
      <w:sz w:val="48"/>
    </w:rPr>
  </w:style>
  <w:style w:type="paragraph" w:styleId="Heading2">
    <w:name w:val="heading 2"/>
    <w:aliases w:val="Heading 2 Char Char Char,Heading 2 Char Char Char Char Char,Heading 2 Char Char,Heading 2 Char Char Char Char Char Char Char Char Char Char,Heading 2 Char Char Char Char Char Char Char Char Char Char Char Char Char Char, Char Char Char, Char"/>
    <w:basedOn w:val="Heading3"/>
    <w:next w:val="BodyText"/>
    <w:uiPriority w:val="99"/>
    <w:qFormat/>
    <w:rsid w:val="005B54BD"/>
    <w:pPr>
      <w:numPr>
        <w:ilvl w:val="1"/>
      </w:numPr>
      <w:outlineLvl w:val="1"/>
    </w:pPr>
    <w:rPr>
      <w:sz w:val="26"/>
    </w:rPr>
  </w:style>
  <w:style w:type="paragraph" w:styleId="Heading3">
    <w:name w:val="heading 3"/>
    <w:aliases w:val="Heading 3 Char Char Char Char,Heading 3 Char Char Char Char Char,Heading 3 Char Char Char"/>
    <w:basedOn w:val="Heading4"/>
    <w:next w:val="BodyText"/>
    <w:uiPriority w:val="99"/>
    <w:qFormat/>
    <w:rsid w:val="005B54BD"/>
    <w:pPr>
      <w:numPr>
        <w:ilvl w:val="2"/>
      </w:numPr>
      <w:outlineLvl w:val="2"/>
    </w:pPr>
  </w:style>
  <w:style w:type="paragraph" w:styleId="Heading4">
    <w:name w:val="heading 4"/>
    <w:basedOn w:val="Heading5"/>
    <w:next w:val="BodyText"/>
    <w:uiPriority w:val="99"/>
    <w:qFormat/>
    <w:rsid w:val="005B54BD"/>
    <w:pPr>
      <w:numPr>
        <w:ilvl w:val="3"/>
      </w:numPr>
      <w:outlineLvl w:val="3"/>
    </w:pPr>
  </w:style>
  <w:style w:type="paragraph" w:styleId="Heading5">
    <w:name w:val="heading 5"/>
    <w:aliases w:val="Paragraph Text,Lower Case,Bold &amp; Italic,paragraph Char,Lower Case Char,Bold &amp; Italic Char,paragraph,Heading 5 Char1,Lower Case Char1,Bold &amp; Italic Char1,paragraph Char Char Char,Heading 5 Char Char Char Char,Heading 51 Char Cha"/>
    <w:basedOn w:val="Heading6"/>
    <w:next w:val="BodyText"/>
    <w:uiPriority w:val="99"/>
    <w:qFormat/>
    <w:rsid w:val="008817E2"/>
    <w:pPr>
      <w:numPr>
        <w:ilvl w:val="4"/>
      </w:numPr>
      <w:spacing w:before="360" w:after="40"/>
      <w:outlineLvl w:val="4"/>
    </w:pPr>
    <w:rPr>
      <w:color w:val="156570"/>
      <w:sz w:val="22"/>
    </w:rPr>
  </w:style>
  <w:style w:type="paragraph" w:styleId="Heading6">
    <w:name w:val="heading 6"/>
    <w:aliases w:val="level 1 bullet 1,level 1 bullet Char,level 1 bullet Char Char Char,level 1 bullet,level 1 bullet 1 Char Char Char,level 1 bullet 1 Char Char Char Char Char Char Char,level 1 bullet 1 Char Char Char Char Char Char Char Cha,Heading 61"/>
    <w:next w:val="BodyText"/>
    <w:uiPriority w:val="99"/>
    <w:qFormat/>
    <w:rsid w:val="005B54BD"/>
    <w:pPr>
      <w:keepNext/>
      <w:keepLines/>
      <w:numPr>
        <w:ilvl w:val="5"/>
        <w:numId w:val="6"/>
      </w:numPr>
      <w:spacing w:before="840" w:after="840"/>
      <w:outlineLvl w:val="5"/>
    </w:pPr>
    <w:rPr>
      <w:b/>
      <w:color w:val="394A58"/>
      <w:sz w:val="36"/>
      <w:lang w:eastAsia="ko-KR"/>
    </w:rPr>
  </w:style>
  <w:style w:type="paragraph" w:styleId="Heading7">
    <w:name w:val="heading 7"/>
    <w:next w:val="BodyText"/>
    <w:uiPriority w:val="99"/>
    <w:qFormat/>
    <w:rsid w:val="005B54BD"/>
    <w:pPr>
      <w:numPr>
        <w:ilvl w:val="6"/>
        <w:numId w:val="6"/>
      </w:numPr>
      <w:spacing w:before="360" w:after="40"/>
      <w:outlineLvl w:val="6"/>
    </w:pPr>
    <w:rPr>
      <w:rFonts w:asciiTheme="minorHAnsi" w:hAnsiTheme="minorHAnsi"/>
      <w:b/>
      <w:color w:val="156570"/>
      <w:sz w:val="22"/>
      <w:lang w:eastAsia="ko-KR"/>
    </w:rPr>
  </w:style>
  <w:style w:type="paragraph" w:styleId="Heading8">
    <w:name w:val="heading 8"/>
    <w:aliases w:val="Bullet 3"/>
    <w:next w:val="BodyText"/>
    <w:uiPriority w:val="99"/>
    <w:qFormat/>
    <w:rsid w:val="005B54BD"/>
    <w:pPr>
      <w:numPr>
        <w:ilvl w:val="7"/>
        <w:numId w:val="6"/>
      </w:numPr>
      <w:spacing w:before="360" w:after="40"/>
      <w:outlineLvl w:val="7"/>
    </w:pPr>
    <w:rPr>
      <w:rFonts w:asciiTheme="minorHAnsi" w:hAnsiTheme="minorHAnsi"/>
      <w:b/>
      <w:iCs/>
      <w:color w:val="156570"/>
      <w:lang w:eastAsia="ko-KR"/>
    </w:rPr>
  </w:style>
  <w:style w:type="paragraph" w:styleId="Heading9">
    <w:name w:val="heading 9"/>
    <w:next w:val="BodyText"/>
    <w:uiPriority w:val="99"/>
    <w:qFormat/>
    <w:rsid w:val="005B54BD"/>
    <w:pPr>
      <w:numPr>
        <w:ilvl w:val="8"/>
        <w:numId w:val="6"/>
      </w:numPr>
      <w:spacing w:before="360" w:after="40"/>
      <w:outlineLvl w:val="8"/>
    </w:pPr>
    <w:rPr>
      <w:rFonts w:asciiTheme="minorHAnsi" w:hAnsiTheme="minorHAnsi"/>
      <w:b/>
      <w:color w:val="15657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3575"/>
    <w:pPr>
      <w:contextualSpacing/>
    </w:pPr>
    <w:rPr>
      <w:rFonts w:asciiTheme="minorHAnsi" w:hAnsiTheme="minorHAnsi"/>
      <w:color w:val="394A58"/>
      <w:lang w:eastAsia="ko-KR"/>
    </w:rPr>
  </w:style>
  <w:style w:type="character" w:styleId="IntenseEmphasis">
    <w:name w:val="Intense Emphasis"/>
    <w:basedOn w:val="DefaultParagraphFont"/>
    <w:uiPriority w:val="21"/>
    <w:semiHidden/>
    <w:rsid w:val="007B4C11"/>
    <w:rPr>
      <w:b/>
      <w:bCs/>
      <w:i/>
      <w:iCs/>
      <w:color w:val="4F81BD"/>
    </w:rPr>
  </w:style>
  <w:style w:type="character" w:styleId="Hyperlink">
    <w:name w:val="Hyperlink"/>
    <w:basedOn w:val="DefaultParagraphFont"/>
    <w:uiPriority w:val="99"/>
    <w:rsid w:val="00B5153E"/>
    <w:rPr>
      <w:color w:val="156570"/>
      <w:u w:val="single" w:color="000000"/>
    </w:rPr>
  </w:style>
  <w:style w:type="numbering" w:styleId="111111">
    <w:name w:val="Outline List 2"/>
    <w:basedOn w:val="NoList"/>
    <w:semiHidden/>
    <w:rsid w:val="00186E9D"/>
    <w:pPr>
      <w:numPr>
        <w:numId w:val="1"/>
      </w:numPr>
    </w:pPr>
  </w:style>
  <w:style w:type="numbering" w:styleId="1ai">
    <w:name w:val="Outline List 1"/>
    <w:basedOn w:val="NoList"/>
    <w:semiHidden/>
    <w:rsid w:val="00186E9D"/>
    <w:pPr>
      <w:numPr>
        <w:numId w:val="2"/>
      </w:numPr>
    </w:pPr>
  </w:style>
  <w:style w:type="numbering" w:styleId="ArticleSection">
    <w:name w:val="Outline List 3"/>
    <w:basedOn w:val="NoList"/>
    <w:semiHidden/>
    <w:rsid w:val="00186E9D"/>
    <w:pPr>
      <w:numPr>
        <w:numId w:val="3"/>
      </w:numPr>
    </w:pPr>
  </w:style>
  <w:style w:type="table" w:styleId="Table3Deffects1">
    <w:name w:val="Table 3D effects 1"/>
    <w:basedOn w:val="TableNormal"/>
    <w:semiHidden/>
    <w:rsid w:val="00186E9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86E9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86E9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86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86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86E9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86E9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86E9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86E9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86E9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86E9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86E9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86E9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86E9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86E9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86E9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86E9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E2F7F"/>
    <w:pPr>
      <w:jc w:val="both"/>
    </w:pPr>
    <w:rPr>
      <w:rFonts w:asciiTheme="minorHAnsi" w:hAnsiTheme="minorHAnsi"/>
    </w:rPr>
    <w:tblPr>
      <w:tblInd w:w="0" w:type="dxa"/>
      <w:tblCellMar>
        <w:top w:w="0" w:type="dxa"/>
        <w:left w:w="108" w:type="dxa"/>
        <w:bottom w:w="0" w:type="dxa"/>
        <w:right w:w="108" w:type="dxa"/>
      </w:tblCellMar>
    </w:tblPr>
    <w:tblStylePr w:type="firstRow">
      <w:rPr>
        <w:b/>
      </w:rPr>
      <w:tblPr/>
      <w:tcPr>
        <w:tcBorders>
          <w:bottom w:val="nil"/>
        </w:tcBorders>
      </w:tcPr>
    </w:tblStylePr>
    <w:tblStylePr w:type="lastRow">
      <w:tblPr/>
      <w:tcPr>
        <w:tcBorders>
          <w:bottom w:val="nil"/>
        </w:tcBorders>
      </w:tcPr>
    </w:tblStylePr>
  </w:style>
  <w:style w:type="table" w:styleId="TableGrid1">
    <w:name w:val="Table Grid 1"/>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86E9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86E9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86E9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86E9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86E9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86E9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86E9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86E9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86E9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86E9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86E9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86E9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86E9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86E9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86E9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86E9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86E9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86E9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86E9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aliases w:val="Heading 1 Char Char Char,ERA Section Heading Char1,Section Header Char1,h1 Char,1 Char1,1 Char Char,Heading 1 Char2 Char,ERA Section Heading Char Char,Section Header Char Char,h1 Char2 Char,Heading 1 Char1 Char Char,Chapter Heading Char"/>
    <w:basedOn w:val="DefaultParagraphFont"/>
    <w:link w:val="Heading1"/>
    <w:uiPriority w:val="1"/>
    <w:rsid w:val="006A6B9C"/>
    <w:rPr>
      <w:b/>
      <w:color w:val="394A58"/>
      <w:sz w:val="48"/>
      <w:lang w:eastAsia="ko-KR"/>
    </w:rPr>
  </w:style>
  <w:style w:type="paragraph" w:styleId="BodyText">
    <w:name w:val="Body Text"/>
    <w:link w:val="BodyTextChar"/>
    <w:qFormat/>
    <w:rsid w:val="005B54BD"/>
    <w:pPr>
      <w:spacing w:after="240"/>
    </w:pPr>
    <w:rPr>
      <w:color w:val="394A58"/>
      <w:lang w:eastAsia="ko-KR"/>
    </w:rPr>
  </w:style>
  <w:style w:type="character" w:customStyle="1" w:styleId="BodyTextChar">
    <w:name w:val="Body Text Char"/>
    <w:basedOn w:val="DefaultParagraphFont"/>
    <w:link w:val="BodyText"/>
    <w:rsid w:val="005B54BD"/>
    <w:rPr>
      <w:color w:val="394A58"/>
      <w:lang w:eastAsia="ko-KR"/>
    </w:rPr>
  </w:style>
  <w:style w:type="paragraph" w:styleId="Header">
    <w:name w:val="header"/>
    <w:basedOn w:val="Normal"/>
    <w:link w:val="HeaderChar"/>
    <w:uiPriority w:val="99"/>
    <w:rsid w:val="00B5153E"/>
    <w:pPr>
      <w:tabs>
        <w:tab w:val="center" w:pos="4513"/>
        <w:tab w:val="right" w:pos="9026"/>
      </w:tabs>
    </w:pPr>
    <w:rPr>
      <w:rFonts w:ascii="Arial" w:hAnsi="Arial"/>
      <w:color w:val="394A58"/>
      <w:sz w:val="18"/>
    </w:rPr>
  </w:style>
  <w:style w:type="character" w:customStyle="1" w:styleId="HeaderChar">
    <w:name w:val="Header Char"/>
    <w:basedOn w:val="DefaultParagraphFont"/>
    <w:link w:val="Header"/>
    <w:uiPriority w:val="99"/>
    <w:rsid w:val="00B5153E"/>
    <w:rPr>
      <w:color w:val="394A58"/>
      <w:sz w:val="18"/>
      <w:lang w:eastAsia="ko-KR"/>
    </w:rPr>
  </w:style>
  <w:style w:type="paragraph" w:styleId="Footer">
    <w:name w:val="footer"/>
    <w:basedOn w:val="Normal"/>
    <w:link w:val="FooterChar"/>
    <w:uiPriority w:val="99"/>
    <w:rsid w:val="00B5153E"/>
    <w:pPr>
      <w:tabs>
        <w:tab w:val="center" w:pos="4513"/>
        <w:tab w:val="right" w:pos="9026"/>
      </w:tabs>
    </w:pPr>
    <w:rPr>
      <w:rFonts w:ascii="Arial" w:hAnsi="Arial"/>
      <w:color w:val="394A58"/>
      <w:sz w:val="18"/>
    </w:rPr>
  </w:style>
  <w:style w:type="character" w:customStyle="1" w:styleId="FooterChar">
    <w:name w:val="Footer Char"/>
    <w:basedOn w:val="DefaultParagraphFont"/>
    <w:link w:val="Footer"/>
    <w:uiPriority w:val="99"/>
    <w:rsid w:val="00B5153E"/>
    <w:rPr>
      <w:color w:val="394A58"/>
      <w:sz w:val="18"/>
      <w:lang w:eastAsia="ko-KR"/>
    </w:rPr>
  </w:style>
  <w:style w:type="paragraph" w:customStyle="1" w:styleId="Quotelarge">
    <w:name w:val="Quote large"/>
    <w:next w:val="BodyText"/>
    <w:link w:val="QuotelargeChar"/>
    <w:uiPriority w:val="2"/>
    <w:qFormat/>
    <w:rsid w:val="00EE627C"/>
    <w:pPr>
      <w:spacing w:after="480"/>
      <w:ind w:right="1701"/>
    </w:pPr>
    <w:rPr>
      <w:color w:val="156570"/>
      <w:sz w:val="48"/>
      <w:lang w:eastAsia="ko-KR"/>
    </w:rPr>
  </w:style>
  <w:style w:type="paragraph" w:styleId="ListBullet">
    <w:name w:val="List Bullet"/>
    <w:basedOn w:val="BodyText"/>
    <w:uiPriority w:val="99"/>
    <w:qFormat/>
    <w:rsid w:val="000C6C51"/>
    <w:pPr>
      <w:numPr>
        <w:numId w:val="8"/>
      </w:numPr>
    </w:pPr>
  </w:style>
  <w:style w:type="character" w:customStyle="1" w:styleId="QuotelargeChar">
    <w:name w:val="Quote large Char"/>
    <w:basedOn w:val="DefaultParagraphFont"/>
    <w:link w:val="Quotelarge"/>
    <w:uiPriority w:val="2"/>
    <w:rsid w:val="00EE627C"/>
    <w:rPr>
      <w:color w:val="156570"/>
      <w:sz w:val="48"/>
      <w:lang w:eastAsia="ko-KR"/>
    </w:rPr>
  </w:style>
  <w:style w:type="character" w:customStyle="1" w:styleId="NoSpacingChar">
    <w:name w:val="No Spacing Char"/>
    <w:basedOn w:val="DefaultParagraphFont"/>
    <w:link w:val="NoSpacing"/>
    <w:uiPriority w:val="1"/>
    <w:rsid w:val="00EE627C"/>
    <w:rPr>
      <w:rFonts w:asciiTheme="minorHAnsi" w:hAnsiTheme="minorHAnsi"/>
      <w:color w:val="394A58"/>
      <w:lang w:eastAsia="ko-KR"/>
    </w:rPr>
  </w:style>
  <w:style w:type="paragraph" w:styleId="BalloonText">
    <w:name w:val="Balloon Text"/>
    <w:basedOn w:val="Normal"/>
    <w:link w:val="BalloonTextChar"/>
    <w:uiPriority w:val="99"/>
    <w:semiHidden/>
    <w:unhideWhenUsed/>
    <w:rsid w:val="00F469E0"/>
    <w:rPr>
      <w:rFonts w:ascii="Tahoma" w:hAnsi="Tahoma" w:cs="Tahoma"/>
      <w:sz w:val="16"/>
      <w:szCs w:val="16"/>
    </w:rPr>
  </w:style>
  <w:style w:type="character" w:customStyle="1" w:styleId="BalloonTextChar">
    <w:name w:val="Balloon Text Char"/>
    <w:basedOn w:val="DefaultParagraphFont"/>
    <w:link w:val="BalloonText"/>
    <w:uiPriority w:val="99"/>
    <w:semiHidden/>
    <w:rsid w:val="00F469E0"/>
    <w:rPr>
      <w:rFonts w:ascii="Tahoma" w:hAnsi="Tahoma" w:cs="Tahoma"/>
      <w:sz w:val="16"/>
      <w:szCs w:val="16"/>
      <w:lang w:eastAsia="ko-KR"/>
    </w:rPr>
  </w:style>
  <w:style w:type="paragraph" w:styleId="TOC1">
    <w:name w:val="toc 1"/>
    <w:next w:val="BodyText"/>
    <w:autoRedefine/>
    <w:uiPriority w:val="39"/>
    <w:rsid w:val="006A6B9C"/>
    <w:pPr>
      <w:tabs>
        <w:tab w:val="left" w:pos="851"/>
        <w:tab w:val="right" w:pos="9639"/>
      </w:tabs>
      <w:spacing w:before="240"/>
      <w:ind w:left="851" w:right="3402" w:hanging="851"/>
    </w:pPr>
    <w:rPr>
      <w:b/>
      <w:color w:val="394A58"/>
      <w:lang w:eastAsia="ko-KR"/>
    </w:rPr>
  </w:style>
  <w:style w:type="paragraph" w:styleId="TOC2">
    <w:name w:val="toc 2"/>
    <w:basedOn w:val="Normal"/>
    <w:next w:val="Normal"/>
    <w:autoRedefine/>
    <w:uiPriority w:val="39"/>
    <w:rsid w:val="006A6B9C"/>
    <w:pPr>
      <w:tabs>
        <w:tab w:val="left" w:pos="851"/>
        <w:tab w:val="right" w:pos="9639"/>
      </w:tabs>
      <w:spacing w:before="40" w:after="40"/>
      <w:ind w:left="851" w:right="3402" w:hanging="851"/>
      <w:jc w:val="left"/>
    </w:pPr>
    <w:rPr>
      <w:rFonts w:ascii="Arial" w:hAnsi="Arial"/>
      <w:color w:val="394A58"/>
      <w:sz w:val="20"/>
    </w:rPr>
  </w:style>
  <w:style w:type="paragraph" w:styleId="TOC3">
    <w:name w:val="toc 3"/>
    <w:basedOn w:val="Normal"/>
    <w:next w:val="Normal"/>
    <w:autoRedefine/>
    <w:uiPriority w:val="39"/>
    <w:rsid w:val="006A6B9C"/>
    <w:pPr>
      <w:tabs>
        <w:tab w:val="right" w:pos="9639"/>
      </w:tabs>
      <w:spacing w:before="20" w:after="20"/>
      <w:ind w:right="3402"/>
      <w:jc w:val="left"/>
    </w:pPr>
    <w:rPr>
      <w:rFonts w:ascii="Arial" w:hAnsi="Arial"/>
      <w:color w:val="394A58"/>
      <w:sz w:val="20"/>
    </w:rPr>
  </w:style>
  <w:style w:type="paragraph" w:customStyle="1" w:styleId="Introductionheading">
    <w:name w:val="Introduction heading"/>
    <w:basedOn w:val="Sectionintroduction"/>
    <w:next w:val="BodyText"/>
    <w:link w:val="IntroductionheadingChar"/>
    <w:uiPriority w:val="2"/>
    <w:qFormat/>
    <w:rsid w:val="00503DF9"/>
    <w:pPr>
      <w:tabs>
        <w:tab w:val="left" w:pos="7230"/>
      </w:tabs>
    </w:pPr>
    <w:rPr>
      <w:color w:val="FFFFFF" w:themeColor="background1"/>
    </w:rPr>
  </w:style>
  <w:style w:type="table" w:customStyle="1" w:styleId="AtkinsI">
    <w:name w:val="Atkins_I"/>
    <w:basedOn w:val="TableNormal"/>
    <w:uiPriority w:val="99"/>
    <w:qFormat/>
    <w:rsid w:val="00FB3575"/>
    <w:pPr>
      <w:jc w:val="right"/>
    </w:pPr>
    <w:tblPr>
      <w:tblInd w:w="0" w:type="dxa"/>
      <w:tblCellMar>
        <w:top w:w="45" w:type="dxa"/>
        <w:left w:w="45" w:type="dxa"/>
        <w:bottom w:w="45" w:type="dxa"/>
        <w:right w:w="45" w:type="dxa"/>
      </w:tblCellMar>
    </w:tblPr>
    <w:tcPr>
      <w:vAlign w:val="bottom"/>
    </w:tcPr>
    <w:tblStylePr w:type="firstRow">
      <w:pPr>
        <w:wordWrap/>
        <w:jc w:val="right"/>
      </w:pPr>
      <w:rPr>
        <w:b/>
      </w:rPr>
      <w:tblPr/>
      <w:trPr>
        <w:tblHeader/>
      </w:trPr>
      <w:tcPr>
        <w:tcBorders>
          <w:bottom w:val="single" w:sz="4" w:space="0" w:color="auto"/>
        </w:tcBorders>
      </w:tcPr>
    </w:tblStylePr>
    <w:tblStylePr w:type="lastRow">
      <w:tblPr/>
      <w:tcPr>
        <w:tcBorders>
          <w:bottom w:val="single" w:sz="4" w:space="0" w:color="auto"/>
        </w:tcBorders>
      </w:tcPr>
    </w:tblStylePr>
    <w:tblStylePr w:type="firstCol">
      <w:pPr>
        <w:jc w:val="left"/>
      </w:pPr>
    </w:tblStylePr>
    <w:tblStylePr w:type="nwCell">
      <w:pPr>
        <w:jc w:val="left"/>
      </w:pPr>
    </w:tblStylePr>
  </w:style>
  <w:style w:type="character" w:customStyle="1" w:styleId="IntroductionheadingChar">
    <w:name w:val="Introduction heading Char"/>
    <w:basedOn w:val="Heading1Char"/>
    <w:link w:val="Introductionheading"/>
    <w:uiPriority w:val="2"/>
    <w:rsid w:val="00503DF9"/>
    <w:rPr>
      <w:b/>
      <w:color w:val="FFFFFF" w:themeColor="background1"/>
      <w:sz w:val="48"/>
      <w:lang w:eastAsia="ko-KR"/>
    </w:rPr>
  </w:style>
  <w:style w:type="table" w:styleId="LightShading-Accent4">
    <w:name w:val="Light Shading Accent 4"/>
    <w:basedOn w:val="TableNormal"/>
    <w:uiPriority w:val="60"/>
    <w:rsid w:val="006E6FDE"/>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rsid w:val="006E6FDE"/>
    <w:rPr>
      <w:color w:val="788F93" w:themeColor="accent5" w:themeShade="BF"/>
    </w:rPr>
    <w:tblPr>
      <w:tblStyleRowBandSize w:val="1"/>
      <w:tblStyleColBandSize w:val="1"/>
      <w:tblInd w:w="0" w:type="dxa"/>
      <w:tblBorders>
        <w:top w:val="single" w:sz="8" w:space="0" w:color="AAB9BB" w:themeColor="accent5"/>
        <w:bottom w:val="single" w:sz="8" w:space="0" w:color="AAB9B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B9BB" w:themeColor="accent5"/>
          <w:left w:val="nil"/>
          <w:bottom w:val="single" w:sz="8" w:space="0" w:color="AAB9BB" w:themeColor="accent5"/>
          <w:right w:val="nil"/>
          <w:insideH w:val="nil"/>
          <w:insideV w:val="nil"/>
        </w:tcBorders>
      </w:tcPr>
    </w:tblStylePr>
    <w:tblStylePr w:type="lastRow">
      <w:pPr>
        <w:spacing w:before="0" w:after="0" w:line="240" w:lineRule="auto"/>
      </w:pPr>
      <w:rPr>
        <w:b/>
        <w:bCs/>
      </w:rPr>
      <w:tblPr/>
      <w:tcPr>
        <w:tcBorders>
          <w:top w:val="single" w:sz="8" w:space="0" w:color="AAB9BB" w:themeColor="accent5"/>
          <w:left w:val="nil"/>
          <w:bottom w:val="single" w:sz="8" w:space="0" w:color="AAB9B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DEE" w:themeFill="accent5" w:themeFillTint="3F"/>
      </w:tcPr>
    </w:tblStylePr>
    <w:tblStylePr w:type="band1Horz">
      <w:tblPr/>
      <w:tcPr>
        <w:tcBorders>
          <w:left w:val="nil"/>
          <w:right w:val="nil"/>
          <w:insideH w:val="nil"/>
          <w:insideV w:val="nil"/>
        </w:tcBorders>
        <w:shd w:val="clear" w:color="auto" w:fill="E9EDEE" w:themeFill="accent5" w:themeFillTint="3F"/>
      </w:tcPr>
    </w:tblStylePr>
  </w:style>
  <w:style w:type="paragraph" w:customStyle="1" w:styleId="DecimalAligned">
    <w:name w:val="Decimal Aligned"/>
    <w:basedOn w:val="Normal"/>
    <w:uiPriority w:val="40"/>
    <w:rsid w:val="00B5153E"/>
    <w:pPr>
      <w:tabs>
        <w:tab w:val="decimal" w:pos="360"/>
      </w:tabs>
      <w:spacing w:after="200" w:line="276" w:lineRule="auto"/>
      <w:jc w:val="left"/>
    </w:pPr>
    <w:rPr>
      <w:rFonts w:asciiTheme="minorHAnsi" w:eastAsiaTheme="minorEastAsia" w:hAnsiTheme="minorHAnsi" w:cstheme="minorBidi"/>
      <w:color w:val="394A58"/>
      <w:sz w:val="22"/>
      <w:szCs w:val="22"/>
      <w:lang w:val="en-US" w:eastAsia="en-US"/>
    </w:rPr>
  </w:style>
  <w:style w:type="paragraph" w:styleId="FootnoteText">
    <w:name w:val="footnote text"/>
    <w:basedOn w:val="Normal"/>
    <w:link w:val="FootnoteTextChar"/>
    <w:uiPriority w:val="99"/>
    <w:unhideWhenUsed/>
    <w:rsid w:val="00B5153E"/>
    <w:pPr>
      <w:jc w:val="left"/>
    </w:pPr>
    <w:rPr>
      <w:rFonts w:asciiTheme="minorHAnsi" w:eastAsiaTheme="minorEastAsia" w:hAnsiTheme="minorHAnsi" w:cstheme="minorBidi"/>
      <w:color w:val="394A58"/>
      <w:sz w:val="20"/>
      <w:lang w:val="en-US" w:eastAsia="en-US"/>
    </w:rPr>
  </w:style>
  <w:style w:type="character" w:customStyle="1" w:styleId="FootnoteTextChar">
    <w:name w:val="Footnote Text Char"/>
    <w:basedOn w:val="DefaultParagraphFont"/>
    <w:link w:val="FootnoteText"/>
    <w:uiPriority w:val="99"/>
    <w:rsid w:val="00B5153E"/>
    <w:rPr>
      <w:rFonts w:asciiTheme="minorHAnsi" w:eastAsiaTheme="minorEastAsia" w:hAnsiTheme="minorHAnsi" w:cstheme="minorBidi"/>
      <w:color w:val="394A58"/>
      <w:lang w:val="en-US" w:eastAsia="en-US"/>
    </w:rPr>
  </w:style>
  <w:style w:type="character" w:styleId="SubtleEmphasis">
    <w:name w:val="Subtle Emphasis"/>
    <w:basedOn w:val="DefaultParagraphFont"/>
    <w:uiPriority w:val="19"/>
    <w:rsid w:val="006E6FDE"/>
    <w:rPr>
      <w:rFonts w:eastAsiaTheme="minorEastAsia" w:cstheme="minorBidi"/>
      <w:bCs w:val="0"/>
      <w:i/>
      <w:iCs/>
      <w:color w:val="808080" w:themeColor="text1" w:themeTint="7F"/>
      <w:szCs w:val="22"/>
      <w:lang w:val="en-US"/>
    </w:rPr>
  </w:style>
  <w:style w:type="table" w:styleId="LightShading-Accent2">
    <w:name w:val="Light Shading Accent 2"/>
    <w:basedOn w:val="TableNormal"/>
    <w:uiPriority w:val="60"/>
    <w:rsid w:val="00EF1CB3"/>
    <w:rPr>
      <w:color w:val="4A7379" w:themeColor="accent2" w:themeShade="BF"/>
    </w:rPr>
    <w:tblPr>
      <w:tblStyleRowBandSize w:val="1"/>
      <w:tblStyleColBandSize w:val="1"/>
      <w:tblInd w:w="0" w:type="dxa"/>
      <w:tblBorders>
        <w:top w:val="single" w:sz="8" w:space="0" w:color="6599A1" w:themeColor="accent2"/>
        <w:bottom w:val="single" w:sz="8" w:space="0" w:color="6599A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99A1" w:themeColor="accent2"/>
          <w:left w:val="nil"/>
          <w:bottom w:val="single" w:sz="8" w:space="0" w:color="6599A1" w:themeColor="accent2"/>
          <w:right w:val="nil"/>
          <w:insideH w:val="nil"/>
          <w:insideV w:val="nil"/>
        </w:tcBorders>
      </w:tcPr>
    </w:tblStylePr>
    <w:tblStylePr w:type="lastRow">
      <w:pPr>
        <w:spacing w:before="0" w:after="0" w:line="240" w:lineRule="auto"/>
      </w:pPr>
      <w:rPr>
        <w:b/>
        <w:bCs/>
      </w:rPr>
      <w:tblPr/>
      <w:tcPr>
        <w:tcBorders>
          <w:top w:val="single" w:sz="8" w:space="0" w:color="6599A1" w:themeColor="accent2"/>
          <w:left w:val="nil"/>
          <w:bottom w:val="single" w:sz="8" w:space="0" w:color="6599A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E7" w:themeFill="accent2" w:themeFillTint="3F"/>
      </w:tcPr>
    </w:tblStylePr>
    <w:tblStylePr w:type="band1Horz">
      <w:tblPr/>
      <w:tcPr>
        <w:tcBorders>
          <w:left w:val="nil"/>
          <w:right w:val="nil"/>
          <w:insideH w:val="nil"/>
          <w:insideV w:val="nil"/>
        </w:tcBorders>
        <w:shd w:val="clear" w:color="auto" w:fill="D8E5E7" w:themeFill="accent2" w:themeFillTint="3F"/>
      </w:tcPr>
    </w:tblStylePr>
  </w:style>
  <w:style w:type="paragraph" w:styleId="Caption">
    <w:name w:val="caption"/>
    <w:next w:val="BodyText"/>
    <w:qFormat/>
    <w:rsid w:val="006A6B9C"/>
    <w:pPr>
      <w:spacing w:before="120" w:after="360"/>
    </w:pPr>
    <w:rPr>
      <w:rFonts w:asciiTheme="minorHAnsi" w:hAnsiTheme="minorHAnsi"/>
      <w:b/>
      <w:bCs/>
      <w:color w:val="156570"/>
      <w:sz w:val="16"/>
      <w:szCs w:val="18"/>
      <w:lang w:eastAsia="ko-KR"/>
    </w:rPr>
  </w:style>
  <w:style w:type="paragraph" w:styleId="Bibliography">
    <w:name w:val="Bibliography"/>
    <w:next w:val="BodyText"/>
    <w:uiPriority w:val="37"/>
    <w:rsid w:val="00EE627C"/>
    <w:rPr>
      <w:rFonts w:asciiTheme="minorHAnsi" w:hAnsiTheme="minorHAnsi"/>
      <w:color w:val="156570"/>
      <w:lang w:eastAsia="ko-KR"/>
    </w:rPr>
  </w:style>
  <w:style w:type="paragraph" w:styleId="ListNumber">
    <w:name w:val="List Number"/>
    <w:next w:val="BodyText"/>
    <w:uiPriority w:val="99"/>
    <w:qFormat/>
    <w:rsid w:val="00B5153E"/>
    <w:pPr>
      <w:numPr>
        <w:numId w:val="4"/>
      </w:numPr>
      <w:spacing w:after="120"/>
      <w:ind w:left="1022" w:hanging="455"/>
      <w:contextualSpacing/>
    </w:pPr>
    <w:rPr>
      <w:rFonts w:asciiTheme="minorHAnsi" w:hAnsiTheme="minorHAnsi"/>
      <w:color w:val="394A58"/>
      <w:lang w:eastAsia="ko-KR"/>
    </w:rPr>
  </w:style>
  <w:style w:type="numbering" w:customStyle="1" w:styleId="ATKINSNUMBERS">
    <w:name w:val="ATKINS_NUMBERS"/>
    <w:uiPriority w:val="99"/>
    <w:rsid w:val="00830441"/>
    <w:pPr>
      <w:numPr>
        <w:numId w:val="5"/>
      </w:numPr>
    </w:pPr>
  </w:style>
  <w:style w:type="paragraph" w:styleId="TableofFigures">
    <w:name w:val="table of figures"/>
    <w:basedOn w:val="Normal"/>
    <w:next w:val="Normal"/>
    <w:uiPriority w:val="99"/>
    <w:unhideWhenUsed/>
    <w:rsid w:val="006E7855"/>
    <w:rPr>
      <w:rFonts w:asciiTheme="minorHAnsi" w:hAnsiTheme="minorHAnsi"/>
      <w:color w:val="394A58" w:themeColor="text2"/>
      <w:sz w:val="20"/>
    </w:rPr>
  </w:style>
  <w:style w:type="character" w:styleId="FootnoteReference">
    <w:name w:val="footnote reference"/>
    <w:basedOn w:val="DefaultParagraphFont"/>
    <w:uiPriority w:val="99"/>
    <w:semiHidden/>
    <w:unhideWhenUsed/>
    <w:rsid w:val="002409FB"/>
    <w:rPr>
      <w:vertAlign w:val="superscript"/>
    </w:rPr>
  </w:style>
  <w:style w:type="paragraph" w:customStyle="1" w:styleId="Sectionintroduction">
    <w:name w:val="Section introduction"/>
    <w:basedOn w:val="Quotelarge"/>
    <w:link w:val="SectionintroductionChar"/>
    <w:uiPriority w:val="2"/>
    <w:qFormat/>
    <w:rsid w:val="008E1494"/>
    <w:pPr>
      <w:spacing w:before="1080" w:after="120"/>
    </w:pPr>
    <w:rPr>
      <w:b/>
    </w:rPr>
  </w:style>
  <w:style w:type="character" w:customStyle="1" w:styleId="SectionintroductionChar">
    <w:name w:val="Section introduction Char"/>
    <w:basedOn w:val="QuotelargeChar"/>
    <w:link w:val="Sectionintroduction"/>
    <w:uiPriority w:val="2"/>
    <w:rsid w:val="00F934B0"/>
    <w:rPr>
      <w:b/>
      <w:color w:val="156570"/>
      <w:sz w:val="48"/>
      <w:lang w:eastAsia="ko-KR"/>
    </w:rPr>
  </w:style>
  <w:style w:type="character" w:styleId="PlaceholderText">
    <w:name w:val="Placeholder Text"/>
    <w:basedOn w:val="DefaultParagraphFont"/>
    <w:uiPriority w:val="99"/>
    <w:semiHidden/>
    <w:rsid w:val="00BF0ADD"/>
    <w:rPr>
      <w:color w:val="808080"/>
    </w:rPr>
  </w:style>
  <w:style w:type="paragraph" w:customStyle="1" w:styleId="CoverCompanyname">
    <w:name w:val="Cover_Company name"/>
    <w:uiPriority w:val="2"/>
    <w:rsid w:val="00EE627C"/>
    <w:rPr>
      <w:color w:val="156570"/>
      <w:sz w:val="48"/>
      <w:lang w:eastAsia="ko-KR"/>
    </w:rPr>
  </w:style>
  <w:style w:type="paragraph" w:customStyle="1" w:styleId="CoverTitleofdocument">
    <w:name w:val="Cover_Title of document"/>
    <w:uiPriority w:val="2"/>
    <w:rsid w:val="00EE627C"/>
    <w:rPr>
      <w:color w:val="156570"/>
      <w:sz w:val="48"/>
      <w:lang w:eastAsia="ko-KR"/>
    </w:rPr>
  </w:style>
  <w:style w:type="paragraph" w:customStyle="1" w:styleId="CoverTendersubmission">
    <w:name w:val="Cover_Tender submission"/>
    <w:uiPriority w:val="2"/>
    <w:rsid w:val="00EE627C"/>
    <w:pPr>
      <w:ind w:left="1021" w:hanging="1021"/>
    </w:pPr>
    <w:rPr>
      <w:b/>
      <w:color w:val="156570"/>
      <w:sz w:val="22"/>
      <w:lang w:eastAsia="ko-KR"/>
    </w:rPr>
  </w:style>
  <w:style w:type="paragraph" w:customStyle="1" w:styleId="Coverdate">
    <w:name w:val="Cover_date"/>
    <w:uiPriority w:val="2"/>
    <w:rsid w:val="00EE627C"/>
    <w:pPr>
      <w:ind w:left="1021" w:hanging="1021"/>
    </w:pPr>
    <w:rPr>
      <w:color w:val="156570"/>
      <w:sz w:val="22"/>
      <w:lang w:eastAsia="ko-KR"/>
    </w:rPr>
  </w:style>
  <w:style w:type="paragraph" w:customStyle="1" w:styleId="StyleHeading6Left0cmFirstline0cm">
    <w:name w:val="Style Heading 6 + Left:  0 cm First line:  0 cm"/>
    <w:basedOn w:val="Heading6"/>
    <w:uiPriority w:val="2"/>
    <w:rsid w:val="00444C6F"/>
    <w:pPr>
      <w:numPr>
        <w:ilvl w:val="0"/>
        <w:numId w:val="0"/>
      </w:numPr>
    </w:pPr>
    <w:rPr>
      <w:rFonts w:eastAsia="Times New Roman" w:cs="Times New Roman"/>
      <w:bCs/>
    </w:rPr>
  </w:style>
  <w:style w:type="character" w:styleId="FollowedHyperlink">
    <w:name w:val="FollowedHyperlink"/>
    <w:basedOn w:val="DefaultParagraphFont"/>
    <w:uiPriority w:val="99"/>
    <w:semiHidden/>
    <w:unhideWhenUsed/>
    <w:rsid w:val="00F02089"/>
    <w:rPr>
      <w:color w:val="BED600" w:themeColor="followedHyperlink"/>
      <w:u w:val="single"/>
    </w:rPr>
  </w:style>
  <w:style w:type="paragraph" w:customStyle="1" w:styleId="DividerHeader">
    <w:name w:val="Divider Header"/>
    <w:basedOn w:val="Sectionintroduction"/>
    <w:uiPriority w:val="2"/>
    <w:qFormat/>
    <w:rsid w:val="005F2FDE"/>
    <w:rPr>
      <w:color w:val="FFFFFF" w:themeColor="background1"/>
    </w:rPr>
  </w:style>
  <w:style w:type="paragraph" w:customStyle="1" w:styleId="Dividersub">
    <w:name w:val="Divider sub"/>
    <w:basedOn w:val="Quotelarge"/>
    <w:uiPriority w:val="2"/>
    <w:rsid w:val="005F2FDE"/>
    <w:rPr>
      <w:color w:val="FFFFFF" w:themeColor="background1"/>
    </w:rPr>
  </w:style>
  <w:style w:type="paragraph" w:customStyle="1" w:styleId="Chapterbreaktext">
    <w:name w:val="Chapter break text"/>
    <w:basedOn w:val="Quotelarge"/>
    <w:link w:val="ChapterbreaktextChar"/>
    <w:uiPriority w:val="2"/>
    <w:qFormat/>
    <w:rsid w:val="0024777B"/>
    <w:pPr>
      <w:spacing w:before="1080" w:after="120"/>
    </w:pPr>
    <w:rPr>
      <w:b/>
    </w:rPr>
  </w:style>
  <w:style w:type="character" w:customStyle="1" w:styleId="ChapterbreaktextChar">
    <w:name w:val="Chapter break text Char"/>
    <w:basedOn w:val="QuotelargeChar"/>
    <w:link w:val="Chapterbreaktext"/>
    <w:uiPriority w:val="2"/>
    <w:rsid w:val="0024777B"/>
    <w:rPr>
      <w:b/>
      <w:color w:val="156570"/>
      <w:sz w:val="48"/>
      <w:lang w:eastAsia="ko-KR"/>
    </w:rPr>
  </w:style>
  <w:style w:type="numbering" w:customStyle="1" w:styleId="Atkinsbullets">
    <w:name w:val="Atkins_bullets"/>
    <w:uiPriority w:val="99"/>
    <w:rsid w:val="000C6C51"/>
    <w:pPr>
      <w:numPr>
        <w:numId w:val="7"/>
      </w:numPr>
    </w:pPr>
  </w:style>
  <w:style w:type="table" w:customStyle="1" w:styleId="Atkins14pt">
    <w:name w:val="Atkins_1/4pt"/>
    <w:basedOn w:val="TableNormal"/>
    <w:uiPriority w:val="99"/>
    <w:qFormat/>
    <w:rsid w:val="00371762"/>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57" w:type="dxa"/>
        <w:bottom w:w="0" w:type="dxa"/>
        <w:right w:w="0" w:type="dxa"/>
      </w:tblCellMar>
    </w:tblPr>
    <w:tblStylePr w:type="firstRow">
      <w:pPr>
        <w:wordWrap/>
        <w:jc w:val="left"/>
      </w:pPr>
      <w:rPr>
        <w:rFonts w:ascii="Arial" w:hAnsi="Arial"/>
        <w:b/>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styleId="ListParagraph">
    <w:name w:val="List Paragraph"/>
    <w:basedOn w:val="Normal"/>
    <w:uiPriority w:val="34"/>
    <w:qFormat/>
    <w:rsid w:val="00553A80"/>
    <w:pPr>
      <w:ind w:left="720"/>
      <w:contextualSpacing/>
      <w:jc w:val="left"/>
    </w:pPr>
    <w:rPr>
      <w:rFonts w:ascii="Arial" w:eastAsiaTheme="minorHAnsi" w:hAnsi="Arial" w:cstheme="minorBidi"/>
      <w:sz w:val="20"/>
      <w:szCs w:val="22"/>
      <w:lang w:eastAsia="en-US"/>
    </w:rPr>
  </w:style>
  <w:style w:type="paragraph" w:customStyle="1" w:styleId="TableText">
    <w:name w:val="TableText"/>
    <w:basedOn w:val="BodyText"/>
    <w:uiPriority w:val="16"/>
    <w:qFormat/>
    <w:rsid w:val="00553A80"/>
    <w:pPr>
      <w:spacing w:before="40" w:after="40"/>
    </w:pPr>
    <w:rPr>
      <w:color w:val="394A58" w:themeColor="text2"/>
    </w:rPr>
  </w:style>
  <w:style w:type="paragraph" w:customStyle="1" w:styleId="NormalNoSpace">
    <w:name w:val="NormalNoSpace"/>
    <w:basedOn w:val="Normal"/>
    <w:qFormat/>
    <w:rsid w:val="00553A80"/>
    <w:pPr>
      <w:jc w:val="left"/>
    </w:pPr>
    <w:rPr>
      <w:rFonts w:ascii="Arial" w:eastAsiaTheme="minorHAnsi" w:hAnsi="Arial" w:cstheme="minorBidi"/>
      <w:color w:val="394A58" w:themeColor="text2"/>
      <w:sz w:val="20"/>
      <w:szCs w:val="22"/>
      <w:lang w:eastAsia="en-US"/>
    </w:rPr>
  </w:style>
  <w:style w:type="paragraph" w:customStyle="1" w:styleId="TableHeading">
    <w:name w:val="TableHeading"/>
    <w:basedOn w:val="TableText"/>
    <w:uiPriority w:val="16"/>
    <w:qFormat/>
    <w:rsid w:val="000A01BC"/>
    <w:pPr>
      <w:spacing w:before="60" w:after="60"/>
    </w:pPr>
    <w:rPr>
      <w:b/>
    </w:rPr>
  </w:style>
  <w:style w:type="paragraph" w:customStyle="1" w:styleId="TableTitle">
    <w:name w:val="TableTitle"/>
    <w:basedOn w:val="Normal"/>
    <w:uiPriority w:val="15"/>
    <w:qFormat/>
    <w:rsid w:val="000A01BC"/>
    <w:pPr>
      <w:numPr>
        <w:numId w:val="12"/>
      </w:numPr>
      <w:spacing w:before="240" w:after="120"/>
      <w:ind w:left="1021" w:hanging="1021"/>
      <w:jc w:val="left"/>
    </w:pPr>
    <w:rPr>
      <w:rFonts w:ascii="Arial" w:eastAsiaTheme="minorHAnsi" w:hAnsi="Arial" w:cstheme="minorBidi"/>
      <w:b/>
      <w:color w:val="394A58" w:themeColor="text2"/>
      <w:sz w:val="20"/>
      <w:szCs w:val="22"/>
      <w:lang w:eastAsia="en-US"/>
    </w:rPr>
  </w:style>
  <w:style w:type="paragraph" w:customStyle="1" w:styleId="FooterBold">
    <w:name w:val="FooterBold"/>
    <w:basedOn w:val="Footer"/>
    <w:rsid w:val="000A01BC"/>
    <w:pPr>
      <w:spacing w:before="80"/>
      <w:jc w:val="left"/>
    </w:pPr>
    <w:rPr>
      <w:rFonts w:eastAsiaTheme="minorHAnsi" w:cstheme="minorBidi"/>
      <w:b/>
      <w:color w:val="BED600" w:themeColor="background2"/>
      <w:szCs w:val="22"/>
      <w:lang w:eastAsia="en-US"/>
    </w:rPr>
  </w:style>
  <w:style w:type="paragraph" w:customStyle="1" w:styleId="TableSource">
    <w:name w:val="TableSource"/>
    <w:basedOn w:val="Normal"/>
    <w:next w:val="Normal"/>
    <w:uiPriority w:val="17"/>
    <w:qFormat/>
    <w:rsid w:val="000A01BC"/>
    <w:pPr>
      <w:spacing w:before="120" w:after="240"/>
      <w:jc w:val="left"/>
    </w:pPr>
    <w:rPr>
      <w:rFonts w:ascii="Arial" w:eastAsiaTheme="minorHAnsi" w:hAnsi="Arial" w:cstheme="minorBidi"/>
      <w:color w:val="394A58" w:themeColor="text2"/>
      <w:sz w:val="16"/>
      <w:szCs w:val="22"/>
      <w:lang w:eastAsia="en-US"/>
    </w:rPr>
  </w:style>
  <w:style w:type="paragraph" w:customStyle="1" w:styleId="DefaultParagraphFontParaChar">
    <w:name w:val="Default Paragraph Font Para Char"/>
    <w:basedOn w:val="Normal"/>
    <w:rsid w:val="000A01BC"/>
    <w:pPr>
      <w:spacing w:before="120" w:after="120"/>
      <w:jc w:val="left"/>
    </w:pPr>
    <w:rPr>
      <w:rFonts w:ascii="Arial" w:eastAsia="SimSun" w:hAnsi="Arial" w:cs="Times New Roman"/>
      <w:sz w:val="20"/>
      <w:szCs w:val="24"/>
      <w:lang w:eastAsia="zh-CN"/>
    </w:rPr>
  </w:style>
  <w:style w:type="character" w:styleId="CommentReference">
    <w:name w:val="annotation reference"/>
    <w:basedOn w:val="DefaultParagraphFont"/>
    <w:semiHidden/>
    <w:unhideWhenUsed/>
    <w:rsid w:val="00787147"/>
    <w:rPr>
      <w:sz w:val="16"/>
      <w:szCs w:val="16"/>
    </w:rPr>
  </w:style>
  <w:style w:type="paragraph" w:styleId="CommentText">
    <w:name w:val="annotation text"/>
    <w:basedOn w:val="Normal"/>
    <w:link w:val="CommentTextChar"/>
    <w:semiHidden/>
    <w:unhideWhenUsed/>
    <w:rsid w:val="00787147"/>
    <w:rPr>
      <w:sz w:val="20"/>
    </w:rPr>
  </w:style>
  <w:style w:type="character" w:customStyle="1" w:styleId="CommentTextChar">
    <w:name w:val="Comment Text Char"/>
    <w:basedOn w:val="DefaultParagraphFont"/>
    <w:link w:val="CommentText"/>
    <w:semiHidden/>
    <w:rsid w:val="00787147"/>
    <w:rPr>
      <w:rFonts w:ascii="Times New Roman" w:hAnsi="Times New Roman"/>
      <w:lang w:eastAsia="ko-KR"/>
    </w:rPr>
  </w:style>
  <w:style w:type="paragraph" w:styleId="CommentSubject">
    <w:name w:val="annotation subject"/>
    <w:basedOn w:val="CommentText"/>
    <w:next w:val="CommentText"/>
    <w:link w:val="CommentSubjectChar"/>
    <w:uiPriority w:val="99"/>
    <w:semiHidden/>
    <w:unhideWhenUsed/>
    <w:rsid w:val="00787147"/>
    <w:rPr>
      <w:b/>
      <w:bCs/>
    </w:rPr>
  </w:style>
  <w:style w:type="character" w:customStyle="1" w:styleId="CommentSubjectChar">
    <w:name w:val="Comment Subject Char"/>
    <w:basedOn w:val="CommentTextChar"/>
    <w:link w:val="CommentSubject"/>
    <w:uiPriority w:val="99"/>
    <w:semiHidden/>
    <w:rsid w:val="00787147"/>
    <w:rPr>
      <w:rFonts w:ascii="Times New Roman" w:hAnsi="Times New Roman"/>
      <w:b/>
      <w:bCs/>
      <w:lang w:eastAsia="ko-KR"/>
    </w:rPr>
  </w:style>
  <w:style w:type="paragraph" w:customStyle="1" w:styleId="Heading4NoNumb">
    <w:name w:val="Heading 4NoNumb"/>
    <w:basedOn w:val="Heading4"/>
    <w:next w:val="Normal"/>
    <w:uiPriority w:val="23"/>
    <w:qFormat/>
    <w:rsid w:val="004969A0"/>
    <w:pPr>
      <w:numPr>
        <w:ilvl w:val="0"/>
        <w:numId w:val="0"/>
      </w:numPr>
      <w:spacing w:before="240"/>
    </w:pPr>
    <w:rPr>
      <w:rFonts w:eastAsia="Times New Roman" w:cs="Times New Roman"/>
      <w:bCs/>
      <w:iCs/>
      <w:color w:val="BED600" w:themeColor="background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5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151">
          <w:marLeft w:val="0"/>
          <w:marRight w:val="0"/>
          <w:marTop w:val="0"/>
          <w:marBottom w:val="0"/>
          <w:divBdr>
            <w:top w:val="none" w:sz="0" w:space="0" w:color="auto"/>
            <w:left w:val="none" w:sz="0" w:space="0" w:color="auto"/>
            <w:bottom w:val="none" w:sz="0" w:space="0" w:color="auto"/>
            <w:right w:val="none" w:sz="0" w:space="0" w:color="auto"/>
          </w:divBdr>
        </w:div>
      </w:divsChild>
    </w:div>
    <w:div w:id="439028080">
      <w:bodyDiv w:val="1"/>
      <w:marLeft w:val="0"/>
      <w:marRight w:val="0"/>
      <w:marTop w:val="0"/>
      <w:marBottom w:val="0"/>
      <w:divBdr>
        <w:top w:val="none" w:sz="0" w:space="0" w:color="auto"/>
        <w:left w:val="none" w:sz="0" w:space="0" w:color="auto"/>
        <w:bottom w:val="none" w:sz="0" w:space="0" w:color="auto"/>
        <w:right w:val="none" w:sz="0" w:space="0" w:color="auto"/>
      </w:divBdr>
      <w:divsChild>
        <w:div w:id="553934011">
          <w:marLeft w:val="0"/>
          <w:marRight w:val="0"/>
          <w:marTop w:val="0"/>
          <w:marBottom w:val="0"/>
          <w:divBdr>
            <w:top w:val="none" w:sz="0" w:space="0" w:color="auto"/>
            <w:left w:val="none" w:sz="0" w:space="0" w:color="auto"/>
            <w:bottom w:val="none" w:sz="0" w:space="0" w:color="auto"/>
            <w:right w:val="none" w:sz="0" w:space="0" w:color="auto"/>
          </w:divBdr>
          <w:divsChild>
            <w:div w:id="639387338">
              <w:marLeft w:val="0"/>
              <w:marRight w:val="0"/>
              <w:marTop w:val="0"/>
              <w:marBottom w:val="0"/>
              <w:divBdr>
                <w:top w:val="none" w:sz="0" w:space="0" w:color="auto"/>
                <w:left w:val="none" w:sz="0" w:space="0" w:color="auto"/>
                <w:bottom w:val="none" w:sz="0" w:space="0" w:color="auto"/>
                <w:right w:val="none" w:sz="0" w:space="0" w:color="auto"/>
              </w:divBdr>
            </w:div>
            <w:div w:id="1256673166">
              <w:marLeft w:val="0"/>
              <w:marRight w:val="0"/>
              <w:marTop w:val="0"/>
              <w:marBottom w:val="0"/>
              <w:divBdr>
                <w:top w:val="none" w:sz="0" w:space="0" w:color="auto"/>
                <w:left w:val="none" w:sz="0" w:space="0" w:color="auto"/>
                <w:bottom w:val="none" w:sz="0" w:space="0" w:color="auto"/>
                <w:right w:val="none" w:sz="0" w:space="0" w:color="auto"/>
              </w:divBdr>
            </w:div>
            <w:div w:id="1300961428">
              <w:marLeft w:val="0"/>
              <w:marRight w:val="0"/>
              <w:marTop w:val="0"/>
              <w:marBottom w:val="0"/>
              <w:divBdr>
                <w:top w:val="none" w:sz="0" w:space="0" w:color="auto"/>
                <w:left w:val="none" w:sz="0" w:space="0" w:color="auto"/>
                <w:bottom w:val="none" w:sz="0" w:space="0" w:color="auto"/>
                <w:right w:val="none" w:sz="0" w:space="0" w:color="auto"/>
              </w:divBdr>
            </w:div>
            <w:div w:id="1518883975">
              <w:marLeft w:val="0"/>
              <w:marRight w:val="0"/>
              <w:marTop w:val="0"/>
              <w:marBottom w:val="0"/>
              <w:divBdr>
                <w:top w:val="none" w:sz="0" w:space="0" w:color="auto"/>
                <w:left w:val="none" w:sz="0" w:space="0" w:color="auto"/>
                <w:bottom w:val="none" w:sz="0" w:space="0" w:color="auto"/>
                <w:right w:val="none" w:sz="0" w:space="0" w:color="auto"/>
              </w:divBdr>
            </w:div>
            <w:div w:id="1907757568">
              <w:marLeft w:val="0"/>
              <w:marRight w:val="0"/>
              <w:marTop w:val="0"/>
              <w:marBottom w:val="0"/>
              <w:divBdr>
                <w:top w:val="none" w:sz="0" w:space="0" w:color="auto"/>
                <w:left w:val="none" w:sz="0" w:space="0" w:color="auto"/>
                <w:bottom w:val="none" w:sz="0" w:space="0" w:color="auto"/>
                <w:right w:val="none" w:sz="0" w:space="0" w:color="auto"/>
              </w:divBdr>
            </w:div>
            <w:div w:id="1957055306">
              <w:marLeft w:val="0"/>
              <w:marRight w:val="0"/>
              <w:marTop w:val="0"/>
              <w:marBottom w:val="0"/>
              <w:divBdr>
                <w:top w:val="none" w:sz="0" w:space="0" w:color="auto"/>
                <w:left w:val="none" w:sz="0" w:space="0" w:color="auto"/>
                <w:bottom w:val="none" w:sz="0" w:space="0" w:color="auto"/>
                <w:right w:val="none" w:sz="0" w:space="0" w:color="auto"/>
              </w:divBdr>
            </w:div>
            <w:div w:id="2048408950">
              <w:marLeft w:val="0"/>
              <w:marRight w:val="0"/>
              <w:marTop w:val="0"/>
              <w:marBottom w:val="0"/>
              <w:divBdr>
                <w:top w:val="none" w:sz="0" w:space="0" w:color="auto"/>
                <w:left w:val="none" w:sz="0" w:space="0" w:color="auto"/>
                <w:bottom w:val="none" w:sz="0" w:space="0" w:color="auto"/>
                <w:right w:val="none" w:sz="0" w:space="0" w:color="auto"/>
              </w:divBdr>
            </w:div>
            <w:div w:id="2119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8856">
      <w:bodyDiv w:val="1"/>
      <w:marLeft w:val="0"/>
      <w:marRight w:val="0"/>
      <w:marTop w:val="0"/>
      <w:marBottom w:val="0"/>
      <w:divBdr>
        <w:top w:val="none" w:sz="0" w:space="0" w:color="auto"/>
        <w:left w:val="none" w:sz="0" w:space="0" w:color="auto"/>
        <w:bottom w:val="none" w:sz="0" w:space="0" w:color="auto"/>
        <w:right w:val="none" w:sz="0" w:space="0" w:color="auto"/>
      </w:divBdr>
      <w:divsChild>
        <w:div w:id="1778133636">
          <w:marLeft w:val="0"/>
          <w:marRight w:val="0"/>
          <w:marTop w:val="0"/>
          <w:marBottom w:val="0"/>
          <w:divBdr>
            <w:top w:val="none" w:sz="0" w:space="0" w:color="auto"/>
            <w:left w:val="none" w:sz="0" w:space="0" w:color="auto"/>
            <w:bottom w:val="none" w:sz="0" w:space="0" w:color="auto"/>
            <w:right w:val="none" w:sz="0" w:space="0" w:color="auto"/>
          </w:divBdr>
        </w:div>
      </w:divsChild>
    </w:div>
    <w:div w:id="1323310784">
      <w:bodyDiv w:val="1"/>
      <w:marLeft w:val="0"/>
      <w:marRight w:val="0"/>
      <w:marTop w:val="0"/>
      <w:marBottom w:val="0"/>
      <w:divBdr>
        <w:top w:val="none" w:sz="0" w:space="0" w:color="auto"/>
        <w:left w:val="none" w:sz="0" w:space="0" w:color="auto"/>
        <w:bottom w:val="none" w:sz="0" w:space="0" w:color="auto"/>
        <w:right w:val="none" w:sz="0" w:space="0" w:color="auto"/>
      </w:divBdr>
    </w:div>
    <w:div w:id="1578706855">
      <w:bodyDiv w:val="1"/>
      <w:marLeft w:val="0"/>
      <w:marRight w:val="0"/>
      <w:marTop w:val="0"/>
      <w:marBottom w:val="0"/>
      <w:divBdr>
        <w:top w:val="none" w:sz="0" w:space="0" w:color="auto"/>
        <w:left w:val="none" w:sz="0" w:space="0" w:color="auto"/>
        <w:bottom w:val="none" w:sz="0" w:space="0" w:color="auto"/>
        <w:right w:val="none" w:sz="0" w:space="0" w:color="auto"/>
      </w:divBdr>
    </w:div>
    <w:div w:id="1664777589">
      <w:bodyDiv w:val="1"/>
      <w:marLeft w:val="0"/>
      <w:marRight w:val="0"/>
      <w:marTop w:val="0"/>
      <w:marBottom w:val="0"/>
      <w:divBdr>
        <w:top w:val="none" w:sz="0" w:space="0" w:color="auto"/>
        <w:left w:val="none" w:sz="0" w:space="0" w:color="auto"/>
        <w:bottom w:val="none" w:sz="0" w:space="0" w:color="auto"/>
        <w:right w:val="none" w:sz="0" w:space="0" w:color="auto"/>
      </w:divBdr>
    </w:div>
    <w:div w:id="1939291934">
      <w:bodyDiv w:val="1"/>
      <w:marLeft w:val="0"/>
      <w:marRight w:val="0"/>
      <w:marTop w:val="0"/>
      <w:marBottom w:val="0"/>
      <w:divBdr>
        <w:top w:val="none" w:sz="0" w:space="0" w:color="auto"/>
        <w:left w:val="none" w:sz="0" w:space="0" w:color="auto"/>
        <w:bottom w:val="none" w:sz="0" w:space="0" w:color="auto"/>
        <w:right w:val="none" w:sz="0" w:space="0" w:color="auto"/>
      </w:divBdr>
      <w:divsChild>
        <w:div w:id="2109494825">
          <w:marLeft w:val="0"/>
          <w:marRight w:val="0"/>
          <w:marTop w:val="0"/>
          <w:marBottom w:val="0"/>
          <w:divBdr>
            <w:top w:val="none" w:sz="0" w:space="0" w:color="auto"/>
            <w:left w:val="none" w:sz="0" w:space="0" w:color="auto"/>
            <w:bottom w:val="none" w:sz="0" w:space="0" w:color="auto"/>
            <w:right w:val="none" w:sz="0" w:space="0" w:color="auto"/>
          </w:divBdr>
          <w:divsChild>
            <w:div w:id="975988233">
              <w:marLeft w:val="0"/>
              <w:marRight w:val="0"/>
              <w:marTop w:val="0"/>
              <w:marBottom w:val="0"/>
              <w:divBdr>
                <w:top w:val="none" w:sz="0" w:space="0" w:color="auto"/>
                <w:left w:val="none" w:sz="0" w:space="0" w:color="auto"/>
                <w:bottom w:val="none" w:sz="0" w:space="0" w:color="auto"/>
                <w:right w:val="none" w:sz="0" w:space="0" w:color="auto"/>
              </w:divBdr>
            </w:div>
            <w:div w:id="18342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53975">
      <w:bodyDiv w:val="1"/>
      <w:marLeft w:val="0"/>
      <w:marRight w:val="0"/>
      <w:marTop w:val="0"/>
      <w:marBottom w:val="0"/>
      <w:divBdr>
        <w:top w:val="none" w:sz="0" w:space="0" w:color="auto"/>
        <w:left w:val="none" w:sz="0" w:space="0" w:color="auto"/>
        <w:bottom w:val="none" w:sz="0" w:space="0" w:color="auto"/>
        <w:right w:val="none" w:sz="0" w:space="0" w:color="auto"/>
      </w:divBdr>
      <w:divsChild>
        <w:div w:id="1672025539">
          <w:marLeft w:val="0"/>
          <w:marRight w:val="0"/>
          <w:marTop w:val="0"/>
          <w:marBottom w:val="0"/>
          <w:divBdr>
            <w:top w:val="none" w:sz="0" w:space="0" w:color="auto"/>
            <w:left w:val="none" w:sz="0" w:space="0" w:color="auto"/>
            <w:bottom w:val="none" w:sz="0" w:space="0" w:color="auto"/>
            <w:right w:val="none" w:sz="0" w:space="0" w:color="auto"/>
          </w:divBdr>
        </w:div>
      </w:divsChild>
    </w:div>
    <w:div w:id="2127582226">
      <w:bodyDiv w:val="1"/>
      <w:marLeft w:val="0"/>
      <w:marRight w:val="0"/>
      <w:marTop w:val="0"/>
      <w:marBottom w:val="0"/>
      <w:divBdr>
        <w:top w:val="none" w:sz="0" w:space="0" w:color="auto"/>
        <w:left w:val="none" w:sz="0" w:space="0" w:color="auto"/>
        <w:bottom w:val="none" w:sz="0" w:space="0" w:color="auto"/>
        <w:right w:val="none" w:sz="0" w:space="0" w:color="auto"/>
      </w:divBdr>
      <w:divsChild>
        <w:div w:id="146102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hart" Target="charts/chart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tkins%20Bid%20&amp;%20Report\Colour_sh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satkins.com\Home\GBEMB\COBU7360\My%20Documents\NE%20Lincs\Copy%20of%20Initial_Emp_Land_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Demand for Additional</a:t>
            </a:r>
            <a:r>
              <a:rPr lang="en-US" sz="1400" baseline="0"/>
              <a:t> Employment</a:t>
            </a:r>
            <a:r>
              <a:rPr lang="en-US" sz="1400"/>
              <a:t> Land (ha)</a:t>
            </a:r>
          </a:p>
        </c:rich>
      </c:tx>
      <c:overlay val="0"/>
    </c:title>
    <c:autoTitleDeleted val="0"/>
    <c:plotArea>
      <c:layout>
        <c:manualLayout>
          <c:layoutTarget val="inner"/>
          <c:xMode val="edge"/>
          <c:yMode val="edge"/>
          <c:x val="0.10132784538296349"/>
          <c:y val="0.13663570691434468"/>
          <c:w val="0.87089437683925874"/>
          <c:h val="0.75175771759180254"/>
        </c:manualLayout>
      </c:layout>
      <c:barChart>
        <c:barDir val="col"/>
        <c:grouping val="clustered"/>
        <c:varyColors val="0"/>
        <c:ser>
          <c:idx val="0"/>
          <c:order val="0"/>
          <c:tx>
            <c:strRef>
              <c:f>'Base scenario 2013 - 2032'!$N$48</c:f>
              <c:strCache>
                <c:ptCount val="1"/>
                <c:pt idx="0">
                  <c:v>Additional Land (ha)</c:v>
                </c:pt>
              </c:strCache>
            </c:strRef>
          </c:tx>
          <c:invertIfNegative val="0"/>
          <c:cat>
            <c:strRef>
              <c:f>'Base scenario 2013 - 2032'!$O$47:$Q$47</c:f>
              <c:strCache>
                <c:ptCount val="3"/>
                <c:pt idx="0">
                  <c:v>Baseline</c:v>
                </c:pt>
                <c:pt idx="1">
                  <c:v>Scenario 1</c:v>
                </c:pt>
                <c:pt idx="2">
                  <c:v>Scenario 2</c:v>
                </c:pt>
              </c:strCache>
            </c:strRef>
          </c:cat>
          <c:val>
            <c:numRef>
              <c:f>'Base scenario 2013 - 2032'!$O$48:$Q$48</c:f>
              <c:numCache>
                <c:formatCode>#,##0.0</c:formatCode>
                <c:ptCount val="3"/>
                <c:pt idx="0">
                  <c:v>7.6081043976252518</c:v>
                </c:pt>
                <c:pt idx="1">
                  <c:v>45.716225566784594</c:v>
                </c:pt>
                <c:pt idx="2">
                  <c:v>89.28936854510539</c:v>
                </c:pt>
              </c:numCache>
            </c:numRef>
          </c:val>
        </c:ser>
        <c:dLbls>
          <c:showLegendKey val="0"/>
          <c:showVal val="0"/>
          <c:showCatName val="0"/>
          <c:showSerName val="0"/>
          <c:showPercent val="0"/>
          <c:showBubbleSize val="0"/>
        </c:dLbls>
        <c:gapWidth val="150"/>
        <c:axId val="111855488"/>
        <c:axId val="129474944"/>
      </c:barChart>
      <c:catAx>
        <c:axId val="111855488"/>
        <c:scaling>
          <c:orientation val="minMax"/>
        </c:scaling>
        <c:delete val="0"/>
        <c:axPos val="b"/>
        <c:numFmt formatCode="General" sourceLinked="0"/>
        <c:majorTickMark val="out"/>
        <c:minorTickMark val="none"/>
        <c:tickLblPos val="nextTo"/>
        <c:crossAx val="129474944"/>
        <c:crosses val="autoZero"/>
        <c:auto val="1"/>
        <c:lblAlgn val="ctr"/>
        <c:lblOffset val="100"/>
        <c:noMultiLvlLbl val="0"/>
      </c:catAx>
      <c:valAx>
        <c:axId val="129474944"/>
        <c:scaling>
          <c:orientation val="minMax"/>
        </c:scaling>
        <c:delete val="0"/>
        <c:axPos val="l"/>
        <c:majorGridlines/>
        <c:numFmt formatCode="#,##0.0" sourceLinked="1"/>
        <c:majorTickMark val="out"/>
        <c:minorTickMark val="none"/>
        <c:tickLblPos val="nextTo"/>
        <c:crossAx val="1118554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AtkinsII">
      <a:dk1>
        <a:srgbClr val="000000"/>
      </a:dk1>
      <a:lt1>
        <a:srgbClr val="FFFFFF"/>
      </a:lt1>
      <a:dk2>
        <a:srgbClr val="394A58"/>
      </a:dk2>
      <a:lt2>
        <a:srgbClr val="BED600"/>
      </a:lt2>
      <a:accent1>
        <a:srgbClr val="096971"/>
      </a:accent1>
      <a:accent2>
        <a:srgbClr val="6599A1"/>
      </a:accent2>
      <a:accent3>
        <a:srgbClr val="FFFFFF"/>
      </a:accent3>
      <a:accent4>
        <a:srgbClr val="000000"/>
      </a:accent4>
      <a:accent5>
        <a:srgbClr val="AAB9BB"/>
      </a:accent5>
      <a:accent6>
        <a:srgbClr val="5B8A91"/>
      </a:accent6>
      <a:hlink>
        <a:srgbClr val="BED600"/>
      </a:hlink>
      <a:folHlink>
        <a:srgbClr val="BED600"/>
      </a:folHlink>
    </a:clrScheme>
    <a:fontScheme name="Atki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7B61B58CE504E89AF038B48D626E3" ma:contentTypeVersion="0" ma:contentTypeDescription="Create a new document." ma:contentTypeScope="" ma:versionID="75077dbcbb45ae266484b62209e80b06">
  <xsd:schema xmlns:xsd="http://www.w3.org/2001/XMLSchema" xmlns:xs="http://www.w3.org/2001/XMLSchema" xmlns:p="http://schemas.microsoft.com/office/2006/metadata/properties" targetNamespace="http://schemas.microsoft.com/office/2006/metadata/properties" ma:root="true" ma:fieldsID="fb3b56a6e82d46d59efc061c79f753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9FE9-180E-43D8-BF31-559EA441E06C}">
  <ds:schemaRefs>
    <ds:schemaRef ds:uri="http://schemas.microsoft.com/sharepoint/v3/contenttype/forms"/>
  </ds:schemaRefs>
</ds:datastoreItem>
</file>

<file path=customXml/itemProps2.xml><?xml version="1.0" encoding="utf-8"?>
<ds:datastoreItem xmlns:ds="http://schemas.openxmlformats.org/officeDocument/2006/customXml" ds:itemID="{030E1BFC-67F2-42E1-A0EB-1CB2020433FD}">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E1323C7-804F-4152-992F-5C58D913E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BB1E63-135E-4A35-80E8-62A8A1F2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Colour_short</Template>
  <TotalTime>1</TotalTime>
  <Pages>3</Pages>
  <Words>12319</Words>
  <Characters>70224</Characters>
  <Application>Microsoft Office Word</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Tender</vt:lpstr>
    </vt:vector>
  </TitlesOfParts>
  <Company>College Hill</Company>
  <LinksUpToDate>false</LinksUpToDate>
  <CharactersWithSpaces>82379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creator>cobu7360</dc:creator>
  <cp:lastModifiedBy>Wheeler, Diane</cp:lastModifiedBy>
  <cp:revision>2</cp:revision>
  <cp:lastPrinted>2014-07-22T10:14:00Z</cp:lastPrinted>
  <dcterms:created xsi:type="dcterms:W3CDTF">2014-08-28T10:03:00Z</dcterms:created>
  <dcterms:modified xsi:type="dcterms:W3CDTF">2014-08-28T10:03:00Z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0x0101005157B61B58CE504E89AF038B48D626E3</vt:lpwstr>
  </property>
</Properties>
</file>