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82" w:rsidRDefault="00FB2E82" w:rsidP="00FB2E82">
      <w:pPr>
        <w:jc w:val="center"/>
        <w:rPr>
          <w:rFonts w:ascii="Arial" w:hAnsi="Arial" w:cs="Arial"/>
          <w:b/>
          <w:sz w:val="24"/>
          <w:szCs w:val="24"/>
          <w:u w:val="single"/>
        </w:rPr>
      </w:pPr>
      <w:r>
        <w:rPr>
          <w:rFonts w:ascii="Arial" w:hAnsi="Arial" w:cs="Arial"/>
          <w:b/>
          <w:sz w:val="24"/>
          <w:szCs w:val="24"/>
          <w:u w:val="single"/>
        </w:rPr>
        <w:t>SCHOOLS FORUM MEETING – 25</w:t>
      </w:r>
      <w:r>
        <w:rPr>
          <w:rFonts w:ascii="Arial" w:hAnsi="Arial" w:cs="Arial"/>
          <w:b/>
          <w:sz w:val="24"/>
          <w:szCs w:val="24"/>
          <w:u w:val="single"/>
          <w:vertAlign w:val="superscript"/>
        </w:rPr>
        <w:t>th</w:t>
      </w:r>
      <w:r w:rsidR="001F33E0">
        <w:rPr>
          <w:rFonts w:ascii="Arial" w:hAnsi="Arial" w:cs="Arial"/>
          <w:b/>
          <w:sz w:val="24"/>
          <w:szCs w:val="24"/>
          <w:u w:val="single"/>
        </w:rPr>
        <w:t xml:space="preserve"> Ju</w:t>
      </w:r>
      <w:r>
        <w:rPr>
          <w:rFonts w:ascii="Arial" w:hAnsi="Arial" w:cs="Arial"/>
          <w:b/>
          <w:sz w:val="24"/>
          <w:szCs w:val="24"/>
          <w:u w:val="single"/>
        </w:rPr>
        <w:t>ne 2014</w:t>
      </w:r>
    </w:p>
    <w:p w:rsidR="00FB2E82" w:rsidRDefault="00FB2E82" w:rsidP="00FB2E82">
      <w:pPr>
        <w:jc w:val="center"/>
        <w:rPr>
          <w:rFonts w:ascii="Arial" w:hAnsi="Arial" w:cs="Arial"/>
          <w:b/>
          <w:sz w:val="24"/>
          <w:szCs w:val="24"/>
          <w:u w:val="single"/>
        </w:rPr>
      </w:pPr>
      <w:r w:rsidRPr="001326CD">
        <w:rPr>
          <w:rFonts w:ascii="Arial" w:hAnsi="Arial" w:cs="Arial"/>
          <w:b/>
          <w:sz w:val="24"/>
          <w:szCs w:val="24"/>
          <w:u w:val="single"/>
        </w:rPr>
        <w:t xml:space="preserve">Review of the </w:t>
      </w:r>
      <w:r>
        <w:rPr>
          <w:rFonts w:ascii="Arial" w:hAnsi="Arial" w:cs="Arial"/>
          <w:b/>
          <w:sz w:val="24"/>
          <w:szCs w:val="24"/>
          <w:u w:val="single"/>
        </w:rPr>
        <w:t xml:space="preserve">implementation of the </w:t>
      </w:r>
      <w:r w:rsidRPr="001326CD">
        <w:rPr>
          <w:rFonts w:ascii="Arial" w:hAnsi="Arial" w:cs="Arial"/>
          <w:b/>
          <w:sz w:val="24"/>
          <w:szCs w:val="24"/>
          <w:u w:val="single"/>
        </w:rPr>
        <w:t>201</w:t>
      </w:r>
      <w:r>
        <w:rPr>
          <w:rFonts w:ascii="Arial" w:hAnsi="Arial" w:cs="Arial"/>
          <w:b/>
          <w:sz w:val="24"/>
          <w:szCs w:val="24"/>
          <w:u w:val="single"/>
        </w:rPr>
        <w:t>4-15 Schools Funding Formula</w:t>
      </w:r>
    </w:p>
    <w:p w:rsidR="00FB2E82" w:rsidRDefault="00FB2E82" w:rsidP="00FB2E82">
      <w:pPr>
        <w:jc w:val="center"/>
        <w:rPr>
          <w:rFonts w:ascii="Arial" w:hAnsi="Arial" w:cs="Arial"/>
          <w:b/>
          <w:sz w:val="24"/>
          <w:szCs w:val="24"/>
          <w:u w:val="single"/>
        </w:rPr>
      </w:pPr>
    </w:p>
    <w:p w:rsidR="00FB2E82" w:rsidRDefault="00FB2E82" w:rsidP="00FB2E82">
      <w:pPr>
        <w:rPr>
          <w:rFonts w:ascii="Arial" w:hAnsi="Arial" w:cs="Arial"/>
          <w:b/>
          <w:sz w:val="24"/>
          <w:szCs w:val="24"/>
          <w:u w:val="single"/>
        </w:rPr>
      </w:pPr>
      <w:r>
        <w:rPr>
          <w:rFonts w:ascii="Arial" w:hAnsi="Arial" w:cs="Arial"/>
          <w:b/>
          <w:sz w:val="24"/>
          <w:szCs w:val="24"/>
          <w:u w:val="single"/>
        </w:rPr>
        <w:t>Introduction</w:t>
      </w:r>
    </w:p>
    <w:p w:rsidR="00FB2E82" w:rsidRDefault="00FB2E82" w:rsidP="00FB2E82">
      <w:pPr>
        <w:rPr>
          <w:rFonts w:ascii="Arial" w:hAnsi="Arial" w:cs="Arial"/>
          <w:sz w:val="24"/>
          <w:szCs w:val="24"/>
        </w:rPr>
      </w:pPr>
      <w:r>
        <w:rPr>
          <w:rFonts w:ascii="Arial" w:hAnsi="Arial" w:cs="Arial"/>
          <w:sz w:val="24"/>
          <w:szCs w:val="24"/>
        </w:rPr>
        <w:t>The purpose of this report is to provide members of the Schools Forum with summary information produced by the Education Funding Agency (EFA) on all of the school funding formula’s submitted by each Local Authority so they can see how NELC’s compares.</w:t>
      </w:r>
    </w:p>
    <w:p w:rsidR="00FB2E82" w:rsidRDefault="00FB2E82" w:rsidP="00FB2E82">
      <w:pPr>
        <w:rPr>
          <w:rFonts w:ascii="Arial" w:hAnsi="Arial" w:cs="Arial"/>
          <w:sz w:val="24"/>
          <w:szCs w:val="24"/>
        </w:rPr>
      </w:pPr>
    </w:p>
    <w:p w:rsidR="00FB2E82" w:rsidRPr="001326CD" w:rsidRDefault="00FB2E82" w:rsidP="00FB2E82">
      <w:pPr>
        <w:rPr>
          <w:rFonts w:ascii="Arial" w:hAnsi="Arial" w:cs="Arial"/>
          <w:b/>
          <w:sz w:val="24"/>
          <w:szCs w:val="24"/>
          <w:u w:val="single"/>
        </w:rPr>
      </w:pPr>
      <w:r w:rsidRPr="001326CD">
        <w:rPr>
          <w:rFonts w:ascii="Arial" w:hAnsi="Arial" w:cs="Arial"/>
          <w:b/>
          <w:sz w:val="24"/>
          <w:szCs w:val="24"/>
          <w:u w:val="single"/>
        </w:rPr>
        <w:t>Background</w:t>
      </w:r>
    </w:p>
    <w:p w:rsidR="00FB2E82" w:rsidRDefault="00FB2E82" w:rsidP="00FB2E82">
      <w:pPr>
        <w:rPr>
          <w:rFonts w:ascii="Arial" w:hAnsi="Arial" w:cs="Arial"/>
          <w:sz w:val="24"/>
          <w:szCs w:val="24"/>
        </w:rPr>
      </w:pPr>
      <w:r>
        <w:rPr>
          <w:rFonts w:ascii="Arial" w:hAnsi="Arial" w:cs="Arial"/>
          <w:sz w:val="24"/>
          <w:szCs w:val="24"/>
        </w:rPr>
        <w:t xml:space="preserve"> As part of the “School Funding Reform: Next Steps towards a Fairer system“ consultation paper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which is still the intention. For 2014-15 the EFA following a review introduced a number of refinements for Local Authority’s to consider as part of their 2014-15 formula.</w:t>
      </w:r>
    </w:p>
    <w:p w:rsidR="00FB2E82" w:rsidRDefault="00FB2E82" w:rsidP="00FB2E82">
      <w:pPr>
        <w:rPr>
          <w:rFonts w:ascii="Arial" w:hAnsi="Arial" w:cs="Arial"/>
          <w:sz w:val="24"/>
          <w:szCs w:val="24"/>
        </w:rPr>
      </w:pPr>
      <w:r>
        <w:rPr>
          <w:rFonts w:ascii="Arial" w:hAnsi="Arial" w:cs="Arial"/>
          <w:sz w:val="24"/>
          <w:szCs w:val="24"/>
        </w:rPr>
        <w:t>As in 2013-14 EFA has undertaken a piece of research and reported how each element (allowable factor) was used by all Authority’s.</w:t>
      </w:r>
    </w:p>
    <w:p w:rsidR="00FB2E82" w:rsidRDefault="00FB2E82" w:rsidP="00FB2E82">
      <w:pPr>
        <w:rPr>
          <w:rFonts w:ascii="Arial" w:hAnsi="Arial" w:cs="Arial"/>
          <w:sz w:val="24"/>
          <w:szCs w:val="24"/>
        </w:rPr>
      </w:pPr>
    </w:p>
    <w:p w:rsidR="00FB2E82" w:rsidRPr="001326CD" w:rsidRDefault="00FB2E82" w:rsidP="00FB2E82">
      <w:pPr>
        <w:rPr>
          <w:rFonts w:ascii="Arial" w:hAnsi="Arial" w:cs="Arial"/>
          <w:b/>
          <w:sz w:val="24"/>
          <w:szCs w:val="24"/>
          <w:u w:val="single"/>
        </w:rPr>
      </w:pPr>
      <w:r w:rsidRPr="001326CD">
        <w:rPr>
          <w:rFonts w:ascii="Arial" w:hAnsi="Arial" w:cs="Arial"/>
          <w:b/>
          <w:sz w:val="24"/>
          <w:szCs w:val="24"/>
          <w:u w:val="single"/>
        </w:rPr>
        <w:t>Summary results of the findings</w:t>
      </w:r>
    </w:p>
    <w:p w:rsidR="00FB2E82" w:rsidRDefault="00FB2E82" w:rsidP="00FB2E82">
      <w:pPr>
        <w:rPr>
          <w:rFonts w:ascii="Arial" w:hAnsi="Arial" w:cs="Arial"/>
          <w:sz w:val="24"/>
          <w:szCs w:val="24"/>
        </w:rPr>
      </w:pPr>
      <w:r>
        <w:rPr>
          <w:rFonts w:ascii="Arial" w:hAnsi="Arial" w:cs="Arial"/>
          <w:sz w:val="24"/>
          <w:szCs w:val="24"/>
        </w:rPr>
        <w:t>These are noted in the table at Appendix A. A full report is attached for School Forum members information.</w:t>
      </w:r>
    </w:p>
    <w:p w:rsidR="00FB2E82" w:rsidRPr="001326CD" w:rsidRDefault="00FB2E82" w:rsidP="00FB2E82">
      <w:pPr>
        <w:rPr>
          <w:rFonts w:ascii="Arial" w:hAnsi="Arial" w:cs="Arial"/>
          <w:sz w:val="24"/>
          <w:szCs w:val="24"/>
        </w:rPr>
      </w:pPr>
    </w:p>
    <w:p w:rsidR="00FB2E82" w:rsidRDefault="00FB2E82" w:rsidP="00FB2E82">
      <w:pPr>
        <w:pStyle w:val="ListParagraph"/>
        <w:spacing w:after="0" w:line="240" w:lineRule="auto"/>
        <w:ind w:left="0"/>
        <w:rPr>
          <w:rFonts w:ascii="Arial" w:hAnsi="Arial" w:cs="Arial"/>
          <w:sz w:val="24"/>
          <w:szCs w:val="24"/>
        </w:rPr>
      </w:pPr>
      <w:r>
        <w:rPr>
          <w:rFonts w:ascii="Arial" w:eastAsia="Times New Roman" w:hAnsi="Arial" w:cs="Arial"/>
          <w:b/>
          <w:sz w:val="24"/>
          <w:szCs w:val="24"/>
          <w:u w:val="single"/>
          <w:lang w:eastAsia="en-GB"/>
        </w:rPr>
        <w:t>Recommendation</w:t>
      </w:r>
    </w:p>
    <w:p w:rsidR="00FB2E82" w:rsidRDefault="00FB2E82" w:rsidP="00FB2E82">
      <w:pPr>
        <w:pStyle w:val="ListParagraph"/>
        <w:rPr>
          <w:rFonts w:ascii="Arial" w:hAnsi="Arial" w:cs="Arial"/>
          <w:sz w:val="24"/>
          <w:szCs w:val="24"/>
        </w:rPr>
      </w:pPr>
    </w:p>
    <w:p w:rsidR="00FB2E82" w:rsidRDefault="00FB2E82" w:rsidP="00FB2E82">
      <w:pPr>
        <w:pStyle w:val="ListParagraph"/>
        <w:ind w:left="0"/>
        <w:rPr>
          <w:rFonts w:ascii="Arial" w:hAnsi="Arial" w:cs="Arial"/>
          <w:sz w:val="24"/>
          <w:szCs w:val="24"/>
        </w:rPr>
      </w:pPr>
      <w:r>
        <w:rPr>
          <w:rFonts w:ascii="Arial" w:hAnsi="Arial" w:cs="Arial"/>
          <w:sz w:val="24"/>
          <w:szCs w:val="24"/>
        </w:rPr>
        <w:t>That this report be noted.</w:t>
      </w: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r>
        <w:rPr>
          <w:rFonts w:ascii="Arial" w:hAnsi="Arial" w:cs="Arial"/>
          <w:sz w:val="24"/>
          <w:szCs w:val="24"/>
        </w:rPr>
        <w:t>Contact Officer: David Kirven, Service Finance Manager – Business Partnering.</w:t>
      </w: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jc w:val="right"/>
        <w:rPr>
          <w:rFonts w:ascii="Arial" w:hAnsi="Arial" w:cs="Arial"/>
          <w:b/>
          <w:sz w:val="24"/>
          <w:szCs w:val="24"/>
          <w:u w:val="single"/>
        </w:rPr>
      </w:pPr>
      <w:r>
        <w:rPr>
          <w:rFonts w:ascii="Arial" w:hAnsi="Arial" w:cs="Arial"/>
          <w:b/>
          <w:sz w:val="24"/>
          <w:szCs w:val="24"/>
          <w:u w:val="single"/>
        </w:rPr>
        <w:lastRenderedPageBreak/>
        <w:t>Appendix A</w:t>
      </w:r>
    </w:p>
    <w:p w:rsidR="00FB2E82" w:rsidRDefault="00FB2E82" w:rsidP="00FB2E82">
      <w:pPr>
        <w:jc w:val="center"/>
        <w:rPr>
          <w:rFonts w:ascii="Arial" w:hAnsi="Arial" w:cs="Arial"/>
          <w:b/>
          <w:sz w:val="24"/>
          <w:szCs w:val="24"/>
          <w:u w:val="single"/>
        </w:rPr>
      </w:pPr>
    </w:p>
    <w:p w:rsidR="00FB2E82" w:rsidRDefault="00FB2E82" w:rsidP="00FB2E82">
      <w:pPr>
        <w:jc w:val="center"/>
        <w:rPr>
          <w:rFonts w:ascii="Arial" w:hAnsi="Arial" w:cs="Arial"/>
          <w:b/>
          <w:sz w:val="24"/>
          <w:szCs w:val="24"/>
          <w:u w:val="single"/>
        </w:rPr>
      </w:pPr>
      <w:r>
        <w:rPr>
          <w:rFonts w:ascii="Arial" w:hAnsi="Arial" w:cs="Arial"/>
          <w:b/>
          <w:sz w:val="24"/>
          <w:szCs w:val="24"/>
          <w:u w:val="single"/>
        </w:rPr>
        <w:t>Summary Results of EFA findings on Local Authority Schools funding formula</w:t>
      </w:r>
    </w:p>
    <w:tbl>
      <w:tblPr>
        <w:tblStyle w:val="TableGrid"/>
        <w:tblW w:w="0" w:type="auto"/>
        <w:tblLook w:val="04A0" w:firstRow="1" w:lastRow="0" w:firstColumn="1" w:lastColumn="0" w:noHBand="0" w:noVBand="1"/>
      </w:tblPr>
      <w:tblGrid>
        <w:gridCol w:w="3080"/>
        <w:gridCol w:w="3081"/>
        <w:gridCol w:w="3081"/>
      </w:tblGrid>
      <w:tr w:rsidR="00FB2E82" w:rsidTr="00D12D8A">
        <w:tc>
          <w:tcPr>
            <w:tcW w:w="3080" w:type="dxa"/>
          </w:tcPr>
          <w:p w:rsidR="00FB2E82" w:rsidRDefault="00FB2E82" w:rsidP="00D12D8A">
            <w:pPr>
              <w:jc w:val="center"/>
              <w:rPr>
                <w:rFonts w:ascii="Arial" w:hAnsi="Arial" w:cs="Arial"/>
                <w:b/>
                <w:sz w:val="24"/>
                <w:szCs w:val="24"/>
                <w:u w:val="single"/>
              </w:rPr>
            </w:pPr>
            <w:r>
              <w:rPr>
                <w:rFonts w:ascii="Arial" w:hAnsi="Arial" w:cs="Arial"/>
                <w:b/>
                <w:sz w:val="24"/>
                <w:szCs w:val="24"/>
                <w:u w:val="single"/>
              </w:rPr>
              <w:t>Allowable Factor</w:t>
            </w:r>
          </w:p>
        </w:tc>
        <w:tc>
          <w:tcPr>
            <w:tcW w:w="3081" w:type="dxa"/>
          </w:tcPr>
          <w:p w:rsidR="00FB2E82" w:rsidRDefault="00FB2E82" w:rsidP="00FB2E82">
            <w:pPr>
              <w:jc w:val="center"/>
              <w:rPr>
                <w:rFonts w:ascii="Arial" w:hAnsi="Arial" w:cs="Arial"/>
                <w:b/>
                <w:sz w:val="24"/>
                <w:szCs w:val="24"/>
                <w:u w:val="single"/>
              </w:rPr>
            </w:pPr>
            <w:r>
              <w:rPr>
                <w:rFonts w:ascii="Arial" w:hAnsi="Arial" w:cs="Arial"/>
                <w:b/>
                <w:sz w:val="24"/>
                <w:szCs w:val="24"/>
                <w:u w:val="single"/>
              </w:rPr>
              <w:t>EFA Summary Finding</w:t>
            </w:r>
          </w:p>
        </w:tc>
        <w:tc>
          <w:tcPr>
            <w:tcW w:w="3081" w:type="dxa"/>
          </w:tcPr>
          <w:p w:rsidR="00FB2E82" w:rsidRDefault="00FB2E82" w:rsidP="00D12D8A">
            <w:pPr>
              <w:jc w:val="center"/>
              <w:rPr>
                <w:rFonts w:ascii="Arial" w:hAnsi="Arial" w:cs="Arial"/>
                <w:b/>
                <w:sz w:val="24"/>
                <w:szCs w:val="24"/>
                <w:u w:val="single"/>
              </w:rPr>
            </w:pPr>
            <w:r>
              <w:rPr>
                <w:rFonts w:ascii="Arial" w:hAnsi="Arial" w:cs="Arial"/>
                <w:b/>
                <w:sz w:val="24"/>
                <w:szCs w:val="24"/>
                <w:u w:val="single"/>
              </w:rPr>
              <w:t>NELC position</w:t>
            </w:r>
          </w:p>
        </w:tc>
      </w:tr>
      <w:tr w:rsidR="00FB2E82" w:rsidTr="00D12D8A">
        <w:tc>
          <w:tcPr>
            <w:tcW w:w="3080" w:type="dxa"/>
          </w:tcPr>
          <w:p w:rsidR="00FB2E82" w:rsidRDefault="00FB2E82" w:rsidP="00D12D8A">
            <w:pPr>
              <w:jc w:val="center"/>
              <w:rPr>
                <w:rFonts w:ascii="Arial" w:hAnsi="Arial" w:cs="Arial"/>
                <w:b/>
                <w:sz w:val="24"/>
                <w:szCs w:val="24"/>
                <w:u w:val="single"/>
              </w:rPr>
            </w:pPr>
          </w:p>
        </w:tc>
        <w:tc>
          <w:tcPr>
            <w:tcW w:w="3081" w:type="dxa"/>
          </w:tcPr>
          <w:p w:rsidR="00FB2E82" w:rsidRDefault="00FB2E82" w:rsidP="00D12D8A">
            <w:pPr>
              <w:jc w:val="center"/>
              <w:rPr>
                <w:rFonts w:ascii="Arial" w:hAnsi="Arial" w:cs="Arial"/>
                <w:b/>
                <w:sz w:val="24"/>
                <w:szCs w:val="24"/>
                <w:u w:val="single"/>
              </w:rPr>
            </w:pPr>
          </w:p>
        </w:tc>
        <w:tc>
          <w:tcPr>
            <w:tcW w:w="3081" w:type="dxa"/>
          </w:tcPr>
          <w:p w:rsidR="00FB2E82" w:rsidRDefault="00FB2E82" w:rsidP="00D12D8A">
            <w:pPr>
              <w:jc w:val="center"/>
              <w:rPr>
                <w:rFonts w:ascii="Arial" w:hAnsi="Arial" w:cs="Arial"/>
                <w:b/>
                <w:sz w:val="24"/>
                <w:szCs w:val="24"/>
                <w:u w:val="single"/>
              </w:rPr>
            </w:pP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Basic per pupil entitlement: Primary AWPU</w:t>
            </w:r>
          </w:p>
        </w:tc>
        <w:tc>
          <w:tcPr>
            <w:tcW w:w="3081" w:type="dxa"/>
          </w:tcPr>
          <w:p w:rsidR="00FB2E82" w:rsidRPr="00BE4677" w:rsidRDefault="00FB2E82" w:rsidP="00FB2E82">
            <w:pPr>
              <w:rPr>
                <w:rFonts w:ascii="Arial" w:hAnsi="Arial" w:cs="Arial"/>
                <w:sz w:val="24"/>
                <w:szCs w:val="24"/>
              </w:rPr>
            </w:pPr>
            <w:r>
              <w:rPr>
                <w:rFonts w:ascii="Arial" w:hAnsi="Arial" w:cs="Arial"/>
                <w:sz w:val="24"/>
                <w:szCs w:val="24"/>
              </w:rPr>
              <w:t>82% of AWPU’s fall within the range of £2,250 to £3,250</w:t>
            </w:r>
          </w:p>
        </w:tc>
        <w:tc>
          <w:tcPr>
            <w:tcW w:w="3081" w:type="dxa"/>
          </w:tcPr>
          <w:p w:rsidR="00FB2E82" w:rsidRPr="00BE4677" w:rsidRDefault="00FB2E82" w:rsidP="00FB2E82">
            <w:pPr>
              <w:rPr>
                <w:rFonts w:ascii="Arial" w:hAnsi="Arial" w:cs="Arial"/>
                <w:sz w:val="24"/>
                <w:szCs w:val="24"/>
              </w:rPr>
            </w:pPr>
            <w:r>
              <w:rPr>
                <w:rFonts w:ascii="Arial" w:hAnsi="Arial" w:cs="Arial"/>
                <w:sz w:val="24"/>
                <w:szCs w:val="24"/>
              </w:rPr>
              <w:t xml:space="preserve">Primary AWPU = £3,288 (includes £75 one off adjustment) </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Basic per pupil entitlement: Secondary AWPU KS3</w:t>
            </w:r>
          </w:p>
        </w:tc>
        <w:tc>
          <w:tcPr>
            <w:tcW w:w="3081" w:type="dxa"/>
          </w:tcPr>
          <w:p w:rsidR="00FB2E82" w:rsidRPr="00BE4677" w:rsidRDefault="00FB2E82" w:rsidP="00FB2E82">
            <w:pPr>
              <w:rPr>
                <w:rFonts w:ascii="Arial" w:hAnsi="Arial" w:cs="Arial"/>
                <w:sz w:val="24"/>
                <w:szCs w:val="24"/>
              </w:rPr>
            </w:pPr>
            <w:r>
              <w:rPr>
                <w:rFonts w:ascii="Arial" w:hAnsi="Arial" w:cs="Arial"/>
                <w:sz w:val="24"/>
                <w:szCs w:val="24"/>
              </w:rPr>
              <w:t>KS3 - 73% of AWPU’s fall within the range of £3,500 to £4,500</w:t>
            </w:r>
          </w:p>
        </w:tc>
        <w:tc>
          <w:tcPr>
            <w:tcW w:w="3081" w:type="dxa"/>
          </w:tcPr>
          <w:p w:rsidR="00FB2E82" w:rsidRPr="00BE4677" w:rsidRDefault="00FB2E82" w:rsidP="00FB2E82">
            <w:pPr>
              <w:rPr>
                <w:rFonts w:ascii="Arial" w:hAnsi="Arial" w:cs="Arial"/>
                <w:sz w:val="24"/>
                <w:szCs w:val="24"/>
              </w:rPr>
            </w:pPr>
            <w:r>
              <w:rPr>
                <w:rFonts w:ascii="Arial" w:hAnsi="Arial" w:cs="Arial"/>
                <w:sz w:val="24"/>
                <w:szCs w:val="24"/>
              </w:rPr>
              <w:t>NELC chose one secondary AWPU value only, £4,640 (includes £75 one off adjustment)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Basic per pupil entitlement: Secondary AWPU KS4</w:t>
            </w:r>
          </w:p>
        </w:tc>
        <w:tc>
          <w:tcPr>
            <w:tcW w:w="3081" w:type="dxa"/>
          </w:tcPr>
          <w:p w:rsidR="00FB2E82" w:rsidRPr="00BE4677" w:rsidRDefault="00FB2E82" w:rsidP="00D12D8A">
            <w:pPr>
              <w:rPr>
                <w:rFonts w:ascii="Arial" w:hAnsi="Arial" w:cs="Arial"/>
                <w:sz w:val="24"/>
                <w:szCs w:val="24"/>
              </w:rPr>
            </w:pPr>
            <w:r>
              <w:rPr>
                <w:rFonts w:ascii="Arial" w:hAnsi="Arial" w:cs="Arial"/>
                <w:sz w:val="24"/>
                <w:szCs w:val="24"/>
              </w:rPr>
              <w:t>KS4 - 73% of AWPU’s fall within the range of £4,000 to £5,000</w:t>
            </w:r>
          </w:p>
        </w:tc>
        <w:tc>
          <w:tcPr>
            <w:tcW w:w="3081" w:type="dxa"/>
          </w:tcPr>
          <w:p w:rsidR="00FB2E82" w:rsidRPr="00BE4677" w:rsidRDefault="00FB2E82" w:rsidP="00FB2E82">
            <w:pPr>
              <w:rPr>
                <w:rFonts w:ascii="Arial" w:hAnsi="Arial" w:cs="Arial"/>
                <w:sz w:val="24"/>
                <w:szCs w:val="24"/>
              </w:rPr>
            </w:pPr>
            <w:r>
              <w:rPr>
                <w:rFonts w:ascii="Arial" w:hAnsi="Arial" w:cs="Arial"/>
                <w:sz w:val="24"/>
                <w:szCs w:val="24"/>
              </w:rPr>
              <w:t>NELC chose one secondary AWPU value only, £4,640 (includes £75 one off adjustment)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 Funding through basic entitlement</w:t>
            </w:r>
          </w:p>
        </w:tc>
        <w:tc>
          <w:tcPr>
            <w:tcW w:w="3081" w:type="dxa"/>
          </w:tcPr>
          <w:p w:rsidR="00FB2E82" w:rsidRPr="00BE4677" w:rsidRDefault="00FB2E82" w:rsidP="00D12D8A">
            <w:pPr>
              <w:rPr>
                <w:rFonts w:ascii="Arial" w:hAnsi="Arial" w:cs="Arial"/>
                <w:sz w:val="24"/>
                <w:szCs w:val="24"/>
              </w:rPr>
            </w:pPr>
            <w:r>
              <w:rPr>
                <w:rFonts w:ascii="Arial" w:hAnsi="Arial" w:cs="Arial"/>
                <w:sz w:val="24"/>
                <w:szCs w:val="24"/>
              </w:rPr>
              <w:t>Ranges from 61 – 87%. Close to half allocating between 75 – 80%.</w:t>
            </w:r>
          </w:p>
        </w:tc>
        <w:tc>
          <w:tcPr>
            <w:tcW w:w="3081" w:type="dxa"/>
          </w:tcPr>
          <w:p w:rsidR="00FB2E82" w:rsidRPr="00BE4677" w:rsidRDefault="00FB2E82" w:rsidP="00D12D8A">
            <w:pPr>
              <w:rPr>
                <w:rFonts w:ascii="Arial" w:hAnsi="Arial" w:cs="Arial"/>
                <w:sz w:val="24"/>
                <w:szCs w:val="24"/>
              </w:rPr>
            </w:pPr>
            <w:r>
              <w:rPr>
                <w:rFonts w:ascii="Arial" w:hAnsi="Arial" w:cs="Arial"/>
                <w:sz w:val="24"/>
                <w:szCs w:val="24"/>
              </w:rPr>
              <w:t>NELC % = 81.6%</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Deprivation - % of funding</w:t>
            </w:r>
          </w:p>
        </w:tc>
        <w:tc>
          <w:tcPr>
            <w:tcW w:w="3081" w:type="dxa"/>
          </w:tcPr>
          <w:p w:rsidR="00FB2E82" w:rsidRPr="00BE4677" w:rsidRDefault="00FB2E82" w:rsidP="0043063E">
            <w:pPr>
              <w:rPr>
                <w:rFonts w:ascii="Arial" w:hAnsi="Arial" w:cs="Arial"/>
                <w:sz w:val="24"/>
                <w:szCs w:val="24"/>
              </w:rPr>
            </w:pPr>
            <w:r>
              <w:rPr>
                <w:rFonts w:ascii="Arial" w:hAnsi="Arial" w:cs="Arial"/>
                <w:sz w:val="24"/>
                <w:szCs w:val="24"/>
              </w:rPr>
              <w:t xml:space="preserve">Most frequent % </w:t>
            </w:r>
            <w:r w:rsidR="0043063E">
              <w:rPr>
                <w:rFonts w:ascii="Arial" w:hAnsi="Arial" w:cs="Arial"/>
                <w:sz w:val="24"/>
                <w:szCs w:val="24"/>
              </w:rPr>
              <w:t xml:space="preserve">band </w:t>
            </w:r>
            <w:r>
              <w:rPr>
                <w:rFonts w:ascii="Arial" w:hAnsi="Arial" w:cs="Arial"/>
                <w:sz w:val="24"/>
                <w:szCs w:val="24"/>
              </w:rPr>
              <w:t>between 6 – 8%</w:t>
            </w:r>
          </w:p>
        </w:tc>
        <w:tc>
          <w:tcPr>
            <w:tcW w:w="3081" w:type="dxa"/>
          </w:tcPr>
          <w:p w:rsidR="00FB2E82" w:rsidRPr="00BE4677" w:rsidRDefault="00FB2E82" w:rsidP="0043063E">
            <w:pPr>
              <w:rPr>
                <w:rFonts w:ascii="Arial" w:hAnsi="Arial" w:cs="Arial"/>
                <w:sz w:val="24"/>
                <w:szCs w:val="24"/>
              </w:rPr>
            </w:pPr>
            <w:r>
              <w:rPr>
                <w:rFonts w:ascii="Arial" w:hAnsi="Arial" w:cs="Arial"/>
                <w:sz w:val="24"/>
                <w:szCs w:val="24"/>
              </w:rPr>
              <w:t>NELC % = 6.</w:t>
            </w:r>
            <w:r w:rsidR="0043063E">
              <w:rPr>
                <w:rFonts w:ascii="Arial" w:hAnsi="Arial" w:cs="Arial"/>
                <w:sz w:val="24"/>
                <w:szCs w:val="24"/>
              </w:rPr>
              <w:t>19</w:t>
            </w:r>
            <w:r>
              <w:rPr>
                <w:rFonts w:ascii="Arial" w:hAnsi="Arial" w:cs="Arial"/>
                <w:sz w:val="24"/>
                <w:szCs w:val="24"/>
              </w:rPr>
              <w: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Looked After Children</w:t>
            </w:r>
          </w:p>
        </w:tc>
        <w:tc>
          <w:tcPr>
            <w:tcW w:w="3081" w:type="dxa"/>
          </w:tcPr>
          <w:p w:rsidR="00FB2E82" w:rsidRPr="00BE4677" w:rsidRDefault="00FB2E82" w:rsidP="0043063E">
            <w:pPr>
              <w:rPr>
                <w:rFonts w:ascii="Arial" w:hAnsi="Arial" w:cs="Arial"/>
                <w:sz w:val="24"/>
                <w:szCs w:val="24"/>
              </w:rPr>
            </w:pPr>
            <w:r>
              <w:rPr>
                <w:rFonts w:ascii="Arial" w:hAnsi="Arial" w:cs="Arial"/>
                <w:sz w:val="24"/>
                <w:szCs w:val="24"/>
              </w:rPr>
              <w:t>Optional factor – used by 8</w:t>
            </w:r>
            <w:r w:rsidR="0043063E">
              <w:rPr>
                <w:rFonts w:ascii="Arial" w:hAnsi="Arial" w:cs="Arial"/>
                <w:sz w:val="24"/>
                <w:szCs w:val="24"/>
              </w:rPr>
              <w:t>9</w:t>
            </w:r>
            <w:r>
              <w:rPr>
                <w:rFonts w:ascii="Arial" w:hAnsi="Arial" w:cs="Arial"/>
                <w:sz w:val="24"/>
                <w:szCs w:val="24"/>
              </w:rPr>
              <w:t xml:space="preserve"> out of 152 authority’s</w:t>
            </w:r>
          </w:p>
        </w:tc>
        <w:tc>
          <w:tcPr>
            <w:tcW w:w="3081" w:type="dxa"/>
          </w:tcPr>
          <w:p w:rsidR="00FB2E82" w:rsidRPr="00BE4677" w:rsidRDefault="00FB2E82" w:rsidP="00D12D8A">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Low cost high incident SEN</w:t>
            </w:r>
            <w:r w:rsidR="0043063E">
              <w:rPr>
                <w:rFonts w:ascii="Arial" w:hAnsi="Arial" w:cs="Arial"/>
                <w:sz w:val="24"/>
                <w:szCs w:val="24"/>
              </w:rPr>
              <w:t xml:space="preserve"> (Prior attainment)</w:t>
            </w:r>
          </w:p>
        </w:tc>
        <w:tc>
          <w:tcPr>
            <w:tcW w:w="3081" w:type="dxa"/>
          </w:tcPr>
          <w:p w:rsidR="00FB2E82" w:rsidRPr="00BE4677" w:rsidRDefault="00FB2E82" w:rsidP="0043063E">
            <w:pPr>
              <w:rPr>
                <w:rFonts w:ascii="Arial" w:hAnsi="Arial" w:cs="Arial"/>
                <w:sz w:val="24"/>
                <w:szCs w:val="24"/>
              </w:rPr>
            </w:pPr>
            <w:r>
              <w:rPr>
                <w:rFonts w:ascii="Arial" w:hAnsi="Arial" w:cs="Arial"/>
                <w:sz w:val="24"/>
                <w:szCs w:val="24"/>
              </w:rPr>
              <w:t xml:space="preserve">Most frequent % chosen between 2 – </w:t>
            </w:r>
            <w:r w:rsidR="0043063E">
              <w:rPr>
                <w:rFonts w:ascii="Arial" w:hAnsi="Arial" w:cs="Arial"/>
                <w:sz w:val="24"/>
                <w:szCs w:val="24"/>
              </w:rPr>
              <w:t>6</w:t>
            </w:r>
            <w:r>
              <w:rPr>
                <w:rFonts w:ascii="Arial" w:hAnsi="Arial" w:cs="Arial"/>
                <w:sz w:val="24"/>
                <w:szCs w:val="24"/>
              </w:rPr>
              <w:t>%</w:t>
            </w:r>
            <w:r w:rsidR="0043063E">
              <w:rPr>
                <w:rFonts w:ascii="Arial" w:hAnsi="Arial" w:cs="Arial"/>
                <w:sz w:val="24"/>
                <w:szCs w:val="24"/>
              </w:rPr>
              <w:t xml:space="preserve"> (67% of LA’s)</w:t>
            </w:r>
          </w:p>
        </w:tc>
        <w:tc>
          <w:tcPr>
            <w:tcW w:w="3081" w:type="dxa"/>
          </w:tcPr>
          <w:p w:rsidR="00FB2E82" w:rsidRPr="00BE4677" w:rsidRDefault="0043063E" w:rsidP="0043063E">
            <w:pPr>
              <w:rPr>
                <w:rFonts w:ascii="Arial" w:hAnsi="Arial" w:cs="Arial"/>
                <w:sz w:val="24"/>
                <w:szCs w:val="24"/>
              </w:rPr>
            </w:pPr>
            <w:r>
              <w:rPr>
                <w:rFonts w:ascii="Arial" w:hAnsi="Arial" w:cs="Arial"/>
                <w:sz w:val="24"/>
                <w:szCs w:val="24"/>
              </w:rPr>
              <w:t>NELC % = 5.11</w:t>
            </w:r>
            <w:r w:rsidR="00FB2E82">
              <w:rPr>
                <w:rFonts w:ascii="Arial" w:hAnsi="Arial" w:cs="Arial"/>
                <w:sz w:val="24"/>
                <w:szCs w:val="24"/>
              </w:rPr>
              <w: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English as an additional language</w:t>
            </w:r>
          </w:p>
        </w:tc>
        <w:tc>
          <w:tcPr>
            <w:tcW w:w="3081" w:type="dxa"/>
          </w:tcPr>
          <w:p w:rsidR="00FB2E82" w:rsidRPr="00BE4677" w:rsidRDefault="00FB2E82" w:rsidP="0043063E">
            <w:pPr>
              <w:rPr>
                <w:rFonts w:ascii="Arial" w:hAnsi="Arial" w:cs="Arial"/>
                <w:sz w:val="24"/>
                <w:szCs w:val="24"/>
              </w:rPr>
            </w:pPr>
            <w:r>
              <w:rPr>
                <w:rFonts w:ascii="Arial" w:hAnsi="Arial" w:cs="Arial"/>
                <w:sz w:val="24"/>
                <w:szCs w:val="24"/>
              </w:rPr>
              <w:t>Optional factor – used by 1</w:t>
            </w:r>
            <w:r w:rsidR="0043063E">
              <w:rPr>
                <w:rFonts w:ascii="Arial" w:hAnsi="Arial" w:cs="Arial"/>
                <w:sz w:val="24"/>
                <w:szCs w:val="24"/>
              </w:rPr>
              <w:t>30</w:t>
            </w:r>
            <w:r>
              <w:rPr>
                <w:rFonts w:ascii="Arial" w:hAnsi="Arial" w:cs="Arial"/>
                <w:sz w:val="24"/>
                <w:szCs w:val="24"/>
              </w:rPr>
              <w:t xml:space="preserve"> out of 152 authority’s</w:t>
            </w:r>
          </w:p>
        </w:tc>
        <w:tc>
          <w:tcPr>
            <w:tcW w:w="3081" w:type="dxa"/>
          </w:tcPr>
          <w:p w:rsidR="00FB2E82" w:rsidRPr="00BE4677" w:rsidRDefault="00FB2E82" w:rsidP="00D12D8A">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Mobility</w:t>
            </w:r>
          </w:p>
        </w:tc>
        <w:tc>
          <w:tcPr>
            <w:tcW w:w="3081" w:type="dxa"/>
          </w:tcPr>
          <w:p w:rsidR="00FB2E82" w:rsidRPr="00BE4677" w:rsidRDefault="00FB2E82" w:rsidP="00D12D8A">
            <w:pPr>
              <w:rPr>
                <w:rFonts w:ascii="Arial" w:hAnsi="Arial" w:cs="Arial"/>
                <w:sz w:val="24"/>
                <w:szCs w:val="24"/>
              </w:rPr>
            </w:pPr>
            <w:r>
              <w:rPr>
                <w:rFonts w:ascii="Arial" w:hAnsi="Arial" w:cs="Arial"/>
                <w:sz w:val="24"/>
                <w:szCs w:val="24"/>
              </w:rPr>
              <w:t>Optional factor – used by 62 out of 152 authority’s</w:t>
            </w:r>
          </w:p>
        </w:tc>
        <w:tc>
          <w:tcPr>
            <w:tcW w:w="3081" w:type="dxa"/>
          </w:tcPr>
          <w:p w:rsidR="00FB2E82" w:rsidRPr="00BE4677" w:rsidRDefault="00FB2E82" w:rsidP="00D12D8A">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FB2E82" w:rsidTr="00D12D8A">
        <w:tc>
          <w:tcPr>
            <w:tcW w:w="3080" w:type="dxa"/>
          </w:tcPr>
          <w:p w:rsidR="00FB2E82" w:rsidRDefault="00FB2E82" w:rsidP="00D12D8A">
            <w:pPr>
              <w:rPr>
                <w:rFonts w:ascii="Arial" w:hAnsi="Arial" w:cs="Arial"/>
                <w:sz w:val="24"/>
                <w:szCs w:val="24"/>
              </w:rPr>
            </w:pPr>
            <w:r>
              <w:rPr>
                <w:rFonts w:ascii="Arial" w:hAnsi="Arial" w:cs="Arial"/>
                <w:sz w:val="24"/>
                <w:szCs w:val="24"/>
              </w:rPr>
              <w:t>Total funding through the pupil led factors</w:t>
            </w:r>
          </w:p>
        </w:tc>
        <w:tc>
          <w:tcPr>
            <w:tcW w:w="3081" w:type="dxa"/>
          </w:tcPr>
          <w:p w:rsidR="00FB2E82" w:rsidRDefault="00FB2E82" w:rsidP="0043063E">
            <w:pPr>
              <w:rPr>
                <w:rFonts w:ascii="Arial" w:hAnsi="Arial" w:cs="Arial"/>
                <w:sz w:val="24"/>
                <w:szCs w:val="24"/>
              </w:rPr>
            </w:pPr>
            <w:r>
              <w:rPr>
                <w:rFonts w:ascii="Arial" w:hAnsi="Arial" w:cs="Arial"/>
                <w:sz w:val="24"/>
                <w:szCs w:val="24"/>
              </w:rPr>
              <w:t xml:space="preserve">All authority’s </w:t>
            </w:r>
            <w:r w:rsidR="0043063E">
              <w:rPr>
                <w:rFonts w:ascii="Arial" w:hAnsi="Arial" w:cs="Arial"/>
                <w:sz w:val="24"/>
                <w:szCs w:val="24"/>
              </w:rPr>
              <w:t>must allocate 80% or more through pupil led factors. allocating at least 77%. 51</w:t>
            </w:r>
            <w:r>
              <w:rPr>
                <w:rFonts w:ascii="Arial" w:hAnsi="Arial" w:cs="Arial"/>
                <w:sz w:val="24"/>
                <w:szCs w:val="24"/>
              </w:rPr>
              <w:t>%</w:t>
            </w:r>
            <w:r w:rsidR="0043063E">
              <w:rPr>
                <w:rFonts w:ascii="Arial" w:hAnsi="Arial" w:cs="Arial"/>
                <w:sz w:val="24"/>
                <w:szCs w:val="24"/>
              </w:rPr>
              <w:t xml:space="preserve"> are </w:t>
            </w:r>
            <w:r>
              <w:rPr>
                <w:rFonts w:ascii="Arial" w:hAnsi="Arial" w:cs="Arial"/>
                <w:sz w:val="24"/>
                <w:szCs w:val="24"/>
              </w:rPr>
              <w:t>allocating between 90 -95%</w:t>
            </w:r>
          </w:p>
        </w:tc>
        <w:tc>
          <w:tcPr>
            <w:tcW w:w="3081" w:type="dxa"/>
          </w:tcPr>
          <w:p w:rsidR="00FB2E82" w:rsidRDefault="00FB2E82" w:rsidP="0043063E">
            <w:pPr>
              <w:rPr>
                <w:rFonts w:ascii="Arial" w:hAnsi="Arial" w:cs="Arial"/>
                <w:sz w:val="24"/>
                <w:szCs w:val="24"/>
              </w:rPr>
            </w:pPr>
            <w:r>
              <w:rPr>
                <w:rFonts w:ascii="Arial" w:hAnsi="Arial" w:cs="Arial"/>
                <w:sz w:val="24"/>
                <w:szCs w:val="24"/>
              </w:rPr>
              <w:t>NELC % = 92.</w:t>
            </w:r>
            <w:r w:rsidR="0043063E">
              <w:rPr>
                <w:rFonts w:ascii="Arial" w:hAnsi="Arial" w:cs="Arial"/>
                <w:sz w:val="24"/>
                <w:szCs w:val="24"/>
              </w:rPr>
              <w:t>87</w:t>
            </w:r>
            <w:r>
              <w:rPr>
                <w:rFonts w:ascii="Arial" w:hAnsi="Arial" w:cs="Arial"/>
                <w:sz w:val="24"/>
                <w:szCs w:val="24"/>
              </w:rPr>
              <w:t>%</w:t>
            </w:r>
          </w:p>
        </w:tc>
      </w:tr>
      <w:tr w:rsidR="00FB2E82" w:rsidTr="00D12D8A">
        <w:tc>
          <w:tcPr>
            <w:tcW w:w="3080" w:type="dxa"/>
          </w:tcPr>
          <w:p w:rsidR="00FB2E82" w:rsidRDefault="00FB2E82" w:rsidP="00D12D8A">
            <w:pPr>
              <w:rPr>
                <w:rFonts w:ascii="Arial" w:hAnsi="Arial" w:cs="Arial"/>
                <w:sz w:val="24"/>
                <w:szCs w:val="24"/>
              </w:rPr>
            </w:pPr>
            <w:r>
              <w:rPr>
                <w:rFonts w:ascii="Arial" w:hAnsi="Arial" w:cs="Arial"/>
                <w:sz w:val="24"/>
                <w:szCs w:val="24"/>
              </w:rPr>
              <w:t>Lump Sum</w:t>
            </w:r>
          </w:p>
        </w:tc>
        <w:tc>
          <w:tcPr>
            <w:tcW w:w="3081" w:type="dxa"/>
          </w:tcPr>
          <w:p w:rsidR="00FB2E82" w:rsidRDefault="00FB2E82" w:rsidP="0043063E">
            <w:pPr>
              <w:rPr>
                <w:rFonts w:ascii="Arial" w:hAnsi="Arial" w:cs="Arial"/>
                <w:sz w:val="24"/>
                <w:szCs w:val="24"/>
              </w:rPr>
            </w:pPr>
            <w:r>
              <w:rPr>
                <w:rFonts w:ascii="Arial" w:hAnsi="Arial" w:cs="Arial"/>
                <w:sz w:val="24"/>
                <w:szCs w:val="24"/>
              </w:rPr>
              <w:t>Range is £42k to £</w:t>
            </w:r>
            <w:r w:rsidR="0043063E">
              <w:rPr>
                <w:rFonts w:ascii="Arial" w:hAnsi="Arial" w:cs="Arial"/>
                <w:sz w:val="24"/>
                <w:szCs w:val="24"/>
              </w:rPr>
              <w:t>175</w:t>
            </w:r>
            <w:r>
              <w:rPr>
                <w:rFonts w:ascii="Arial" w:hAnsi="Arial" w:cs="Arial"/>
                <w:sz w:val="24"/>
                <w:szCs w:val="24"/>
              </w:rPr>
              <w:t xml:space="preserve">k. </w:t>
            </w:r>
            <w:r w:rsidR="0043063E">
              <w:rPr>
                <w:rFonts w:ascii="Arial" w:hAnsi="Arial" w:cs="Arial"/>
                <w:sz w:val="24"/>
                <w:szCs w:val="24"/>
              </w:rPr>
              <w:t xml:space="preserve">Differential between </w:t>
            </w:r>
            <w:r w:rsidR="0043063E">
              <w:rPr>
                <w:rFonts w:ascii="Arial" w:hAnsi="Arial" w:cs="Arial"/>
                <w:sz w:val="24"/>
                <w:szCs w:val="24"/>
              </w:rPr>
              <w:lastRenderedPageBreak/>
              <w:t>primary and secondary now allowed. 99 LA’s have chosen equal values.</w:t>
            </w:r>
          </w:p>
        </w:tc>
        <w:tc>
          <w:tcPr>
            <w:tcW w:w="3081" w:type="dxa"/>
          </w:tcPr>
          <w:p w:rsidR="00FB2E82" w:rsidRDefault="00FB2E82" w:rsidP="00D12D8A">
            <w:pPr>
              <w:rPr>
                <w:rFonts w:ascii="Arial" w:hAnsi="Arial" w:cs="Arial"/>
                <w:sz w:val="24"/>
                <w:szCs w:val="24"/>
              </w:rPr>
            </w:pPr>
            <w:r>
              <w:rPr>
                <w:rFonts w:ascii="Arial" w:hAnsi="Arial" w:cs="Arial"/>
                <w:sz w:val="24"/>
                <w:szCs w:val="24"/>
              </w:rPr>
              <w:lastRenderedPageBreak/>
              <w:t>NELC = £102k</w:t>
            </w:r>
            <w:r w:rsidR="0043063E">
              <w:rPr>
                <w:rFonts w:ascii="Arial" w:hAnsi="Arial" w:cs="Arial"/>
                <w:sz w:val="24"/>
                <w:szCs w:val="24"/>
              </w:rPr>
              <w:t xml:space="preserve"> across both settings.</w:t>
            </w:r>
            <w:r>
              <w:rPr>
                <w:rFonts w:ascii="Arial" w:hAnsi="Arial" w:cs="Arial"/>
                <w:sz w:val="24"/>
                <w:szCs w:val="24"/>
              </w:rPr>
              <w:t xml:space="preserve">. This is in </w:t>
            </w:r>
            <w:r>
              <w:rPr>
                <w:rFonts w:ascii="Arial" w:hAnsi="Arial" w:cs="Arial"/>
                <w:sz w:val="24"/>
                <w:szCs w:val="24"/>
              </w:rPr>
              <w:lastRenderedPageBreak/>
              <w:t>the 3</w:t>
            </w:r>
            <w:r w:rsidRPr="004B28B9">
              <w:rPr>
                <w:rFonts w:ascii="Arial" w:hAnsi="Arial" w:cs="Arial"/>
                <w:sz w:val="24"/>
                <w:szCs w:val="24"/>
                <w:vertAlign w:val="superscript"/>
              </w:rPr>
              <w:t>rd</w:t>
            </w:r>
            <w:r>
              <w:rPr>
                <w:rFonts w:ascii="Arial" w:hAnsi="Arial" w:cs="Arial"/>
                <w:sz w:val="24"/>
                <w:szCs w:val="24"/>
              </w:rPr>
              <w:t xml:space="preserve"> most common band</w:t>
            </w:r>
          </w:p>
        </w:tc>
      </w:tr>
      <w:tr w:rsidR="0043063E" w:rsidTr="00D12D8A">
        <w:tc>
          <w:tcPr>
            <w:tcW w:w="3080" w:type="dxa"/>
          </w:tcPr>
          <w:p w:rsidR="0043063E" w:rsidRDefault="0043063E" w:rsidP="00D12D8A">
            <w:pPr>
              <w:rPr>
                <w:rFonts w:ascii="Arial" w:hAnsi="Arial" w:cs="Arial"/>
                <w:sz w:val="24"/>
                <w:szCs w:val="24"/>
              </w:rPr>
            </w:pPr>
            <w:proofErr w:type="spellStart"/>
            <w:r>
              <w:rPr>
                <w:rFonts w:ascii="Arial" w:hAnsi="Arial" w:cs="Arial"/>
                <w:sz w:val="24"/>
                <w:szCs w:val="24"/>
              </w:rPr>
              <w:lastRenderedPageBreak/>
              <w:t>Sparsity</w:t>
            </w:r>
            <w:proofErr w:type="spellEnd"/>
          </w:p>
        </w:tc>
        <w:tc>
          <w:tcPr>
            <w:tcW w:w="3081" w:type="dxa"/>
          </w:tcPr>
          <w:p w:rsidR="0043063E" w:rsidRDefault="0043063E" w:rsidP="00D12D8A">
            <w:pPr>
              <w:rPr>
                <w:rFonts w:ascii="Arial" w:hAnsi="Arial" w:cs="Arial"/>
                <w:sz w:val="24"/>
                <w:szCs w:val="24"/>
              </w:rPr>
            </w:pPr>
            <w:r>
              <w:rPr>
                <w:rFonts w:ascii="Arial" w:hAnsi="Arial" w:cs="Arial"/>
                <w:sz w:val="24"/>
                <w:szCs w:val="24"/>
              </w:rPr>
              <w:t>Chosen by 24 LA’s, 128 chose not to use.</w:t>
            </w:r>
          </w:p>
        </w:tc>
        <w:tc>
          <w:tcPr>
            <w:tcW w:w="3081" w:type="dxa"/>
          </w:tcPr>
          <w:p w:rsidR="0043063E" w:rsidRDefault="00BE3424" w:rsidP="00D12D8A">
            <w:pPr>
              <w:rPr>
                <w:rFonts w:ascii="Arial" w:hAnsi="Arial" w:cs="Arial"/>
                <w:sz w:val="24"/>
                <w:szCs w:val="24"/>
              </w:rPr>
            </w:pPr>
            <w:r>
              <w:rPr>
                <w:rFonts w:ascii="Arial" w:hAnsi="Arial" w:cs="Arial"/>
                <w:sz w:val="24"/>
                <w:szCs w:val="24"/>
              </w:rPr>
              <w:t>NELC uses this factor</w:t>
            </w:r>
          </w:p>
        </w:tc>
      </w:tr>
      <w:tr w:rsidR="00FB2E82" w:rsidTr="00D12D8A">
        <w:tc>
          <w:tcPr>
            <w:tcW w:w="3080" w:type="dxa"/>
          </w:tcPr>
          <w:p w:rsidR="00FB2E82" w:rsidRDefault="00FB2E82" w:rsidP="00D12D8A">
            <w:pPr>
              <w:rPr>
                <w:rFonts w:ascii="Arial" w:hAnsi="Arial" w:cs="Arial"/>
                <w:sz w:val="24"/>
                <w:szCs w:val="24"/>
              </w:rPr>
            </w:pPr>
            <w:r>
              <w:rPr>
                <w:rFonts w:ascii="Arial" w:hAnsi="Arial" w:cs="Arial"/>
                <w:sz w:val="24"/>
                <w:szCs w:val="24"/>
              </w:rPr>
              <w:t>Primary: secondary funding ratio’s</w:t>
            </w:r>
          </w:p>
        </w:tc>
        <w:tc>
          <w:tcPr>
            <w:tcW w:w="3081" w:type="dxa"/>
          </w:tcPr>
          <w:p w:rsidR="00FB2E82" w:rsidRDefault="00FB2E82" w:rsidP="00D12D8A">
            <w:pPr>
              <w:rPr>
                <w:rFonts w:ascii="Arial" w:hAnsi="Arial" w:cs="Arial"/>
                <w:sz w:val="24"/>
                <w:szCs w:val="24"/>
              </w:rPr>
            </w:pPr>
            <w:r>
              <w:rPr>
                <w:rFonts w:ascii="Arial" w:hAnsi="Arial" w:cs="Arial"/>
                <w:sz w:val="24"/>
                <w:szCs w:val="24"/>
              </w:rPr>
              <w:t>National ratio 1:1.27</w:t>
            </w:r>
          </w:p>
        </w:tc>
        <w:tc>
          <w:tcPr>
            <w:tcW w:w="3081" w:type="dxa"/>
          </w:tcPr>
          <w:p w:rsidR="00FB2E82" w:rsidRDefault="00BE3424" w:rsidP="00D12D8A">
            <w:pPr>
              <w:rPr>
                <w:rFonts w:ascii="Arial" w:hAnsi="Arial" w:cs="Arial"/>
                <w:sz w:val="24"/>
                <w:szCs w:val="24"/>
              </w:rPr>
            </w:pPr>
            <w:r>
              <w:rPr>
                <w:rFonts w:ascii="Arial" w:hAnsi="Arial" w:cs="Arial"/>
                <w:sz w:val="24"/>
                <w:szCs w:val="24"/>
              </w:rPr>
              <w:t>NELC’s 1:1.25</w:t>
            </w:r>
          </w:p>
        </w:tc>
      </w:tr>
      <w:tr w:rsidR="00BE3424" w:rsidTr="00D12D8A">
        <w:tc>
          <w:tcPr>
            <w:tcW w:w="3080" w:type="dxa"/>
          </w:tcPr>
          <w:p w:rsidR="00BE3424" w:rsidRDefault="00BE3424" w:rsidP="00D12D8A">
            <w:pPr>
              <w:rPr>
                <w:rFonts w:ascii="Arial" w:hAnsi="Arial" w:cs="Arial"/>
                <w:sz w:val="24"/>
                <w:szCs w:val="24"/>
              </w:rPr>
            </w:pPr>
            <w:r>
              <w:rPr>
                <w:rFonts w:ascii="Arial" w:hAnsi="Arial" w:cs="Arial"/>
                <w:sz w:val="24"/>
                <w:szCs w:val="24"/>
              </w:rPr>
              <w:t>Notional SEN calculations</w:t>
            </w:r>
          </w:p>
        </w:tc>
        <w:tc>
          <w:tcPr>
            <w:tcW w:w="3081" w:type="dxa"/>
          </w:tcPr>
          <w:p w:rsidR="00BE3424" w:rsidRDefault="00BE3424" w:rsidP="00D12D8A">
            <w:pPr>
              <w:rPr>
                <w:rFonts w:ascii="Arial" w:hAnsi="Arial" w:cs="Arial"/>
                <w:sz w:val="24"/>
                <w:szCs w:val="24"/>
              </w:rPr>
            </w:pPr>
            <w:r>
              <w:rPr>
                <w:rFonts w:ascii="Arial" w:hAnsi="Arial" w:cs="Arial"/>
                <w:sz w:val="24"/>
                <w:szCs w:val="24"/>
              </w:rPr>
              <w:t>Most common banding range 7.5 – 10%</w:t>
            </w:r>
          </w:p>
        </w:tc>
        <w:tc>
          <w:tcPr>
            <w:tcW w:w="3081" w:type="dxa"/>
          </w:tcPr>
          <w:p w:rsidR="00BE3424" w:rsidRDefault="00BE3424" w:rsidP="00D12D8A">
            <w:pPr>
              <w:rPr>
                <w:rFonts w:ascii="Arial" w:hAnsi="Arial" w:cs="Arial"/>
                <w:sz w:val="24"/>
                <w:szCs w:val="24"/>
              </w:rPr>
            </w:pPr>
            <w:r>
              <w:rPr>
                <w:rFonts w:ascii="Arial" w:hAnsi="Arial" w:cs="Arial"/>
                <w:sz w:val="24"/>
                <w:szCs w:val="24"/>
              </w:rPr>
              <w:t>NELC figure = 12.2%</w:t>
            </w:r>
          </w:p>
        </w:tc>
      </w:tr>
      <w:tr w:rsidR="00BE3424" w:rsidTr="00D12D8A">
        <w:tc>
          <w:tcPr>
            <w:tcW w:w="3080" w:type="dxa"/>
          </w:tcPr>
          <w:p w:rsidR="00BE3424" w:rsidRDefault="00BE3424" w:rsidP="00D12D8A">
            <w:pPr>
              <w:rPr>
                <w:rFonts w:ascii="Arial" w:hAnsi="Arial" w:cs="Arial"/>
                <w:sz w:val="24"/>
                <w:szCs w:val="24"/>
              </w:rPr>
            </w:pPr>
            <w:r>
              <w:rPr>
                <w:rFonts w:ascii="Arial" w:hAnsi="Arial" w:cs="Arial"/>
                <w:sz w:val="24"/>
                <w:szCs w:val="24"/>
              </w:rPr>
              <w:t>Growth Fund</w:t>
            </w:r>
          </w:p>
        </w:tc>
        <w:tc>
          <w:tcPr>
            <w:tcW w:w="3081" w:type="dxa"/>
          </w:tcPr>
          <w:p w:rsidR="00BE3424" w:rsidRDefault="00BE3424" w:rsidP="00BE3424">
            <w:pPr>
              <w:rPr>
                <w:rFonts w:ascii="Arial" w:hAnsi="Arial" w:cs="Arial"/>
                <w:sz w:val="24"/>
                <w:szCs w:val="24"/>
              </w:rPr>
            </w:pPr>
            <w:r>
              <w:rPr>
                <w:rFonts w:ascii="Arial" w:hAnsi="Arial" w:cs="Arial"/>
                <w:sz w:val="24"/>
                <w:szCs w:val="24"/>
              </w:rPr>
              <w:t>121 out of 152 LA’s are retaining a falling rolls fund, values range from £50k to £6M</w:t>
            </w:r>
          </w:p>
        </w:tc>
        <w:tc>
          <w:tcPr>
            <w:tcW w:w="3081" w:type="dxa"/>
          </w:tcPr>
          <w:p w:rsidR="00BE3424" w:rsidRDefault="00BE3424" w:rsidP="00D12D8A">
            <w:pPr>
              <w:rPr>
                <w:rFonts w:ascii="Arial" w:hAnsi="Arial" w:cs="Arial"/>
                <w:sz w:val="24"/>
                <w:szCs w:val="24"/>
              </w:rPr>
            </w:pPr>
            <w:r>
              <w:rPr>
                <w:rFonts w:ascii="Arial" w:hAnsi="Arial" w:cs="Arial"/>
                <w:sz w:val="24"/>
                <w:szCs w:val="24"/>
              </w:rPr>
              <w:t>NELC retained such a fund with a value of £50k</w:t>
            </w:r>
          </w:p>
        </w:tc>
      </w:tr>
      <w:tr w:rsidR="00BE3424" w:rsidTr="00D12D8A">
        <w:tc>
          <w:tcPr>
            <w:tcW w:w="3080" w:type="dxa"/>
          </w:tcPr>
          <w:p w:rsidR="00BE3424" w:rsidRDefault="00BE3424" w:rsidP="00D12D8A">
            <w:pPr>
              <w:rPr>
                <w:rFonts w:ascii="Arial" w:hAnsi="Arial" w:cs="Arial"/>
                <w:sz w:val="24"/>
                <w:szCs w:val="24"/>
              </w:rPr>
            </w:pPr>
            <w:r>
              <w:rPr>
                <w:rFonts w:ascii="Arial" w:hAnsi="Arial" w:cs="Arial"/>
                <w:sz w:val="24"/>
                <w:szCs w:val="24"/>
              </w:rPr>
              <w:t>Falling Rolls fund</w:t>
            </w:r>
          </w:p>
        </w:tc>
        <w:tc>
          <w:tcPr>
            <w:tcW w:w="3081" w:type="dxa"/>
          </w:tcPr>
          <w:p w:rsidR="00BE3424" w:rsidRDefault="00BE3424" w:rsidP="00BE3424">
            <w:pPr>
              <w:rPr>
                <w:rFonts w:ascii="Arial" w:hAnsi="Arial" w:cs="Arial"/>
                <w:sz w:val="24"/>
                <w:szCs w:val="24"/>
              </w:rPr>
            </w:pPr>
            <w:r>
              <w:rPr>
                <w:rFonts w:ascii="Arial" w:hAnsi="Arial" w:cs="Arial"/>
                <w:sz w:val="24"/>
                <w:szCs w:val="24"/>
              </w:rPr>
              <w:t>Only 26 LA’s are retaining a falling rolls fund, values range from £50k to £500k</w:t>
            </w:r>
          </w:p>
        </w:tc>
        <w:tc>
          <w:tcPr>
            <w:tcW w:w="3081" w:type="dxa"/>
          </w:tcPr>
          <w:p w:rsidR="00BE3424" w:rsidRDefault="00BE3424" w:rsidP="00D12D8A">
            <w:pPr>
              <w:rPr>
                <w:rFonts w:ascii="Arial" w:hAnsi="Arial" w:cs="Arial"/>
                <w:sz w:val="24"/>
                <w:szCs w:val="24"/>
              </w:rPr>
            </w:pPr>
            <w:r>
              <w:rPr>
                <w:rFonts w:ascii="Arial" w:hAnsi="Arial" w:cs="Arial"/>
                <w:sz w:val="24"/>
                <w:szCs w:val="24"/>
              </w:rPr>
              <w:t>NELC retained such a fund with a value of £50k</w:t>
            </w:r>
          </w:p>
        </w:tc>
      </w:tr>
    </w:tbl>
    <w:p w:rsidR="00054839" w:rsidRDefault="00054839"/>
    <w:sectPr w:rsidR="000548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41" w:rsidRDefault="00081F41" w:rsidP="00081F41">
      <w:pPr>
        <w:spacing w:after="0" w:line="240" w:lineRule="auto"/>
      </w:pPr>
      <w:r>
        <w:separator/>
      </w:r>
    </w:p>
  </w:endnote>
  <w:endnote w:type="continuationSeparator" w:id="0">
    <w:p w:rsidR="00081F41" w:rsidRDefault="00081F41" w:rsidP="0008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1" w:rsidRDefault="00081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1" w:rsidRDefault="00081F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1" w:rsidRDefault="00081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41" w:rsidRDefault="00081F41" w:rsidP="00081F41">
      <w:pPr>
        <w:spacing w:after="0" w:line="240" w:lineRule="auto"/>
      </w:pPr>
      <w:r>
        <w:separator/>
      </w:r>
    </w:p>
  </w:footnote>
  <w:footnote w:type="continuationSeparator" w:id="0">
    <w:p w:rsidR="00081F41" w:rsidRDefault="00081F41" w:rsidP="00081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1" w:rsidRDefault="00081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1" w:rsidRDefault="00081F41" w:rsidP="00081F41">
    <w:pPr>
      <w:pStyle w:val="Header"/>
      <w:jc w:val="right"/>
    </w:pPr>
    <w:r>
      <w:t xml:space="preserve">ITEM </w:t>
    </w:r>
    <w:r>
      <w:t>13/14</w:t>
    </w:r>
    <w:bookmarkStart w:id="0" w:name="_GoBack"/>
    <w:bookmarkEnd w:id="0"/>
  </w:p>
  <w:p w:rsidR="00081F41" w:rsidRDefault="00081F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1" w:rsidRDefault="00081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82"/>
    <w:rsid w:val="00054839"/>
    <w:rsid w:val="00081F41"/>
    <w:rsid w:val="001F33E0"/>
    <w:rsid w:val="0043063E"/>
    <w:rsid w:val="00BE3424"/>
    <w:rsid w:val="00FB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82"/>
    <w:pPr>
      <w:ind w:left="720"/>
      <w:contextualSpacing/>
    </w:pPr>
  </w:style>
  <w:style w:type="table" w:styleId="TableGrid">
    <w:name w:val="Table Grid"/>
    <w:basedOn w:val="TableNormal"/>
    <w:uiPriority w:val="59"/>
    <w:rsid w:val="00FB2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1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41"/>
  </w:style>
  <w:style w:type="paragraph" w:styleId="Footer">
    <w:name w:val="footer"/>
    <w:basedOn w:val="Normal"/>
    <w:link w:val="FooterChar"/>
    <w:uiPriority w:val="99"/>
    <w:unhideWhenUsed/>
    <w:rsid w:val="00081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41"/>
  </w:style>
  <w:style w:type="paragraph" w:styleId="BalloonText">
    <w:name w:val="Balloon Text"/>
    <w:basedOn w:val="Normal"/>
    <w:link w:val="BalloonTextChar"/>
    <w:uiPriority w:val="99"/>
    <w:semiHidden/>
    <w:unhideWhenUsed/>
    <w:rsid w:val="00081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82"/>
    <w:pPr>
      <w:ind w:left="720"/>
      <w:contextualSpacing/>
    </w:pPr>
  </w:style>
  <w:style w:type="table" w:styleId="TableGrid">
    <w:name w:val="Table Grid"/>
    <w:basedOn w:val="TableNormal"/>
    <w:uiPriority w:val="59"/>
    <w:rsid w:val="00FB2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1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41"/>
  </w:style>
  <w:style w:type="paragraph" w:styleId="Footer">
    <w:name w:val="footer"/>
    <w:basedOn w:val="Normal"/>
    <w:link w:val="FooterChar"/>
    <w:uiPriority w:val="99"/>
    <w:unhideWhenUsed/>
    <w:rsid w:val="00081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41"/>
  </w:style>
  <w:style w:type="paragraph" w:styleId="BalloonText">
    <w:name w:val="Balloon Text"/>
    <w:basedOn w:val="Normal"/>
    <w:link w:val="BalloonTextChar"/>
    <w:uiPriority w:val="99"/>
    <w:semiHidden/>
    <w:unhideWhenUsed/>
    <w:rsid w:val="00081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3300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2</cp:revision>
  <dcterms:created xsi:type="dcterms:W3CDTF">2014-06-18T14:00:00Z</dcterms:created>
  <dcterms:modified xsi:type="dcterms:W3CDTF">2014-06-18T14:00:00Z</dcterms:modified>
</cp:coreProperties>
</file>