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2CE6" w:rsidRPr="00553FD6" w:rsidRDefault="007D2CE6" w:rsidP="007D2CE6">
      <w:pPr>
        <w:jc w:val="center"/>
        <w:rPr>
          <w:rFonts w:ascii="Arial" w:hAnsi="Arial" w:cs="Arial"/>
          <w:b/>
          <w:sz w:val="24"/>
          <w:szCs w:val="24"/>
          <w:u w:val="single"/>
        </w:rPr>
      </w:pPr>
      <w:r w:rsidRPr="00553FD6">
        <w:rPr>
          <w:rFonts w:ascii="Arial" w:hAnsi="Arial" w:cs="Arial"/>
          <w:b/>
          <w:sz w:val="24"/>
          <w:szCs w:val="24"/>
          <w:u w:val="single"/>
        </w:rPr>
        <w:t>SCHOOLS FORUM –</w:t>
      </w:r>
      <w:r>
        <w:rPr>
          <w:rFonts w:ascii="Arial" w:hAnsi="Arial" w:cs="Arial"/>
          <w:b/>
          <w:sz w:val="24"/>
          <w:szCs w:val="24"/>
          <w:u w:val="single"/>
        </w:rPr>
        <w:t xml:space="preserve"> 25</w:t>
      </w:r>
      <w:r w:rsidRPr="00553FD6">
        <w:rPr>
          <w:rFonts w:ascii="Arial" w:hAnsi="Arial" w:cs="Arial"/>
          <w:b/>
          <w:sz w:val="24"/>
          <w:szCs w:val="24"/>
          <w:u w:val="single"/>
          <w:vertAlign w:val="superscript"/>
        </w:rPr>
        <w:t>TH</w:t>
      </w:r>
      <w:r w:rsidRPr="00553FD6">
        <w:rPr>
          <w:rFonts w:ascii="Arial" w:hAnsi="Arial" w:cs="Arial"/>
          <w:b/>
          <w:sz w:val="24"/>
          <w:szCs w:val="24"/>
          <w:u w:val="single"/>
        </w:rPr>
        <w:t xml:space="preserve"> </w:t>
      </w:r>
      <w:r>
        <w:rPr>
          <w:rFonts w:ascii="Arial" w:hAnsi="Arial" w:cs="Arial"/>
          <w:b/>
          <w:sz w:val="24"/>
          <w:szCs w:val="24"/>
          <w:u w:val="single"/>
        </w:rPr>
        <w:t>JUNE 2014</w:t>
      </w:r>
    </w:p>
    <w:p w:rsidR="00194105" w:rsidRPr="00194105" w:rsidRDefault="00194105" w:rsidP="00194105">
      <w:pPr>
        <w:jc w:val="center"/>
        <w:rPr>
          <w:rFonts w:ascii="Arial" w:hAnsi="Arial" w:cs="Arial"/>
          <w:b/>
          <w:sz w:val="24"/>
          <w:szCs w:val="24"/>
          <w:u w:val="single"/>
        </w:rPr>
      </w:pPr>
      <w:r w:rsidRPr="00194105">
        <w:rPr>
          <w:rFonts w:ascii="Arial" w:hAnsi="Arial" w:cs="Arial"/>
          <w:b/>
          <w:sz w:val="24"/>
          <w:szCs w:val="24"/>
          <w:u w:val="single"/>
        </w:rPr>
        <w:t>S</w:t>
      </w:r>
      <w:r w:rsidR="00284B80">
        <w:rPr>
          <w:rFonts w:ascii="Arial" w:hAnsi="Arial" w:cs="Arial"/>
          <w:b/>
          <w:sz w:val="24"/>
          <w:szCs w:val="24"/>
          <w:u w:val="single"/>
        </w:rPr>
        <w:t>EN WORKING PARTY UPDATE</w:t>
      </w:r>
    </w:p>
    <w:p w:rsidR="007D2CE6" w:rsidRPr="00553FD6" w:rsidRDefault="007D2CE6" w:rsidP="007D2CE6">
      <w:pPr>
        <w:jc w:val="center"/>
        <w:rPr>
          <w:rFonts w:ascii="Arial" w:hAnsi="Arial" w:cs="Arial"/>
          <w:b/>
          <w:sz w:val="24"/>
          <w:szCs w:val="24"/>
          <w:u w:val="single"/>
        </w:rPr>
      </w:pPr>
    </w:p>
    <w:p w:rsidR="007D2CE6" w:rsidRPr="00553FD6" w:rsidRDefault="007D2CE6" w:rsidP="007D2CE6">
      <w:pPr>
        <w:pStyle w:val="ListParagraph"/>
        <w:numPr>
          <w:ilvl w:val="0"/>
          <w:numId w:val="1"/>
        </w:numPr>
        <w:rPr>
          <w:rFonts w:ascii="Arial" w:hAnsi="Arial" w:cs="Arial"/>
          <w:b/>
          <w:sz w:val="24"/>
          <w:szCs w:val="24"/>
          <w:u w:val="single"/>
        </w:rPr>
      </w:pPr>
      <w:r w:rsidRPr="00553FD6">
        <w:rPr>
          <w:rFonts w:ascii="Arial" w:hAnsi="Arial" w:cs="Arial"/>
          <w:b/>
          <w:sz w:val="24"/>
          <w:szCs w:val="24"/>
          <w:u w:val="single"/>
        </w:rPr>
        <w:t>Purpose</w:t>
      </w:r>
    </w:p>
    <w:p w:rsidR="007D2CE6" w:rsidRPr="00944984" w:rsidRDefault="007D2CE6" w:rsidP="007D2CE6">
      <w:pPr>
        <w:ind w:left="720"/>
        <w:rPr>
          <w:rFonts w:ascii="Arial" w:hAnsi="Arial" w:cs="Arial"/>
          <w:color w:val="FF0000"/>
          <w:sz w:val="24"/>
          <w:szCs w:val="24"/>
        </w:rPr>
      </w:pPr>
      <w:r w:rsidRPr="00553FD6">
        <w:rPr>
          <w:rFonts w:ascii="Arial" w:hAnsi="Arial" w:cs="Arial"/>
          <w:sz w:val="24"/>
          <w:szCs w:val="24"/>
        </w:rPr>
        <w:t xml:space="preserve">The purpose of this paper is to </w:t>
      </w:r>
      <w:r w:rsidR="00194105">
        <w:rPr>
          <w:rFonts w:ascii="Arial" w:hAnsi="Arial" w:cs="Arial"/>
          <w:sz w:val="24"/>
          <w:szCs w:val="24"/>
        </w:rPr>
        <w:t xml:space="preserve">advise </w:t>
      </w:r>
      <w:r w:rsidR="00284B80">
        <w:rPr>
          <w:rFonts w:ascii="Arial" w:hAnsi="Arial" w:cs="Arial"/>
          <w:sz w:val="24"/>
          <w:szCs w:val="24"/>
        </w:rPr>
        <w:t>Schools Forum Members as to progress following concerns raised at the last meeting in respect of the banding criteria</w:t>
      </w:r>
      <w:r w:rsidR="00194105">
        <w:rPr>
          <w:rFonts w:ascii="Arial" w:hAnsi="Arial" w:cs="Arial"/>
          <w:sz w:val="24"/>
          <w:szCs w:val="24"/>
        </w:rPr>
        <w:t xml:space="preserve">. </w:t>
      </w:r>
    </w:p>
    <w:p w:rsidR="007D2CE6" w:rsidRDefault="00194105" w:rsidP="007D2CE6">
      <w:pPr>
        <w:pStyle w:val="ListParagraph"/>
        <w:numPr>
          <w:ilvl w:val="0"/>
          <w:numId w:val="1"/>
        </w:numPr>
        <w:rPr>
          <w:rFonts w:ascii="Arial" w:hAnsi="Arial" w:cs="Arial"/>
          <w:b/>
          <w:sz w:val="24"/>
          <w:szCs w:val="24"/>
          <w:u w:val="single"/>
        </w:rPr>
      </w:pPr>
      <w:r>
        <w:rPr>
          <w:rFonts w:ascii="Arial" w:hAnsi="Arial" w:cs="Arial"/>
          <w:b/>
          <w:sz w:val="24"/>
          <w:szCs w:val="24"/>
          <w:u w:val="single"/>
        </w:rPr>
        <w:t>Background</w:t>
      </w:r>
    </w:p>
    <w:p w:rsidR="00284B80" w:rsidRDefault="00284B80" w:rsidP="007D2CE6">
      <w:pPr>
        <w:ind w:left="720"/>
        <w:rPr>
          <w:rFonts w:ascii="Arial" w:hAnsi="Arial" w:cs="Arial"/>
          <w:sz w:val="24"/>
          <w:szCs w:val="24"/>
        </w:rPr>
      </w:pPr>
      <w:r>
        <w:rPr>
          <w:rFonts w:ascii="Arial" w:hAnsi="Arial" w:cs="Arial"/>
          <w:sz w:val="24"/>
          <w:szCs w:val="24"/>
        </w:rPr>
        <w:t>At the last meeting of the Schools Forum on the 19</w:t>
      </w:r>
      <w:r w:rsidRPr="00284B80">
        <w:rPr>
          <w:rFonts w:ascii="Arial" w:hAnsi="Arial" w:cs="Arial"/>
          <w:sz w:val="24"/>
          <w:szCs w:val="24"/>
          <w:vertAlign w:val="superscript"/>
        </w:rPr>
        <w:t>th</w:t>
      </w:r>
      <w:r>
        <w:rPr>
          <w:rFonts w:ascii="Arial" w:hAnsi="Arial" w:cs="Arial"/>
          <w:sz w:val="24"/>
          <w:szCs w:val="24"/>
        </w:rPr>
        <w:t xml:space="preserve"> March 2014 a matter was raised in respect of changes to the banding criteria and the potential impact that this could have on the financial stability of the Special Schools. Schools For</w:t>
      </w:r>
      <w:r w:rsidR="00274ED6">
        <w:rPr>
          <w:rFonts w:ascii="Arial" w:hAnsi="Arial" w:cs="Arial"/>
          <w:sz w:val="24"/>
          <w:szCs w:val="24"/>
        </w:rPr>
        <w:t>u</w:t>
      </w:r>
      <w:r>
        <w:rPr>
          <w:rFonts w:ascii="Arial" w:hAnsi="Arial" w:cs="Arial"/>
          <w:sz w:val="24"/>
          <w:szCs w:val="24"/>
        </w:rPr>
        <w:t>m passed a resolution that a meeting be held between the SEN Working Party and appropriate officers from the Authority</w:t>
      </w:r>
      <w:r w:rsidR="00274ED6">
        <w:rPr>
          <w:rFonts w:ascii="Arial" w:hAnsi="Arial" w:cs="Arial"/>
          <w:sz w:val="24"/>
          <w:szCs w:val="24"/>
        </w:rPr>
        <w:t xml:space="preserve"> to discuss this matter</w:t>
      </w:r>
      <w:r>
        <w:rPr>
          <w:rFonts w:ascii="Arial" w:hAnsi="Arial" w:cs="Arial"/>
          <w:sz w:val="24"/>
          <w:szCs w:val="24"/>
        </w:rPr>
        <w:t>.</w:t>
      </w:r>
    </w:p>
    <w:p w:rsidR="00284B80" w:rsidRDefault="00284B80" w:rsidP="007D2CE6">
      <w:pPr>
        <w:ind w:left="720"/>
        <w:rPr>
          <w:rFonts w:ascii="Arial" w:hAnsi="Arial" w:cs="Arial"/>
          <w:sz w:val="24"/>
          <w:szCs w:val="24"/>
        </w:rPr>
      </w:pPr>
      <w:r>
        <w:rPr>
          <w:rFonts w:ascii="Arial" w:hAnsi="Arial" w:cs="Arial"/>
          <w:sz w:val="24"/>
          <w:szCs w:val="24"/>
        </w:rPr>
        <w:t>Since the Schools Forum meeting a number of discussions and meetings have been held to discuss this and other issues that were raised subsequent to the Schools Forum meeting.</w:t>
      </w:r>
    </w:p>
    <w:p w:rsidR="007D2CE6" w:rsidRDefault="00B76EC6" w:rsidP="007D2CE6">
      <w:pPr>
        <w:pStyle w:val="ListParagraph"/>
        <w:numPr>
          <w:ilvl w:val="0"/>
          <w:numId w:val="1"/>
        </w:numPr>
        <w:rPr>
          <w:rFonts w:ascii="Arial" w:hAnsi="Arial" w:cs="Arial"/>
          <w:b/>
          <w:sz w:val="24"/>
          <w:szCs w:val="24"/>
          <w:u w:val="single"/>
        </w:rPr>
      </w:pPr>
      <w:r>
        <w:rPr>
          <w:rFonts w:ascii="Arial" w:hAnsi="Arial" w:cs="Arial"/>
          <w:b/>
          <w:sz w:val="24"/>
          <w:szCs w:val="24"/>
          <w:u w:val="single"/>
        </w:rPr>
        <w:t>Overview</w:t>
      </w:r>
      <w:r w:rsidR="003B27D8">
        <w:rPr>
          <w:rFonts w:ascii="Arial" w:hAnsi="Arial" w:cs="Arial"/>
          <w:b/>
          <w:sz w:val="24"/>
          <w:szCs w:val="24"/>
          <w:u w:val="single"/>
        </w:rPr>
        <w:t xml:space="preserve"> </w:t>
      </w:r>
      <w:r w:rsidR="00284B80">
        <w:rPr>
          <w:rFonts w:ascii="Arial" w:hAnsi="Arial" w:cs="Arial"/>
          <w:b/>
          <w:sz w:val="24"/>
          <w:szCs w:val="24"/>
          <w:u w:val="single"/>
        </w:rPr>
        <w:t>and Summary of discussions</w:t>
      </w:r>
    </w:p>
    <w:p w:rsidR="00284B80" w:rsidRDefault="00892441" w:rsidP="00892441">
      <w:pPr>
        <w:ind w:left="720"/>
        <w:rPr>
          <w:rFonts w:ascii="Arial" w:hAnsi="Arial" w:cs="Arial"/>
          <w:sz w:val="24"/>
          <w:szCs w:val="24"/>
        </w:rPr>
      </w:pPr>
      <w:r>
        <w:rPr>
          <w:rFonts w:ascii="Arial" w:hAnsi="Arial" w:cs="Arial"/>
          <w:sz w:val="24"/>
          <w:szCs w:val="24"/>
        </w:rPr>
        <w:t>The SEN Working Party at its meeting on the 18</w:t>
      </w:r>
      <w:r w:rsidRPr="00892441">
        <w:rPr>
          <w:rFonts w:ascii="Arial" w:hAnsi="Arial" w:cs="Arial"/>
          <w:sz w:val="24"/>
          <w:szCs w:val="24"/>
          <w:vertAlign w:val="superscript"/>
        </w:rPr>
        <w:t>th</w:t>
      </w:r>
      <w:r>
        <w:rPr>
          <w:rFonts w:ascii="Arial" w:hAnsi="Arial" w:cs="Arial"/>
          <w:sz w:val="24"/>
          <w:szCs w:val="24"/>
        </w:rPr>
        <w:t xml:space="preserve"> June 2014 discussed the following:</w:t>
      </w:r>
    </w:p>
    <w:p w:rsidR="00892441" w:rsidRDefault="00892441" w:rsidP="00892441">
      <w:pPr>
        <w:pStyle w:val="ListParagraph"/>
        <w:numPr>
          <w:ilvl w:val="0"/>
          <w:numId w:val="6"/>
        </w:numPr>
        <w:rPr>
          <w:rFonts w:ascii="Arial" w:hAnsi="Arial" w:cs="Arial"/>
          <w:sz w:val="24"/>
          <w:szCs w:val="24"/>
        </w:rPr>
      </w:pPr>
      <w:r>
        <w:rPr>
          <w:rFonts w:ascii="Arial" w:hAnsi="Arial" w:cs="Arial"/>
          <w:sz w:val="24"/>
          <w:szCs w:val="24"/>
        </w:rPr>
        <w:t>The agreed financial model on the 10</w:t>
      </w:r>
      <w:r w:rsidRPr="00892441">
        <w:rPr>
          <w:rFonts w:ascii="Arial" w:hAnsi="Arial" w:cs="Arial"/>
          <w:sz w:val="24"/>
          <w:szCs w:val="24"/>
          <w:vertAlign w:val="superscript"/>
        </w:rPr>
        <w:t>th</w:t>
      </w:r>
      <w:r>
        <w:rPr>
          <w:rFonts w:ascii="Arial" w:hAnsi="Arial" w:cs="Arial"/>
          <w:sz w:val="24"/>
          <w:szCs w:val="24"/>
        </w:rPr>
        <w:t xml:space="preserve"> December 2013</w:t>
      </w:r>
    </w:p>
    <w:p w:rsidR="00892441" w:rsidRDefault="00892441" w:rsidP="00892441">
      <w:pPr>
        <w:pStyle w:val="ListParagraph"/>
        <w:numPr>
          <w:ilvl w:val="0"/>
          <w:numId w:val="6"/>
        </w:numPr>
        <w:rPr>
          <w:rFonts w:ascii="Arial" w:hAnsi="Arial" w:cs="Arial"/>
          <w:sz w:val="24"/>
          <w:szCs w:val="24"/>
        </w:rPr>
      </w:pPr>
      <w:r>
        <w:rPr>
          <w:rFonts w:ascii="Arial" w:hAnsi="Arial" w:cs="Arial"/>
          <w:sz w:val="24"/>
          <w:szCs w:val="24"/>
        </w:rPr>
        <w:t>The SEN Banding descriptors.</w:t>
      </w:r>
    </w:p>
    <w:p w:rsidR="00892441" w:rsidRDefault="00892441" w:rsidP="00892441">
      <w:pPr>
        <w:pStyle w:val="ListParagraph"/>
        <w:numPr>
          <w:ilvl w:val="0"/>
          <w:numId w:val="6"/>
        </w:numPr>
        <w:rPr>
          <w:rFonts w:ascii="Arial" w:hAnsi="Arial" w:cs="Arial"/>
          <w:sz w:val="24"/>
          <w:szCs w:val="24"/>
        </w:rPr>
      </w:pPr>
      <w:r>
        <w:rPr>
          <w:rFonts w:ascii="Arial" w:hAnsi="Arial" w:cs="Arial"/>
          <w:sz w:val="24"/>
          <w:szCs w:val="24"/>
        </w:rPr>
        <w:t>The allocation of bandings to pupils</w:t>
      </w:r>
    </w:p>
    <w:p w:rsidR="00892441" w:rsidRDefault="00892441" w:rsidP="00892441">
      <w:pPr>
        <w:pStyle w:val="ListParagraph"/>
        <w:numPr>
          <w:ilvl w:val="0"/>
          <w:numId w:val="6"/>
        </w:numPr>
        <w:rPr>
          <w:rFonts w:ascii="Arial" w:hAnsi="Arial" w:cs="Arial"/>
          <w:sz w:val="24"/>
          <w:szCs w:val="24"/>
        </w:rPr>
      </w:pPr>
      <w:r>
        <w:rPr>
          <w:rFonts w:ascii="Arial" w:hAnsi="Arial" w:cs="Arial"/>
          <w:sz w:val="24"/>
          <w:szCs w:val="24"/>
        </w:rPr>
        <w:t>Potential financial implications arising for Special School</w:t>
      </w:r>
    </w:p>
    <w:p w:rsidR="00892441" w:rsidRDefault="00892441" w:rsidP="00892441">
      <w:pPr>
        <w:ind w:left="720"/>
        <w:rPr>
          <w:rFonts w:ascii="Arial" w:hAnsi="Arial" w:cs="Arial"/>
          <w:sz w:val="24"/>
          <w:szCs w:val="24"/>
        </w:rPr>
      </w:pPr>
      <w:r>
        <w:rPr>
          <w:rFonts w:ascii="Arial" w:hAnsi="Arial" w:cs="Arial"/>
          <w:sz w:val="24"/>
          <w:szCs w:val="24"/>
        </w:rPr>
        <w:t xml:space="preserve">The history of how we had got to </w:t>
      </w:r>
      <w:r w:rsidR="004A3C7A">
        <w:rPr>
          <w:rFonts w:ascii="Arial" w:hAnsi="Arial" w:cs="Arial"/>
          <w:sz w:val="24"/>
          <w:szCs w:val="24"/>
        </w:rPr>
        <w:t>w</w:t>
      </w:r>
      <w:r>
        <w:rPr>
          <w:rFonts w:ascii="Arial" w:hAnsi="Arial" w:cs="Arial"/>
          <w:sz w:val="24"/>
          <w:szCs w:val="24"/>
        </w:rPr>
        <w:t xml:space="preserve">here </w:t>
      </w:r>
      <w:r w:rsidR="004A3C7A">
        <w:rPr>
          <w:rFonts w:ascii="Arial" w:hAnsi="Arial" w:cs="Arial"/>
          <w:sz w:val="24"/>
          <w:szCs w:val="24"/>
        </w:rPr>
        <w:t xml:space="preserve">we were </w:t>
      </w:r>
      <w:r>
        <w:rPr>
          <w:rFonts w:ascii="Arial" w:hAnsi="Arial" w:cs="Arial"/>
          <w:sz w:val="24"/>
          <w:szCs w:val="24"/>
        </w:rPr>
        <w:t>was discussed as a reminder with a focus around the financial model agreed and the sequence of events with regards to the banding criteria. This latter matter was the main focus of the debate particularly around the process of banding allocation and consultation about the revision to the banding criteria.</w:t>
      </w:r>
    </w:p>
    <w:p w:rsidR="00892441" w:rsidRDefault="00892441" w:rsidP="00892441">
      <w:pPr>
        <w:ind w:left="720"/>
        <w:rPr>
          <w:rFonts w:ascii="Arial" w:hAnsi="Arial" w:cs="Arial"/>
          <w:sz w:val="24"/>
          <w:szCs w:val="24"/>
        </w:rPr>
      </w:pPr>
      <w:r>
        <w:rPr>
          <w:rFonts w:ascii="Arial" w:hAnsi="Arial" w:cs="Arial"/>
          <w:sz w:val="24"/>
          <w:szCs w:val="24"/>
        </w:rPr>
        <w:t>The potential financial implications were detailed and discussed particularly around payment protections in 2013-14 (academic year)</w:t>
      </w:r>
      <w:r w:rsidR="004F3087">
        <w:rPr>
          <w:rFonts w:ascii="Arial" w:hAnsi="Arial" w:cs="Arial"/>
          <w:sz w:val="24"/>
          <w:szCs w:val="24"/>
        </w:rPr>
        <w:t xml:space="preserve">, the results of the financial model presented to forum (to take effect </w:t>
      </w:r>
      <w:r w:rsidR="004A3C7A">
        <w:rPr>
          <w:rFonts w:ascii="Arial" w:hAnsi="Arial" w:cs="Arial"/>
          <w:sz w:val="24"/>
          <w:szCs w:val="24"/>
        </w:rPr>
        <w:t xml:space="preserve">for Special Schools </w:t>
      </w:r>
      <w:r w:rsidR="004F3087">
        <w:rPr>
          <w:rFonts w:ascii="Arial" w:hAnsi="Arial" w:cs="Arial"/>
          <w:sz w:val="24"/>
          <w:szCs w:val="24"/>
        </w:rPr>
        <w:t xml:space="preserve">in the </w:t>
      </w:r>
      <w:r w:rsidR="004A3C7A">
        <w:rPr>
          <w:rFonts w:ascii="Arial" w:hAnsi="Arial" w:cs="Arial"/>
          <w:sz w:val="24"/>
          <w:szCs w:val="24"/>
        </w:rPr>
        <w:t xml:space="preserve">academic year </w:t>
      </w:r>
      <w:r w:rsidR="004F3087">
        <w:rPr>
          <w:rFonts w:ascii="Arial" w:hAnsi="Arial" w:cs="Arial"/>
          <w:sz w:val="24"/>
          <w:szCs w:val="24"/>
        </w:rPr>
        <w:t xml:space="preserve">2014-15), the workings of the Minimum Funding Guarantee </w:t>
      </w:r>
      <w:r w:rsidR="004A3C7A">
        <w:rPr>
          <w:rFonts w:ascii="Arial" w:hAnsi="Arial" w:cs="Arial"/>
          <w:sz w:val="24"/>
          <w:szCs w:val="24"/>
        </w:rPr>
        <w:t xml:space="preserve">(MFG) </w:t>
      </w:r>
      <w:r w:rsidR="004F3087">
        <w:rPr>
          <w:rFonts w:ascii="Arial" w:hAnsi="Arial" w:cs="Arial"/>
          <w:sz w:val="24"/>
          <w:szCs w:val="24"/>
        </w:rPr>
        <w:t>as they applied to Special Schools and the impact this could have.</w:t>
      </w:r>
    </w:p>
    <w:p w:rsidR="004F3087" w:rsidRDefault="004F3087" w:rsidP="00892441">
      <w:pPr>
        <w:ind w:left="720"/>
        <w:rPr>
          <w:rFonts w:ascii="Arial" w:hAnsi="Arial" w:cs="Arial"/>
          <w:sz w:val="24"/>
          <w:szCs w:val="24"/>
        </w:rPr>
      </w:pPr>
      <w:r>
        <w:rPr>
          <w:rFonts w:ascii="Arial" w:hAnsi="Arial" w:cs="Arial"/>
          <w:sz w:val="24"/>
          <w:szCs w:val="24"/>
        </w:rPr>
        <w:lastRenderedPageBreak/>
        <w:t xml:space="preserve">Having regard to the financial affordability of the High Needs Block and to provide certainty of funding in what is not only a relatively new funding stream but embedding a refining of banding </w:t>
      </w:r>
      <w:r w:rsidR="004A3C7A">
        <w:rPr>
          <w:rFonts w:ascii="Arial" w:hAnsi="Arial" w:cs="Arial"/>
          <w:sz w:val="24"/>
          <w:szCs w:val="24"/>
        </w:rPr>
        <w:t xml:space="preserve">criteria </w:t>
      </w:r>
      <w:r>
        <w:rPr>
          <w:rFonts w:ascii="Arial" w:hAnsi="Arial" w:cs="Arial"/>
          <w:sz w:val="24"/>
          <w:szCs w:val="24"/>
        </w:rPr>
        <w:t>definitions, and remaining committed to the financial model previously agreed officers have determined to provide the MFG protection on the values calculated as per the model agreed by the Schools Forum.</w:t>
      </w:r>
    </w:p>
    <w:p w:rsidR="004F3087" w:rsidRPr="00892441" w:rsidRDefault="004F3087" w:rsidP="00892441">
      <w:pPr>
        <w:ind w:left="720"/>
        <w:rPr>
          <w:rFonts w:ascii="Arial" w:hAnsi="Arial" w:cs="Arial"/>
          <w:sz w:val="24"/>
          <w:szCs w:val="24"/>
        </w:rPr>
      </w:pPr>
      <w:r>
        <w:rPr>
          <w:rFonts w:ascii="Arial" w:hAnsi="Arial" w:cs="Arial"/>
          <w:sz w:val="24"/>
          <w:szCs w:val="24"/>
        </w:rPr>
        <w:t xml:space="preserve">This decision is affordable and results in an outcome where </w:t>
      </w:r>
      <w:r w:rsidR="004A3C7A">
        <w:rPr>
          <w:rFonts w:ascii="Arial" w:hAnsi="Arial" w:cs="Arial"/>
          <w:sz w:val="24"/>
          <w:szCs w:val="24"/>
        </w:rPr>
        <w:t>I</w:t>
      </w:r>
      <w:r>
        <w:rPr>
          <w:rFonts w:ascii="Arial" w:hAnsi="Arial" w:cs="Arial"/>
          <w:sz w:val="24"/>
          <w:szCs w:val="24"/>
        </w:rPr>
        <w:t>n respect of “top up” CPA and HPA will receive a</w:t>
      </w:r>
      <w:r w:rsidR="004A3C7A">
        <w:rPr>
          <w:rFonts w:ascii="Arial" w:hAnsi="Arial" w:cs="Arial"/>
          <w:sz w:val="24"/>
          <w:szCs w:val="24"/>
        </w:rPr>
        <w:t xml:space="preserve"> minimum </w:t>
      </w:r>
      <w:r>
        <w:rPr>
          <w:rFonts w:ascii="Arial" w:hAnsi="Arial" w:cs="Arial"/>
          <w:sz w:val="24"/>
          <w:szCs w:val="24"/>
        </w:rPr>
        <w:t xml:space="preserve"> increase of £93k and £31k respectively over their 2013-14 protected “top up” payment.  </w:t>
      </w:r>
    </w:p>
    <w:p w:rsidR="00284B80" w:rsidRDefault="00284B80" w:rsidP="007D2CE6">
      <w:pPr>
        <w:pStyle w:val="ListParagraph"/>
        <w:numPr>
          <w:ilvl w:val="0"/>
          <w:numId w:val="1"/>
        </w:numPr>
        <w:rPr>
          <w:rFonts w:ascii="Arial" w:hAnsi="Arial" w:cs="Arial"/>
          <w:b/>
          <w:sz w:val="24"/>
          <w:szCs w:val="24"/>
          <w:u w:val="single"/>
        </w:rPr>
      </w:pPr>
      <w:r>
        <w:rPr>
          <w:rFonts w:ascii="Arial" w:hAnsi="Arial" w:cs="Arial"/>
          <w:b/>
          <w:sz w:val="24"/>
          <w:szCs w:val="24"/>
          <w:u w:val="single"/>
        </w:rPr>
        <w:t>SEN Working Party recommendations</w:t>
      </w:r>
    </w:p>
    <w:p w:rsidR="00326654" w:rsidRDefault="00284B80" w:rsidP="00744FA1">
      <w:pPr>
        <w:ind w:left="720"/>
        <w:rPr>
          <w:rFonts w:ascii="Arial" w:hAnsi="Arial" w:cs="Arial"/>
          <w:sz w:val="24"/>
          <w:szCs w:val="24"/>
        </w:rPr>
      </w:pPr>
      <w:r>
        <w:rPr>
          <w:rFonts w:ascii="Arial" w:hAnsi="Arial" w:cs="Arial"/>
          <w:sz w:val="24"/>
          <w:szCs w:val="24"/>
        </w:rPr>
        <w:t>Following a discussion of the above the SEN Working Party recommends that:</w:t>
      </w:r>
    </w:p>
    <w:p w:rsidR="00284B80" w:rsidRPr="00284B80" w:rsidRDefault="00284B80" w:rsidP="00892441">
      <w:pPr>
        <w:numPr>
          <w:ilvl w:val="0"/>
          <w:numId w:val="5"/>
        </w:numPr>
        <w:spacing w:after="134"/>
        <w:contextualSpacing/>
        <w:textAlignment w:val="baseline"/>
        <w:rPr>
          <w:rFonts w:ascii="Arial" w:eastAsia="Times New Roman" w:hAnsi="Arial" w:cs="Arial"/>
          <w:sz w:val="24"/>
          <w:szCs w:val="24"/>
          <w:lang w:eastAsia="en-GB"/>
        </w:rPr>
      </w:pPr>
      <w:r w:rsidRPr="00284B80">
        <w:rPr>
          <w:rFonts w:ascii="Arial" w:eastAsiaTheme="minorEastAsia" w:hAnsi="Arial" w:cs="Arial"/>
          <w:sz w:val="24"/>
          <w:szCs w:val="24"/>
          <w:lang w:eastAsia="en-GB"/>
        </w:rPr>
        <w:t xml:space="preserve">No changes to the financial model values as approved on </w:t>
      </w:r>
      <w:r>
        <w:rPr>
          <w:rFonts w:ascii="Arial" w:eastAsiaTheme="minorEastAsia" w:hAnsi="Arial" w:cs="Arial"/>
          <w:sz w:val="24"/>
          <w:szCs w:val="24"/>
          <w:lang w:eastAsia="en-GB"/>
        </w:rPr>
        <w:t xml:space="preserve">the </w:t>
      </w:r>
      <w:r w:rsidRPr="00284B80">
        <w:rPr>
          <w:rFonts w:ascii="Arial" w:eastAsiaTheme="minorEastAsia" w:hAnsi="Arial" w:cs="Arial"/>
          <w:sz w:val="24"/>
          <w:szCs w:val="24"/>
          <w:lang w:eastAsia="en-GB"/>
        </w:rPr>
        <w:t>10</w:t>
      </w:r>
      <w:proofErr w:type="spellStart"/>
      <w:r w:rsidRPr="00284B80">
        <w:rPr>
          <w:rFonts w:ascii="Arial" w:eastAsiaTheme="minorEastAsia" w:hAnsi="Arial" w:cs="Arial"/>
          <w:position w:val="10"/>
          <w:sz w:val="24"/>
          <w:szCs w:val="24"/>
          <w:vertAlign w:val="superscript"/>
          <w:lang w:eastAsia="en-GB"/>
        </w:rPr>
        <w:t>th</w:t>
      </w:r>
      <w:proofErr w:type="spellEnd"/>
      <w:r w:rsidRPr="00284B80">
        <w:rPr>
          <w:rFonts w:ascii="Arial" w:eastAsiaTheme="minorEastAsia" w:hAnsi="Arial" w:cs="Arial"/>
          <w:sz w:val="24"/>
          <w:szCs w:val="24"/>
          <w:lang w:eastAsia="en-GB"/>
        </w:rPr>
        <w:t xml:space="preserve"> December 2013</w:t>
      </w:r>
      <w:r w:rsidR="00892441">
        <w:rPr>
          <w:rFonts w:ascii="Arial" w:eastAsiaTheme="minorEastAsia" w:hAnsi="Arial" w:cs="Arial"/>
          <w:sz w:val="24"/>
          <w:szCs w:val="24"/>
          <w:lang w:eastAsia="en-GB"/>
        </w:rPr>
        <w:t>.</w:t>
      </w:r>
    </w:p>
    <w:p w:rsidR="00284B80" w:rsidRPr="00284B80" w:rsidRDefault="00284B80" w:rsidP="00892441">
      <w:pPr>
        <w:spacing w:after="134"/>
        <w:ind w:left="720"/>
        <w:contextualSpacing/>
        <w:textAlignment w:val="baseline"/>
        <w:rPr>
          <w:rFonts w:ascii="Arial" w:eastAsia="Times New Roman" w:hAnsi="Arial" w:cs="Arial"/>
          <w:sz w:val="24"/>
          <w:szCs w:val="24"/>
          <w:lang w:eastAsia="en-GB"/>
        </w:rPr>
      </w:pPr>
    </w:p>
    <w:p w:rsidR="00284B80" w:rsidRPr="00284B80" w:rsidRDefault="00284B80" w:rsidP="00892441">
      <w:pPr>
        <w:numPr>
          <w:ilvl w:val="0"/>
          <w:numId w:val="5"/>
        </w:numPr>
        <w:spacing w:after="134"/>
        <w:contextualSpacing/>
        <w:textAlignment w:val="baseline"/>
        <w:rPr>
          <w:rFonts w:ascii="Arial" w:eastAsia="Times New Roman" w:hAnsi="Arial" w:cs="Arial"/>
          <w:sz w:val="24"/>
          <w:szCs w:val="24"/>
          <w:lang w:eastAsia="en-GB"/>
        </w:rPr>
      </w:pPr>
      <w:r w:rsidRPr="00284B80">
        <w:rPr>
          <w:rFonts w:ascii="Arial" w:eastAsiaTheme="minorEastAsia" w:hAnsi="Arial" w:cs="Arial"/>
          <w:sz w:val="24"/>
          <w:szCs w:val="24"/>
          <w:lang w:eastAsia="en-GB"/>
        </w:rPr>
        <w:t xml:space="preserve"> Review the descriptors by the end of the summer term 2014. The SEN Working P</w:t>
      </w:r>
      <w:r>
        <w:rPr>
          <w:rFonts w:ascii="Arial" w:eastAsiaTheme="minorEastAsia" w:hAnsi="Arial" w:cs="Arial"/>
          <w:sz w:val="24"/>
          <w:szCs w:val="24"/>
          <w:lang w:eastAsia="en-GB"/>
        </w:rPr>
        <w:t xml:space="preserve">arty </w:t>
      </w:r>
      <w:r w:rsidR="006E7F50">
        <w:rPr>
          <w:rFonts w:ascii="Arial" w:eastAsiaTheme="minorEastAsia" w:hAnsi="Arial" w:cs="Arial"/>
          <w:sz w:val="24"/>
          <w:szCs w:val="24"/>
          <w:lang w:eastAsia="en-GB"/>
        </w:rPr>
        <w:t xml:space="preserve">(extended to include appropriate representation and professionals) </w:t>
      </w:r>
      <w:r>
        <w:rPr>
          <w:rFonts w:ascii="Arial" w:eastAsiaTheme="minorEastAsia" w:hAnsi="Arial" w:cs="Arial"/>
          <w:sz w:val="24"/>
          <w:szCs w:val="24"/>
          <w:lang w:eastAsia="en-GB"/>
        </w:rPr>
        <w:t>will undertake the review.</w:t>
      </w:r>
    </w:p>
    <w:p w:rsidR="00284B80" w:rsidRPr="00284B80" w:rsidRDefault="00284B80" w:rsidP="00892441">
      <w:pPr>
        <w:spacing w:after="134"/>
        <w:ind w:left="720"/>
        <w:contextualSpacing/>
        <w:textAlignment w:val="baseline"/>
        <w:rPr>
          <w:rFonts w:ascii="Arial" w:eastAsia="Times New Roman" w:hAnsi="Arial" w:cs="Arial"/>
          <w:sz w:val="24"/>
          <w:szCs w:val="24"/>
          <w:lang w:eastAsia="en-GB"/>
        </w:rPr>
      </w:pPr>
    </w:p>
    <w:p w:rsidR="00284B80" w:rsidRPr="00284B80" w:rsidRDefault="00284B80" w:rsidP="00892441">
      <w:pPr>
        <w:numPr>
          <w:ilvl w:val="0"/>
          <w:numId w:val="5"/>
        </w:numPr>
        <w:spacing w:after="134"/>
        <w:contextualSpacing/>
        <w:textAlignment w:val="baseline"/>
        <w:rPr>
          <w:rFonts w:ascii="Arial" w:eastAsia="Times New Roman" w:hAnsi="Arial" w:cs="Arial"/>
          <w:sz w:val="24"/>
          <w:szCs w:val="24"/>
          <w:lang w:eastAsia="en-GB"/>
        </w:rPr>
      </w:pPr>
      <w:r w:rsidRPr="00284B80">
        <w:rPr>
          <w:rFonts w:ascii="Arial" w:eastAsiaTheme="minorEastAsia" w:hAnsi="Arial" w:cs="Arial"/>
          <w:sz w:val="24"/>
          <w:szCs w:val="24"/>
          <w:lang w:eastAsia="en-GB"/>
        </w:rPr>
        <w:t>Dependent on the outcome of the above</w:t>
      </w:r>
      <w:r w:rsidR="006E7F50">
        <w:rPr>
          <w:rFonts w:ascii="Arial" w:eastAsiaTheme="minorEastAsia" w:hAnsi="Arial" w:cs="Arial"/>
          <w:sz w:val="24"/>
          <w:szCs w:val="24"/>
          <w:lang w:eastAsia="en-GB"/>
        </w:rPr>
        <w:t xml:space="preserve">, if requested </w:t>
      </w:r>
      <w:r w:rsidRPr="00284B80">
        <w:rPr>
          <w:rFonts w:ascii="Arial" w:eastAsiaTheme="minorEastAsia" w:hAnsi="Arial" w:cs="Arial"/>
          <w:sz w:val="24"/>
          <w:szCs w:val="24"/>
          <w:lang w:eastAsia="en-GB"/>
        </w:rPr>
        <w:t>review the banding decisions that were based on the final descriptors (post February 2014)</w:t>
      </w:r>
      <w:r>
        <w:rPr>
          <w:rFonts w:ascii="Arial" w:eastAsiaTheme="minorEastAsia" w:hAnsi="Arial" w:cs="Arial"/>
          <w:sz w:val="24"/>
          <w:szCs w:val="24"/>
          <w:lang w:eastAsia="en-GB"/>
        </w:rPr>
        <w:t>.</w:t>
      </w:r>
    </w:p>
    <w:p w:rsidR="00284B80" w:rsidRPr="00284B80" w:rsidRDefault="00284B80" w:rsidP="00892441">
      <w:pPr>
        <w:spacing w:after="134"/>
        <w:ind w:left="720"/>
        <w:contextualSpacing/>
        <w:textAlignment w:val="baseline"/>
        <w:rPr>
          <w:rFonts w:ascii="Arial" w:eastAsia="Times New Roman" w:hAnsi="Arial" w:cs="Arial"/>
          <w:sz w:val="24"/>
          <w:szCs w:val="24"/>
          <w:lang w:eastAsia="en-GB"/>
        </w:rPr>
      </w:pPr>
    </w:p>
    <w:p w:rsidR="00284B80" w:rsidRPr="00284B80" w:rsidRDefault="00284B80" w:rsidP="00892441">
      <w:pPr>
        <w:numPr>
          <w:ilvl w:val="0"/>
          <w:numId w:val="5"/>
        </w:numPr>
        <w:spacing w:after="134"/>
        <w:contextualSpacing/>
        <w:textAlignment w:val="baseline"/>
        <w:rPr>
          <w:rFonts w:ascii="Arial" w:eastAsia="Times New Roman" w:hAnsi="Arial" w:cs="Arial"/>
          <w:sz w:val="24"/>
          <w:szCs w:val="24"/>
          <w:lang w:eastAsia="en-GB"/>
        </w:rPr>
      </w:pPr>
      <w:r w:rsidRPr="00284B80">
        <w:rPr>
          <w:rFonts w:ascii="Arial" w:eastAsiaTheme="minorEastAsia" w:hAnsi="Arial" w:cs="Arial"/>
          <w:sz w:val="24"/>
          <w:szCs w:val="24"/>
          <w:lang w:eastAsia="en-GB"/>
        </w:rPr>
        <w:t>Use the model approved by the Schools Forum on the 10</w:t>
      </w:r>
      <w:proofErr w:type="spellStart"/>
      <w:r w:rsidRPr="00284B80">
        <w:rPr>
          <w:rFonts w:ascii="Arial" w:eastAsiaTheme="minorEastAsia" w:hAnsi="Arial" w:cs="Arial"/>
          <w:position w:val="10"/>
          <w:sz w:val="24"/>
          <w:szCs w:val="24"/>
          <w:vertAlign w:val="superscript"/>
          <w:lang w:eastAsia="en-GB"/>
        </w:rPr>
        <w:t>th</w:t>
      </w:r>
      <w:proofErr w:type="spellEnd"/>
      <w:r w:rsidRPr="00284B80">
        <w:rPr>
          <w:rFonts w:ascii="Arial" w:eastAsiaTheme="minorEastAsia" w:hAnsi="Arial" w:cs="Arial"/>
          <w:sz w:val="24"/>
          <w:szCs w:val="24"/>
          <w:lang w:eastAsia="en-GB"/>
        </w:rPr>
        <w:t xml:space="preserve"> December 2013 as the baseline for MFG protection. The will use the model value for the school as the baseline rather than the payments made in 2013-14.</w:t>
      </w:r>
    </w:p>
    <w:p w:rsidR="00284B80" w:rsidRPr="00284B80" w:rsidRDefault="00284B80" w:rsidP="00892441">
      <w:pPr>
        <w:spacing w:after="134"/>
        <w:contextualSpacing/>
        <w:textAlignment w:val="baseline"/>
        <w:rPr>
          <w:rFonts w:ascii="Arial" w:eastAsia="Times New Roman" w:hAnsi="Arial" w:cs="Arial"/>
          <w:sz w:val="24"/>
          <w:szCs w:val="24"/>
          <w:lang w:eastAsia="en-GB"/>
        </w:rPr>
      </w:pPr>
    </w:p>
    <w:p w:rsidR="00284B80" w:rsidRPr="00892441" w:rsidRDefault="00284B80" w:rsidP="00892441">
      <w:pPr>
        <w:numPr>
          <w:ilvl w:val="0"/>
          <w:numId w:val="5"/>
        </w:numPr>
        <w:spacing w:after="134"/>
        <w:contextualSpacing/>
        <w:textAlignment w:val="baseline"/>
        <w:rPr>
          <w:rFonts w:ascii="Arial" w:eastAsia="Times New Roman" w:hAnsi="Arial" w:cs="Arial"/>
          <w:sz w:val="24"/>
          <w:szCs w:val="24"/>
          <w:lang w:eastAsia="en-GB"/>
        </w:rPr>
      </w:pPr>
      <w:r w:rsidRPr="00284B80">
        <w:rPr>
          <w:rFonts w:ascii="Arial" w:eastAsiaTheme="minorEastAsia" w:hAnsi="Arial" w:cs="Arial"/>
          <w:sz w:val="24"/>
          <w:szCs w:val="24"/>
          <w:lang w:eastAsia="en-GB"/>
        </w:rPr>
        <w:t>Revert to MFG methodology and calculation in 2015/16 as set out in national guidance</w:t>
      </w:r>
      <w:r>
        <w:rPr>
          <w:rFonts w:ascii="Arial" w:eastAsiaTheme="minorEastAsia" w:hAnsi="Arial" w:cs="Arial"/>
          <w:sz w:val="24"/>
          <w:szCs w:val="24"/>
          <w:lang w:eastAsia="en-GB"/>
        </w:rPr>
        <w:t>.</w:t>
      </w:r>
    </w:p>
    <w:p w:rsidR="00284B80" w:rsidRPr="00892441" w:rsidRDefault="00892441" w:rsidP="00892441">
      <w:pPr>
        <w:pStyle w:val="ListParagraph"/>
        <w:numPr>
          <w:ilvl w:val="0"/>
          <w:numId w:val="5"/>
        </w:numPr>
        <w:spacing w:after="134"/>
        <w:textAlignment w:val="baseline"/>
        <w:rPr>
          <w:rFonts w:ascii="Arial" w:eastAsia="Times New Roman" w:hAnsi="Arial" w:cs="Arial"/>
          <w:sz w:val="24"/>
          <w:szCs w:val="24"/>
          <w:lang w:eastAsia="en-GB"/>
        </w:rPr>
      </w:pPr>
      <w:r w:rsidRPr="00892441">
        <w:rPr>
          <w:rFonts w:ascii="Arial" w:eastAsia="Times New Roman" w:hAnsi="Arial" w:cs="Arial"/>
          <w:sz w:val="24"/>
          <w:szCs w:val="24"/>
          <w:lang w:eastAsia="en-GB"/>
        </w:rPr>
        <w:t xml:space="preserve">The </w:t>
      </w:r>
      <w:r w:rsidR="006E7F50">
        <w:rPr>
          <w:rFonts w:ascii="Arial" w:eastAsia="Times New Roman" w:hAnsi="Arial" w:cs="Arial"/>
          <w:sz w:val="24"/>
          <w:szCs w:val="24"/>
          <w:lang w:eastAsia="en-GB"/>
        </w:rPr>
        <w:t xml:space="preserve">extended </w:t>
      </w:r>
      <w:r w:rsidR="00284B80" w:rsidRPr="00284B80">
        <w:rPr>
          <w:rFonts w:ascii="Arial" w:eastAsiaTheme="minorEastAsia" w:hAnsi="Arial" w:cs="Arial"/>
          <w:sz w:val="24"/>
          <w:szCs w:val="24"/>
          <w:lang w:eastAsia="en-GB"/>
        </w:rPr>
        <w:t>SEN Working Party will review Special School Place Planning to inform future commissioning of places and report any financial implications to the forum. Work to commence in the Autumn term 2014.</w:t>
      </w:r>
    </w:p>
    <w:p w:rsidR="00284B80" w:rsidRPr="00284B80" w:rsidRDefault="00284B80" w:rsidP="00892441">
      <w:pPr>
        <w:numPr>
          <w:ilvl w:val="0"/>
          <w:numId w:val="5"/>
        </w:numPr>
        <w:spacing w:after="134"/>
        <w:contextualSpacing/>
        <w:textAlignment w:val="baseline"/>
        <w:rPr>
          <w:rFonts w:ascii="Arial" w:eastAsia="Times New Roman" w:hAnsi="Arial" w:cs="Arial"/>
          <w:sz w:val="24"/>
          <w:szCs w:val="24"/>
          <w:lang w:eastAsia="en-GB"/>
        </w:rPr>
      </w:pPr>
      <w:r w:rsidRPr="00284B80">
        <w:rPr>
          <w:rFonts w:ascii="Arial" w:eastAsiaTheme="minorEastAsia" w:hAnsi="Arial" w:cs="Arial"/>
          <w:sz w:val="24"/>
          <w:szCs w:val="24"/>
          <w:lang w:eastAsia="en-GB"/>
        </w:rPr>
        <w:t xml:space="preserve"> The independent review of SEN process should be shared with the SEN strategy group for their determination as to the way forward. Any financial implication</w:t>
      </w:r>
      <w:r w:rsidR="006E7F50">
        <w:rPr>
          <w:rFonts w:ascii="Arial" w:eastAsiaTheme="minorEastAsia" w:hAnsi="Arial" w:cs="Arial"/>
          <w:sz w:val="24"/>
          <w:szCs w:val="24"/>
          <w:lang w:eastAsia="en-GB"/>
        </w:rPr>
        <w:t xml:space="preserve">s will be </w:t>
      </w:r>
      <w:r w:rsidRPr="00284B80">
        <w:rPr>
          <w:rFonts w:ascii="Arial" w:eastAsiaTheme="minorEastAsia" w:hAnsi="Arial" w:cs="Arial"/>
          <w:sz w:val="24"/>
          <w:szCs w:val="24"/>
          <w:lang w:eastAsia="en-GB"/>
        </w:rPr>
        <w:t>report</w:t>
      </w:r>
      <w:r w:rsidR="006E7F50">
        <w:rPr>
          <w:rFonts w:ascii="Arial" w:eastAsiaTheme="minorEastAsia" w:hAnsi="Arial" w:cs="Arial"/>
          <w:sz w:val="24"/>
          <w:szCs w:val="24"/>
          <w:lang w:eastAsia="en-GB"/>
        </w:rPr>
        <w:t>ed</w:t>
      </w:r>
      <w:r w:rsidRPr="00284B80">
        <w:rPr>
          <w:rFonts w:ascii="Arial" w:eastAsiaTheme="minorEastAsia" w:hAnsi="Arial" w:cs="Arial"/>
          <w:sz w:val="24"/>
          <w:szCs w:val="24"/>
          <w:lang w:eastAsia="en-GB"/>
        </w:rPr>
        <w:t xml:space="preserve"> to </w:t>
      </w:r>
      <w:r w:rsidR="006E7F50">
        <w:rPr>
          <w:rFonts w:ascii="Arial" w:eastAsiaTheme="minorEastAsia" w:hAnsi="Arial" w:cs="Arial"/>
          <w:sz w:val="24"/>
          <w:szCs w:val="24"/>
          <w:lang w:eastAsia="en-GB"/>
        </w:rPr>
        <w:t xml:space="preserve">the </w:t>
      </w:r>
      <w:r w:rsidR="00892441">
        <w:rPr>
          <w:rFonts w:ascii="Arial" w:eastAsiaTheme="minorEastAsia" w:hAnsi="Arial" w:cs="Arial"/>
          <w:sz w:val="24"/>
          <w:szCs w:val="24"/>
          <w:lang w:eastAsia="en-GB"/>
        </w:rPr>
        <w:t>Schools Forum</w:t>
      </w:r>
      <w:r w:rsidRPr="00284B80">
        <w:rPr>
          <w:rFonts w:ascii="Arial" w:eastAsiaTheme="minorEastAsia" w:hAnsi="Arial" w:cs="Arial"/>
          <w:sz w:val="24"/>
          <w:szCs w:val="24"/>
          <w:lang w:eastAsia="en-GB"/>
        </w:rPr>
        <w:t xml:space="preserve">. </w:t>
      </w:r>
    </w:p>
    <w:p w:rsidR="00284B80" w:rsidRDefault="00284B80" w:rsidP="00744FA1">
      <w:pPr>
        <w:ind w:left="720"/>
        <w:rPr>
          <w:rFonts w:ascii="Arial" w:hAnsi="Arial" w:cs="Arial"/>
          <w:sz w:val="24"/>
          <w:szCs w:val="24"/>
        </w:rPr>
      </w:pPr>
    </w:p>
    <w:p w:rsidR="006E7F50" w:rsidRDefault="006E7F50" w:rsidP="00744FA1">
      <w:pPr>
        <w:ind w:left="720"/>
        <w:rPr>
          <w:rFonts w:ascii="Arial" w:hAnsi="Arial" w:cs="Arial"/>
          <w:sz w:val="24"/>
          <w:szCs w:val="24"/>
        </w:rPr>
      </w:pPr>
    </w:p>
    <w:p w:rsidR="006E7F50" w:rsidRDefault="006E7F50" w:rsidP="00744FA1">
      <w:pPr>
        <w:ind w:left="720"/>
        <w:rPr>
          <w:rFonts w:ascii="Arial" w:hAnsi="Arial" w:cs="Arial"/>
          <w:sz w:val="24"/>
          <w:szCs w:val="24"/>
        </w:rPr>
      </w:pPr>
    </w:p>
    <w:p w:rsidR="006E7F50" w:rsidRDefault="006E7F50" w:rsidP="00744FA1">
      <w:pPr>
        <w:ind w:left="720"/>
        <w:rPr>
          <w:rFonts w:ascii="Arial" w:hAnsi="Arial" w:cs="Arial"/>
          <w:sz w:val="24"/>
          <w:szCs w:val="24"/>
        </w:rPr>
      </w:pPr>
    </w:p>
    <w:p w:rsidR="00326654" w:rsidRDefault="00326654" w:rsidP="007D2CE6">
      <w:pPr>
        <w:pStyle w:val="ListParagraph"/>
        <w:numPr>
          <w:ilvl w:val="0"/>
          <w:numId w:val="1"/>
        </w:numPr>
        <w:rPr>
          <w:rFonts w:ascii="Arial" w:hAnsi="Arial" w:cs="Arial"/>
          <w:b/>
          <w:sz w:val="24"/>
          <w:szCs w:val="24"/>
          <w:u w:val="single"/>
        </w:rPr>
      </w:pPr>
      <w:r>
        <w:rPr>
          <w:rFonts w:ascii="Arial" w:hAnsi="Arial" w:cs="Arial"/>
          <w:b/>
          <w:sz w:val="24"/>
          <w:szCs w:val="24"/>
          <w:u w:val="single"/>
        </w:rPr>
        <w:lastRenderedPageBreak/>
        <w:t>Recommendation</w:t>
      </w:r>
    </w:p>
    <w:p w:rsidR="007D2CE6" w:rsidRDefault="007D2CE6" w:rsidP="007D2CE6">
      <w:pPr>
        <w:pStyle w:val="ListParagraph"/>
        <w:rPr>
          <w:rFonts w:ascii="Arial" w:hAnsi="Arial" w:cs="Arial"/>
          <w:b/>
          <w:sz w:val="24"/>
          <w:szCs w:val="24"/>
          <w:u w:val="single"/>
        </w:rPr>
      </w:pPr>
    </w:p>
    <w:p w:rsidR="00326654" w:rsidRDefault="007D2CE6" w:rsidP="00194105">
      <w:pPr>
        <w:ind w:firstLine="720"/>
        <w:rPr>
          <w:rFonts w:ascii="Arial" w:hAnsi="Arial" w:cs="Arial"/>
          <w:sz w:val="24"/>
          <w:szCs w:val="24"/>
        </w:rPr>
      </w:pPr>
      <w:r w:rsidRPr="00553FD6">
        <w:rPr>
          <w:rFonts w:ascii="Arial" w:hAnsi="Arial" w:cs="Arial"/>
          <w:sz w:val="24"/>
          <w:szCs w:val="24"/>
        </w:rPr>
        <w:t>It is recommended</w:t>
      </w:r>
      <w:r w:rsidR="00326654">
        <w:rPr>
          <w:rFonts w:ascii="Arial" w:hAnsi="Arial" w:cs="Arial"/>
          <w:sz w:val="24"/>
          <w:szCs w:val="24"/>
        </w:rPr>
        <w:t>:</w:t>
      </w:r>
    </w:p>
    <w:p w:rsidR="007D2CE6" w:rsidRDefault="00326654" w:rsidP="00326654">
      <w:pPr>
        <w:pStyle w:val="ListParagraph"/>
        <w:numPr>
          <w:ilvl w:val="0"/>
          <w:numId w:val="4"/>
        </w:numPr>
        <w:rPr>
          <w:rFonts w:ascii="Arial" w:hAnsi="Arial" w:cs="Arial"/>
          <w:sz w:val="24"/>
          <w:szCs w:val="24"/>
        </w:rPr>
      </w:pPr>
      <w:r w:rsidRPr="00284B80">
        <w:rPr>
          <w:rFonts w:ascii="Arial" w:hAnsi="Arial" w:cs="Arial"/>
          <w:sz w:val="24"/>
          <w:szCs w:val="24"/>
        </w:rPr>
        <w:t>T</w:t>
      </w:r>
      <w:r w:rsidR="007D2CE6" w:rsidRPr="00284B80">
        <w:rPr>
          <w:rFonts w:ascii="Arial" w:hAnsi="Arial" w:cs="Arial"/>
          <w:sz w:val="24"/>
          <w:szCs w:val="24"/>
        </w:rPr>
        <w:t xml:space="preserve">hat members </w:t>
      </w:r>
      <w:r w:rsidR="00284B80" w:rsidRPr="00284B80">
        <w:rPr>
          <w:rFonts w:ascii="Arial" w:hAnsi="Arial" w:cs="Arial"/>
          <w:sz w:val="24"/>
          <w:szCs w:val="24"/>
        </w:rPr>
        <w:t xml:space="preserve">approve the </w:t>
      </w:r>
      <w:r w:rsidR="00284B80">
        <w:rPr>
          <w:rFonts w:ascii="Arial" w:hAnsi="Arial" w:cs="Arial"/>
          <w:sz w:val="24"/>
          <w:szCs w:val="24"/>
        </w:rPr>
        <w:t xml:space="preserve">recommendations of the </w:t>
      </w:r>
      <w:r w:rsidR="00284B80" w:rsidRPr="00284B80">
        <w:rPr>
          <w:rFonts w:ascii="Arial" w:hAnsi="Arial" w:cs="Arial"/>
          <w:sz w:val="24"/>
          <w:szCs w:val="24"/>
        </w:rPr>
        <w:t>SEN Working Party</w:t>
      </w:r>
      <w:r w:rsidRPr="00284B80">
        <w:rPr>
          <w:rFonts w:ascii="Arial" w:hAnsi="Arial" w:cs="Arial"/>
          <w:sz w:val="24"/>
          <w:szCs w:val="24"/>
        </w:rPr>
        <w:t>.</w:t>
      </w:r>
      <w:r w:rsidR="007D2CE6" w:rsidRPr="00284B80">
        <w:rPr>
          <w:rFonts w:ascii="Arial" w:hAnsi="Arial" w:cs="Arial"/>
          <w:sz w:val="24"/>
          <w:szCs w:val="24"/>
        </w:rPr>
        <w:t xml:space="preserve"> </w:t>
      </w:r>
    </w:p>
    <w:p w:rsidR="00284B80" w:rsidRPr="00284B80" w:rsidRDefault="00284B80" w:rsidP="00326654">
      <w:pPr>
        <w:pStyle w:val="ListParagraph"/>
        <w:numPr>
          <w:ilvl w:val="0"/>
          <w:numId w:val="4"/>
        </w:numPr>
        <w:rPr>
          <w:rFonts w:ascii="Arial" w:hAnsi="Arial" w:cs="Arial"/>
          <w:sz w:val="24"/>
          <w:szCs w:val="24"/>
        </w:rPr>
      </w:pPr>
      <w:r>
        <w:rPr>
          <w:rFonts w:ascii="Arial" w:hAnsi="Arial" w:cs="Arial"/>
          <w:sz w:val="24"/>
          <w:szCs w:val="24"/>
        </w:rPr>
        <w:t>That any material financial matters arising from the review of the descriptors or Place Planning work be referred back to Schools Forum</w:t>
      </w:r>
    </w:p>
    <w:p w:rsidR="007D2CE6" w:rsidRDefault="007D2CE6" w:rsidP="007D2CE6">
      <w:pPr>
        <w:rPr>
          <w:rFonts w:ascii="Arial" w:hAnsi="Arial" w:cs="Arial"/>
          <w:sz w:val="24"/>
          <w:szCs w:val="24"/>
        </w:rPr>
      </w:pPr>
    </w:p>
    <w:p w:rsidR="006E7F50" w:rsidRDefault="006E7F50" w:rsidP="007D2CE6">
      <w:pPr>
        <w:rPr>
          <w:rFonts w:ascii="Arial" w:hAnsi="Arial" w:cs="Arial"/>
          <w:sz w:val="24"/>
          <w:szCs w:val="24"/>
        </w:rPr>
      </w:pPr>
    </w:p>
    <w:p w:rsidR="00284B80" w:rsidRDefault="007D2CE6" w:rsidP="007D2CE6">
      <w:pPr>
        <w:pStyle w:val="ListParagraph"/>
        <w:rPr>
          <w:rFonts w:ascii="Arial" w:hAnsi="Arial" w:cs="Arial"/>
          <w:sz w:val="24"/>
          <w:szCs w:val="24"/>
        </w:rPr>
      </w:pPr>
      <w:r>
        <w:rPr>
          <w:rFonts w:ascii="Arial" w:hAnsi="Arial" w:cs="Arial"/>
          <w:sz w:val="24"/>
          <w:szCs w:val="24"/>
        </w:rPr>
        <w:t>Contact Officer</w:t>
      </w:r>
      <w:r w:rsidR="00284B80">
        <w:rPr>
          <w:rFonts w:ascii="Arial" w:hAnsi="Arial" w:cs="Arial"/>
          <w:sz w:val="24"/>
          <w:szCs w:val="24"/>
        </w:rPr>
        <w:t>s</w:t>
      </w:r>
      <w:r>
        <w:rPr>
          <w:rFonts w:ascii="Arial" w:hAnsi="Arial" w:cs="Arial"/>
          <w:sz w:val="24"/>
          <w:szCs w:val="24"/>
        </w:rPr>
        <w:t xml:space="preserve">: </w:t>
      </w:r>
    </w:p>
    <w:p w:rsidR="00284B80" w:rsidRDefault="00284B80" w:rsidP="007D2CE6">
      <w:pPr>
        <w:pStyle w:val="ListParagraph"/>
        <w:rPr>
          <w:rFonts w:ascii="Arial" w:hAnsi="Arial" w:cs="Arial"/>
          <w:sz w:val="24"/>
          <w:szCs w:val="24"/>
        </w:rPr>
      </w:pPr>
    </w:p>
    <w:p w:rsidR="007D2CE6" w:rsidRDefault="007D2CE6" w:rsidP="007D2CE6">
      <w:pPr>
        <w:pStyle w:val="ListParagraph"/>
        <w:rPr>
          <w:rFonts w:ascii="Arial" w:hAnsi="Arial" w:cs="Arial"/>
          <w:sz w:val="24"/>
          <w:szCs w:val="24"/>
        </w:rPr>
      </w:pPr>
      <w:r>
        <w:rPr>
          <w:rFonts w:ascii="Arial" w:hAnsi="Arial" w:cs="Arial"/>
          <w:sz w:val="24"/>
          <w:szCs w:val="24"/>
        </w:rPr>
        <w:t xml:space="preserve">David </w:t>
      </w:r>
      <w:proofErr w:type="spellStart"/>
      <w:r>
        <w:rPr>
          <w:rFonts w:ascii="Arial" w:hAnsi="Arial" w:cs="Arial"/>
          <w:sz w:val="24"/>
          <w:szCs w:val="24"/>
        </w:rPr>
        <w:t>Kirven</w:t>
      </w:r>
      <w:proofErr w:type="spellEnd"/>
      <w:r>
        <w:rPr>
          <w:rFonts w:ascii="Arial" w:hAnsi="Arial" w:cs="Arial"/>
          <w:sz w:val="24"/>
          <w:szCs w:val="24"/>
        </w:rPr>
        <w:t>, Service Finance Manager – People.</w:t>
      </w:r>
    </w:p>
    <w:p w:rsidR="00284B80" w:rsidRPr="0097055B" w:rsidRDefault="00284B80" w:rsidP="007D2CE6">
      <w:pPr>
        <w:pStyle w:val="ListParagraph"/>
        <w:rPr>
          <w:rFonts w:ascii="Arial" w:hAnsi="Arial" w:cs="Arial"/>
          <w:b/>
          <w:sz w:val="24"/>
          <w:szCs w:val="24"/>
          <w:u w:val="single"/>
        </w:rPr>
      </w:pPr>
      <w:r>
        <w:rPr>
          <w:rFonts w:ascii="Arial" w:hAnsi="Arial" w:cs="Arial"/>
          <w:sz w:val="24"/>
          <w:szCs w:val="24"/>
        </w:rPr>
        <w:t xml:space="preserve">Denise </w:t>
      </w:r>
      <w:proofErr w:type="spellStart"/>
      <w:r>
        <w:rPr>
          <w:rFonts w:ascii="Arial" w:hAnsi="Arial" w:cs="Arial"/>
          <w:sz w:val="24"/>
          <w:szCs w:val="24"/>
        </w:rPr>
        <w:t>Faulconbridge</w:t>
      </w:r>
      <w:proofErr w:type="spellEnd"/>
      <w:r>
        <w:rPr>
          <w:rFonts w:ascii="Arial" w:hAnsi="Arial" w:cs="Arial"/>
          <w:sz w:val="24"/>
          <w:szCs w:val="24"/>
        </w:rPr>
        <w:t>, Head of SEN and Inclusion</w:t>
      </w:r>
    </w:p>
    <w:p w:rsidR="007D2CE6" w:rsidRPr="00553FD6" w:rsidRDefault="007D2CE6" w:rsidP="007D2CE6">
      <w:pPr>
        <w:pStyle w:val="ListParagraph"/>
        <w:ind w:left="0"/>
        <w:rPr>
          <w:rFonts w:ascii="Arial" w:hAnsi="Arial" w:cs="Arial"/>
          <w:b/>
          <w:sz w:val="24"/>
          <w:szCs w:val="24"/>
          <w:u w:val="single"/>
        </w:rPr>
      </w:pPr>
    </w:p>
    <w:sectPr w:rsidR="007D2CE6" w:rsidRPr="00553FD6">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6169" w:rsidRDefault="006E6169" w:rsidP="006E6169">
      <w:pPr>
        <w:spacing w:after="0" w:line="240" w:lineRule="auto"/>
      </w:pPr>
      <w:r>
        <w:separator/>
      </w:r>
    </w:p>
  </w:endnote>
  <w:endnote w:type="continuationSeparator" w:id="0">
    <w:p w:rsidR="006E6169" w:rsidRDefault="006E6169" w:rsidP="006E61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6169" w:rsidRDefault="006E616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6169" w:rsidRDefault="006E616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6169" w:rsidRDefault="006E616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6169" w:rsidRDefault="006E6169" w:rsidP="006E6169">
      <w:pPr>
        <w:spacing w:after="0" w:line="240" w:lineRule="auto"/>
      </w:pPr>
      <w:r>
        <w:separator/>
      </w:r>
    </w:p>
  </w:footnote>
  <w:footnote w:type="continuationSeparator" w:id="0">
    <w:p w:rsidR="006E6169" w:rsidRDefault="006E6169" w:rsidP="006E61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6169" w:rsidRDefault="006E616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6169" w:rsidRDefault="006E6169" w:rsidP="006E6169">
    <w:pPr>
      <w:pStyle w:val="Header"/>
      <w:jc w:val="right"/>
    </w:pPr>
    <w:r>
      <w:t>Item 15/14</w:t>
    </w: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6169" w:rsidRDefault="006E616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54015"/>
    <w:multiLevelType w:val="hybridMultilevel"/>
    <w:tmpl w:val="ACC8F376"/>
    <w:lvl w:ilvl="0" w:tplc="8C6A29B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22E27C54"/>
    <w:multiLevelType w:val="hybridMultilevel"/>
    <w:tmpl w:val="CA329936"/>
    <w:lvl w:ilvl="0" w:tplc="DA7A2B10">
      <w:start w:val="1"/>
      <w:numFmt w:val="bullet"/>
      <w:lvlText w:val=""/>
      <w:lvlJc w:val="left"/>
      <w:pPr>
        <w:tabs>
          <w:tab w:val="num" w:pos="720"/>
        </w:tabs>
        <w:ind w:left="720" w:hanging="360"/>
      </w:pPr>
      <w:rPr>
        <w:rFonts w:ascii="Wingdings" w:hAnsi="Wingdings" w:hint="default"/>
      </w:rPr>
    </w:lvl>
    <w:lvl w:ilvl="1" w:tplc="4D3EB52E" w:tentative="1">
      <w:start w:val="1"/>
      <w:numFmt w:val="bullet"/>
      <w:lvlText w:val=""/>
      <w:lvlJc w:val="left"/>
      <w:pPr>
        <w:tabs>
          <w:tab w:val="num" w:pos="1440"/>
        </w:tabs>
        <w:ind w:left="1440" w:hanging="360"/>
      </w:pPr>
      <w:rPr>
        <w:rFonts w:ascii="Wingdings" w:hAnsi="Wingdings" w:hint="default"/>
      </w:rPr>
    </w:lvl>
    <w:lvl w:ilvl="2" w:tplc="1C1CA9B0" w:tentative="1">
      <w:start w:val="1"/>
      <w:numFmt w:val="bullet"/>
      <w:lvlText w:val=""/>
      <w:lvlJc w:val="left"/>
      <w:pPr>
        <w:tabs>
          <w:tab w:val="num" w:pos="2160"/>
        </w:tabs>
        <w:ind w:left="2160" w:hanging="360"/>
      </w:pPr>
      <w:rPr>
        <w:rFonts w:ascii="Wingdings" w:hAnsi="Wingdings" w:hint="default"/>
      </w:rPr>
    </w:lvl>
    <w:lvl w:ilvl="3" w:tplc="2FF2BA9E" w:tentative="1">
      <w:start w:val="1"/>
      <w:numFmt w:val="bullet"/>
      <w:lvlText w:val=""/>
      <w:lvlJc w:val="left"/>
      <w:pPr>
        <w:tabs>
          <w:tab w:val="num" w:pos="2880"/>
        </w:tabs>
        <w:ind w:left="2880" w:hanging="360"/>
      </w:pPr>
      <w:rPr>
        <w:rFonts w:ascii="Wingdings" w:hAnsi="Wingdings" w:hint="default"/>
      </w:rPr>
    </w:lvl>
    <w:lvl w:ilvl="4" w:tplc="E0A49860" w:tentative="1">
      <w:start w:val="1"/>
      <w:numFmt w:val="bullet"/>
      <w:lvlText w:val=""/>
      <w:lvlJc w:val="left"/>
      <w:pPr>
        <w:tabs>
          <w:tab w:val="num" w:pos="3600"/>
        </w:tabs>
        <w:ind w:left="3600" w:hanging="360"/>
      </w:pPr>
      <w:rPr>
        <w:rFonts w:ascii="Wingdings" w:hAnsi="Wingdings" w:hint="default"/>
      </w:rPr>
    </w:lvl>
    <w:lvl w:ilvl="5" w:tplc="101C46E4" w:tentative="1">
      <w:start w:val="1"/>
      <w:numFmt w:val="bullet"/>
      <w:lvlText w:val=""/>
      <w:lvlJc w:val="left"/>
      <w:pPr>
        <w:tabs>
          <w:tab w:val="num" w:pos="4320"/>
        </w:tabs>
        <w:ind w:left="4320" w:hanging="360"/>
      </w:pPr>
      <w:rPr>
        <w:rFonts w:ascii="Wingdings" w:hAnsi="Wingdings" w:hint="default"/>
      </w:rPr>
    </w:lvl>
    <w:lvl w:ilvl="6" w:tplc="1CDC8BB2" w:tentative="1">
      <w:start w:val="1"/>
      <w:numFmt w:val="bullet"/>
      <w:lvlText w:val=""/>
      <w:lvlJc w:val="left"/>
      <w:pPr>
        <w:tabs>
          <w:tab w:val="num" w:pos="5040"/>
        </w:tabs>
        <w:ind w:left="5040" w:hanging="360"/>
      </w:pPr>
      <w:rPr>
        <w:rFonts w:ascii="Wingdings" w:hAnsi="Wingdings" w:hint="default"/>
      </w:rPr>
    </w:lvl>
    <w:lvl w:ilvl="7" w:tplc="AA0AC332" w:tentative="1">
      <w:start w:val="1"/>
      <w:numFmt w:val="bullet"/>
      <w:lvlText w:val=""/>
      <w:lvlJc w:val="left"/>
      <w:pPr>
        <w:tabs>
          <w:tab w:val="num" w:pos="5760"/>
        </w:tabs>
        <w:ind w:left="5760" w:hanging="360"/>
      </w:pPr>
      <w:rPr>
        <w:rFonts w:ascii="Wingdings" w:hAnsi="Wingdings" w:hint="default"/>
      </w:rPr>
    </w:lvl>
    <w:lvl w:ilvl="8" w:tplc="102E2CB8" w:tentative="1">
      <w:start w:val="1"/>
      <w:numFmt w:val="bullet"/>
      <w:lvlText w:val=""/>
      <w:lvlJc w:val="left"/>
      <w:pPr>
        <w:tabs>
          <w:tab w:val="num" w:pos="6480"/>
        </w:tabs>
        <w:ind w:left="6480" w:hanging="360"/>
      </w:pPr>
      <w:rPr>
        <w:rFonts w:ascii="Wingdings" w:hAnsi="Wingdings" w:hint="default"/>
      </w:rPr>
    </w:lvl>
  </w:abstractNum>
  <w:abstractNum w:abstractNumId="2">
    <w:nsid w:val="3B3C2148"/>
    <w:multiLevelType w:val="hybridMultilevel"/>
    <w:tmpl w:val="5240BC9A"/>
    <w:lvl w:ilvl="0" w:tplc="715EA63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nsid w:val="647651FA"/>
    <w:multiLevelType w:val="hybridMultilevel"/>
    <w:tmpl w:val="6F5209FE"/>
    <w:lvl w:ilvl="0" w:tplc="DA7A2B10">
      <w:start w:val="1"/>
      <w:numFmt w:val="bullet"/>
      <w:lvlText w:val=""/>
      <w:lvlJc w:val="left"/>
      <w:pPr>
        <w:tabs>
          <w:tab w:val="num" w:pos="1440"/>
        </w:tabs>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nsid w:val="67306510"/>
    <w:multiLevelType w:val="hybridMultilevel"/>
    <w:tmpl w:val="66FC72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nsid w:val="7DE9377B"/>
    <w:multiLevelType w:val="hybridMultilevel"/>
    <w:tmpl w:val="6604254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4"/>
  </w:num>
  <w:num w:numId="3">
    <w:abstractNumId w:val="0"/>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2CE6"/>
    <w:rsid w:val="00090076"/>
    <w:rsid w:val="00194105"/>
    <w:rsid w:val="00274ED6"/>
    <w:rsid w:val="00284B80"/>
    <w:rsid w:val="00326654"/>
    <w:rsid w:val="003B27D8"/>
    <w:rsid w:val="00434765"/>
    <w:rsid w:val="004A3C7A"/>
    <w:rsid w:val="004F3087"/>
    <w:rsid w:val="006E6169"/>
    <w:rsid w:val="006E7F50"/>
    <w:rsid w:val="00744FA1"/>
    <w:rsid w:val="007D2CE6"/>
    <w:rsid w:val="00847569"/>
    <w:rsid w:val="00892441"/>
    <w:rsid w:val="00B76EC6"/>
    <w:rsid w:val="00B857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2C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2CE6"/>
    <w:pPr>
      <w:ind w:left="720"/>
      <w:contextualSpacing/>
    </w:pPr>
  </w:style>
  <w:style w:type="table" w:styleId="TableGrid">
    <w:name w:val="Table Grid"/>
    <w:basedOn w:val="TableNormal"/>
    <w:uiPriority w:val="59"/>
    <w:rsid w:val="003B27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E61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6169"/>
  </w:style>
  <w:style w:type="paragraph" w:styleId="Footer">
    <w:name w:val="footer"/>
    <w:basedOn w:val="Normal"/>
    <w:link w:val="FooterChar"/>
    <w:uiPriority w:val="99"/>
    <w:unhideWhenUsed/>
    <w:rsid w:val="006E61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6169"/>
  </w:style>
  <w:style w:type="paragraph" w:styleId="BalloonText">
    <w:name w:val="Balloon Text"/>
    <w:basedOn w:val="Normal"/>
    <w:link w:val="BalloonTextChar"/>
    <w:uiPriority w:val="99"/>
    <w:semiHidden/>
    <w:unhideWhenUsed/>
    <w:rsid w:val="006E61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616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2C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2CE6"/>
    <w:pPr>
      <w:ind w:left="720"/>
      <w:contextualSpacing/>
    </w:pPr>
  </w:style>
  <w:style w:type="table" w:styleId="TableGrid">
    <w:name w:val="Table Grid"/>
    <w:basedOn w:val="TableNormal"/>
    <w:uiPriority w:val="59"/>
    <w:rsid w:val="003B27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E61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6169"/>
  </w:style>
  <w:style w:type="paragraph" w:styleId="Footer">
    <w:name w:val="footer"/>
    <w:basedOn w:val="Normal"/>
    <w:link w:val="FooterChar"/>
    <w:uiPriority w:val="99"/>
    <w:unhideWhenUsed/>
    <w:rsid w:val="006E61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6169"/>
  </w:style>
  <w:style w:type="paragraph" w:styleId="BalloonText">
    <w:name w:val="Balloon Text"/>
    <w:basedOn w:val="Normal"/>
    <w:link w:val="BalloonTextChar"/>
    <w:uiPriority w:val="99"/>
    <w:semiHidden/>
    <w:unhideWhenUsed/>
    <w:rsid w:val="006E61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616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529643">
      <w:bodyDiv w:val="1"/>
      <w:marLeft w:val="0"/>
      <w:marRight w:val="0"/>
      <w:marTop w:val="0"/>
      <w:marBottom w:val="0"/>
      <w:divBdr>
        <w:top w:val="none" w:sz="0" w:space="0" w:color="auto"/>
        <w:left w:val="none" w:sz="0" w:space="0" w:color="auto"/>
        <w:bottom w:val="none" w:sz="0" w:space="0" w:color="auto"/>
        <w:right w:val="none" w:sz="0" w:space="0" w:color="auto"/>
      </w:divBdr>
      <w:divsChild>
        <w:div w:id="656615481">
          <w:marLeft w:val="0"/>
          <w:marRight w:val="0"/>
          <w:marTop w:val="134"/>
          <w:marBottom w:val="134"/>
          <w:divBdr>
            <w:top w:val="none" w:sz="0" w:space="0" w:color="auto"/>
            <w:left w:val="none" w:sz="0" w:space="0" w:color="auto"/>
            <w:bottom w:val="none" w:sz="0" w:space="0" w:color="auto"/>
            <w:right w:val="none" w:sz="0" w:space="0" w:color="auto"/>
          </w:divBdr>
        </w:div>
        <w:div w:id="772629447">
          <w:marLeft w:val="0"/>
          <w:marRight w:val="0"/>
          <w:marTop w:val="134"/>
          <w:marBottom w:val="134"/>
          <w:divBdr>
            <w:top w:val="none" w:sz="0" w:space="0" w:color="auto"/>
            <w:left w:val="none" w:sz="0" w:space="0" w:color="auto"/>
            <w:bottom w:val="none" w:sz="0" w:space="0" w:color="auto"/>
            <w:right w:val="none" w:sz="0" w:space="0" w:color="auto"/>
          </w:divBdr>
        </w:div>
        <w:div w:id="1640065752">
          <w:marLeft w:val="0"/>
          <w:marRight w:val="0"/>
          <w:marTop w:val="134"/>
          <w:marBottom w:val="134"/>
          <w:divBdr>
            <w:top w:val="none" w:sz="0" w:space="0" w:color="auto"/>
            <w:left w:val="none" w:sz="0" w:space="0" w:color="auto"/>
            <w:bottom w:val="none" w:sz="0" w:space="0" w:color="auto"/>
            <w:right w:val="none" w:sz="0" w:space="0" w:color="auto"/>
          </w:divBdr>
        </w:div>
        <w:div w:id="1595896415">
          <w:marLeft w:val="0"/>
          <w:marRight w:val="0"/>
          <w:marTop w:val="134"/>
          <w:marBottom w:val="134"/>
          <w:divBdr>
            <w:top w:val="none" w:sz="0" w:space="0" w:color="auto"/>
            <w:left w:val="none" w:sz="0" w:space="0" w:color="auto"/>
            <w:bottom w:val="none" w:sz="0" w:space="0" w:color="auto"/>
            <w:right w:val="none" w:sz="0" w:space="0" w:color="auto"/>
          </w:divBdr>
        </w:div>
        <w:div w:id="205680595">
          <w:marLeft w:val="0"/>
          <w:marRight w:val="0"/>
          <w:marTop w:val="134"/>
          <w:marBottom w:val="134"/>
          <w:divBdr>
            <w:top w:val="none" w:sz="0" w:space="0" w:color="auto"/>
            <w:left w:val="none" w:sz="0" w:space="0" w:color="auto"/>
            <w:bottom w:val="none" w:sz="0" w:space="0" w:color="auto"/>
            <w:right w:val="none" w:sz="0" w:space="0" w:color="auto"/>
          </w:divBdr>
        </w:div>
        <w:div w:id="694309240">
          <w:marLeft w:val="0"/>
          <w:marRight w:val="0"/>
          <w:marTop w:val="134"/>
          <w:marBottom w:val="134"/>
          <w:divBdr>
            <w:top w:val="none" w:sz="0" w:space="0" w:color="auto"/>
            <w:left w:val="none" w:sz="0" w:space="0" w:color="auto"/>
            <w:bottom w:val="none" w:sz="0" w:space="0" w:color="auto"/>
            <w:right w:val="none" w:sz="0" w:space="0" w:color="auto"/>
          </w:divBdr>
        </w:div>
        <w:div w:id="571160053">
          <w:marLeft w:val="0"/>
          <w:marRight w:val="0"/>
          <w:marTop w:val="134"/>
          <w:marBottom w:val="134"/>
          <w:divBdr>
            <w:top w:val="none" w:sz="0" w:space="0" w:color="auto"/>
            <w:left w:val="none" w:sz="0" w:space="0" w:color="auto"/>
            <w:bottom w:val="none" w:sz="0" w:space="0" w:color="auto"/>
            <w:right w:val="none" w:sz="0" w:space="0" w:color="auto"/>
          </w:divBdr>
        </w:div>
      </w:divsChild>
    </w:div>
    <w:div w:id="552084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0A122D-0C57-41A2-A0C1-6AD62FB93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597</Words>
  <Characters>3409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North East Lincolnshire Council</Company>
  <LinksUpToDate>false</LinksUpToDate>
  <CharactersWithSpaces>3999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Kirven, Dave</dc:creator>
  <cp:lastModifiedBy>Kirven, Dave</cp:lastModifiedBy>
  <cp:revision>3</cp:revision>
  <dcterms:created xsi:type="dcterms:W3CDTF">2014-06-19T13:27:00Z</dcterms:created>
  <dcterms:modified xsi:type="dcterms:W3CDTF">2014-06-19T13:31:00Z</dcterms:modified>
</cp:coreProperties>
</file>