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16C1" w14:textId="77777777" w:rsidR="00CA0DBC" w:rsidRPr="004F55F2" w:rsidRDefault="00CA0DBC">
      <w:pPr>
        <w:pStyle w:val="BodyText"/>
        <w:spacing w:before="5"/>
      </w:pPr>
    </w:p>
    <w:p w14:paraId="0B40D736" w14:textId="77777777" w:rsidR="00CA0DBC" w:rsidRPr="004F55F2" w:rsidRDefault="00902DDC" w:rsidP="00FB407E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4F55F2">
        <w:rPr>
          <w:rFonts w:ascii="Arial" w:hAnsi="Arial" w:cs="Arial"/>
          <w:b/>
          <w:bCs/>
          <w:sz w:val="32"/>
          <w:szCs w:val="32"/>
        </w:rPr>
        <w:t>North East Lincolnshire Council Register of Assets of Community</w:t>
      </w:r>
      <w:r w:rsidRPr="004F55F2">
        <w:rPr>
          <w:rFonts w:ascii="Arial" w:hAnsi="Arial" w:cs="Arial"/>
          <w:b/>
          <w:bCs/>
          <w:spacing w:val="-14"/>
          <w:sz w:val="32"/>
          <w:szCs w:val="32"/>
        </w:rPr>
        <w:t xml:space="preserve"> </w:t>
      </w:r>
      <w:r w:rsidRPr="004F55F2">
        <w:rPr>
          <w:rFonts w:ascii="Arial" w:hAnsi="Arial" w:cs="Arial"/>
          <w:b/>
          <w:bCs/>
          <w:sz w:val="32"/>
          <w:szCs w:val="32"/>
        </w:rPr>
        <w:t>Value</w:t>
      </w:r>
    </w:p>
    <w:p w14:paraId="518CF813" w14:textId="77777777" w:rsidR="0030062C" w:rsidRPr="004F55F2" w:rsidRDefault="00902DDC" w:rsidP="00FB407E">
      <w:pPr>
        <w:pStyle w:val="Heading1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4F55F2">
        <w:rPr>
          <w:rFonts w:ascii="Arial" w:hAnsi="Arial" w:cs="Arial"/>
          <w:b/>
          <w:bCs/>
        </w:rPr>
        <w:t>Part 1 – Assets Held on the Register</w:t>
      </w:r>
    </w:p>
    <w:tbl>
      <w:tblPr>
        <w:tblStyle w:val="TableGrid1"/>
        <w:tblW w:w="5001" w:type="pct"/>
        <w:tblLook w:val="04A0" w:firstRow="1" w:lastRow="0" w:firstColumn="1" w:lastColumn="0" w:noHBand="0" w:noVBand="1"/>
        <w:tblCaption w:val="Assets held on the register"/>
        <w:tblDescription w:val="List of assets held on the assets of community value."/>
      </w:tblPr>
      <w:tblGrid>
        <w:gridCol w:w="3542"/>
        <w:gridCol w:w="3538"/>
        <w:gridCol w:w="3538"/>
        <w:gridCol w:w="3535"/>
      </w:tblGrid>
      <w:tr w:rsidR="00E71895" w:rsidRPr="004F55F2" w14:paraId="31F552C5" w14:textId="3F94AED7" w:rsidTr="00E71895">
        <w:trPr>
          <w:tblHeader/>
        </w:trPr>
        <w:tc>
          <w:tcPr>
            <w:tcW w:w="1251" w:type="pct"/>
          </w:tcPr>
          <w:p w14:paraId="2815D95B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Ref number</w:t>
            </w:r>
          </w:p>
        </w:tc>
        <w:tc>
          <w:tcPr>
            <w:tcW w:w="1250" w:type="pct"/>
          </w:tcPr>
          <w:p w14:paraId="5F03AABB" w14:textId="77777777" w:rsidR="00E71895" w:rsidRPr="004F55F2" w:rsidRDefault="00E71895" w:rsidP="00E71895">
            <w:r w:rsidRPr="004F55F2">
              <w:t>ACV004</w:t>
            </w:r>
          </w:p>
        </w:tc>
        <w:tc>
          <w:tcPr>
            <w:tcW w:w="1250" w:type="pct"/>
          </w:tcPr>
          <w:p w14:paraId="2AB9B8DA" w14:textId="77777777" w:rsidR="00E71895" w:rsidRPr="004F55F2" w:rsidRDefault="00E71895" w:rsidP="00E71895">
            <w:r w:rsidRPr="004F55F2">
              <w:t>ACV005</w:t>
            </w:r>
          </w:p>
        </w:tc>
        <w:tc>
          <w:tcPr>
            <w:tcW w:w="1249" w:type="pct"/>
          </w:tcPr>
          <w:p w14:paraId="746067E7" w14:textId="21B560D3" w:rsidR="00E71895" w:rsidRPr="004F55F2" w:rsidRDefault="00E71895" w:rsidP="00E71895">
            <w:r w:rsidRPr="004F55F2">
              <w:t>ACV006</w:t>
            </w:r>
          </w:p>
        </w:tc>
      </w:tr>
      <w:tr w:rsidR="00E71895" w:rsidRPr="004F55F2" w14:paraId="4543E4C8" w14:textId="2A4F313F" w:rsidTr="00E71895">
        <w:trPr>
          <w:tblHeader/>
        </w:trPr>
        <w:tc>
          <w:tcPr>
            <w:tcW w:w="1251" w:type="pct"/>
          </w:tcPr>
          <w:p w14:paraId="2B7525A9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Name and address of asset</w:t>
            </w:r>
          </w:p>
        </w:tc>
        <w:tc>
          <w:tcPr>
            <w:tcW w:w="1250" w:type="pct"/>
          </w:tcPr>
          <w:p w14:paraId="13A0A07F" w14:textId="77777777" w:rsidR="00E71895" w:rsidRPr="004F55F2" w:rsidRDefault="00E71895" w:rsidP="00E71895">
            <w:pPr>
              <w:pStyle w:val="TableParagraph"/>
              <w:ind w:right="126"/>
            </w:pPr>
            <w:proofErr w:type="spellStart"/>
            <w:r w:rsidRPr="004F55F2">
              <w:t>Immage</w:t>
            </w:r>
            <w:proofErr w:type="spellEnd"/>
            <w:r w:rsidRPr="004F55F2">
              <w:t xml:space="preserve"> 2000, an access path and road to the</w:t>
            </w:r>
          </w:p>
          <w:p w14:paraId="1439E428" w14:textId="77777777" w:rsidR="00E71895" w:rsidRPr="004F55F2" w:rsidRDefault="00E71895" w:rsidP="00E71895">
            <w:pPr>
              <w:pStyle w:val="TableParagraph"/>
              <w:ind w:right="126"/>
            </w:pPr>
            <w:r w:rsidRPr="004F55F2">
              <w:t>building and the green space area behind the building (this relates to only 1/3rd of the</w:t>
            </w:r>
          </w:p>
          <w:p w14:paraId="0BF298F8" w14:textId="77777777" w:rsidR="00E71895" w:rsidRPr="004F55F2" w:rsidRDefault="00E71895" w:rsidP="00E71895">
            <w:r w:rsidRPr="004F55F2">
              <w:t>overall playing fields)</w:t>
            </w:r>
          </w:p>
        </w:tc>
        <w:tc>
          <w:tcPr>
            <w:tcW w:w="1250" w:type="pct"/>
          </w:tcPr>
          <w:p w14:paraId="74E30BAD" w14:textId="77777777" w:rsidR="00E71895" w:rsidRPr="004F55F2" w:rsidRDefault="00E71895" w:rsidP="00E71895">
            <w:r w:rsidRPr="004F55F2">
              <w:t xml:space="preserve">Humberston Fitties </w:t>
            </w:r>
            <w:r w:rsidRPr="004F55F2">
              <w:rPr>
                <w:spacing w:val="-3"/>
              </w:rPr>
              <w:t xml:space="preserve">Chalet </w:t>
            </w:r>
            <w:r w:rsidRPr="004F55F2">
              <w:t>Park</w:t>
            </w:r>
          </w:p>
        </w:tc>
        <w:tc>
          <w:tcPr>
            <w:tcW w:w="1249" w:type="pct"/>
          </w:tcPr>
          <w:p w14:paraId="72BE6E4C" w14:textId="465043B3" w:rsidR="00E71895" w:rsidRPr="004F55F2" w:rsidRDefault="00E71895" w:rsidP="00E71895">
            <w:r w:rsidRPr="004F55F2">
              <w:t>The Wellington Street Methodist Church’, 354 Wellington Street, Grimsby, DN32 7JS</w:t>
            </w:r>
          </w:p>
        </w:tc>
      </w:tr>
      <w:tr w:rsidR="00E71895" w:rsidRPr="004F55F2" w14:paraId="3AF23DB9" w14:textId="7BBE1899" w:rsidTr="00E71895">
        <w:trPr>
          <w:tblHeader/>
        </w:trPr>
        <w:tc>
          <w:tcPr>
            <w:tcW w:w="1251" w:type="pct"/>
          </w:tcPr>
          <w:p w14:paraId="58ACAD16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Group nomination asset</w:t>
            </w:r>
          </w:p>
        </w:tc>
        <w:tc>
          <w:tcPr>
            <w:tcW w:w="1250" w:type="pct"/>
          </w:tcPr>
          <w:p w14:paraId="08446FF9" w14:textId="77777777" w:rsidR="00E71895" w:rsidRPr="004F55F2" w:rsidRDefault="00E71895" w:rsidP="00E71895">
            <w:r w:rsidRPr="004F55F2">
              <w:t xml:space="preserve">One Voice c/o Civic Centre, Pelham </w:t>
            </w:r>
            <w:r w:rsidRPr="004F55F2">
              <w:rPr>
                <w:spacing w:val="-4"/>
              </w:rPr>
              <w:t xml:space="preserve">Road </w:t>
            </w:r>
            <w:r w:rsidRPr="004F55F2">
              <w:t>Immingham, North East Lincolnshire, DN40</w:t>
            </w:r>
            <w:r w:rsidRPr="004F55F2">
              <w:rPr>
                <w:spacing w:val="-1"/>
              </w:rPr>
              <w:t xml:space="preserve"> </w:t>
            </w:r>
            <w:r w:rsidRPr="004F55F2">
              <w:t>1QF</w:t>
            </w:r>
          </w:p>
        </w:tc>
        <w:tc>
          <w:tcPr>
            <w:tcW w:w="1250" w:type="pct"/>
          </w:tcPr>
          <w:p w14:paraId="44884600" w14:textId="77777777" w:rsidR="00E71895" w:rsidRPr="004F55F2" w:rsidRDefault="00E71895" w:rsidP="00E71895">
            <w:r w:rsidRPr="004F55F2">
              <w:t>The Fitties CIC</w:t>
            </w:r>
          </w:p>
        </w:tc>
        <w:tc>
          <w:tcPr>
            <w:tcW w:w="1249" w:type="pct"/>
          </w:tcPr>
          <w:p w14:paraId="51354097" w14:textId="1041FF56" w:rsidR="00E71895" w:rsidRPr="004F55F2" w:rsidRDefault="00E71895" w:rsidP="00E71895">
            <w:r w:rsidRPr="004F55F2">
              <w:rPr>
                <w:bCs/>
              </w:rPr>
              <w:t>NELC VCSE Alliance</w:t>
            </w:r>
          </w:p>
        </w:tc>
      </w:tr>
      <w:tr w:rsidR="00E71895" w:rsidRPr="004F55F2" w14:paraId="762BE675" w14:textId="336A8CD6" w:rsidTr="00E71895">
        <w:trPr>
          <w:tblHeader/>
        </w:trPr>
        <w:tc>
          <w:tcPr>
            <w:tcW w:w="1251" w:type="pct"/>
          </w:tcPr>
          <w:p w14:paraId="7A36C63C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Date entered on register</w:t>
            </w:r>
          </w:p>
        </w:tc>
        <w:tc>
          <w:tcPr>
            <w:tcW w:w="1250" w:type="pct"/>
          </w:tcPr>
          <w:p w14:paraId="51FF4F93" w14:textId="77777777" w:rsidR="00E71895" w:rsidRPr="004F55F2" w:rsidRDefault="00E71895" w:rsidP="00E71895">
            <w:r w:rsidRPr="004F55F2">
              <w:t>25/11/2015</w:t>
            </w:r>
          </w:p>
        </w:tc>
        <w:tc>
          <w:tcPr>
            <w:tcW w:w="1250" w:type="pct"/>
          </w:tcPr>
          <w:p w14:paraId="4A9CA327" w14:textId="77777777" w:rsidR="00E71895" w:rsidRPr="004F55F2" w:rsidRDefault="00E71895" w:rsidP="00E71895">
            <w:r w:rsidRPr="004F55F2">
              <w:t>18/11/2019</w:t>
            </w:r>
          </w:p>
        </w:tc>
        <w:tc>
          <w:tcPr>
            <w:tcW w:w="1249" w:type="pct"/>
          </w:tcPr>
          <w:p w14:paraId="0DB4B629" w14:textId="4EED452E" w:rsidR="00E71895" w:rsidRPr="004F55F2" w:rsidRDefault="00E71895" w:rsidP="00E71895">
            <w:r w:rsidRPr="004F55F2">
              <w:rPr>
                <w:bCs/>
              </w:rPr>
              <w:t>02/03/2020</w:t>
            </w:r>
          </w:p>
        </w:tc>
      </w:tr>
      <w:tr w:rsidR="00E71895" w:rsidRPr="004F55F2" w14:paraId="46E7410A" w14:textId="1E60B313" w:rsidTr="00E71895">
        <w:trPr>
          <w:tblHeader/>
        </w:trPr>
        <w:tc>
          <w:tcPr>
            <w:tcW w:w="1251" w:type="pct"/>
          </w:tcPr>
          <w:p w14:paraId="0D3507CD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Date register entry expires</w:t>
            </w:r>
          </w:p>
        </w:tc>
        <w:tc>
          <w:tcPr>
            <w:tcW w:w="1250" w:type="pct"/>
          </w:tcPr>
          <w:p w14:paraId="2795B1BF" w14:textId="77777777" w:rsidR="00E71895" w:rsidRPr="004F55F2" w:rsidRDefault="00E71895" w:rsidP="00E71895">
            <w:r w:rsidRPr="004F55F2">
              <w:t>26/11/2020</w:t>
            </w:r>
          </w:p>
        </w:tc>
        <w:tc>
          <w:tcPr>
            <w:tcW w:w="1250" w:type="pct"/>
          </w:tcPr>
          <w:p w14:paraId="34D0BCC9" w14:textId="77777777" w:rsidR="00E71895" w:rsidRPr="004F55F2" w:rsidRDefault="00E71895" w:rsidP="00E71895">
            <w:r w:rsidRPr="004F55F2">
              <w:t>19/11/2024</w:t>
            </w:r>
          </w:p>
        </w:tc>
        <w:tc>
          <w:tcPr>
            <w:tcW w:w="1249" w:type="pct"/>
          </w:tcPr>
          <w:p w14:paraId="333EEEF5" w14:textId="7F83E5BA" w:rsidR="00E71895" w:rsidRPr="004F55F2" w:rsidRDefault="00E71895" w:rsidP="00E71895">
            <w:r w:rsidRPr="004F55F2">
              <w:rPr>
                <w:bCs/>
              </w:rPr>
              <w:t>03/03/2025</w:t>
            </w:r>
          </w:p>
        </w:tc>
      </w:tr>
      <w:tr w:rsidR="00E71895" w:rsidRPr="004F55F2" w14:paraId="1533D052" w14:textId="0C3A83C8" w:rsidTr="00E71895">
        <w:trPr>
          <w:tblHeader/>
        </w:trPr>
        <w:tc>
          <w:tcPr>
            <w:tcW w:w="1251" w:type="pct"/>
          </w:tcPr>
          <w:p w14:paraId="30B6E431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Notification of disposal received</w:t>
            </w:r>
          </w:p>
        </w:tc>
        <w:tc>
          <w:tcPr>
            <w:tcW w:w="1250" w:type="pct"/>
          </w:tcPr>
          <w:p w14:paraId="4F9D798E" w14:textId="77777777" w:rsidR="00E71895" w:rsidRPr="004F55F2" w:rsidRDefault="00E71895" w:rsidP="00E71895">
            <w:r w:rsidRPr="004F55F2">
              <w:t xml:space="preserve">The wider site (of which this nomination is part of) has been marketed for disposal </w:t>
            </w:r>
            <w:r w:rsidRPr="004F55F2">
              <w:rPr>
                <w:spacing w:val="-4"/>
              </w:rPr>
              <w:t xml:space="preserve">since </w:t>
            </w:r>
            <w:r w:rsidRPr="004F55F2">
              <w:t>August 2015.</w:t>
            </w:r>
          </w:p>
        </w:tc>
        <w:tc>
          <w:tcPr>
            <w:tcW w:w="1250" w:type="pct"/>
          </w:tcPr>
          <w:p w14:paraId="674D2290" w14:textId="77777777" w:rsidR="00E71895" w:rsidRPr="004F55F2" w:rsidRDefault="00E71895" w:rsidP="00E71895"/>
        </w:tc>
        <w:tc>
          <w:tcPr>
            <w:tcW w:w="1249" w:type="pct"/>
          </w:tcPr>
          <w:p w14:paraId="18F5BD71" w14:textId="0210FF9E" w:rsidR="00E71895" w:rsidRPr="004F55F2" w:rsidRDefault="00E71895" w:rsidP="00E71895">
            <w:r>
              <w:t>Date advised marketing board erected 10/03/2020 – subject to confirmation.</w:t>
            </w:r>
          </w:p>
        </w:tc>
      </w:tr>
      <w:tr w:rsidR="00E71895" w:rsidRPr="004F55F2" w14:paraId="26E235B2" w14:textId="5888C39C" w:rsidTr="00E71895">
        <w:trPr>
          <w:tblHeader/>
        </w:trPr>
        <w:tc>
          <w:tcPr>
            <w:tcW w:w="1251" w:type="pct"/>
          </w:tcPr>
          <w:p w14:paraId="7FCBA3BD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End date of interim moratorium period</w:t>
            </w:r>
          </w:p>
        </w:tc>
        <w:tc>
          <w:tcPr>
            <w:tcW w:w="1250" w:type="pct"/>
          </w:tcPr>
          <w:p w14:paraId="6831C29C" w14:textId="77777777" w:rsidR="00E71895" w:rsidRPr="004F55F2" w:rsidRDefault="00E71895" w:rsidP="00E71895">
            <w:r w:rsidRPr="004F55F2">
              <w:t>A ‘relevant disposal’</w:t>
            </w:r>
            <w:r w:rsidRPr="004F55F2">
              <w:rPr>
                <w:spacing w:val="-12"/>
              </w:rPr>
              <w:t xml:space="preserve"> </w:t>
            </w:r>
            <w:r w:rsidRPr="004F55F2">
              <w:t>does not apply and therefore the moratorium period is not triggered.</w:t>
            </w:r>
          </w:p>
        </w:tc>
        <w:tc>
          <w:tcPr>
            <w:tcW w:w="1250" w:type="pct"/>
          </w:tcPr>
          <w:p w14:paraId="5803DA80" w14:textId="77777777" w:rsidR="00E71895" w:rsidRPr="004F55F2" w:rsidRDefault="00E71895" w:rsidP="00E71895"/>
        </w:tc>
        <w:tc>
          <w:tcPr>
            <w:tcW w:w="1249" w:type="pct"/>
          </w:tcPr>
          <w:p w14:paraId="63544CBF" w14:textId="612B0B5E" w:rsidR="00E71895" w:rsidRPr="004F55F2" w:rsidRDefault="00E71895" w:rsidP="00E71895">
            <w:r>
              <w:t>21/04/2020</w:t>
            </w:r>
          </w:p>
        </w:tc>
      </w:tr>
      <w:tr w:rsidR="00E71895" w:rsidRPr="004F55F2" w14:paraId="3501A759" w14:textId="5106D735" w:rsidTr="00E71895">
        <w:trPr>
          <w:tblHeader/>
        </w:trPr>
        <w:tc>
          <w:tcPr>
            <w:tcW w:w="1251" w:type="pct"/>
          </w:tcPr>
          <w:p w14:paraId="4F32B54B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Full moratorium triggered (6 months)</w:t>
            </w:r>
          </w:p>
        </w:tc>
        <w:tc>
          <w:tcPr>
            <w:tcW w:w="1250" w:type="pct"/>
          </w:tcPr>
          <w:p w14:paraId="3365EABB" w14:textId="77777777" w:rsidR="00E71895" w:rsidRPr="004F55F2" w:rsidRDefault="00E71895" w:rsidP="00E71895">
            <w:r w:rsidRPr="004F55F2">
              <w:t>A ‘relevant disposal’</w:t>
            </w:r>
            <w:r w:rsidRPr="004F55F2">
              <w:rPr>
                <w:spacing w:val="-12"/>
              </w:rPr>
              <w:t xml:space="preserve"> </w:t>
            </w:r>
            <w:r w:rsidRPr="004F55F2">
              <w:t>does not apply and therefore the moratorium period is not triggered.</w:t>
            </w:r>
          </w:p>
        </w:tc>
        <w:tc>
          <w:tcPr>
            <w:tcW w:w="1250" w:type="pct"/>
          </w:tcPr>
          <w:p w14:paraId="67EAC7D8" w14:textId="77777777" w:rsidR="00E71895" w:rsidRPr="004F55F2" w:rsidRDefault="00E71895" w:rsidP="00E71895"/>
        </w:tc>
        <w:tc>
          <w:tcPr>
            <w:tcW w:w="1249" w:type="pct"/>
          </w:tcPr>
          <w:p w14:paraId="1347AB9E" w14:textId="4B5FED1E" w:rsidR="00E71895" w:rsidRPr="004F55F2" w:rsidRDefault="00E71895" w:rsidP="00E71895">
            <w:r>
              <w:t>08/04/2020</w:t>
            </w:r>
          </w:p>
        </w:tc>
      </w:tr>
      <w:tr w:rsidR="00E71895" w:rsidRPr="004F55F2" w14:paraId="63063F23" w14:textId="1E8BD95B" w:rsidTr="00E71895">
        <w:trPr>
          <w:tblHeader/>
        </w:trPr>
        <w:tc>
          <w:tcPr>
            <w:tcW w:w="1251" w:type="pct"/>
          </w:tcPr>
          <w:p w14:paraId="1B7DE12B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Community Group triggering the moratorium</w:t>
            </w:r>
          </w:p>
        </w:tc>
        <w:tc>
          <w:tcPr>
            <w:tcW w:w="1250" w:type="pct"/>
          </w:tcPr>
          <w:p w14:paraId="2E4A35AD" w14:textId="77777777" w:rsidR="00E71895" w:rsidRPr="004F55F2" w:rsidRDefault="00E71895" w:rsidP="00E71895">
            <w:r w:rsidRPr="004F55F2">
              <w:t>A ‘relevant disposal’</w:t>
            </w:r>
            <w:r w:rsidRPr="004F55F2">
              <w:rPr>
                <w:spacing w:val="-12"/>
              </w:rPr>
              <w:t xml:space="preserve"> </w:t>
            </w:r>
            <w:r w:rsidRPr="004F55F2">
              <w:t>does not apply and therefore the moratorium period is not triggered.</w:t>
            </w:r>
          </w:p>
        </w:tc>
        <w:tc>
          <w:tcPr>
            <w:tcW w:w="1250" w:type="pct"/>
          </w:tcPr>
          <w:p w14:paraId="6FF9F3AE" w14:textId="77777777" w:rsidR="00E71895" w:rsidRPr="004F55F2" w:rsidRDefault="00E71895" w:rsidP="00E71895"/>
        </w:tc>
        <w:tc>
          <w:tcPr>
            <w:tcW w:w="1249" w:type="pct"/>
          </w:tcPr>
          <w:p w14:paraId="0145EDBD" w14:textId="3A186BD2" w:rsidR="00E71895" w:rsidRPr="004F55F2" w:rsidRDefault="00E71895" w:rsidP="00E71895">
            <w:r>
              <w:t>East Marsh Community Limited</w:t>
            </w:r>
          </w:p>
        </w:tc>
      </w:tr>
    </w:tbl>
    <w:p w14:paraId="01B11555" w14:textId="77777777" w:rsidR="00CA0DBC" w:rsidRPr="004F55F2" w:rsidRDefault="00CA0DBC">
      <w:pPr>
        <w:sectPr w:rsidR="00CA0DBC" w:rsidRPr="004F55F2" w:rsidSect="0030062C">
          <w:headerReference w:type="default" r:id="rId7"/>
          <w:type w:val="continuous"/>
          <w:pgSz w:w="16840" w:h="11910" w:orient="landscape"/>
          <w:pgMar w:top="560" w:right="1360" w:bottom="840" w:left="1320" w:header="0" w:footer="652" w:gutter="0"/>
          <w:cols w:space="720"/>
        </w:sectPr>
      </w:pPr>
    </w:p>
    <w:p w14:paraId="3A120D21" w14:textId="00478A3A" w:rsidR="004F55F2" w:rsidRPr="004F55F2" w:rsidRDefault="004F55F2" w:rsidP="004F55F2">
      <w:pPr>
        <w:pStyle w:val="Heading1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4F55F2">
        <w:rPr>
          <w:rFonts w:ascii="Arial" w:hAnsi="Arial" w:cs="Arial"/>
          <w:b/>
          <w:bCs/>
        </w:rPr>
        <w:lastRenderedPageBreak/>
        <w:t>Part 1 (cont’d) – Assets Held on the Register</w:t>
      </w:r>
    </w:p>
    <w:tbl>
      <w:tblPr>
        <w:tblStyle w:val="TableGrid1"/>
        <w:tblW w:w="2500" w:type="pct"/>
        <w:tblLook w:val="04A0" w:firstRow="1" w:lastRow="0" w:firstColumn="1" w:lastColumn="0" w:noHBand="0" w:noVBand="1"/>
        <w:tblCaption w:val="Assets held on the register"/>
        <w:tblDescription w:val="List of assets held on the assets of community value."/>
      </w:tblPr>
      <w:tblGrid>
        <w:gridCol w:w="3540"/>
        <w:gridCol w:w="3535"/>
      </w:tblGrid>
      <w:tr w:rsidR="00E71895" w:rsidRPr="004F55F2" w14:paraId="071275F7" w14:textId="276CC0A4" w:rsidTr="00E71895">
        <w:trPr>
          <w:tblHeader/>
        </w:trPr>
        <w:tc>
          <w:tcPr>
            <w:tcW w:w="2502" w:type="pct"/>
          </w:tcPr>
          <w:p w14:paraId="618E8F04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Ref number</w:t>
            </w:r>
          </w:p>
        </w:tc>
        <w:tc>
          <w:tcPr>
            <w:tcW w:w="2498" w:type="pct"/>
          </w:tcPr>
          <w:p w14:paraId="1227203C" w14:textId="678524C6" w:rsidR="00E71895" w:rsidRPr="004F55F2" w:rsidRDefault="00E71895" w:rsidP="00E71895">
            <w:r w:rsidRPr="004F55F2">
              <w:t>ACV00</w:t>
            </w:r>
            <w:r>
              <w:t>7</w:t>
            </w:r>
          </w:p>
        </w:tc>
      </w:tr>
      <w:tr w:rsidR="00E71895" w:rsidRPr="004F55F2" w14:paraId="6E94F7D3" w14:textId="020C4A4F" w:rsidTr="00E71895">
        <w:trPr>
          <w:tblHeader/>
        </w:trPr>
        <w:tc>
          <w:tcPr>
            <w:tcW w:w="2502" w:type="pct"/>
          </w:tcPr>
          <w:p w14:paraId="6A44288B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Name and address of asset</w:t>
            </w:r>
          </w:p>
        </w:tc>
        <w:tc>
          <w:tcPr>
            <w:tcW w:w="2498" w:type="pct"/>
          </w:tcPr>
          <w:p w14:paraId="2C8B6821" w14:textId="64FED3F6" w:rsidR="00E71895" w:rsidRPr="004F55F2" w:rsidRDefault="00E71895" w:rsidP="00E71895">
            <w:r w:rsidRPr="00E71895">
              <w:t>Wold Newton Village Hall</w:t>
            </w:r>
          </w:p>
        </w:tc>
      </w:tr>
      <w:tr w:rsidR="00E71895" w:rsidRPr="004F55F2" w14:paraId="44C0633D" w14:textId="7B269301" w:rsidTr="00E71895">
        <w:trPr>
          <w:tblHeader/>
        </w:trPr>
        <w:tc>
          <w:tcPr>
            <w:tcW w:w="2502" w:type="pct"/>
          </w:tcPr>
          <w:p w14:paraId="63F43A15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Group nomination asset</w:t>
            </w:r>
          </w:p>
        </w:tc>
        <w:tc>
          <w:tcPr>
            <w:tcW w:w="2498" w:type="pct"/>
          </w:tcPr>
          <w:p w14:paraId="11E2761E" w14:textId="698806E4" w:rsidR="00E71895" w:rsidRPr="004F55F2" w:rsidRDefault="00E71895" w:rsidP="00E71895">
            <w:pPr>
              <w:rPr>
                <w:bCs/>
              </w:rPr>
            </w:pPr>
            <w:r w:rsidRPr="00B43B88">
              <w:rPr>
                <w:bCs/>
                <w:szCs w:val="24"/>
              </w:rPr>
              <w:t>Wold Newton Village Hall Trust</w:t>
            </w:r>
          </w:p>
        </w:tc>
      </w:tr>
      <w:tr w:rsidR="00E71895" w:rsidRPr="004F55F2" w14:paraId="49C378D5" w14:textId="37DA0DFA" w:rsidTr="00E71895">
        <w:trPr>
          <w:tblHeader/>
        </w:trPr>
        <w:tc>
          <w:tcPr>
            <w:tcW w:w="2502" w:type="pct"/>
          </w:tcPr>
          <w:p w14:paraId="23ABFFCA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Date entered on register</w:t>
            </w:r>
          </w:p>
        </w:tc>
        <w:tc>
          <w:tcPr>
            <w:tcW w:w="2498" w:type="pct"/>
          </w:tcPr>
          <w:p w14:paraId="435708AF" w14:textId="6ADC6309" w:rsidR="00E71895" w:rsidRPr="004F55F2" w:rsidRDefault="00E71895" w:rsidP="00E71895">
            <w:pPr>
              <w:rPr>
                <w:bCs/>
              </w:rPr>
            </w:pPr>
            <w:r>
              <w:t>10/08/2020</w:t>
            </w:r>
          </w:p>
        </w:tc>
      </w:tr>
      <w:tr w:rsidR="00E71895" w:rsidRPr="004F55F2" w14:paraId="13766407" w14:textId="7CF50BBF" w:rsidTr="00E71895">
        <w:trPr>
          <w:tblHeader/>
        </w:trPr>
        <w:tc>
          <w:tcPr>
            <w:tcW w:w="2502" w:type="pct"/>
          </w:tcPr>
          <w:p w14:paraId="6AFF6888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Date register entry expires</w:t>
            </w:r>
          </w:p>
        </w:tc>
        <w:tc>
          <w:tcPr>
            <w:tcW w:w="2498" w:type="pct"/>
          </w:tcPr>
          <w:p w14:paraId="5FD086FC" w14:textId="3E8A6FB6" w:rsidR="00E71895" w:rsidRPr="004F55F2" w:rsidRDefault="00E71895" w:rsidP="00E71895">
            <w:pPr>
              <w:rPr>
                <w:bCs/>
              </w:rPr>
            </w:pPr>
            <w:r w:rsidRPr="004F55F2">
              <w:t>1</w:t>
            </w:r>
            <w:r>
              <w:t>1</w:t>
            </w:r>
            <w:r w:rsidRPr="004F55F2">
              <w:t>/</w:t>
            </w:r>
            <w:r>
              <w:t>08</w:t>
            </w:r>
            <w:r w:rsidRPr="004F55F2">
              <w:t>/202</w:t>
            </w:r>
            <w:r>
              <w:t>5</w:t>
            </w:r>
          </w:p>
        </w:tc>
      </w:tr>
      <w:tr w:rsidR="00E71895" w:rsidRPr="004F55F2" w14:paraId="614561BA" w14:textId="5DD76143" w:rsidTr="00E71895">
        <w:trPr>
          <w:tblHeader/>
        </w:trPr>
        <w:tc>
          <w:tcPr>
            <w:tcW w:w="2502" w:type="pct"/>
          </w:tcPr>
          <w:p w14:paraId="3FE828ED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Notification of disposal received</w:t>
            </w:r>
          </w:p>
        </w:tc>
        <w:tc>
          <w:tcPr>
            <w:tcW w:w="2498" w:type="pct"/>
          </w:tcPr>
          <w:p w14:paraId="2ABB40E0" w14:textId="77777777" w:rsidR="00E71895" w:rsidRDefault="00E71895" w:rsidP="00E71895"/>
        </w:tc>
      </w:tr>
      <w:tr w:rsidR="00E71895" w:rsidRPr="004F55F2" w14:paraId="3FD8CBA1" w14:textId="6CB49CAD" w:rsidTr="00E71895">
        <w:trPr>
          <w:tblHeader/>
        </w:trPr>
        <w:tc>
          <w:tcPr>
            <w:tcW w:w="2502" w:type="pct"/>
          </w:tcPr>
          <w:p w14:paraId="3DC31488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End date of interim moratorium period</w:t>
            </w:r>
          </w:p>
        </w:tc>
        <w:tc>
          <w:tcPr>
            <w:tcW w:w="2498" w:type="pct"/>
          </w:tcPr>
          <w:p w14:paraId="67EB87BD" w14:textId="77777777" w:rsidR="00E71895" w:rsidRDefault="00E71895" w:rsidP="00E71895"/>
        </w:tc>
      </w:tr>
      <w:tr w:rsidR="00E71895" w:rsidRPr="004F55F2" w14:paraId="291DD55E" w14:textId="51C35745" w:rsidTr="00E71895">
        <w:trPr>
          <w:tblHeader/>
        </w:trPr>
        <w:tc>
          <w:tcPr>
            <w:tcW w:w="2502" w:type="pct"/>
            <w:tcBorders>
              <w:bottom w:val="single" w:sz="4" w:space="0" w:color="auto"/>
            </w:tcBorders>
          </w:tcPr>
          <w:p w14:paraId="7B08AA7D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Full moratorium triggered (6 months)</w:t>
            </w:r>
          </w:p>
        </w:tc>
        <w:tc>
          <w:tcPr>
            <w:tcW w:w="2498" w:type="pct"/>
            <w:tcBorders>
              <w:bottom w:val="single" w:sz="4" w:space="0" w:color="auto"/>
            </w:tcBorders>
          </w:tcPr>
          <w:p w14:paraId="4DF7C456" w14:textId="77777777" w:rsidR="00E71895" w:rsidRDefault="00E71895" w:rsidP="00E71895"/>
        </w:tc>
      </w:tr>
      <w:tr w:rsidR="00E71895" w:rsidRPr="004F55F2" w14:paraId="5C197C43" w14:textId="35340204" w:rsidTr="00E71895">
        <w:trPr>
          <w:tblHeader/>
        </w:trPr>
        <w:tc>
          <w:tcPr>
            <w:tcW w:w="2502" w:type="pct"/>
            <w:tcBorders>
              <w:bottom w:val="single" w:sz="4" w:space="0" w:color="auto"/>
            </w:tcBorders>
          </w:tcPr>
          <w:p w14:paraId="788F3809" w14:textId="77777777" w:rsidR="00E71895" w:rsidRPr="004F55F2" w:rsidRDefault="00E71895" w:rsidP="00E71895">
            <w:pPr>
              <w:rPr>
                <w:b/>
              </w:rPr>
            </w:pPr>
            <w:r w:rsidRPr="004F55F2">
              <w:rPr>
                <w:b/>
              </w:rPr>
              <w:t>Community Group triggering the moratorium</w:t>
            </w:r>
          </w:p>
        </w:tc>
        <w:tc>
          <w:tcPr>
            <w:tcW w:w="2498" w:type="pct"/>
            <w:tcBorders>
              <w:bottom w:val="single" w:sz="4" w:space="0" w:color="auto"/>
            </w:tcBorders>
          </w:tcPr>
          <w:p w14:paraId="273E2713" w14:textId="77777777" w:rsidR="00E71895" w:rsidRDefault="00E71895" w:rsidP="00E71895"/>
        </w:tc>
      </w:tr>
    </w:tbl>
    <w:p w14:paraId="139272C8" w14:textId="77777777" w:rsidR="004F55F2" w:rsidRDefault="004F55F2" w:rsidP="00FB407E">
      <w:pPr>
        <w:pStyle w:val="Heading1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14:paraId="57C47918" w14:textId="77777777" w:rsidR="004F55F2" w:rsidRDefault="004F55F2">
      <w:pPr>
        <w:rPr>
          <w:rFonts w:eastAsiaTheme="majorEastAsia"/>
        </w:rPr>
      </w:pPr>
      <w:r>
        <w:br w:type="page"/>
      </w:r>
    </w:p>
    <w:p w14:paraId="018C1BC6" w14:textId="744A0C3D" w:rsidR="00CE0B54" w:rsidRPr="004F55F2" w:rsidRDefault="00902DDC" w:rsidP="00FB407E">
      <w:pPr>
        <w:pStyle w:val="Heading1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4F55F2">
        <w:rPr>
          <w:rFonts w:ascii="Arial" w:hAnsi="Arial" w:cs="Arial"/>
          <w:b/>
          <w:bCs/>
        </w:rPr>
        <w:lastRenderedPageBreak/>
        <w:t>Part 2 – List of Assets of Unsuccessful Community Nominations</w:t>
      </w:r>
    </w:p>
    <w:p w14:paraId="69EB2AC4" w14:textId="77777777" w:rsidR="00FB407E" w:rsidRPr="004F55F2" w:rsidRDefault="00FB407E" w:rsidP="00FB407E">
      <w:pPr>
        <w:pStyle w:val="BodyText"/>
        <w:spacing w:before="89"/>
        <w:jc w:val="center"/>
        <w:rPr>
          <w:sz w:val="22"/>
          <w:szCs w:val="22"/>
        </w:rPr>
      </w:pPr>
    </w:p>
    <w:sectPr w:rsidR="00FB407E" w:rsidRPr="004F55F2">
      <w:headerReference w:type="default" r:id="rId8"/>
      <w:pgSz w:w="16840" w:h="11910" w:orient="landscape"/>
      <w:pgMar w:top="2200" w:right="1360" w:bottom="920" w:left="1320" w:header="582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11B0" w14:textId="77777777" w:rsidR="001E47AE" w:rsidRDefault="001E47AE">
      <w:r>
        <w:separator/>
      </w:r>
    </w:p>
  </w:endnote>
  <w:endnote w:type="continuationSeparator" w:id="0">
    <w:p w14:paraId="7852E2C2" w14:textId="77777777" w:rsidR="001E47AE" w:rsidRDefault="001E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EFA5" w14:textId="77777777" w:rsidR="001E47AE" w:rsidRDefault="001E47AE">
      <w:r>
        <w:separator/>
      </w:r>
    </w:p>
  </w:footnote>
  <w:footnote w:type="continuationSeparator" w:id="0">
    <w:p w14:paraId="34E7DE7B" w14:textId="77777777" w:rsidR="001E47AE" w:rsidRDefault="001E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1ABA" w14:textId="77777777" w:rsidR="00CA0DBC" w:rsidRDefault="0030062C" w:rsidP="0030062C">
    <w:pPr>
      <w:pStyle w:val="BodyText"/>
      <w:spacing w:before="480" w:line="14" w:lineRule="auto"/>
      <w:rPr>
        <w:b w:val="0"/>
        <w:sz w:val="2"/>
      </w:rPr>
    </w:pPr>
    <w:r>
      <w:rPr>
        <w:noProof/>
        <w:lang w:bidi="ar-SA"/>
      </w:rPr>
      <w:drawing>
        <wp:inline distT="0" distB="0" distL="0" distR="0" wp14:anchorId="7C979F76" wp14:editId="5FCD6AF3">
          <wp:extent cx="1032111" cy="1027887"/>
          <wp:effectExtent l="0" t="0" r="0" b="1270"/>
          <wp:docPr id="4" name="image1.jpeg" title="North East Lincol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111" cy="102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61E38" w14:textId="77777777" w:rsidR="00CA0DBC" w:rsidRDefault="0030062C" w:rsidP="0030062C">
    <w:pPr>
      <w:pStyle w:val="BodyText"/>
      <w:spacing w:before="480" w:line="14" w:lineRule="auto"/>
      <w:rPr>
        <w:b w:val="0"/>
        <w:sz w:val="20"/>
      </w:rPr>
    </w:pPr>
    <w:r>
      <w:rPr>
        <w:noProof/>
        <w:lang w:bidi="ar-SA"/>
      </w:rPr>
      <w:drawing>
        <wp:inline distT="0" distB="0" distL="0" distR="0" wp14:anchorId="668CDA7F" wp14:editId="44A71B65">
          <wp:extent cx="1032111" cy="1027887"/>
          <wp:effectExtent l="0" t="0" r="0" b="1270"/>
          <wp:docPr id="5" name="image1.jpeg" title="North East Lincol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111" cy="102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BC"/>
    <w:rsid w:val="000C1E5D"/>
    <w:rsid w:val="001E47AE"/>
    <w:rsid w:val="0030062C"/>
    <w:rsid w:val="004F55F2"/>
    <w:rsid w:val="008D301C"/>
    <w:rsid w:val="00902DDC"/>
    <w:rsid w:val="00B16822"/>
    <w:rsid w:val="00C13838"/>
    <w:rsid w:val="00CA0DBC"/>
    <w:rsid w:val="00CE0B54"/>
    <w:rsid w:val="00DC2D80"/>
    <w:rsid w:val="00E71895"/>
    <w:rsid w:val="00FB407E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83C158"/>
  <w15:docId w15:val="{D63E1BD2-1BBD-48F2-808B-3A564F3D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07E"/>
    <w:pPr>
      <w:keepNext/>
      <w:keepLines/>
      <w:spacing w:before="24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D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062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62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00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62C"/>
    <w:rPr>
      <w:rFonts w:ascii="Arial" w:eastAsia="Arial" w:hAnsi="Arial" w:cs="Arial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FB407E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07E"/>
    <w:rPr>
      <w:rFonts w:ascii="Calibri" w:eastAsiaTheme="majorEastAsia" w:hAnsi="Calibri" w:cstheme="majorBidi"/>
      <w:spacing w:val="-10"/>
      <w:kern w:val="28"/>
      <w:sz w:val="56"/>
      <w:szCs w:val="56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FB407E"/>
    <w:rPr>
      <w:rFonts w:ascii="Calibri" w:eastAsiaTheme="majorEastAsia" w:hAnsi="Calibri" w:cstheme="majorBidi"/>
      <w:sz w:val="32"/>
      <w:szCs w:val="3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00FB-B650-4A2C-97DB-0B59222B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Jack</dc:creator>
  <cp:lastModifiedBy>Jack Fox (NELC)</cp:lastModifiedBy>
  <cp:revision>2</cp:revision>
  <dcterms:created xsi:type="dcterms:W3CDTF">2020-08-14T09:34:00Z</dcterms:created>
  <dcterms:modified xsi:type="dcterms:W3CDTF">2020-08-14T09:34:00Z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2020-02-17T00:00:00Z</vt:filetime>
  </property>
</Properties>
</file>