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0D" w:rsidRPr="0091153F" w:rsidRDefault="004A4D0D" w:rsidP="006E6C79">
      <w:pPr>
        <w:ind w:left="720" w:right="-178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1153F">
        <w:rPr>
          <w:rFonts w:asciiTheme="minorHAnsi" w:hAnsiTheme="minorHAnsi" w:cstheme="minorHAnsi"/>
          <w:b/>
          <w:bCs/>
          <w:sz w:val="22"/>
          <w:szCs w:val="22"/>
        </w:rPr>
        <w:t>All Correspondence to:</w:t>
      </w:r>
    </w:p>
    <w:p w:rsidR="004A4D0D" w:rsidRPr="0091153F" w:rsidRDefault="004A4D0D" w:rsidP="006E6C79">
      <w:pPr>
        <w:ind w:left="720" w:right="-1785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1153F">
        <w:rPr>
          <w:rFonts w:asciiTheme="minorHAnsi" w:hAnsiTheme="minorHAnsi" w:cstheme="minorHAnsi"/>
          <w:b/>
          <w:bCs/>
          <w:sz w:val="22"/>
          <w:szCs w:val="22"/>
        </w:rPr>
        <w:t xml:space="preserve">Estates and Valuation </w:t>
      </w:r>
    </w:p>
    <w:p w:rsidR="004A4D0D" w:rsidRPr="0091153F" w:rsidRDefault="004A4D0D" w:rsidP="006E6C79">
      <w:pPr>
        <w:ind w:left="720" w:right="-1785"/>
        <w:jc w:val="right"/>
        <w:rPr>
          <w:rFonts w:asciiTheme="minorHAnsi" w:hAnsiTheme="minorHAnsi" w:cstheme="minorHAnsi"/>
          <w:sz w:val="22"/>
          <w:szCs w:val="22"/>
        </w:rPr>
      </w:pPr>
    </w:p>
    <w:p w:rsidR="004A4D0D" w:rsidRPr="0091153F" w:rsidRDefault="004A4D0D" w:rsidP="006E6C79">
      <w:pPr>
        <w:ind w:left="720" w:right="-1785"/>
        <w:jc w:val="right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>Origin Two, 2 Origin Way, Europarc</w:t>
      </w:r>
    </w:p>
    <w:p w:rsidR="004A4D0D" w:rsidRPr="0091153F" w:rsidRDefault="004A4D0D" w:rsidP="006E6C79">
      <w:pPr>
        <w:ind w:left="720" w:right="-1785"/>
        <w:jc w:val="right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>Grimsby, N E Lincolnshire, DN37 9TZ</w:t>
      </w:r>
    </w:p>
    <w:p w:rsidR="004A4D0D" w:rsidRPr="0091153F" w:rsidRDefault="004A4D0D" w:rsidP="006E6C79">
      <w:pPr>
        <w:ind w:left="720" w:right="-1785"/>
        <w:jc w:val="right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>Telephone (01472) 313131 Fax (01472) 324570</w:t>
      </w:r>
    </w:p>
    <w:p w:rsidR="004A4D0D" w:rsidRPr="0091153F" w:rsidRDefault="004A4D0D" w:rsidP="006E6C79">
      <w:pPr>
        <w:ind w:left="720" w:right="-1785"/>
        <w:jc w:val="right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>Email: Valuation@nelincs.gov.uk</w:t>
      </w:r>
    </w:p>
    <w:tbl>
      <w:tblPr>
        <w:tblW w:w="104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54"/>
        <w:gridCol w:w="236"/>
        <w:gridCol w:w="4930"/>
      </w:tblGrid>
      <w:tr w:rsidR="004A4D0D" w:rsidRPr="0091153F" w:rsidTr="0091153F">
        <w:tc>
          <w:tcPr>
            <w:tcW w:w="5254" w:type="dxa"/>
          </w:tcPr>
          <w:p w:rsidR="00A42868" w:rsidRPr="0091153F" w:rsidRDefault="00A42868" w:rsidP="00A42868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</w:tcPr>
          <w:p w:rsidR="004A4D0D" w:rsidRPr="0091153F" w:rsidRDefault="004A4D0D" w:rsidP="00B90019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930" w:type="dxa"/>
          </w:tcPr>
          <w:p w:rsidR="004A4D0D" w:rsidRPr="0091153F" w:rsidRDefault="004A4D0D" w:rsidP="0091153F">
            <w:pPr>
              <w:ind w:left="92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8A56DA" w:rsidRPr="0091153F" w:rsidRDefault="004A4D0D" w:rsidP="0091153F">
            <w:pPr>
              <w:ind w:left="57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11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telephoning or calling please ask for: </w:t>
            </w:r>
          </w:p>
          <w:p w:rsidR="004A4D0D" w:rsidRPr="0091153F" w:rsidRDefault="008A56DA" w:rsidP="0091153F">
            <w:pPr>
              <w:ind w:left="57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911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8C56F8" w:rsidRPr="00911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 Estates &amp; Valuation Team</w:t>
            </w:r>
          </w:p>
          <w:p w:rsidR="004A4D0D" w:rsidRPr="0091153F" w:rsidRDefault="00FF3AB8" w:rsidP="0091153F">
            <w:pPr>
              <w:ind w:left="57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  <w:r w:rsidR="004A4D0D" w:rsidRPr="0091153F">
              <w:rPr>
                <w:rFonts w:asciiTheme="minorHAnsi" w:hAnsiTheme="minorHAnsi" w:cstheme="minorHAnsi"/>
                <w:sz w:val="22"/>
                <w:szCs w:val="22"/>
              </w:rPr>
              <w:t xml:space="preserve">: 01472 </w:t>
            </w:r>
            <w:r w:rsidR="008C56F8" w:rsidRPr="0091153F">
              <w:rPr>
                <w:rFonts w:asciiTheme="minorHAnsi" w:hAnsiTheme="minorHAnsi" w:cstheme="minorHAnsi"/>
                <w:sz w:val="22"/>
                <w:szCs w:val="22"/>
              </w:rPr>
              <w:t>3246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  <w:p w:rsidR="0028485C" w:rsidRPr="0091153F" w:rsidRDefault="0028485C" w:rsidP="0091153F">
            <w:pPr>
              <w:ind w:left="570"/>
              <w:jc w:val="right"/>
              <w:rPr>
                <w:rFonts w:asciiTheme="minorHAnsi" w:hAnsiTheme="minorHAnsi" w:cstheme="minorHAnsi"/>
              </w:rPr>
            </w:pPr>
          </w:p>
          <w:p w:rsidR="004A4D0D" w:rsidRPr="0091153F" w:rsidRDefault="004A4D0D" w:rsidP="0091153F">
            <w:pPr>
              <w:ind w:left="570"/>
              <w:jc w:val="right"/>
              <w:rPr>
                <w:rFonts w:asciiTheme="minorHAnsi" w:hAnsiTheme="minorHAnsi" w:cstheme="minorHAnsi"/>
              </w:rPr>
            </w:pPr>
            <w:r w:rsidRPr="0091153F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="008C56F8" w:rsidRPr="0091153F">
              <w:rPr>
                <w:rFonts w:asciiTheme="minorHAnsi" w:hAnsiTheme="minorHAnsi" w:cstheme="minorHAnsi"/>
                <w:sz w:val="22"/>
                <w:szCs w:val="22"/>
              </w:rPr>
              <w:t>valuation</w:t>
            </w:r>
            <w:r w:rsidRPr="0091153F">
              <w:rPr>
                <w:rFonts w:asciiTheme="minorHAnsi" w:hAnsiTheme="minorHAnsi" w:cstheme="minorHAnsi"/>
                <w:sz w:val="22"/>
                <w:szCs w:val="22"/>
              </w:rPr>
              <w:t>@nelincs.gov.uk</w:t>
            </w:r>
          </w:p>
        </w:tc>
      </w:tr>
    </w:tbl>
    <w:p w:rsidR="004A4D0D" w:rsidRPr="0091153F" w:rsidRDefault="004A4D0D" w:rsidP="00B90019">
      <w:pPr>
        <w:ind w:left="360" w:right="-1260"/>
        <w:jc w:val="right"/>
        <w:rPr>
          <w:rFonts w:asciiTheme="minorHAnsi" w:hAnsiTheme="minorHAnsi" w:cstheme="minorHAnsi"/>
          <w:sz w:val="22"/>
          <w:szCs w:val="22"/>
        </w:rPr>
      </w:pPr>
    </w:p>
    <w:p w:rsidR="004A4D0D" w:rsidRPr="0091153F" w:rsidRDefault="00FF3AB8" w:rsidP="0091153F">
      <w:pPr>
        <w:ind w:left="360" w:right="-17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FF3AB8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March 2014</w:t>
      </w:r>
    </w:p>
    <w:p w:rsidR="004A4D0D" w:rsidRPr="0091153F" w:rsidRDefault="004A4D0D" w:rsidP="00B90019">
      <w:pPr>
        <w:ind w:left="360" w:right="-1260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>Dear</w:t>
      </w:r>
      <w:r w:rsidR="00A42868" w:rsidRPr="0091153F">
        <w:rPr>
          <w:rFonts w:asciiTheme="minorHAnsi" w:hAnsiTheme="minorHAnsi" w:cstheme="minorHAnsi"/>
          <w:sz w:val="22"/>
          <w:szCs w:val="22"/>
        </w:rPr>
        <w:t xml:space="preserve"> </w:t>
      </w:r>
      <w:r w:rsidR="007C26F5" w:rsidRPr="0091153F">
        <w:rPr>
          <w:rFonts w:asciiTheme="minorHAnsi" w:hAnsiTheme="minorHAnsi" w:cstheme="minorHAnsi"/>
          <w:sz w:val="22"/>
          <w:szCs w:val="22"/>
        </w:rPr>
        <w:t>Chalet Owner</w:t>
      </w:r>
    </w:p>
    <w:p w:rsidR="004A4D0D" w:rsidRPr="0091153F" w:rsidRDefault="004A4D0D" w:rsidP="00B90019">
      <w:pPr>
        <w:ind w:left="360" w:right="-1260"/>
        <w:rPr>
          <w:rFonts w:asciiTheme="minorHAnsi" w:hAnsiTheme="minorHAnsi" w:cstheme="minorHAnsi"/>
          <w:sz w:val="22"/>
          <w:szCs w:val="22"/>
        </w:rPr>
      </w:pPr>
    </w:p>
    <w:p w:rsidR="004A4D0D" w:rsidRPr="0091153F" w:rsidRDefault="004A4D0D" w:rsidP="00B90019">
      <w:pPr>
        <w:ind w:left="360" w:right="-1260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b/>
          <w:sz w:val="22"/>
          <w:szCs w:val="22"/>
          <w:u w:val="single"/>
        </w:rPr>
        <w:t xml:space="preserve">Re:  </w:t>
      </w:r>
      <w:r w:rsidR="00A66408" w:rsidRPr="0091153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C56F8" w:rsidRPr="0091153F">
        <w:rPr>
          <w:rFonts w:asciiTheme="minorHAnsi" w:hAnsiTheme="minorHAnsi" w:cstheme="minorHAnsi"/>
          <w:b/>
          <w:sz w:val="22"/>
          <w:szCs w:val="22"/>
          <w:u w:val="single"/>
        </w:rPr>
        <w:t xml:space="preserve">Electric Tariffs – Humberston Fitties </w:t>
      </w:r>
    </w:p>
    <w:p w:rsidR="004A4D0D" w:rsidRPr="0091153F" w:rsidRDefault="004A4D0D" w:rsidP="00B90019">
      <w:pPr>
        <w:ind w:left="360" w:right="-1260"/>
        <w:rPr>
          <w:rFonts w:asciiTheme="minorHAnsi" w:hAnsiTheme="minorHAnsi" w:cstheme="minorHAnsi"/>
          <w:sz w:val="22"/>
          <w:szCs w:val="22"/>
        </w:rPr>
      </w:pPr>
    </w:p>
    <w:p w:rsidR="00CE68D7" w:rsidRPr="0091153F" w:rsidRDefault="00096BA7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 xml:space="preserve">I am </w:t>
      </w:r>
      <w:r w:rsidR="001451D9" w:rsidRPr="0091153F">
        <w:rPr>
          <w:rFonts w:asciiTheme="minorHAnsi" w:hAnsiTheme="minorHAnsi" w:cstheme="minorHAnsi"/>
          <w:sz w:val="22"/>
          <w:szCs w:val="22"/>
        </w:rPr>
        <w:t xml:space="preserve">writing to inform you that </w:t>
      </w:r>
      <w:r w:rsidRPr="0091153F">
        <w:rPr>
          <w:rFonts w:asciiTheme="minorHAnsi" w:hAnsiTheme="minorHAnsi" w:cstheme="minorHAnsi"/>
          <w:sz w:val="22"/>
          <w:szCs w:val="22"/>
        </w:rPr>
        <w:t xml:space="preserve">the electricity </w:t>
      </w:r>
      <w:r w:rsidR="00A745CC" w:rsidRPr="0091153F">
        <w:rPr>
          <w:rFonts w:asciiTheme="minorHAnsi" w:hAnsiTheme="minorHAnsi" w:cstheme="minorHAnsi"/>
          <w:sz w:val="22"/>
          <w:szCs w:val="22"/>
        </w:rPr>
        <w:t>tariffs charged to</w:t>
      </w:r>
      <w:r w:rsidRPr="0091153F">
        <w:rPr>
          <w:rFonts w:asciiTheme="minorHAnsi" w:hAnsiTheme="minorHAnsi" w:cstheme="minorHAnsi"/>
          <w:sz w:val="22"/>
          <w:szCs w:val="22"/>
        </w:rPr>
        <w:t xml:space="preserve"> the Council from Bourne Leisure have increased.  </w:t>
      </w:r>
      <w:r w:rsidR="00CE68D7" w:rsidRPr="0091153F">
        <w:rPr>
          <w:rFonts w:asciiTheme="minorHAnsi" w:hAnsiTheme="minorHAnsi" w:cstheme="minorHAnsi"/>
          <w:sz w:val="22"/>
          <w:szCs w:val="22"/>
        </w:rPr>
        <w:t xml:space="preserve">The new rates are detailed in </w:t>
      </w:r>
      <w:r w:rsidR="00DC2F83" w:rsidRPr="0091153F">
        <w:rPr>
          <w:rFonts w:asciiTheme="minorHAnsi" w:hAnsiTheme="minorHAnsi" w:cstheme="minorHAnsi"/>
          <w:sz w:val="22"/>
          <w:szCs w:val="22"/>
        </w:rPr>
        <w:t>the</w:t>
      </w:r>
      <w:r w:rsidR="00CE68D7" w:rsidRPr="0091153F">
        <w:rPr>
          <w:rFonts w:asciiTheme="minorHAnsi" w:hAnsiTheme="minorHAnsi" w:cstheme="minorHAnsi"/>
          <w:sz w:val="22"/>
          <w:szCs w:val="22"/>
        </w:rPr>
        <w:t xml:space="preserve"> table</w:t>
      </w:r>
      <w:r w:rsidR="00DC2F83" w:rsidRPr="0091153F">
        <w:rPr>
          <w:rFonts w:asciiTheme="minorHAnsi" w:hAnsiTheme="minorHAnsi" w:cstheme="minorHAnsi"/>
          <w:sz w:val="22"/>
          <w:szCs w:val="22"/>
        </w:rPr>
        <w:t xml:space="preserve"> below</w:t>
      </w:r>
      <w:r w:rsidR="001451D9" w:rsidRPr="0091153F">
        <w:rPr>
          <w:rFonts w:asciiTheme="minorHAnsi" w:hAnsiTheme="minorHAnsi" w:cstheme="minorHAnsi"/>
          <w:sz w:val="22"/>
          <w:szCs w:val="22"/>
        </w:rPr>
        <w:t>:</w:t>
      </w:r>
    </w:p>
    <w:p w:rsidR="00A745CC" w:rsidRPr="0091153F" w:rsidRDefault="00A745CC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p w:rsidR="00FF3AB8" w:rsidRDefault="00FF3AB8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48"/>
        <w:gridCol w:w="1418"/>
      </w:tblGrid>
      <w:tr w:rsidR="00FF3AB8" w:rsidRPr="00FF3AB8" w:rsidTr="00FF3AB8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AB8" w:rsidRPr="00FF3AB8" w:rsidRDefault="00FF3AB8">
            <w:pPr>
              <w:ind w:left="360" w:right="-1788" w:hanging="29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right="-1788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sz w:val="22"/>
                <w:szCs w:val="22"/>
              </w:rPr>
              <w:t>Original Rate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right="-1788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New Rate</w:t>
            </w:r>
          </w:p>
        </w:tc>
      </w:tr>
      <w:tr w:rsidR="00FF3AB8" w:rsidRPr="00FF3AB8" w:rsidTr="00FF3AB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left="360" w:right="-1788" w:hanging="29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sz w:val="22"/>
                <w:szCs w:val="22"/>
              </w:rPr>
              <w:t>Day Rate: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right="-178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sz w:val="22"/>
                <w:szCs w:val="22"/>
              </w:rPr>
              <w:t>0.067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right="-1788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0.0841</w:t>
            </w:r>
          </w:p>
        </w:tc>
      </w:tr>
      <w:tr w:rsidR="00FF3AB8" w:rsidRPr="00FF3AB8" w:rsidTr="00FF3AB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left="360" w:right="-1788" w:hanging="29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sz w:val="22"/>
                <w:szCs w:val="22"/>
              </w:rPr>
              <w:t>Night Rate: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right="-178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sz w:val="22"/>
                <w:szCs w:val="22"/>
              </w:rPr>
              <w:t>0.052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right="-1788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0.0674</w:t>
            </w:r>
          </w:p>
        </w:tc>
      </w:tr>
      <w:tr w:rsidR="00FF3AB8" w:rsidRPr="00FF3AB8" w:rsidTr="00FF3AB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left="66" w:right="-178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sz w:val="22"/>
                <w:szCs w:val="22"/>
              </w:rPr>
              <w:t>Standing Charge (per week):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right="-178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sz w:val="22"/>
                <w:szCs w:val="22"/>
              </w:rPr>
              <w:t>0.51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AB8" w:rsidRPr="00FF3AB8" w:rsidRDefault="00FF3AB8">
            <w:pPr>
              <w:ind w:right="-1788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F3A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0.5912</w:t>
            </w:r>
          </w:p>
        </w:tc>
      </w:tr>
    </w:tbl>
    <w:p w:rsidR="00FF3AB8" w:rsidRPr="0091153F" w:rsidRDefault="00FF3AB8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p w:rsidR="00096BA7" w:rsidRPr="0091153F" w:rsidRDefault="00096BA7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p w:rsidR="0091153F" w:rsidRPr="0091153F" w:rsidRDefault="00A745CC" w:rsidP="0091153F">
      <w:pPr>
        <w:ind w:left="360" w:right="-1788"/>
        <w:jc w:val="both"/>
        <w:rPr>
          <w:rFonts w:ascii="Calibri" w:hAnsi="Calibri" w:cs="Calibr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 xml:space="preserve">The actual tariffs over the past </w:t>
      </w:r>
      <w:r w:rsidR="0091153F">
        <w:rPr>
          <w:rFonts w:asciiTheme="minorHAnsi" w:hAnsiTheme="minorHAnsi" w:cstheme="minorHAnsi"/>
          <w:sz w:val="22"/>
          <w:szCs w:val="22"/>
        </w:rPr>
        <w:t>24</w:t>
      </w:r>
      <w:r w:rsidRPr="0091153F">
        <w:rPr>
          <w:rFonts w:asciiTheme="minorHAnsi" w:hAnsiTheme="minorHAnsi" w:cstheme="minorHAnsi"/>
          <w:sz w:val="22"/>
          <w:szCs w:val="22"/>
        </w:rPr>
        <w:t xml:space="preserve"> months have been somewhat volatile although the Council only became aware of this when it was notified by Bourne Leisure </w:t>
      </w:r>
      <w:r w:rsidR="0091153F">
        <w:rPr>
          <w:rFonts w:asciiTheme="minorHAnsi" w:hAnsiTheme="minorHAnsi" w:cstheme="minorHAnsi"/>
          <w:sz w:val="22"/>
          <w:szCs w:val="22"/>
        </w:rPr>
        <w:t>during</w:t>
      </w:r>
      <w:r w:rsidRPr="0091153F">
        <w:rPr>
          <w:rFonts w:asciiTheme="minorHAnsi" w:hAnsiTheme="minorHAnsi" w:cstheme="minorHAnsi"/>
          <w:sz w:val="22"/>
          <w:szCs w:val="22"/>
        </w:rPr>
        <w:t xml:space="preserve"> November 2013.  These </w:t>
      </w:r>
      <w:r w:rsidR="0091153F">
        <w:rPr>
          <w:rFonts w:asciiTheme="minorHAnsi" w:hAnsiTheme="minorHAnsi" w:cstheme="minorHAnsi"/>
          <w:sz w:val="22"/>
          <w:szCs w:val="22"/>
        </w:rPr>
        <w:t xml:space="preserve">new </w:t>
      </w:r>
      <w:r w:rsidRPr="0091153F">
        <w:rPr>
          <w:rFonts w:asciiTheme="minorHAnsi" w:hAnsiTheme="minorHAnsi" w:cstheme="minorHAnsi"/>
          <w:sz w:val="22"/>
          <w:szCs w:val="22"/>
        </w:rPr>
        <w:t xml:space="preserve">tariffs along with the previous ones that have </w:t>
      </w:r>
      <w:r w:rsidR="0091153F">
        <w:rPr>
          <w:rFonts w:asciiTheme="minorHAnsi" w:hAnsiTheme="minorHAnsi" w:cstheme="minorHAnsi"/>
          <w:sz w:val="22"/>
          <w:szCs w:val="22"/>
        </w:rPr>
        <w:t xml:space="preserve">now </w:t>
      </w:r>
      <w:r w:rsidRPr="0091153F">
        <w:rPr>
          <w:rFonts w:asciiTheme="minorHAnsi" w:hAnsiTheme="minorHAnsi" w:cstheme="minorHAnsi"/>
          <w:sz w:val="22"/>
          <w:szCs w:val="22"/>
        </w:rPr>
        <w:t xml:space="preserve">been charged to </w:t>
      </w:r>
      <w:r w:rsidR="0091153F">
        <w:rPr>
          <w:rFonts w:asciiTheme="minorHAnsi" w:hAnsiTheme="minorHAnsi" w:cstheme="minorHAnsi"/>
          <w:sz w:val="22"/>
          <w:szCs w:val="22"/>
        </w:rPr>
        <w:t>the Council</w:t>
      </w:r>
      <w:r w:rsidRPr="0091153F">
        <w:rPr>
          <w:rFonts w:asciiTheme="minorHAnsi" w:hAnsiTheme="minorHAnsi" w:cstheme="minorHAnsi"/>
          <w:sz w:val="22"/>
          <w:szCs w:val="22"/>
        </w:rPr>
        <w:t xml:space="preserve"> have been posted on the Councils website.  Despite the overall cost of the electricity increasing over the last 2 years, the cost of this </w:t>
      </w:r>
      <w:r w:rsidRPr="0091153F">
        <w:rPr>
          <w:rFonts w:asciiTheme="minorHAnsi" w:hAnsiTheme="minorHAnsi" w:cstheme="minorHAnsi"/>
          <w:b/>
          <w:sz w:val="22"/>
          <w:szCs w:val="22"/>
        </w:rPr>
        <w:t>will not</w:t>
      </w:r>
      <w:r w:rsidR="0091153F">
        <w:rPr>
          <w:rFonts w:asciiTheme="minorHAnsi" w:hAnsiTheme="minorHAnsi" w:cstheme="minorHAnsi"/>
          <w:sz w:val="22"/>
          <w:szCs w:val="22"/>
        </w:rPr>
        <w:t xml:space="preserve"> be passed on to C</w:t>
      </w:r>
      <w:r w:rsidRPr="0091153F">
        <w:rPr>
          <w:rFonts w:asciiTheme="minorHAnsi" w:hAnsiTheme="minorHAnsi" w:cstheme="minorHAnsi"/>
          <w:sz w:val="22"/>
          <w:szCs w:val="22"/>
        </w:rPr>
        <w:t xml:space="preserve">halet owners.  </w:t>
      </w:r>
      <w:r w:rsidR="0091153F" w:rsidRPr="0091153F">
        <w:rPr>
          <w:rFonts w:ascii="Calibri" w:hAnsi="Calibri" w:cs="Calibri"/>
          <w:sz w:val="22"/>
          <w:szCs w:val="22"/>
        </w:rPr>
        <w:t>It should also be noted that the Council are now being charged a unit tariff for the Standing Charge, which was previously a single charge for the whole of Fitties and calculated by applying a formula.</w:t>
      </w:r>
    </w:p>
    <w:p w:rsidR="00096BA7" w:rsidRPr="0091153F" w:rsidRDefault="00096BA7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p w:rsidR="00D93908" w:rsidRPr="0091153F" w:rsidRDefault="00DC2F83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>An</w:t>
      </w:r>
      <w:r w:rsidR="001451D9" w:rsidRPr="0091153F">
        <w:rPr>
          <w:rFonts w:asciiTheme="minorHAnsi" w:hAnsiTheme="minorHAnsi" w:cstheme="minorHAnsi"/>
          <w:sz w:val="22"/>
          <w:szCs w:val="22"/>
        </w:rPr>
        <w:t xml:space="preserve"> electrician </w:t>
      </w:r>
      <w:r w:rsidR="00096BA7" w:rsidRPr="0091153F">
        <w:rPr>
          <w:rFonts w:asciiTheme="minorHAnsi" w:hAnsiTheme="minorHAnsi" w:cstheme="minorHAnsi"/>
          <w:sz w:val="22"/>
          <w:szCs w:val="22"/>
        </w:rPr>
        <w:t xml:space="preserve">will </w:t>
      </w:r>
      <w:r w:rsidR="0091153F">
        <w:rPr>
          <w:rFonts w:asciiTheme="minorHAnsi" w:hAnsiTheme="minorHAnsi" w:cstheme="minorHAnsi"/>
          <w:sz w:val="22"/>
          <w:szCs w:val="22"/>
        </w:rPr>
        <w:t xml:space="preserve">soon </w:t>
      </w:r>
      <w:r w:rsidR="00096BA7" w:rsidRPr="0091153F">
        <w:rPr>
          <w:rFonts w:asciiTheme="minorHAnsi" w:hAnsiTheme="minorHAnsi" w:cstheme="minorHAnsi"/>
          <w:sz w:val="22"/>
          <w:szCs w:val="22"/>
        </w:rPr>
        <w:t>be</w:t>
      </w:r>
      <w:r w:rsidR="001451D9" w:rsidRPr="0091153F">
        <w:rPr>
          <w:rFonts w:asciiTheme="minorHAnsi" w:hAnsiTheme="minorHAnsi" w:cstheme="minorHAnsi"/>
          <w:sz w:val="22"/>
          <w:szCs w:val="22"/>
        </w:rPr>
        <w:t xml:space="preserve"> instructed to a</w:t>
      </w:r>
      <w:r w:rsidR="00096BA7" w:rsidRPr="0091153F">
        <w:rPr>
          <w:rFonts w:asciiTheme="minorHAnsi" w:hAnsiTheme="minorHAnsi" w:cstheme="minorHAnsi"/>
          <w:sz w:val="22"/>
          <w:szCs w:val="22"/>
        </w:rPr>
        <w:t xml:space="preserve">mend all the meters on the site.  This work is being programmed in </w:t>
      </w:r>
      <w:r w:rsidR="00FF3AB8">
        <w:rPr>
          <w:rFonts w:asciiTheme="minorHAnsi" w:hAnsiTheme="minorHAnsi" w:cstheme="minorHAnsi"/>
          <w:sz w:val="22"/>
          <w:szCs w:val="22"/>
        </w:rPr>
        <w:t>during</w:t>
      </w:r>
      <w:r w:rsidR="00096BA7" w:rsidRPr="0091153F">
        <w:rPr>
          <w:rFonts w:asciiTheme="minorHAnsi" w:hAnsiTheme="minorHAnsi" w:cstheme="minorHAnsi"/>
          <w:sz w:val="22"/>
          <w:szCs w:val="22"/>
        </w:rPr>
        <w:t xml:space="preserve"> March</w:t>
      </w:r>
      <w:r w:rsidR="00FF3AB8">
        <w:rPr>
          <w:rFonts w:asciiTheme="minorHAnsi" w:hAnsiTheme="minorHAnsi" w:cstheme="minorHAnsi"/>
          <w:sz w:val="22"/>
          <w:szCs w:val="22"/>
        </w:rPr>
        <w:t>/April</w:t>
      </w:r>
      <w:r w:rsidR="00096BA7" w:rsidRPr="0091153F">
        <w:rPr>
          <w:rFonts w:asciiTheme="minorHAnsi" w:hAnsiTheme="minorHAnsi" w:cstheme="minorHAnsi"/>
          <w:sz w:val="22"/>
          <w:szCs w:val="22"/>
        </w:rPr>
        <w:t xml:space="preserve"> </w:t>
      </w:r>
      <w:r w:rsidR="0091153F">
        <w:rPr>
          <w:rFonts w:asciiTheme="minorHAnsi" w:hAnsiTheme="minorHAnsi" w:cstheme="minorHAnsi"/>
          <w:sz w:val="22"/>
          <w:szCs w:val="22"/>
        </w:rPr>
        <w:t>2014</w:t>
      </w:r>
      <w:r w:rsidR="00FF3AB8">
        <w:rPr>
          <w:rFonts w:asciiTheme="minorHAnsi" w:hAnsiTheme="minorHAnsi" w:cstheme="minorHAnsi"/>
          <w:sz w:val="22"/>
          <w:szCs w:val="22"/>
        </w:rPr>
        <w:t xml:space="preserve"> now that the</w:t>
      </w:r>
      <w:r w:rsidR="00096BA7" w:rsidRPr="0091153F">
        <w:rPr>
          <w:rFonts w:asciiTheme="minorHAnsi" w:hAnsiTheme="minorHAnsi" w:cstheme="minorHAnsi"/>
          <w:sz w:val="22"/>
          <w:szCs w:val="22"/>
        </w:rPr>
        <w:t xml:space="preserve"> Closed Season has </w:t>
      </w:r>
      <w:r w:rsidR="00FF3AB8">
        <w:rPr>
          <w:rFonts w:asciiTheme="minorHAnsi" w:hAnsiTheme="minorHAnsi" w:cstheme="minorHAnsi"/>
          <w:sz w:val="22"/>
          <w:szCs w:val="22"/>
        </w:rPr>
        <w:t xml:space="preserve">passed </w:t>
      </w:r>
      <w:r w:rsidR="00096BA7" w:rsidRPr="0091153F">
        <w:rPr>
          <w:rFonts w:asciiTheme="minorHAnsi" w:hAnsiTheme="minorHAnsi" w:cstheme="minorHAnsi"/>
          <w:sz w:val="22"/>
          <w:szCs w:val="22"/>
        </w:rPr>
        <w:t>and we will write to you near</w:t>
      </w:r>
      <w:r w:rsidR="0091153F">
        <w:rPr>
          <w:rFonts w:asciiTheme="minorHAnsi" w:hAnsiTheme="minorHAnsi" w:cstheme="minorHAnsi"/>
          <w:sz w:val="22"/>
          <w:szCs w:val="22"/>
        </w:rPr>
        <w:t>er</w:t>
      </w:r>
      <w:r w:rsidR="00096BA7" w:rsidRPr="0091153F">
        <w:rPr>
          <w:rFonts w:asciiTheme="minorHAnsi" w:hAnsiTheme="minorHAnsi" w:cstheme="minorHAnsi"/>
          <w:sz w:val="22"/>
          <w:szCs w:val="22"/>
        </w:rPr>
        <w:t xml:space="preserve"> the time to confirm the actual date(s).</w:t>
      </w:r>
    </w:p>
    <w:p w:rsidR="008A56DA" w:rsidRPr="0091153F" w:rsidRDefault="008A56DA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p w:rsidR="001451D9" w:rsidRPr="0091153F" w:rsidRDefault="001451D9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 xml:space="preserve">If you have any queries please do not hesitate to contact us on the above number.  </w:t>
      </w:r>
    </w:p>
    <w:p w:rsidR="00D93908" w:rsidRPr="0091153F" w:rsidRDefault="00D93908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p w:rsidR="004A4D0D" w:rsidRPr="0091153F" w:rsidRDefault="00A42868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 xml:space="preserve">Yours </w:t>
      </w:r>
      <w:r w:rsidR="001451D9" w:rsidRPr="0091153F">
        <w:rPr>
          <w:rFonts w:asciiTheme="minorHAnsi" w:hAnsiTheme="minorHAnsi" w:cstheme="minorHAnsi"/>
          <w:sz w:val="22"/>
          <w:szCs w:val="22"/>
        </w:rPr>
        <w:t>sincerely</w:t>
      </w:r>
    </w:p>
    <w:p w:rsidR="008A56DA" w:rsidRPr="0091153F" w:rsidRDefault="008A56DA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p w:rsidR="00075A41" w:rsidRPr="0091153F" w:rsidRDefault="007C26F5" w:rsidP="0091153F">
      <w:pPr>
        <w:ind w:left="360" w:right="-17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53F">
        <w:rPr>
          <w:rFonts w:asciiTheme="minorHAnsi" w:hAnsiTheme="minorHAnsi" w:cstheme="minorHAnsi"/>
          <w:b/>
          <w:sz w:val="22"/>
          <w:szCs w:val="22"/>
        </w:rPr>
        <w:t>Estates and Valuation</w:t>
      </w:r>
    </w:p>
    <w:p w:rsidR="00DC2F83" w:rsidRPr="0091153F" w:rsidRDefault="00DC2F83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</w:p>
    <w:p w:rsidR="00A66408" w:rsidRPr="0091153F" w:rsidRDefault="008C56F8" w:rsidP="0091153F">
      <w:pPr>
        <w:ind w:left="360" w:right="-1788"/>
        <w:jc w:val="both"/>
        <w:rPr>
          <w:rFonts w:asciiTheme="minorHAnsi" w:hAnsiTheme="minorHAnsi" w:cstheme="minorHAnsi"/>
          <w:sz w:val="22"/>
          <w:szCs w:val="22"/>
        </w:rPr>
      </w:pPr>
      <w:r w:rsidRPr="0091153F">
        <w:rPr>
          <w:rFonts w:asciiTheme="minorHAnsi" w:hAnsiTheme="minorHAnsi" w:cstheme="minorHAnsi"/>
          <w:sz w:val="22"/>
          <w:szCs w:val="22"/>
        </w:rPr>
        <w:t xml:space="preserve">The Estates &amp; Valuation Team </w:t>
      </w:r>
    </w:p>
    <w:sectPr w:rsidR="00A66408" w:rsidRPr="0091153F" w:rsidSect="00A874E0">
      <w:pgSz w:w="11906" w:h="16838"/>
      <w:pgMar w:top="1440" w:right="2909" w:bottom="14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F4" w:rsidRDefault="009052F4">
      <w:r>
        <w:separator/>
      </w:r>
    </w:p>
  </w:endnote>
  <w:endnote w:type="continuationSeparator" w:id="0">
    <w:p w:rsidR="009052F4" w:rsidRDefault="009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F4" w:rsidRDefault="009052F4">
      <w:r>
        <w:separator/>
      </w:r>
    </w:p>
  </w:footnote>
  <w:footnote w:type="continuationSeparator" w:id="0">
    <w:p w:rsidR="009052F4" w:rsidRDefault="0090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9539B8"/>
    <w:multiLevelType w:val="hybridMultilevel"/>
    <w:tmpl w:val="0CCE8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8B8"/>
    <w:rsid w:val="000206BB"/>
    <w:rsid w:val="00053688"/>
    <w:rsid w:val="000726BB"/>
    <w:rsid w:val="00075A41"/>
    <w:rsid w:val="00095C7D"/>
    <w:rsid w:val="00096BA7"/>
    <w:rsid w:val="000A21D4"/>
    <w:rsid w:val="000D5FFE"/>
    <w:rsid w:val="001451D9"/>
    <w:rsid w:val="001D4BE0"/>
    <w:rsid w:val="001F24D1"/>
    <w:rsid w:val="00230890"/>
    <w:rsid w:val="00236526"/>
    <w:rsid w:val="00237837"/>
    <w:rsid w:val="0028231B"/>
    <w:rsid w:val="0028485C"/>
    <w:rsid w:val="002C4270"/>
    <w:rsid w:val="002D0601"/>
    <w:rsid w:val="002F1FF2"/>
    <w:rsid w:val="003313A8"/>
    <w:rsid w:val="003335F9"/>
    <w:rsid w:val="00340583"/>
    <w:rsid w:val="00421838"/>
    <w:rsid w:val="004336F0"/>
    <w:rsid w:val="0047155B"/>
    <w:rsid w:val="004A4D0D"/>
    <w:rsid w:val="0050034E"/>
    <w:rsid w:val="00512F4A"/>
    <w:rsid w:val="00563250"/>
    <w:rsid w:val="005B7E88"/>
    <w:rsid w:val="005F5FDD"/>
    <w:rsid w:val="00631501"/>
    <w:rsid w:val="00647B4F"/>
    <w:rsid w:val="006920F6"/>
    <w:rsid w:val="006A58B8"/>
    <w:rsid w:val="006B0135"/>
    <w:rsid w:val="006D76A6"/>
    <w:rsid w:val="006E6C79"/>
    <w:rsid w:val="007C26F5"/>
    <w:rsid w:val="007F168F"/>
    <w:rsid w:val="008423B7"/>
    <w:rsid w:val="00871933"/>
    <w:rsid w:val="008A380B"/>
    <w:rsid w:val="008A56DA"/>
    <w:rsid w:val="008C56F8"/>
    <w:rsid w:val="008C61AC"/>
    <w:rsid w:val="009052F4"/>
    <w:rsid w:val="0091153F"/>
    <w:rsid w:val="00927F4B"/>
    <w:rsid w:val="009A5170"/>
    <w:rsid w:val="009C2E8A"/>
    <w:rsid w:val="009C36ED"/>
    <w:rsid w:val="00A21C0F"/>
    <w:rsid w:val="00A23596"/>
    <w:rsid w:val="00A42868"/>
    <w:rsid w:val="00A56817"/>
    <w:rsid w:val="00A66408"/>
    <w:rsid w:val="00A745CC"/>
    <w:rsid w:val="00A874E0"/>
    <w:rsid w:val="00AA4F70"/>
    <w:rsid w:val="00AF11B9"/>
    <w:rsid w:val="00B41F3A"/>
    <w:rsid w:val="00B72839"/>
    <w:rsid w:val="00B90019"/>
    <w:rsid w:val="00BD2083"/>
    <w:rsid w:val="00CB3B49"/>
    <w:rsid w:val="00CE68D7"/>
    <w:rsid w:val="00D43245"/>
    <w:rsid w:val="00D93908"/>
    <w:rsid w:val="00DC0D90"/>
    <w:rsid w:val="00DC2F83"/>
    <w:rsid w:val="00E5103E"/>
    <w:rsid w:val="00F202C3"/>
    <w:rsid w:val="00F36D66"/>
    <w:rsid w:val="00F50BCE"/>
    <w:rsid w:val="00FD1E97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58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16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A58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168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4058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874E0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D93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A497-4C91-482C-9B33-9B25B137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F9B6BA2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text here,</vt:lpstr>
    </vt:vector>
  </TitlesOfParts>
  <Company>North East Lincolnshire Council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text here,</dc:title>
  <dc:subject/>
  <dc:creator>Loader, Susan</dc:creator>
  <cp:keywords/>
  <dc:description/>
  <cp:lastModifiedBy>Durrant, Paul</cp:lastModifiedBy>
  <cp:revision>2</cp:revision>
  <cp:lastPrinted>2013-02-05T15:33:00Z</cp:lastPrinted>
  <dcterms:created xsi:type="dcterms:W3CDTF">2014-02-27T10:06:00Z</dcterms:created>
  <dcterms:modified xsi:type="dcterms:W3CDTF">2014-02-27T10:06:00Z</dcterms:modified>
</cp:coreProperties>
</file>