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640" w:rsidRDefault="003740D0" w:rsidP="003740D0">
      <w:pPr>
        <w:jc w:val="center"/>
        <w:rPr>
          <w:b/>
        </w:rPr>
      </w:pPr>
      <w:r>
        <w:rPr>
          <w:b/>
        </w:rPr>
        <w:t>Grimsby Town Hall</w:t>
      </w:r>
    </w:p>
    <w:p w:rsidR="003740D0" w:rsidRDefault="003740D0" w:rsidP="003740D0">
      <w:pPr>
        <w:jc w:val="center"/>
        <w:rPr>
          <w:b/>
        </w:rPr>
      </w:pPr>
    </w:p>
    <w:p w:rsidR="003740D0" w:rsidRDefault="003740D0" w:rsidP="003740D0">
      <w:pPr>
        <w:jc w:val="center"/>
      </w:pPr>
      <w:r>
        <w:rPr>
          <w:b/>
        </w:rPr>
        <w:t>Terms and Conditions of Hire</w:t>
      </w:r>
    </w:p>
    <w:p w:rsidR="003740D0" w:rsidRDefault="003740D0" w:rsidP="003740D0">
      <w:pPr>
        <w:jc w:val="center"/>
      </w:pPr>
    </w:p>
    <w:p w:rsidR="003740D0" w:rsidRDefault="003740D0" w:rsidP="003740D0">
      <w:r>
        <w:rPr>
          <w:b/>
        </w:rPr>
        <w:t>DEFINITIONS</w:t>
      </w:r>
    </w:p>
    <w:p w:rsidR="003740D0" w:rsidRDefault="003740D0" w:rsidP="003740D0"/>
    <w:p w:rsidR="003740D0" w:rsidRDefault="003740D0" w:rsidP="003740D0">
      <w:r>
        <w:rPr>
          <w:b/>
        </w:rPr>
        <w:t>Supervising Officer</w:t>
      </w:r>
    </w:p>
    <w:p w:rsidR="003740D0" w:rsidRDefault="003740D0" w:rsidP="003740D0"/>
    <w:p w:rsidR="003740D0" w:rsidRDefault="003740D0" w:rsidP="003740D0">
      <w:r>
        <w:t>The Supervising Officer shall be the Registrars and Civic Services Manager or such other officer for the time being in post as directed by the Chief Executive of North East Lincolnshire Council.</w:t>
      </w:r>
    </w:p>
    <w:p w:rsidR="003740D0" w:rsidRDefault="003740D0" w:rsidP="003740D0"/>
    <w:p w:rsidR="003740D0" w:rsidRDefault="003740D0" w:rsidP="003740D0">
      <w:r>
        <w:rPr>
          <w:b/>
        </w:rPr>
        <w:t>Authorised Officer</w:t>
      </w:r>
    </w:p>
    <w:p w:rsidR="003740D0" w:rsidRDefault="003740D0" w:rsidP="003740D0"/>
    <w:p w:rsidR="003740D0" w:rsidRDefault="003740D0" w:rsidP="003740D0">
      <w:r>
        <w:t>Any Officer of the Council or other statutory officer authorised by the Supervising Officer.</w:t>
      </w:r>
    </w:p>
    <w:p w:rsidR="003740D0" w:rsidRDefault="003740D0" w:rsidP="003740D0"/>
    <w:p w:rsidR="003740D0" w:rsidRPr="003740D0" w:rsidRDefault="003740D0" w:rsidP="003740D0">
      <w:pPr>
        <w:pStyle w:val="ListParagraph"/>
        <w:numPr>
          <w:ilvl w:val="0"/>
          <w:numId w:val="1"/>
        </w:numPr>
      </w:pPr>
      <w:r w:rsidRPr="003740D0">
        <w:rPr>
          <w:b/>
        </w:rPr>
        <w:t>APPLICATION FOR HIRE</w:t>
      </w:r>
    </w:p>
    <w:p w:rsidR="003740D0" w:rsidRDefault="003740D0" w:rsidP="003740D0"/>
    <w:p w:rsidR="003740D0" w:rsidRDefault="003740D0" w:rsidP="00B61541">
      <w:pPr>
        <w:pStyle w:val="ListParagraph"/>
        <w:numPr>
          <w:ilvl w:val="1"/>
          <w:numId w:val="1"/>
        </w:numPr>
        <w:ind w:left="720"/>
      </w:pPr>
      <w:r>
        <w:t>All applications for the hire of any premises must be made in writing on the prescribed form and, when completed, shall be returned to:</w:t>
      </w:r>
    </w:p>
    <w:p w:rsidR="003740D0" w:rsidRDefault="003740D0" w:rsidP="00B61541">
      <w:pPr>
        <w:ind w:left="720"/>
        <w:rPr>
          <w:i/>
        </w:rPr>
      </w:pPr>
      <w:r>
        <w:rPr>
          <w:b/>
          <w:i/>
        </w:rPr>
        <w:t>Job title to be defined</w:t>
      </w:r>
    </w:p>
    <w:p w:rsidR="003740D0" w:rsidRDefault="003740D0" w:rsidP="00B61541">
      <w:pPr>
        <w:ind w:left="720"/>
      </w:pPr>
      <w:r>
        <w:t>North East Lincolnshire Council</w:t>
      </w:r>
    </w:p>
    <w:p w:rsidR="003740D0" w:rsidRDefault="003740D0" w:rsidP="00B61541">
      <w:pPr>
        <w:ind w:left="720"/>
      </w:pPr>
      <w:r>
        <w:t>Grimsby Town Hall</w:t>
      </w:r>
    </w:p>
    <w:p w:rsidR="003740D0" w:rsidRDefault="003740D0" w:rsidP="00B61541">
      <w:pPr>
        <w:ind w:left="720"/>
      </w:pPr>
      <w:r>
        <w:t>Town Hall Square</w:t>
      </w:r>
    </w:p>
    <w:p w:rsidR="003740D0" w:rsidRDefault="003740D0" w:rsidP="00B61541">
      <w:pPr>
        <w:ind w:left="720"/>
      </w:pPr>
      <w:r>
        <w:t>GRIMSBY</w:t>
      </w:r>
    </w:p>
    <w:p w:rsidR="003740D0" w:rsidRDefault="003740D0" w:rsidP="00B61541">
      <w:pPr>
        <w:ind w:left="720"/>
      </w:pPr>
      <w:r>
        <w:t xml:space="preserve">North East Lincolnshire </w:t>
      </w:r>
    </w:p>
    <w:p w:rsidR="003740D0" w:rsidRDefault="003740D0" w:rsidP="00B61541">
      <w:pPr>
        <w:ind w:left="720"/>
      </w:pPr>
      <w:r>
        <w:t>DN31 1HX</w:t>
      </w:r>
    </w:p>
    <w:p w:rsidR="003740D0" w:rsidRDefault="003740D0" w:rsidP="00B61541">
      <w:pPr>
        <w:ind w:left="720"/>
      </w:pPr>
    </w:p>
    <w:p w:rsidR="003740D0" w:rsidRDefault="003740D0" w:rsidP="00B61541">
      <w:pPr>
        <w:ind w:firstLine="720"/>
      </w:pPr>
      <w:r>
        <w:t>All subsequent enquiries and correspondence shall be made to this address.</w:t>
      </w:r>
    </w:p>
    <w:p w:rsidR="003740D0" w:rsidRDefault="003740D0" w:rsidP="00B61541"/>
    <w:p w:rsidR="003740D0" w:rsidRDefault="003740D0" w:rsidP="00B61541">
      <w:pPr>
        <w:pStyle w:val="ListParagraph"/>
        <w:numPr>
          <w:ilvl w:val="1"/>
          <w:numId w:val="1"/>
        </w:numPr>
        <w:ind w:left="720"/>
      </w:pPr>
      <w:r>
        <w:t>Applications will not be accepted from persons under 18 years of age.</w:t>
      </w:r>
    </w:p>
    <w:p w:rsidR="003740D0" w:rsidRDefault="003740D0" w:rsidP="00B61541">
      <w:pPr>
        <w:pStyle w:val="ListParagraph"/>
        <w:ind w:left="0"/>
      </w:pPr>
    </w:p>
    <w:p w:rsidR="003740D0" w:rsidRDefault="003740D0" w:rsidP="00B61541">
      <w:pPr>
        <w:pStyle w:val="ListParagraph"/>
        <w:numPr>
          <w:ilvl w:val="1"/>
          <w:numId w:val="1"/>
        </w:numPr>
        <w:ind w:left="720"/>
      </w:pPr>
      <w:r>
        <w:t>The Council reserves the right to refuse any application for hire and shall not be required to offer any reason or explanation.</w:t>
      </w:r>
    </w:p>
    <w:p w:rsidR="003740D0" w:rsidRDefault="003740D0" w:rsidP="00B61541">
      <w:pPr>
        <w:pStyle w:val="ListParagraph"/>
        <w:ind w:left="0"/>
      </w:pPr>
    </w:p>
    <w:p w:rsidR="003740D0" w:rsidRDefault="001922BC" w:rsidP="00B61541">
      <w:pPr>
        <w:pStyle w:val="ListParagraph"/>
        <w:numPr>
          <w:ilvl w:val="1"/>
          <w:numId w:val="1"/>
        </w:numPr>
        <w:ind w:left="720"/>
      </w:pPr>
      <w:r>
        <w:t>No public announcement of the hiring shall be made until the application has been granted and the appropriate deposit or full fees paid.</w:t>
      </w:r>
    </w:p>
    <w:p w:rsidR="001922BC" w:rsidRDefault="001922BC" w:rsidP="00B61541">
      <w:pPr>
        <w:pStyle w:val="ListParagraph"/>
        <w:ind w:left="0"/>
      </w:pPr>
    </w:p>
    <w:p w:rsidR="001922BC" w:rsidRDefault="001922BC" w:rsidP="00B61541">
      <w:pPr>
        <w:pStyle w:val="ListParagraph"/>
        <w:numPr>
          <w:ilvl w:val="1"/>
          <w:numId w:val="1"/>
        </w:numPr>
        <w:ind w:left="720"/>
      </w:pPr>
      <w:r>
        <w:t>No booking will be deemed to be confirmed until such time as the deposit required, as set out below, has been received by the Council.</w:t>
      </w:r>
    </w:p>
    <w:p w:rsidR="001922BC" w:rsidRDefault="001922BC" w:rsidP="001922BC">
      <w:pPr>
        <w:pStyle w:val="ListParagraph"/>
      </w:pPr>
    </w:p>
    <w:p w:rsidR="001922BC" w:rsidRDefault="001922BC" w:rsidP="001922BC">
      <w:pPr>
        <w:pStyle w:val="ListParagraph"/>
        <w:numPr>
          <w:ilvl w:val="0"/>
          <w:numId w:val="1"/>
        </w:numPr>
      </w:pPr>
      <w:r>
        <w:rPr>
          <w:b/>
        </w:rPr>
        <w:t>PAYMENT OF CHARGES</w:t>
      </w:r>
    </w:p>
    <w:p w:rsidR="001922BC" w:rsidRDefault="001922BC" w:rsidP="001922BC"/>
    <w:p w:rsidR="001922BC" w:rsidRDefault="001922BC" w:rsidP="00081D02">
      <w:pPr>
        <w:pStyle w:val="ListParagraph"/>
        <w:numPr>
          <w:ilvl w:val="1"/>
          <w:numId w:val="1"/>
        </w:numPr>
        <w:ind w:left="720"/>
      </w:pPr>
      <w:r>
        <w:t>Where the hiring is to commence within two months of the date of acceptance of the application, the total fee is payable immediately.</w:t>
      </w:r>
    </w:p>
    <w:p w:rsidR="001922BC" w:rsidRDefault="001922BC" w:rsidP="00081D02"/>
    <w:p w:rsidR="001922BC" w:rsidRPr="009312AD" w:rsidRDefault="004A42E8" w:rsidP="00081D02">
      <w:pPr>
        <w:pStyle w:val="ListParagraph"/>
        <w:numPr>
          <w:ilvl w:val="1"/>
          <w:numId w:val="1"/>
        </w:numPr>
        <w:ind w:left="720"/>
      </w:pPr>
      <w:r>
        <w:t>A</w:t>
      </w:r>
      <w:r w:rsidR="001922BC">
        <w:t xml:space="preserve">fter the date of acceptance of the application a deposit of 25% of the charge is payable.  </w:t>
      </w:r>
      <w:r w:rsidR="001922BC" w:rsidRPr="004A42E8">
        <w:t>Payment is due within 30 days of the booking being formally accepted</w:t>
      </w:r>
      <w:r>
        <w:t>.</w:t>
      </w:r>
    </w:p>
    <w:p w:rsidR="001922BC" w:rsidRPr="009312AD" w:rsidRDefault="001922BC" w:rsidP="00081D02">
      <w:pPr>
        <w:pStyle w:val="ListParagraph"/>
        <w:ind w:left="0"/>
      </w:pPr>
    </w:p>
    <w:p w:rsidR="000860EC" w:rsidRDefault="001922BC" w:rsidP="00081D02">
      <w:pPr>
        <w:pStyle w:val="ListParagraph"/>
        <w:numPr>
          <w:ilvl w:val="1"/>
          <w:numId w:val="1"/>
        </w:numPr>
        <w:spacing w:before="240"/>
        <w:ind w:left="720"/>
      </w:pPr>
      <w:r>
        <w:lastRenderedPageBreak/>
        <w:t xml:space="preserve">The balance of the total charge is due and payable not less than one month before the commencement of the hiring and unless it is so paid the Council may cancel the hiring, retain the deposit already paid and recover the balance of monies payable to the hirer as though it were a cancellation by the hirer </w:t>
      </w:r>
      <w:r w:rsidRPr="004A42E8">
        <w:t>under the provisions of Condition 3.0 herein</w:t>
      </w:r>
      <w:r w:rsidR="004A42E8">
        <w:t>.</w:t>
      </w:r>
    </w:p>
    <w:p w:rsidR="000860EC" w:rsidRDefault="000860EC" w:rsidP="00081D02">
      <w:pPr>
        <w:pStyle w:val="ListParagraph"/>
        <w:ind w:left="0"/>
      </w:pPr>
    </w:p>
    <w:p w:rsidR="000860EC" w:rsidRDefault="001F063C" w:rsidP="00081D02">
      <w:pPr>
        <w:pStyle w:val="ListParagraph"/>
        <w:numPr>
          <w:ilvl w:val="1"/>
          <w:numId w:val="1"/>
        </w:numPr>
        <w:spacing w:before="240"/>
        <w:ind w:left="720"/>
      </w:pPr>
      <w:r>
        <w:t>Receipts will only be issued on written request accompanying payments.</w:t>
      </w:r>
    </w:p>
    <w:p w:rsidR="001F063C" w:rsidRDefault="001F063C" w:rsidP="00081D02">
      <w:pPr>
        <w:pStyle w:val="ListParagraph"/>
        <w:ind w:left="0"/>
      </w:pPr>
    </w:p>
    <w:p w:rsidR="001F063C" w:rsidRDefault="001F063C" w:rsidP="00081D02">
      <w:pPr>
        <w:pStyle w:val="ListParagraph"/>
        <w:numPr>
          <w:ilvl w:val="1"/>
          <w:numId w:val="1"/>
        </w:numPr>
        <w:spacing w:before="240"/>
        <w:ind w:left="720"/>
      </w:pPr>
      <w:r>
        <w:t>Price Increases : The Council reserves the right to increase prices without notice.  All bookings for events taking place af</w:t>
      </w:r>
      <w:r w:rsidR="006C5328">
        <w:t>ter any price increase shall be liable to the higher charge(s) for the facilities hired.</w:t>
      </w:r>
    </w:p>
    <w:p w:rsidR="006C5328" w:rsidRDefault="006C5328" w:rsidP="00081D02">
      <w:pPr>
        <w:pStyle w:val="ListParagraph"/>
        <w:ind w:left="0"/>
      </w:pPr>
    </w:p>
    <w:p w:rsidR="000860EC" w:rsidRDefault="006C5328" w:rsidP="00081D02">
      <w:pPr>
        <w:pStyle w:val="ListParagraph"/>
        <w:numPr>
          <w:ilvl w:val="1"/>
          <w:numId w:val="1"/>
        </w:numPr>
        <w:spacing w:before="240"/>
        <w:ind w:left="720"/>
      </w:pPr>
      <w:r>
        <w:t xml:space="preserve">Reduced Hire Charges and Free Lettings : </w:t>
      </w:r>
      <w:r w:rsidR="004A42E8">
        <w:t>N</w:t>
      </w:r>
      <w:r>
        <w:t xml:space="preserve">o reductions in hire charges will be granted with the sole exception that applications in writing from Registered Charitable and voluntary organisations may be considered.  See Appendix </w:t>
      </w:r>
      <w:r w:rsidR="00BA6DCC">
        <w:t>A</w:t>
      </w:r>
      <w:r w:rsidR="004A42E8">
        <w:t>.</w:t>
      </w:r>
    </w:p>
    <w:p w:rsidR="00B61541" w:rsidRDefault="00B61541" w:rsidP="00B61541">
      <w:pPr>
        <w:pStyle w:val="ListParagraph"/>
      </w:pPr>
    </w:p>
    <w:p w:rsidR="00605C9F" w:rsidRPr="000C292A" w:rsidRDefault="00B61541" w:rsidP="00605C9F">
      <w:pPr>
        <w:pStyle w:val="ListParagraph"/>
        <w:numPr>
          <w:ilvl w:val="0"/>
          <w:numId w:val="1"/>
        </w:numPr>
        <w:spacing w:before="240"/>
      </w:pPr>
      <w:r w:rsidRPr="00605C9F">
        <w:rPr>
          <w:b/>
        </w:rPr>
        <w:t>CANCELLATIONS</w:t>
      </w:r>
    </w:p>
    <w:p w:rsidR="00605C9F" w:rsidRDefault="00605C9F" w:rsidP="000C292A">
      <w:pPr>
        <w:pStyle w:val="ListParagraph"/>
        <w:ind w:left="0"/>
      </w:pPr>
    </w:p>
    <w:p w:rsidR="000C292A" w:rsidRDefault="000C292A" w:rsidP="000C292A">
      <w:r w:rsidRPr="000C292A">
        <w:rPr>
          <w:b/>
        </w:rPr>
        <w:t>1.</w:t>
      </w:r>
      <w:r>
        <w:rPr>
          <w:b/>
        </w:rPr>
        <w:tab/>
      </w:r>
      <w:r w:rsidR="009E2506">
        <w:t xml:space="preserve">In the event of any cancellation or termination of the hiring, no liability shall fall upon the </w:t>
      </w:r>
    </w:p>
    <w:p w:rsidR="00D85589" w:rsidRDefault="000C292A" w:rsidP="000C292A">
      <w:r>
        <w:tab/>
      </w:r>
      <w:r w:rsidR="009E2506">
        <w:t xml:space="preserve">Council, or any Officer of the Council, in respect of any loss sustained or expenses incurred </w:t>
      </w:r>
      <w:r>
        <w:tab/>
      </w:r>
      <w:r w:rsidR="009E2506">
        <w:t xml:space="preserve">by the hirer or any other person as a result thereof and hirers are advised to insure against </w:t>
      </w:r>
      <w:r>
        <w:tab/>
      </w:r>
      <w:r w:rsidR="009E2506">
        <w:t>such loss.</w:t>
      </w:r>
    </w:p>
    <w:p w:rsidR="000C292A" w:rsidRDefault="000C292A" w:rsidP="000C292A"/>
    <w:p w:rsidR="000C292A" w:rsidRDefault="000C292A" w:rsidP="000C292A">
      <w:r>
        <w:rPr>
          <w:b/>
        </w:rPr>
        <w:t>2.</w:t>
      </w:r>
      <w:r>
        <w:rPr>
          <w:b/>
        </w:rPr>
        <w:tab/>
      </w:r>
      <w:r w:rsidR="00B27098">
        <w:t xml:space="preserve">The Council may cancel or terminate any hiring if there is any omission from or </w:t>
      </w:r>
      <w:r w:rsidR="00B27098">
        <w:tab/>
        <w:t xml:space="preserve">misstatement in the application form, if the premises are hired or used for any purpose </w:t>
      </w:r>
      <w:r w:rsidR="00B27098">
        <w:tab/>
        <w:t xml:space="preserve">which they have not approved or if there is any breach of the Terms and Conditions of </w:t>
      </w:r>
      <w:r w:rsidR="00B27098">
        <w:tab/>
        <w:t>Hire.</w:t>
      </w:r>
    </w:p>
    <w:p w:rsidR="00B27098" w:rsidRDefault="00B27098" w:rsidP="000C292A"/>
    <w:p w:rsidR="00B27098" w:rsidRDefault="00B27098" w:rsidP="000C292A">
      <w:r>
        <w:rPr>
          <w:b/>
        </w:rPr>
        <w:t>3.</w:t>
      </w:r>
      <w:r>
        <w:tab/>
        <w:t xml:space="preserve">In the event of cancellations under paragraph </w:t>
      </w:r>
      <w:r>
        <w:rPr>
          <w:b/>
        </w:rPr>
        <w:t>3.0 (2)</w:t>
      </w:r>
      <w:r>
        <w:t xml:space="preserve"> above all fees and charges paid will </w:t>
      </w:r>
      <w:r>
        <w:tab/>
        <w:t xml:space="preserve">be forfeited and the hirer shall be liable to the Council for any costs, expenses and losses </w:t>
      </w:r>
      <w:r>
        <w:tab/>
        <w:t>incurred by the Council.</w:t>
      </w:r>
    </w:p>
    <w:p w:rsidR="00B27098" w:rsidRDefault="00B27098" w:rsidP="000C292A"/>
    <w:p w:rsidR="00B27098" w:rsidRDefault="00B27098" w:rsidP="000C292A">
      <w:r>
        <w:rPr>
          <w:b/>
        </w:rPr>
        <w:t>4.</w:t>
      </w:r>
      <w:r>
        <w:tab/>
        <w:t xml:space="preserve">The Council may cancel or terminate any hiring if the premises are required for any </w:t>
      </w:r>
      <w:r>
        <w:tab/>
        <w:t xml:space="preserve">purpose connected with a European, United Kingdom parliamentary or local authority </w:t>
      </w:r>
      <w:r>
        <w:tab/>
        <w:t xml:space="preserve">election or if the premises are required in connection with a major national or local </w:t>
      </w:r>
      <w:r>
        <w:tab/>
        <w:t xml:space="preserve">emergency and shall not thereby incur any liability whatsoever to the hirer other than for </w:t>
      </w:r>
      <w:r>
        <w:tab/>
        <w:t xml:space="preserve">the return of such hiring charges as shall have been paid by the hirer.  Hirers are strongly </w:t>
      </w:r>
      <w:r>
        <w:tab/>
        <w:t>advised to insure against this eventuality.</w:t>
      </w:r>
    </w:p>
    <w:p w:rsidR="00B27098" w:rsidRDefault="00B27098" w:rsidP="000C292A"/>
    <w:p w:rsidR="00B27098" w:rsidRDefault="00B27098" w:rsidP="000C292A">
      <w:r>
        <w:rPr>
          <w:b/>
        </w:rPr>
        <w:t>5.</w:t>
      </w:r>
      <w:r>
        <w:tab/>
        <w:t xml:space="preserve">If the hiring is cancelled by the hirer after a deposit has been paid the hirer shall be liable </w:t>
      </w:r>
      <w:r w:rsidR="00C178AF">
        <w:tab/>
      </w:r>
      <w:r>
        <w:t xml:space="preserve">for payment of the following percentage of the total hiring charge after allowing for the </w:t>
      </w:r>
      <w:r w:rsidR="00C178AF">
        <w:tab/>
      </w:r>
      <w:r>
        <w:t>deposit</w:t>
      </w:r>
      <w:r w:rsidR="00C178AF">
        <w:t xml:space="preserve"> </w:t>
      </w:r>
      <w:r>
        <w:t>already paid:</w:t>
      </w:r>
    </w:p>
    <w:p w:rsidR="00B27098" w:rsidRDefault="00B27098" w:rsidP="000C292A"/>
    <w:p w:rsidR="00B27098" w:rsidRDefault="00B27098" w:rsidP="000C292A">
      <w:r>
        <w:tab/>
      </w:r>
      <w:r>
        <w:rPr>
          <w:b/>
        </w:rPr>
        <w:t>5.1</w:t>
      </w:r>
      <w:r>
        <w:tab/>
        <w:t xml:space="preserve">where the notice of cancellation is received less than one month before the date of </w:t>
      </w:r>
      <w:r w:rsidR="00C178AF">
        <w:tab/>
      </w:r>
      <w:r w:rsidR="00C178AF">
        <w:tab/>
      </w:r>
      <w:r>
        <w:t>commencement</w:t>
      </w:r>
      <w:r w:rsidR="00C178AF">
        <w:t xml:space="preserve"> of the hiring: 100% of the full hire fees will be payable.</w:t>
      </w:r>
    </w:p>
    <w:p w:rsidR="00C178AF" w:rsidRDefault="00C178AF" w:rsidP="000C292A"/>
    <w:p w:rsidR="00C178AF" w:rsidRDefault="00C178AF" w:rsidP="000C292A">
      <w:r>
        <w:tab/>
      </w:r>
      <w:r>
        <w:rPr>
          <w:b/>
        </w:rPr>
        <w:t>5.2</w:t>
      </w:r>
      <w:r>
        <w:tab/>
        <w:t xml:space="preserve">where the notice of cancellation is received more than one but less than three </w:t>
      </w:r>
      <w:r>
        <w:tab/>
      </w:r>
      <w:r>
        <w:tab/>
      </w:r>
      <w:r>
        <w:tab/>
        <w:t xml:space="preserve">months before the date of commencement of the hiring: 75% of the full hire fees </w:t>
      </w:r>
      <w:r>
        <w:tab/>
      </w:r>
      <w:r>
        <w:tab/>
        <w:t>will be payable.</w:t>
      </w:r>
    </w:p>
    <w:p w:rsidR="00C178AF" w:rsidRDefault="00C178AF" w:rsidP="000C292A"/>
    <w:p w:rsidR="00C178AF" w:rsidRDefault="00C178AF" w:rsidP="000C292A">
      <w:r>
        <w:lastRenderedPageBreak/>
        <w:tab/>
      </w:r>
      <w:r>
        <w:rPr>
          <w:b/>
        </w:rPr>
        <w:t>5.3</w:t>
      </w:r>
      <w:r>
        <w:tab/>
        <w:t xml:space="preserve">where the notice of cancellation is received more than three months but less than </w:t>
      </w:r>
      <w:r>
        <w:tab/>
      </w:r>
      <w:r>
        <w:tab/>
        <w:t xml:space="preserve">six months before the date of commencement of hiring: 50% of the full hire fees </w:t>
      </w:r>
      <w:r>
        <w:tab/>
      </w:r>
      <w:r>
        <w:tab/>
      </w:r>
      <w:r>
        <w:tab/>
        <w:t>will be payable.</w:t>
      </w:r>
    </w:p>
    <w:p w:rsidR="00C178AF" w:rsidRDefault="00C178AF" w:rsidP="000C292A"/>
    <w:p w:rsidR="00C178AF" w:rsidRDefault="00C178AF" w:rsidP="000C292A">
      <w:r>
        <w:tab/>
      </w:r>
      <w:r>
        <w:rPr>
          <w:b/>
        </w:rPr>
        <w:t>5.4</w:t>
      </w:r>
      <w:r>
        <w:tab/>
        <w:t xml:space="preserve">where the notice of cancellation is received more than six months but less than one </w:t>
      </w:r>
      <w:r>
        <w:tab/>
      </w:r>
      <w:r>
        <w:tab/>
        <w:t xml:space="preserve">year before the date of commencement of the hiring: 25% of the full hire fees will </w:t>
      </w:r>
      <w:r>
        <w:tab/>
      </w:r>
      <w:r>
        <w:tab/>
        <w:t>be payable.</w:t>
      </w:r>
    </w:p>
    <w:p w:rsidR="00C178AF" w:rsidRDefault="00C178AF" w:rsidP="000C292A"/>
    <w:p w:rsidR="00C178AF" w:rsidRPr="00C178AF" w:rsidRDefault="00C178AF" w:rsidP="000C292A">
      <w:r>
        <w:tab/>
      </w:r>
      <w:r>
        <w:rPr>
          <w:b/>
        </w:rPr>
        <w:t>5.5</w:t>
      </w:r>
      <w:r>
        <w:tab/>
        <w:t xml:space="preserve">where the notice of cancellation is received more than one year before the date of </w:t>
      </w:r>
      <w:r>
        <w:tab/>
      </w:r>
      <w:r>
        <w:tab/>
        <w:t>commencement of the hiring: 10% of the full hire fees will be payable.</w:t>
      </w:r>
    </w:p>
    <w:p w:rsidR="00B27098" w:rsidRPr="00B27098" w:rsidRDefault="00B27098" w:rsidP="000C292A"/>
    <w:p w:rsidR="00B27098" w:rsidRDefault="00A27008" w:rsidP="000C292A">
      <w:r>
        <w:rPr>
          <w:b/>
        </w:rPr>
        <w:t>6.</w:t>
      </w:r>
      <w:r>
        <w:tab/>
        <w:t>Where the Supervising Officer reasonably believes that the hiring:</w:t>
      </w:r>
    </w:p>
    <w:p w:rsidR="00A27008" w:rsidRDefault="00A27008" w:rsidP="000C292A"/>
    <w:p w:rsidR="00A27008" w:rsidRDefault="00A27008" w:rsidP="000C292A">
      <w:r>
        <w:tab/>
        <w:t xml:space="preserve">Injures or is likely to injure the reputation of the Council or offends against any statute or </w:t>
      </w:r>
      <w:r>
        <w:tab/>
        <w:t xml:space="preserve">regulation binding upon the Council he may without further liability and at his absolute </w:t>
      </w:r>
      <w:r>
        <w:tab/>
        <w:t>discretion terminate the hiring immediately on notice.</w:t>
      </w:r>
    </w:p>
    <w:p w:rsidR="0051680E" w:rsidRDefault="0051680E" w:rsidP="000C292A"/>
    <w:p w:rsidR="0051680E" w:rsidRDefault="0051680E" w:rsidP="000C292A">
      <w:r>
        <w:rPr>
          <w:b/>
        </w:rPr>
        <w:t>4.0</w:t>
      </w:r>
      <w:r>
        <w:tab/>
      </w:r>
      <w:r>
        <w:rPr>
          <w:b/>
        </w:rPr>
        <w:t>SUB-LETTING</w:t>
      </w:r>
      <w:r>
        <w:tab/>
      </w:r>
    </w:p>
    <w:p w:rsidR="0051680E" w:rsidRDefault="0051680E" w:rsidP="000C292A"/>
    <w:p w:rsidR="0051680E" w:rsidRDefault="0051680E" w:rsidP="000C292A">
      <w:r>
        <w:rPr>
          <w:b/>
        </w:rPr>
        <w:t>1.</w:t>
      </w:r>
      <w:r>
        <w:rPr>
          <w:b/>
        </w:rPr>
        <w:tab/>
      </w:r>
      <w:r>
        <w:t>The hirer shall not sub-let, or attempt to sub-let, the premises of part thereof.</w:t>
      </w:r>
    </w:p>
    <w:p w:rsidR="0051680E" w:rsidRDefault="0051680E" w:rsidP="000C292A"/>
    <w:p w:rsidR="0051680E" w:rsidRDefault="0051680E" w:rsidP="000C292A">
      <w:pPr>
        <w:rPr>
          <w:b/>
        </w:rPr>
      </w:pPr>
      <w:r>
        <w:rPr>
          <w:b/>
        </w:rPr>
        <w:t>5.0</w:t>
      </w:r>
      <w:r>
        <w:rPr>
          <w:b/>
        </w:rPr>
        <w:tab/>
        <w:t>SUPERVISION OF THE PREMISES</w:t>
      </w:r>
    </w:p>
    <w:p w:rsidR="0051680E" w:rsidRDefault="0051680E" w:rsidP="000C292A">
      <w:pPr>
        <w:rPr>
          <w:b/>
        </w:rPr>
      </w:pPr>
    </w:p>
    <w:p w:rsidR="0051680E" w:rsidRDefault="0051680E" w:rsidP="000C292A">
      <w:r>
        <w:rPr>
          <w:b/>
        </w:rPr>
        <w:t>1.</w:t>
      </w:r>
      <w:r>
        <w:rPr>
          <w:b/>
        </w:rPr>
        <w:tab/>
      </w:r>
      <w:r>
        <w:t xml:space="preserve">There shall be present throughout the day of the hiring a person or persons, being the hirer </w:t>
      </w:r>
      <w:r>
        <w:tab/>
        <w:t xml:space="preserve">or nominated representative of the hirer who shall accept responsibility for ensuring the </w:t>
      </w:r>
      <w:r>
        <w:tab/>
        <w:t xml:space="preserve">effective control and supervision of the premises and all persons therein and for </w:t>
      </w:r>
      <w:r>
        <w:tab/>
        <w:t xml:space="preserve">compliance with these conditions, and the name, address and status of such person(s) shall </w:t>
      </w:r>
      <w:r>
        <w:tab/>
        <w:t xml:space="preserve">be communicated to the </w:t>
      </w:r>
      <w:r w:rsidR="00DB29FC">
        <w:t>(</w:t>
      </w:r>
      <w:r>
        <w:rPr>
          <w:b/>
          <w:i/>
        </w:rPr>
        <w:t>SUITABLY APPOINTED ROLE YET TO BE DETERMINED</w:t>
      </w:r>
      <w:r w:rsidR="00DB29FC">
        <w:rPr>
          <w:b/>
          <w:i/>
        </w:rPr>
        <w:t>)</w:t>
      </w:r>
      <w:r>
        <w:t xml:space="preserve"> at the </w:t>
      </w:r>
      <w:r>
        <w:tab/>
        <w:t>commencement of each day of the hiring.</w:t>
      </w:r>
    </w:p>
    <w:p w:rsidR="0051680E" w:rsidRDefault="0051680E" w:rsidP="000C292A"/>
    <w:p w:rsidR="0051680E" w:rsidRDefault="0051680E" w:rsidP="000C292A">
      <w:r>
        <w:rPr>
          <w:b/>
        </w:rPr>
        <w:t>2.</w:t>
      </w:r>
      <w:r>
        <w:rPr>
          <w:b/>
        </w:rPr>
        <w:tab/>
      </w:r>
      <w:r>
        <w:t>Nominated representatives should make themselves known to staff on duty.</w:t>
      </w:r>
    </w:p>
    <w:p w:rsidR="00492983" w:rsidRDefault="00492983" w:rsidP="000C292A"/>
    <w:p w:rsidR="0051680E" w:rsidRDefault="0051680E" w:rsidP="000C292A">
      <w:pPr>
        <w:rPr>
          <w:b/>
        </w:rPr>
      </w:pPr>
      <w:r>
        <w:rPr>
          <w:b/>
        </w:rPr>
        <w:t>6.0</w:t>
      </w:r>
      <w:r>
        <w:rPr>
          <w:b/>
        </w:rPr>
        <w:tab/>
        <w:t>RIGHT OF ENTRY</w:t>
      </w:r>
    </w:p>
    <w:p w:rsidR="0051680E" w:rsidRDefault="0051680E" w:rsidP="000C292A">
      <w:pPr>
        <w:rPr>
          <w:b/>
        </w:rPr>
      </w:pPr>
    </w:p>
    <w:p w:rsidR="0051680E" w:rsidRDefault="0051680E" w:rsidP="000C292A">
      <w:r>
        <w:rPr>
          <w:b/>
        </w:rPr>
        <w:t>1.</w:t>
      </w:r>
      <w:r>
        <w:rPr>
          <w:b/>
        </w:rPr>
        <w:tab/>
      </w:r>
      <w:r>
        <w:t xml:space="preserve">The Council reserves to themselves the right of entry at all times to any of the premises </w:t>
      </w:r>
      <w:r>
        <w:tab/>
        <w:t xml:space="preserve">hired by the Supervising Officer and / or authorised officers of the Council and the hirer </w:t>
      </w:r>
      <w:r>
        <w:tab/>
        <w:t>must arrange for reception staff, stewards (or caretakers) to be instructed accordingly.</w:t>
      </w:r>
    </w:p>
    <w:p w:rsidR="000F3A33" w:rsidRDefault="000F3A33" w:rsidP="000C292A"/>
    <w:p w:rsidR="000F3A33" w:rsidRDefault="000F3A33" w:rsidP="000C292A">
      <w:pPr>
        <w:rPr>
          <w:b/>
        </w:rPr>
      </w:pPr>
      <w:r>
        <w:rPr>
          <w:b/>
        </w:rPr>
        <w:t>7.0</w:t>
      </w:r>
      <w:r>
        <w:rPr>
          <w:b/>
        </w:rPr>
        <w:tab/>
        <w:t>LOSS, DAMAGE OR INJURY</w:t>
      </w:r>
    </w:p>
    <w:p w:rsidR="000F3A33" w:rsidRDefault="000F3A33" w:rsidP="000C292A">
      <w:pPr>
        <w:rPr>
          <w:b/>
        </w:rPr>
      </w:pPr>
    </w:p>
    <w:p w:rsidR="00492983" w:rsidRPr="00492983" w:rsidRDefault="000F3A33" w:rsidP="00492983">
      <w:pPr>
        <w:ind w:left="720" w:hanging="720"/>
      </w:pPr>
      <w:r>
        <w:rPr>
          <w:b/>
        </w:rPr>
        <w:t>1.</w:t>
      </w:r>
      <w:r>
        <w:rPr>
          <w:b/>
        </w:rPr>
        <w:tab/>
      </w:r>
      <w:r w:rsidR="00492983">
        <w:t xml:space="preserve">The Council shall not be liable to the Hirer / User for any loss, damage or injury sustained by the Hirer / User either by reason of any defect in the construction or maintenance of the Town Hall or due to the act or negligence of the Council or by any reason of any  misconduct or negligence on the part of any person using the town Hall and the Hirer / User agrees to accept the risk of such loss, damage or injury.  Provided that this clause shall not apply where death or personal injury is caused by the negligence of the Council or </w:t>
      </w:r>
      <w:proofErr w:type="spellStart"/>
      <w:r w:rsidR="00492983">
        <w:t>it’s</w:t>
      </w:r>
      <w:proofErr w:type="spellEnd"/>
      <w:r w:rsidR="00492983">
        <w:t xml:space="preserve"> Agents.</w:t>
      </w:r>
    </w:p>
    <w:p w:rsidR="000F3A33" w:rsidRDefault="000F3A33" w:rsidP="00492983">
      <w:r>
        <w:tab/>
      </w:r>
      <w:r>
        <w:tab/>
      </w:r>
    </w:p>
    <w:p w:rsidR="00364040" w:rsidRDefault="00364040" w:rsidP="000C292A"/>
    <w:p w:rsidR="00251137" w:rsidRDefault="00251137" w:rsidP="000C292A"/>
    <w:p w:rsidR="00251137" w:rsidRDefault="00251137" w:rsidP="000C292A">
      <w:pPr>
        <w:rPr>
          <w:b/>
        </w:rPr>
      </w:pPr>
      <w:r>
        <w:rPr>
          <w:b/>
        </w:rPr>
        <w:t>8.0</w:t>
      </w:r>
      <w:r>
        <w:rPr>
          <w:b/>
        </w:rPr>
        <w:tab/>
        <w:t>THIRD PARTY / PUBLIC LIABILITY INSURANCE</w:t>
      </w:r>
    </w:p>
    <w:p w:rsidR="00251137" w:rsidRDefault="00251137" w:rsidP="000C292A">
      <w:pPr>
        <w:rPr>
          <w:b/>
        </w:rPr>
      </w:pPr>
    </w:p>
    <w:p w:rsidR="00F55041" w:rsidRDefault="00F55041" w:rsidP="00810891">
      <w:pPr>
        <w:ind w:left="720" w:hanging="720"/>
      </w:pPr>
      <w:r w:rsidRPr="000E0898">
        <w:rPr>
          <w:b/>
        </w:rPr>
        <w:t>1.</w:t>
      </w:r>
      <w:r w:rsidRPr="000E0898">
        <w:tab/>
      </w:r>
      <w:r w:rsidR="00810891">
        <w:t>The Hirer shall indemnify the Council from and against any claims for loss, damage, costs or expenses which may be made against the Council in respect of any explosion, fire, personal injury or loss of or damage of property sustained by any person occurring during or in consequence of the hiring of the Town Hall.</w:t>
      </w:r>
    </w:p>
    <w:p w:rsidR="00F55041" w:rsidRDefault="00F55041" w:rsidP="00F55041">
      <w:pPr>
        <w:ind w:left="1440" w:hanging="720"/>
      </w:pPr>
    </w:p>
    <w:p w:rsidR="00F55041" w:rsidRDefault="00163870" w:rsidP="00F55041">
      <w:pPr>
        <w:ind w:left="720" w:hanging="720"/>
      </w:pPr>
      <w:r>
        <w:rPr>
          <w:b/>
        </w:rPr>
        <w:t>9.0</w:t>
      </w:r>
      <w:r>
        <w:tab/>
      </w:r>
      <w:r>
        <w:rPr>
          <w:b/>
        </w:rPr>
        <w:t>TAXES, FEES, ETC.</w:t>
      </w:r>
    </w:p>
    <w:p w:rsidR="00163870" w:rsidRDefault="00163870" w:rsidP="00F55041">
      <w:pPr>
        <w:ind w:left="720" w:hanging="720"/>
      </w:pPr>
    </w:p>
    <w:p w:rsidR="00163870" w:rsidRDefault="00163870" w:rsidP="00F55041">
      <w:pPr>
        <w:ind w:left="720" w:hanging="720"/>
      </w:pPr>
      <w:r>
        <w:rPr>
          <w:b/>
        </w:rPr>
        <w:t>1.</w:t>
      </w:r>
      <w:r>
        <w:tab/>
        <w:t>The hirer shall indemnify the Council and its officers and servants from and against any claim for any duty, tax, royalty or copyright fee payable in respect of any entertainment given by the hirer and against any infringement of copyright which may occur during the hiring.</w:t>
      </w:r>
    </w:p>
    <w:p w:rsidR="00163870" w:rsidRDefault="00163870" w:rsidP="00F55041">
      <w:pPr>
        <w:ind w:left="720" w:hanging="720"/>
      </w:pPr>
    </w:p>
    <w:p w:rsidR="00163870" w:rsidRDefault="00163870" w:rsidP="00F55041">
      <w:pPr>
        <w:ind w:left="720" w:hanging="720"/>
      </w:pPr>
      <w:r>
        <w:rPr>
          <w:b/>
        </w:rPr>
        <w:t>10.0</w:t>
      </w:r>
      <w:r>
        <w:rPr>
          <w:b/>
        </w:rPr>
        <w:tab/>
        <w:t>DAMAGE, DECORATIONS, ADVERTISING AND PYROTECHNICS</w:t>
      </w:r>
    </w:p>
    <w:p w:rsidR="00163870" w:rsidRDefault="00163870" w:rsidP="00F55041">
      <w:pPr>
        <w:ind w:left="720" w:hanging="720"/>
      </w:pPr>
    </w:p>
    <w:p w:rsidR="00163870" w:rsidRDefault="00163870" w:rsidP="00F55041">
      <w:pPr>
        <w:ind w:left="720" w:hanging="720"/>
      </w:pPr>
      <w:r>
        <w:rPr>
          <w:b/>
        </w:rPr>
        <w:t>1.</w:t>
      </w:r>
      <w:r>
        <w:rPr>
          <w:b/>
        </w:rPr>
        <w:tab/>
      </w:r>
      <w:r>
        <w:t>No notices may be affixed to any walls or panelling in any room</w:t>
      </w:r>
      <w:r w:rsidR="000941BC">
        <w:t>.  Any notices fixed to walls or any other area that have caused damage will be charged to the hirer.</w:t>
      </w:r>
    </w:p>
    <w:p w:rsidR="000941BC" w:rsidRDefault="000941BC" w:rsidP="00F55041">
      <w:pPr>
        <w:ind w:left="720" w:hanging="720"/>
      </w:pPr>
    </w:p>
    <w:p w:rsidR="000941BC" w:rsidRDefault="000941BC" w:rsidP="00F55041">
      <w:pPr>
        <w:ind w:left="720" w:hanging="720"/>
      </w:pPr>
      <w:r>
        <w:rPr>
          <w:b/>
        </w:rPr>
        <w:t>2.</w:t>
      </w:r>
      <w:r>
        <w:rPr>
          <w:b/>
        </w:rPr>
        <w:tab/>
      </w:r>
      <w:r>
        <w:t>No notice, sign, flag, bunting, banner, decoration, drapery or other item shall be affixed to any part of the building or to the furniture or fittings therein by adhesive tape or adhesive substance</w:t>
      </w:r>
      <w:r w:rsidR="00B27219">
        <w:t>.</w:t>
      </w:r>
    </w:p>
    <w:p w:rsidR="00B27219" w:rsidRDefault="00B27219" w:rsidP="00F55041">
      <w:pPr>
        <w:ind w:left="720" w:hanging="720"/>
      </w:pPr>
    </w:p>
    <w:p w:rsidR="000941BC" w:rsidRDefault="000941BC" w:rsidP="00F55041">
      <w:pPr>
        <w:ind w:left="720" w:hanging="720"/>
      </w:pPr>
      <w:r>
        <w:rPr>
          <w:b/>
        </w:rPr>
        <w:t>3.</w:t>
      </w:r>
      <w:r>
        <w:rPr>
          <w:b/>
        </w:rPr>
        <w:tab/>
      </w:r>
      <w:r>
        <w:t>No adhesive tapes may be used to  mark wooden or carpeted floors.</w:t>
      </w:r>
    </w:p>
    <w:p w:rsidR="000941BC" w:rsidRDefault="000941BC" w:rsidP="00F55041">
      <w:pPr>
        <w:ind w:left="720" w:hanging="720"/>
      </w:pPr>
    </w:p>
    <w:p w:rsidR="000941BC" w:rsidRDefault="000941BC" w:rsidP="00F55041">
      <w:pPr>
        <w:ind w:left="720" w:hanging="720"/>
      </w:pPr>
      <w:r>
        <w:rPr>
          <w:b/>
        </w:rPr>
        <w:t>5.</w:t>
      </w:r>
      <w:r>
        <w:rPr>
          <w:b/>
        </w:rPr>
        <w:tab/>
      </w:r>
      <w:r>
        <w:t>Any exhibition stand construction shall be prefabricated.  No painting or making good with alternative products will be allowed on the premises.</w:t>
      </w:r>
    </w:p>
    <w:p w:rsidR="000941BC" w:rsidRDefault="000941BC" w:rsidP="00F55041">
      <w:pPr>
        <w:ind w:left="720" w:hanging="720"/>
      </w:pPr>
    </w:p>
    <w:p w:rsidR="000941BC" w:rsidRDefault="000941BC" w:rsidP="00F55041">
      <w:pPr>
        <w:ind w:left="720" w:hanging="720"/>
      </w:pPr>
      <w:r>
        <w:rPr>
          <w:b/>
        </w:rPr>
        <w:t>6.</w:t>
      </w:r>
      <w:r>
        <w:rPr>
          <w:b/>
        </w:rPr>
        <w:tab/>
      </w:r>
      <w:r>
        <w:t>No decorations, flags, emblems, gas-filled balloons, streamers or confetti will be permitted either externally or internally without the previous consent in writing of the Supervising Officer.  Where such consent is given, it will be conditional on the use of non-inflammable material or material treated with an approved fireproofing substance.  The removal of gas-filled balloons from high ceilings will be a charge to the hirer.</w:t>
      </w:r>
    </w:p>
    <w:p w:rsidR="000941BC" w:rsidRDefault="000941BC" w:rsidP="00F55041">
      <w:pPr>
        <w:ind w:left="720" w:hanging="720"/>
      </w:pPr>
    </w:p>
    <w:p w:rsidR="000941BC" w:rsidRDefault="000941BC" w:rsidP="00F55041">
      <w:pPr>
        <w:ind w:left="720" w:hanging="720"/>
      </w:pPr>
      <w:r>
        <w:rPr>
          <w:b/>
        </w:rPr>
        <w:t>7.</w:t>
      </w:r>
      <w:r>
        <w:rPr>
          <w:b/>
        </w:rPr>
        <w:tab/>
      </w:r>
      <w:r>
        <w:t>The Council reserves the right to remove any poster, emblem or decoration visible outside the premises which in the opinion of the Supervising Officer shall be or become unseemly or unsightly.</w:t>
      </w:r>
    </w:p>
    <w:p w:rsidR="00B27219" w:rsidRDefault="00B27219" w:rsidP="00F55041">
      <w:pPr>
        <w:ind w:left="720" w:hanging="720"/>
      </w:pPr>
    </w:p>
    <w:p w:rsidR="000941BC" w:rsidRDefault="000941BC" w:rsidP="00F55041">
      <w:pPr>
        <w:ind w:left="720" w:hanging="720"/>
      </w:pPr>
      <w:r>
        <w:rPr>
          <w:b/>
        </w:rPr>
        <w:t>8.</w:t>
      </w:r>
      <w:r>
        <w:tab/>
        <w:t>The hirer shall not display and shall ensure that no other person displays any advertisement relating to the hiring by affixing the same to or utilising the support of a lamp-post, guard rail, electricity relay box or any other item of street furniture or trees within the Borough except with the prior written consent of the Supervising Officer.</w:t>
      </w:r>
    </w:p>
    <w:p w:rsidR="00B27219" w:rsidRDefault="00B27219" w:rsidP="00F55041">
      <w:pPr>
        <w:ind w:left="720" w:hanging="720"/>
        <w:rPr>
          <w:b/>
        </w:rPr>
      </w:pPr>
    </w:p>
    <w:p w:rsidR="000941BC" w:rsidRDefault="00FD0031" w:rsidP="00F55041">
      <w:pPr>
        <w:ind w:left="720" w:hanging="720"/>
      </w:pPr>
      <w:r>
        <w:rPr>
          <w:b/>
        </w:rPr>
        <w:t>11.0</w:t>
      </w:r>
      <w:r>
        <w:rPr>
          <w:b/>
        </w:rPr>
        <w:tab/>
        <w:t>DAMAGE TO COUNCIL PROPERTY</w:t>
      </w:r>
    </w:p>
    <w:p w:rsidR="00FD0031" w:rsidRDefault="00FD0031" w:rsidP="00F55041">
      <w:pPr>
        <w:ind w:left="720" w:hanging="720"/>
      </w:pPr>
    </w:p>
    <w:p w:rsidR="00FD0031" w:rsidRDefault="00FD0031" w:rsidP="00F55041">
      <w:pPr>
        <w:ind w:left="720" w:hanging="720"/>
      </w:pPr>
      <w:r>
        <w:rPr>
          <w:b/>
        </w:rPr>
        <w:t>1.</w:t>
      </w:r>
      <w:r>
        <w:rPr>
          <w:b/>
        </w:rPr>
        <w:tab/>
      </w:r>
      <w:r>
        <w:t>During building and dismantling of any event hirers must protect all floors, walls, soft furnishings, glass, pillars, cornices, entrances, decoration, artworks, furniture and fixtures and fittings relating to the premises.</w:t>
      </w:r>
    </w:p>
    <w:p w:rsidR="00FD0031" w:rsidRDefault="00FD0031" w:rsidP="00F55041">
      <w:pPr>
        <w:ind w:left="720" w:hanging="720"/>
      </w:pPr>
      <w:r>
        <w:rPr>
          <w:b/>
        </w:rPr>
        <w:lastRenderedPageBreak/>
        <w:t>2.</w:t>
      </w:r>
      <w:r>
        <w:rPr>
          <w:b/>
        </w:rPr>
        <w:tab/>
      </w:r>
      <w:r>
        <w:t>The hirer shall repay to the Council on demand the cost of reinstating or replacing any part of the premises or any property whatsoever belonging to the Council in or upon the premises which shall be damaged, destroyed, stolen or removed during the period of hiring.</w:t>
      </w:r>
    </w:p>
    <w:p w:rsidR="00FD0031" w:rsidRDefault="00FD0031" w:rsidP="00F55041">
      <w:pPr>
        <w:ind w:left="720" w:hanging="720"/>
      </w:pPr>
    </w:p>
    <w:p w:rsidR="00FD0031" w:rsidRDefault="00FD0031" w:rsidP="00F55041">
      <w:pPr>
        <w:ind w:left="720" w:hanging="720"/>
      </w:pPr>
      <w:r>
        <w:rPr>
          <w:b/>
        </w:rPr>
        <w:t>1</w:t>
      </w:r>
      <w:r w:rsidR="00D411F6">
        <w:rPr>
          <w:b/>
        </w:rPr>
        <w:t>2</w:t>
      </w:r>
      <w:r>
        <w:rPr>
          <w:b/>
        </w:rPr>
        <w:t>.0</w:t>
      </w:r>
      <w:r>
        <w:rPr>
          <w:b/>
        </w:rPr>
        <w:tab/>
        <w:t>PERMITTED NUMBERS</w:t>
      </w:r>
    </w:p>
    <w:p w:rsidR="00FD0031" w:rsidRDefault="00FD0031" w:rsidP="00F55041">
      <w:pPr>
        <w:ind w:left="720" w:hanging="720"/>
      </w:pPr>
    </w:p>
    <w:p w:rsidR="00FD0031" w:rsidRDefault="00FD0031" w:rsidP="00F55041">
      <w:pPr>
        <w:ind w:left="720" w:hanging="720"/>
      </w:pPr>
      <w:r>
        <w:rPr>
          <w:b/>
        </w:rPr>
        <w:t>1.</w:t>
      </w:r>
      <w:r>
        <w:rPr>
          <w:b/>
        </w:rPr>
        <w:tab/>
      </w:r>
      <w:r>
        <w:t>The maximum number of persons to be allowed admission to the Premises at any one time under the terms of the Entertainment Licence are set out below and the hirer shall ensure that these numbers are not exceeded:</w:t>
      </w:r>
    </w:p>
    <w:p w:rsidR="00FD0031" w:rsidRDefault="00FD0031" w:rsidP="00F55041">
      <w:pPr>
        <w:ind w:left="720" w:hanging="720"/>
      </w:pPr>
    </w:p>
    <w:tbl>
      <w:tblPr>
        <w:tblStyle w:val="TableGrid"/>
        <w:tblW w:w="0" w:type="auto"/>
        <w:tblInd w:w="-176" w:type="dxa"/>
        <w:tblLook w:val="04A0" w:firstRow="1" w:lastRow="0" w:firstColumn="1" w:lastColumn="0" w:noHBand="0" w:noVBand="1"/>
      </w:tblPr>
      <w:tblGrid>
        <w:gridCol w:w="1432"/>
        <w:gridCol w:w="979"/>
        <w:gridCol w:w="1134"/>
        <w:gridCol w:w="1134"/>
        <w:gridCol w:w="850"/>
        <w:gridCol w:w="1276"/>
        <w:gridCol w:w="992"/>
        <w:gridCol w:w="1350"/>
        <w:gridCol w:w="883"/>
      </w:tblGrid>
      <w:tr w:rsidR="00755164" w:rsidTr="00755164">
        <w:tc>
          <w:tcPr>
            <w:tcW w:w="1432" w:type="dxa"/>
            <w:vAlign w:val="center"/>
          </w:tcPr>
          <w:p w:rsidR="00755164" w:rsidRDefault="00755164" w:rsidP="00B27219">
            <w:pPr>
              <w:jc w:val="both"/>
              <w:rPr>
                <w:b/>
              </w:rPr>
            </w:pPr>
            <w:r>
              <w:rPr>
                <w:b/>
              </w:rPr>
              <w:t>Style</w:t>
            </w:r>
          </w:p>
        </w:tc>
        <w:tc>
          <w:tcPr>
            <w:tcW w:w="979" w:type="dxa"/>
            <w:vAlign w:val="center"/>
          </w:tcPr>
          <w:p w:rsidR="00755164" w:rsidRPr="00755164" w:rsidRDefault="00755164" w:rsidP="00755164">
            <w:pPr>
              <w:jc w:val="center"/>
              <w:rPr>
                <w:b/>
                <w:sz w:val="18"/>
                <w:szCs w:val="18"/>
              </w:rPr>
            </w:pPr>
            <w:r w:rsidRPr="00755164">
              <w:rPr>
                <w:b/>
                <w:sz w:val="18"/>
                <w:szCs w:val="18"/>
              </w:rPr>
              <w:t>Assembly Room</w:t>
            </w:r>
          </w:p>
        </w:tc>
        <w:tc>
          <w:tcPr>
            <w:tcW w:w="1134" w:type="dxa"/>
            <w:vAlign w:val="center"/>
          </w:tcPr>
          <w:p w:rsidR="00755164" w:rsidRPr="00755164" w:rsidRDefault="00755164" w:rsidP="00755164">
            <w:pPr>
              <w:jc w:val="center"/>
              <w:rPr>
                <w:b/>
                <w:sz w:val="18"/>
                <w:szCs w:val="18"/>
              </w:rPr>
            </w:pPr>
            <w:r w:rsidRPr="00755164">
              <w:rPr>
                <w:b/>
                <w:sz w:val="18"/>
                <w:szCs w:val="18"/>
              </w:rPr>
              <w:t>Banqueting Room</w:t>
            </w:r>
          </w:p>
        </w:tc>
        <w:tc>
          <w:tcPr>
            <w:tcW w:w="1134" w:type="dxa"/>
            <w:vAlign w:val="center"/>
          </w:tcPr>
          <w:p w:rsidR="00755164" w:rsidRPr="00755164" w:rsidRDefault="00755164" w:rsidP="00755164">
            <w:pPr>
              <w:jc w:val="center"/>
              <w:rPr>
                <w:b/>
                <w:sz w:val="18"/>
                <w:szCs w:val="18"/>
              </w:rPr>
            </w:pPr>
            <w:r w:rsidRPr="00755164">
              <w:rPr>
                <w:b/>
                <w:sz w:val="18"/>
                <w:szCs w:val="18"/>
              </w:rPr>
              <w:t>Robing Room</w:t>
            </w:r>
          </w:p>
        </w:tc>
        <w:tc>
          <w:tcPr>
            <w:tcW w:w="850" w:type="dxa"/>
            <w:vAlign w:val="center"/>
          </w:tcPr>
          <w:p w:rsidR="00755164" w:rsidRPr="00755164" w:rsidRDefault="00755164" w:rsidP="00755164">
            <w:pPr>
              <w:jc w:val="center"/>
              <w:rPr>
                <w:b/>
                <w:sz w:val="18"/>
                <w:szCs w:val="18"/>
              </w:rPr>
            </w:pPr>
            <w:r w:rsidRPr="00755164">
              <w:rPr>
                <w:b/>
                <w:sz w:val="18"/>
                <w:szCs w:val="18"/>
              </w:rPr>
              <w:t>Lounge</w:t>
            </w:r>
          </w:p>
        </w:tc>
        <w:tc>
          <w:tcPr>
            <w:tcW w:w="1276" w:type="dxa"/>
            <w:vAlign w:val="center"/>
          </w:tcPr>
          <w:p w:rsidR="00755164" w:rsidRPr="00755164" w:rsidRDefault="00755164" w:rsidP="00755164">
            <w:pPr>
              <w:jc w:val="center"/>
              <w:rPr>
                <w:b/>
                <w:sz w:val="18"/>
                <w:szCs w:val="18"/>
              </w:rPr>
            </w:pPr>
            <w:r w:rsidRPr="00755164">
              <w:rPr>
                <w:b/>
                <w:sz w:val="18"/>
                <w:szCs w:val="18"/>
              </w:rPr>
              <w:t>Bremerhaven Room</w:t>
            </w:r>
          </w:p>
        </w:tc>
        <w:tc>
          <w:tcPr>
            <w:tcW w:w="992" w:type="dxa"/>
            <w:vAlign w:val="center"/>
          </w:tcPr>
          <w:p w:rsidR="00755164" w:rsidRPr="00755164" w:rsidRDefault="00755164" w:rsidP="00755164">
            <w:pPr>
              <w:jc w:val="center"/>
              <w:rPr>
                <w:b/>
                <w:sz w:val="18"/>
                <w:szCs w:val="18"/>
              </w:rPr>
            </w:pPr>
            <w:r w:rsidRPr="00755164">
              <w:rPr>
                <w:b/>
                <w:sz w:val="18"/>
                <w:szCs w:val="18"/>
              </w:rPr>
              <w:t>Crosland Suite</w:t>
            </w:r>
          </w:p>
        </w:tc>
        <w:tc>
          <w:tcPr>
            <w:tcW w:w="1350" w:type="dxa"/>
          </w:tcPr>
          <w:p w:rsidR="00755164" w:rsidRPr="00755164" w:rsidRDefault="00755164" w:rsidP="00755164">
            <w:pPr>
              <w:jc w:val="center"/>
              <w:rPr>
                <w:b/>
                <w:sz w:val="18"/>
                <w:szCs w:val="18"/>
              </w:rPr>
            </w:pPr>
            <w:r>
              <w:rPr>
                <w:b/>
                <w:sz w:val="18"/>
                <w:szCs w:val="18"/>
              </w:rPr>
              <w:t>Council Chamber</w:t>
            </w:r>
          </w:p>
        </w:tc>
        <w:tc>
          <w:tcPr>
            <w:tcW w:w="883" w:type="dxa"/>
            <w:vAlign w:val="center"/>
          </w:tcPr>
          <w:p w:rsidR="00755164" w:rsidRPr="00755164" w:rsidRDefault="00755164" w:rsidP="00755164">
            <w:pPr>
              <w:jc w:val="center"/>
              <w:rPr>
                <w:b/>
                <w:sz w:val="18"/>
                <w:szCs w:val="18"/>
              </w:rPr>
            </w:pPr>
            <w:proofErr w:type="spellStart"/>
            <w:r w:rsidRPr="00755164">
              <w:rPr>
                <w:b/>
                <w:sz w:val="18"/>
                <w:szCs w:val="18"/>
              </w:rPr>
              <w:t>Cmt</w:t>
            </w:r>
            <w:proofErr w:type="spellEnd"/>
            <w:r w:rsidRPr="00755164">
              <w:rPr>
                <w:b/>
                <w:sz w:val="18"/>
                <w:szCs w:val="18"/>
              </w:rPr>
              <w:t xml:space="preserve"> Room 4</w:t>
            </w:r>
          </w:p>
        </w:tc>
      </w:tr>
      <w:tr w:rsidR="00755164" w:rsidTr="00755164">
        <w:trPr>
          <w:trHeight w:val="454"/>
        </w:trPr>
        <w:tc>
          <w:tcPr>
            <w:tcW w:w="1432" w:type="dxa"/>
            <w:vAlign w:val="center"/>
          </w:tcPr>
          <w:p w:rsidR="00755164" w:rsidRDefault="00755164" w:rsidP="00755164">
            <w:pPr>
              <w:rPr>
                <w:b/>
              </w:rPr>
            </w:pPr>
            <w:r>
              <w:rPr>
                <w:b/>
              </w:rPr>
              <w:t>Theatre</w:t>
            </w:r>
          </w:p>
        </w:tc>
        <w:tc>
          <w:tcPr>
            <w:tcW w:w="979" w:type="dxa"/>
            <w:vAlign w:val="center"/>
          </w:tcPr>
          <w:p w:rsidR="00755164" w:rsidRPr="00755164" w:rsidRDefault="00755164" w:rsidP="00755164">
            <w:pPr>
              <w:jc w:val="center"/>
              <w:rPr>
                <w:sz w:val="20"/>
                <w:szCs w:val="20"/>
              </w:rPr>
            </w:pPr>
            <w:r w:rsidRPr="00755164">
              <w:rPr>
                <w:sz w:val="20"/>
                <w:szCs w:val="20"/>
              </w:rPr>
              <w:t>350</w:t>
            </w:r>
          </w:p>
        </w:tc>
        <w:tc>
          <w:tcPr>
            <w:tcW w:w="1134" w:type="dxa"/>
            <w:vAlign w:val="center"/>
          </w:tcPr>
          <w:p w:rsidR="00755164" w:rsidRPr="00755164" w:rsidRDefault="00755164" w:rsidP="00755164">
            <w:pPr>
              <w:jc w:val="center"/>
              <w:rPr>
                <w:sz w:val="20"/>
                <w:szCs w:val="20"/>
              </w:rPr>
            </w:pPr>
            <w:r w:rsidRPr="00755164">
              <w:rPr>
                <w:sz w:val="20"/>
                <w:szCs w:val="20"/>
              </w:rPr>
              <w:t>80</w:t>
            </w:r>
          </w:p>
        </w:tc>
        <w:tc>
          <w:tcPr>
            <w:tcW w:w="1134" w:type="dxa"/>
            <w:vAlign w:val="center"/>
          </w:tcPr>
          <w:p w:rsidR="00755164" w:rsidRPr="00755164" w:rsidRDefault="00755164" w:rsidP="00755164">
            <w:pPr>
              <w:jc w:val="center"/>
              <w:rPr>
                <w:sz w:val="20"/>
                <w:szCs w:val="20"/>
              </w:rPr>
            </w:pPr>
            <w:r w:rsidRPr="00755164">
              <w:rPr>
                <w:sz w:val="20"/>
                <w:szCs w:val="20"/>
              </w:rPr>
              <w:t>N/A</w:t>
            </w:r>
          </w:p>
        </w:tc>
        <w:tc>
          <w:tcPr>
            <w:tcW w:w="850" w:type="dxa"/>
            <w:vAlign w:val="center"/>
          </w:tcPr>
          <w:p w:rsidR="00755164" w:rsidRPr="00755164" w:rsidRDefault="00755164" w:rsidP="00755164">
            <w:pPr>
              <w:jc w:val="center"/>
              <w:rPr>
                <w:sz w:val="20"/>
                <w:szCs w:val="20"/>
              </w:rPr>
            </w:pPr>
            <w:r w:rsidRPr="00755164">
              <w:rPr>
                <w:sz w:val="20"/>
                <w:szCs w:val="20"/>
              </w:rPr>
              <w:t>30</w:t>
            </w:r>
          </w:p>
        </w:tc>
        <w:tc>
          <w:tcPr>
            <w:tcW w:w="1276" w:type="dxa"/>
            <w:vAlign w:val="center"/>
          </w:tcPr>
          <w:p w:rsidR="00755164" w:rsidRPr="00755164" w:rsidRDefault="00AB34CF" w:rsidP="00755164">
            <w:pPr>
              <w:jc w:val="center"/>
              <w:rPr>
                <w:sz w:val="20"/>
                <w:szCs w:val="20"/>
              </w:rPr>
            </w:pPr>
            <w:r>
              <w:rPr>
                <w:sz w:val="20"/>
                <w:szCs w:val="20"/>
              </w:rPr>
              <w:t>70</w:t>
            </w:r>
          </w:p>
        </w:tc>
        <w:tc>
          <w:tcPr>
            <w:tcW w:w="992" w:type="dxa"/>
            <w:vAlign w:val="center"/>
          </w:tcPr>
          <w:p w:rsidR="00755164" w:rsidRPr="00755164" w:rsidRDefault="00AB34CF" w:rsidP="00755164">
            <w:pPr>
              <w:jc w:val="center"/>
              <w:rPr>
                <w:sz w:val="20"/>
                <w:szCs w:val="20"/>
              </w:rPr>
            </w:pPr>
            <w:r>
              <w:rPr>
                <w:sz w:val="20"/>
                <w:szCs w:val="20"/>
              </w:rPr>
              <w:t>70</w:t>
            </w:r>
          </w:p>
        </w:tc>
        <w:tc>
          <w:tcPr>
            <w:tcW w:w="1350" w:type="dxa"/>
            <w:vAlign w:val="center"/>
          </w:tcPr>
          <w:p w:rsidR="00755164" w:rsidRPr="00755164" w:rsidRDefault="00755164" w:rsidP="00755164">
            <w:pPr>
              <w:jc w:val="center"/>
              <w:rPr>
                <w:sz w:val="20"/>
                <w:szCs w:val="20"/>
              </w:rPr>
            </w:pPr>
            <w:r w:rsidRPr="00755164">
              <w:rPr>
                <w:sz w:val="20"/>
                <w:szCs w:val="20"/>
              </w:rPr>
              <w:t>N/A</w:t>
            </w:r>
          </w:p>
        </w:tc>
        <w:tc>
          <w:tcPr>
            <w:tcW w:w="883" w:type="dxa"/>
            <w:vAlign w:val="center"/>
          </w:tcPr>
          <w:p w:rsidR="00755164" w:rsidRPr="00755164" w:rsidRDefault="00AB34CF" w:rsidP="00755164">
            <w:pPr>
              <w:jc w:val="center"/>
              <w:rPr>
                <w:sz w:val="20"/>
                <w:szCs w:val="20"/>
              </w:rPr>
            </w:pPr>
            <w:r>
              <w:rPr>
                <w:sz w:val="20"/>
                <w:szCs w:val="20"/>
              </w:rPr>
              <w:t>N/A</w:t>
            </w:r>
          </w:p>
        </w:tc>
      </w:tr>
      <w:tr w:rsidR="00755164" w:rsidTr="00755164">
        <w:trPr>
          <w:trHeight w:val="454"/>
        </w:trPr>
        <w:tc>
          <w:tcPr>
            <w:tcW w:w="1432" w:type="dxa"/>
            <w:vAlign w:val="center"/>
          </w:tcPr>
          <w:p w:rsidR="00755164" w:rsidRDefault="00755164" w:rsidP="00755164">
            <w:pPr>
              <w:rPr>
                <w:b/>
              </w:rPr>
            </w:pPr>
            <w:r>
              <w:rPr>
                <w:b/>
              </w:rPr>
              <w:t>Committee</w:t>
            </w:r>
          </w:p>
        </w:tc>
        <w:tc>
          <w:tcPr>
            <w:tcW w:w="979" w:type="dxa"/>
            <w:vAlign w:val="center"/>
          </w:tcPr>
          <w:p w:rsidR="00755164" w:rsidRPr="00755164" w:rsidRDefault="00755164" w:rsidP="00755164">
            <w:pPr>
              <w:jc w:val="center"/>
              <w:rPr>
                <w:sz w:val="20"/>
                <w:szCs w:val="20"/>
              </w:rPr>
            </w:pPr>
            <w:r w:rsidRPr="00755164">
              <w:rPr>
                <w:sz w:val="20"/>
                <w:szCs w:val="20"/>
              </w:rPr>
              <w:t>50</w:t>
            </w:r>
          </w:p>
        </w:tc>
        <w:tc>
          <w:tcPr>
            <w:tcW w:w="1134" w:type="dxa"/>
            <w:vAlign w:val="center"/>
          </w:tcPr>
          <w:p w:rsidR="00755164" w:rsidRPr="00755164" w:rsidRDefault="00755164" w:rsidP="00755164">
            <w:pPr>
              <w:jc w:val="center"/>
              <w:rPr>
                <w:sz w:val="20"/>
                <w:szCs w:val="20"/>
              </w:rPr>
            </w:pPr>
            <w:r w:rsidRPr="00755164">
              <w:rPr>
                <w:sz w:val="20"/>
                <w:szCs w:val="20"/>
              </w:rPr>
              <w:t>35</w:t>
            </w:r>
          </w:p>
        </w:tc>
        <w:tc>
          <w:tcPr>
            <w:tcW w:w="1134" w:type="dxa"/>
            <w:vAlign w:val="center"/>
          </w:tcPr>
          <w:p w:rsidR="00755164" w:rsidRPr="00755164" w:rsidRDefault="00755164" w:rsidP="00755164">
            <w:pPr>
              <w:jc w:val="center"/>
              <w:rPr>
                <w:sz w:val="20"/>
                <w:szCs w:val="20"/>
              </w:rPr>
            </w:pPr>
            <w:r w:rsidRPr="00755164">
              <w:rPr>
                <w:sz w:val="20"/>
                <w:szCs w:val="20"/>
              </w:rPr>
              <w:t>12</w:t>
            </w:r>
          </w:p>
        </w:tc>
        <w:tc>
          <w:tcPr>
            <w:tcW w:w="850" w:type="dxa"/>
            <w:vAlign w:val="center"/>
          </w:tcPr>
          <w:p w:rsidR="00755164" w:rsidRPr="00755164" w:rsidRDefault="00755164" w:rsidP="00755164">
            <w:pPr>
              <w:jc w:val="center"/>
              <w:rPr>
                <w:sz w:val="20"/>
                <w:szCs w:val="20"/>
              </w:rPr>
            </w:pPr>
            <w:r w:rsidRPr="00755164">
              <w:rPr>
                <w:sz w:val="20"/>
                <w:szCs w:val="20"/>
              </w:rPr>
              <w:t>25</w:t>
            </w:r>
          </w:p>
        </w:tc>
        <w:tc>
          <w:tcPr>
            <w:tcW w:w="1276" w:type="dxa"/>
            <w:vAlign w:val="center"/>
          </w:tcPr>
          <w:p w:rsidR="00755164" w:rsidRPr="00755164" w:rsidRDefault="00AB34CF" w:rsidP="00755164">
            <w:pPr>
              <w:jc w:val="center"/>
              <w:rPr>
                <w:sz w:val="20"/>
                <w:szCs w:val="20"/>
              </w:rPr>
            </w:pPr>
            <w:r>
              <w:rPr>
                <w:sz w:val="20"/>
                <w:szCs w:val="20"/>
              </w:rPr>
              <w:t>35</w:t>
            </w:r>
          </w:p>
        </w:tc>
        <w:tc>
          <w:tcPr>
            <w:tcW w:w="992" w:type="dxa"/>
            <w:vAlign w:val="center"/>
          </w:tcPr>
          <w:p w:rsidR="00755164" w:rsidRPr="00755164" w:rsidRDefault="00AB34CF" w:rsidP="00755164">
            <w:pPr>
              <w:jc w:val="center"/>
              <w:rPr>
                <w:sz w:val="20"/>
                <w:szCs w:val="20"/>
              </w:rPr>
            </w:pPr>
            <w:r>
              <w:rPr>
                <w:sz w:val="20"/>
                <w:szCs w:val="20"/>
              </w:rPr>
              <w:t>30</w:t>
            </w:r>
          </w:p>
        </w:tc>
        <w:tc>
          <w:tcPr>
            <w:tcW w:w="1350" w:type="dxa"/>
            <w:vAlign w:val="center"/>
          </w:tcPr>
          <w:p w:rsidR="00755164" w:rsidRPr="00755164" w:rsidRDefault="00755164" w:rsidP="00755164">
            <w:pPr>
              <w:jc w:val="center"/>
              <w:rPr>
                <w:sz w:val="20"/>
                <w:szCs w:val="20"/>
              </w:rPr>
            </w:pPr>
            <w:r w:rsidRPr="00755164">
              <w:rPr>
                <w:sz w:val="20"/>
                <w:szCs w:val="20"/>
              </w:rPr>
              <w:t>15 (inner)</w:t>
            </w:r>
          </w:p>
          <w:p w:rsidR="00755164" w:rsidRPr="00755164" w:rsidRDefault="00755164" w:rsidP="00755164">
            <w:pPr>
              <w:jc w:val="center"/>
              <w:rPr>
                <w:sz w:val="20"/>
                <w:szCs w:val="20"/>
              </w:rPr>
            </w:pPr>
            <w:r w:rsidRPr="00755164">
              <w:rPr>
                <w:sz w:val="20"/>
                <w:szCs w:val="20"/>
              </w:rPr>
              <w:t>18 (outer)</w:t>
            </w:r>
          </w:p>
        </w:tc>
        <w:tc>
          <w:tcPr>
            <w:tcW w:w="883" w:type="dxa"/>
            <w:vAlign w:val="center"/>
          </w:tcPr>
          <w:p w:rsidR="00755164" w:rsidRPr="00755164" w:rsidRDefault="00AB34CF" w:rsidP="00755164">
            <w:pPr>
              <w:jc w:val="center"/>
              <w:rPr>
                <w:sz w:val="20"/>
                <w:szCs w:val="20"/>
              </w:rPr>
            </w:pPr>
            <w:r>
              <w:rPr>
                <w:sz w:val="20"/>
                <w:szCs w:val="20"/>
              </w:rPr>
              <w:t>12</w:t>
            </w:r>
          </w:p>
        </w:tc>
      </w:tr>
      <w:tr w:rsidR="00755164" w:rsidTr="00755164">
        <w:trPr>
          <w:trHeight w:val="454"/>
        </w:trPr>
        <w:tc>
          <w:tcPr>
            <w:tcW w:w="1432" w:type="dxa"/>
            <w:vAlign w:val="center"/>
          </w:tcPr>
          <w:p w:rsidR="00755164" w:rsidRDefault="00755164" w:rsidP="00755164">
            <w:pPr>
              <w:rPr>
                <w:b/>
              </w:rPr>
            </w:pPr>
            <w:r>
              <w:rPr>
                <w:b/>
              </w:rPr>
              <w:t>Horseshoe</w:t>
            </w:r>
          </w:p>
        </w:tc>
        <w:tc>
          <w:tcPr>
            <w:tcW w:w="979" w:type="dxa"/>
            <w:vAlign w:val="center"/>
          </w:tcPr>
          <w:p w:rsidR="00755164" w:rsidRPr="00755164" w:rsidRDefault="00755164" w:rsidP="00755164">
            <w:pPr>
              <w:jc w:val="center"/>
              <w:rPr>
                <w:sz w:val="20"/>
                <w:szCs w:val="20"/>
              </w:rPr>
            </w:pPr>
            <w:r w:rsidRPr="00755164">
              <w:rPr>
                <w:sz w:val="20"/>
                <w:szCs w:val="20"/>
              </w:rPr>
              <w:t>50</w:t>
            </w:r>
          </w:p>
        </w:tc>
        <w:tc>
          <w:tcPr>
            <w:tcW w:w="1134" w:type="dxa"/>
            <w:vAlign w:val="center"/>
          </w:tcPr>
          <w:p w:rsidR="00755164" w:rsidRPr="00755164" w:rsidRDefault="00755164" w:rsidP="00755164">
            <w:pPr>
              <w:jc w:val="center"/>
              <w:rPr>
                <w:sz w:val="20"/>
                <w:szCs w:val="20"/>
              </w:rPr>
            </w:pPr>
            <w:r w:rsidRPr="00755164">
              <w:rPr>
                <w:sz w:val="20"/>
                <w:szCs w:val="20"/>
              </w:rPr>
              <w:t>30</w:t>
            </w:r>
          </w:p>
        </w:tc>
        <w:tc>
          <w:tcPr>
            <w:tcW w:w="1134" w:type="dxa"/>
            <w:vAlign w:val="center"/>
          </w:tcPr>
          <w:p w:rsidR="00755164" w:rsidRPr="00755164" w:rsidRDefault="00755164" w:rsidP="00755164">
            <w:pPr>
              <w:jc w:val="center"/>
              <w:rPr>
                <w:sz w:val="20"/>
                <w:szCs w:val="20"/>
              </w:rPr>
            </w:pPr>
            <w:r w:rsidRPr="00755164">
              <w:rPr>
                <w:sz w:val="20"/>
                <w:szCs w:val="20"/>
              </w:rPr>
              <w:t>N/A</w:t>
            </w:r>
          </w:p>
        </w:tc>
        <w:tc>
          <w:tcPr>
            <w:tcW w:w="850" w:type="dxa"/>
            <w:vAlign w:val="center"/>
          </w:tcPr>
          <w:p w:rsidR="00755164" w:rsidRPr="00755164" w:rsidRDefault="00755164" w:rsidP="00755164">
            <w:pPr>
              <w:jc w:val="center"/>
              <w:rPr>
                <w:sz w:val="20"/>
                <w:szCs w:val="20"/>
              </w:rPr>
            </w:pPr>
            <w:r w:rsidRPr="00755164">
              <w:rPr>
                <w:sz w:val="20"/>
                <w:szCs w:val="20"/>
              </w:rPr>
              <w:t>20</w:t>
            </w:r>
          </w:p>
        </w:tc>
        <w:tc>
          <w:tcPr>
            <w:tcW w:w="1276" w:type="dxa"/>
            <w:vAlign w:val="center"/>
          </w:tcPr>
          <w:p w:rsidR="00755164" w:rsidRPr="00755164" w:rsidRDefault="00AB34CF" w:rsidP="00755164">
            <w:pPr>
              <w:jc w:val="center"/>
              <w:rPr>
                <w:sz w:val="20"/>
                <w:szCs w:val="20"/>
              </w:rPr>
            </w:pPr>
            <w:r>
              <w:rPr>
                <w:sz w:val="20"/>
                <w:szCs w:val="20"/>
              </w:rPr>
              <w:t>35</w:t>
            </w:r>
          </w:p>
        </w:tc>
        <w:tc>
          <w:tcPr>
            <w:tcW w:w="992" w:type="dxa"/>
            <w:vAlign w:val="center"/>
          </w:tcPr>
          <w:p w:rsidR="00755164" w:rsidRPr="00755164" w:rsidRDefault="00AB34CF" w:rsidP="00755164">
            <w:pPr>
              <w:jc w:val="center"/>
              <w:rPr>
                <w:sz w:val="20"/>
                <w:szCs w:val="20"/>
              </w:rPr>
            </w:pPr>
            <w:r>
              <w:rPr>
                <w:sz w:val="20"/>
                <w:szCs w:val="20"/>
              </w:rPr>
              <w:t>25</w:t>
            </w:r>
          </w:p>
        </w:tc>
        <w:tc>
          <w:tcPr>
            <w:tcW w:w="1350" w:type="dxa"/>
            <w:vAlign w:val="center"/>
          </w:tcPr>
          <w:p w:rsidR="00755164" w:rsidRPr="00755164" w:rsidRDefault="00755164" w:rsidP="00755164">
            <w:pPr>
              <w:jc w:val="center"/>
              <w:rPr>
                <w:sz w:val="20"/>
                <w:szCs w:val="20"/>
              </w:rPr>
            </w:pPr>
            <w:r w:rsidRPr="00755164">
              <w:rPr>
                <w:sz w:val="20"/>
                <w:szCs w:val="20"/>
              </w:rPr>
              <w:t>N/A</w:t>
            </w:r>
          </w:p>
        </w:tc>
        <w:tc>
          <w:tcPr>
            <w:tcW w:w="883" w:type="dxa"/>
            <w:vAlign w:val="center"/>
          </w:tcPr>
          <w:p w:rsidR="00755164" w:rsidRPr="00755164" w:rsidRDefault="00AB34CF" w:rsidP="00755164">
            <w:pPr>
              <w:jc w:val="center"/>
              <w:rPr>
                <w:sz w:val="20"/>
                <w:szCs w:val="20"/>
              </w:rPr>
            </w:pPr>
            <w:r>
              <w:rPr>
                <w:sz w:val="20"/>
                <w:szCs w:val="20"/>
              </w:rPr>
              <w:t>N/A</w:t>
            </w:r>
          </w:p>
        </w:tc>
      </w:tr>
      <w:tr w:rsidR="00755164" w:rsidTr="00755164">
        <w:trPr>
          <w:trHeight w:val="454"/>
        </w:trPr>
        <w:tc>
          <w:tcPr>
            <w:tcW w:w="1432" w:type="dxa"/>
            <w:vAlign w:val="center"/>
          </w:tcPr>
          <w:p w:rsidR="00755164" w:rsidRDefault="00755164" w:rsidP="00755164">
            <w:pPr>
              <w:rPr>
                <w:b/>
              </w:rPr>
            </w:pPr>
            <w:r>
              <w:rPr>
                <w:b/>
              </w:rPr>
              <w:t>Café</w:t>
            </w:r>
          </w:p>
        </w:tc>
        <w:tc>
          <w:tcPr>
            <w:tcW w:w="979" w:type="dxa"/>
            <w:vAlign w:val="center"/>
          </w:tcPr>
          <w:p w:rsidR="00755164" w:rsidRPr="00755164" w:rsidRDefault="00755164" w:rsidP="00755164">
            <w:pPr>
              <w:jc w:val="center"/>
              <w:rPr>
                <w:sz w:val="20"/>
                <w:szCs w:val="20"/>
              </w:rPr>
            </w:pPr>
            <w:r w:rsidRPr="00755164">
              <w:rPr>
                <w:sz w:val="20"/>
                <w:szCs w:val="20"/>
              </w:rPr>
              <w:t>150</w:t>
            </w:r>
          </w:p>
        </w:tc>
        <w:tc>
          <w:tcPr>
            <w:tcW w:w="1134" w:type="dxa"/>
            <w:vAlign w:val="center"/>
          </w:tcPr>
          <w:p w:rsidR="00755164" w:rsidRPr="00755164" w:rsidRDefault="00755164" w:rsidP="00755164">
            <w:pPr>
              <w:jc w:val="center"/>
              <w:rPr>
                <w:sz w:val="20"/>
                <w:szCs w:val="20"/>
              </w:rPr>
            </w:pPr>
            <w:r w:rsidRPr="00755164">
              <w:rPr>
                <w:sz w:val="20"/>
                <w:szCs w:val="20"/>
              </w:rPr>
              <w:t>55</w:t>
            </w:r>
          </w:p>
        </w:tc>
        <w:tc>
          <w:tcPr>
            <w:tcW w:w="1134" w:type="dxa"/>
            <w:vAlign w:val="center"/>
          </w:tcPr>
          <w:p w:rsidR="00755164" w:rsidRPr="00755164" w:rsidRDefault="00755164" w:rsidP="00755164">
            <w:pPr>
              <w:jc w:val="center"/>
              <w:rPr>
                <w:sz w:val="20"/>
                <w:szCs w:val="20"/>
              </w:rPr>
            </w:pPr>
            <w:r w:rsidRPr="00755164">
              <w:rPr>
                <w:sz w:val="20"/>
                <w:szCs w:val="20"/>
              </w:rPr>
              <w:t>N/A</w:t>
            </w:r>
          </w:p>
        </w:tc>
        <w:tc>
          <w:tcPr>
            <w:tcW w:w="850" w:type="dxa"/>
            <w:vAlign w:val="center"/>
          </w:tcPr>
          <w:p w:rsidR="00755164" w:rsidRPr="00755164" w:rsidRDefault="00755164" w:rsidP="00755164">
            <w:pPr>
              <w:jc w:val="center"/>
              <w:rPr>
                <w:sz w:val="20"/>
                <w:szCs w:val="20"/>
              </w:rPr>
            </w:pPr>
            <w:r w:rsidRPr="00755164">
              <w:rPr>
                <w:sz w:val="20"/>
                <w:szCs w:val="20"/>
              </w:rPr>
              <w:t>30</w:t>
            </w:r>
          </w:p>
        </w:tc>
        <w:tc>
          <w:tcPr>
            <w:tcW w:w="1276" w:type="dxa"/>
            <w:vAlign w:val="center"/>
          </w:tcPr>
          <w:p w:rsidR="00755164" w:rsidRPr="00755164" w:rsidRDefault="00AB34CF" w:rsidP="00755164">
            <w:pPr>
              <w:jc w:val="center"/>
              <w:rPr>
                <w:sz w:val="20"/>
                <w:szCs w:val="20"/>
              </w:rPr>
            </w:pPr>
            <w:r>
              <w:rPr>
                <w:sz w:val="20"/>
                <w:szCs w:val="20"/>
              </w:rPr>
              <w:t>30</w:t>
            </w:r>
          </w:p>
        </w:tc>
        <w:tc>
          <w:tcPr>
            <w:tcW w:w="992" w:type="dxa"/>
            <w:vAlign w:val="center"/>
          </w:tcPr>
          <w:p w:rsidR="00755164" w:rsidRPr="00755164" w:rsidRDefault="00AB34CF" w:rsidP="00755164">
            <w:pPr>
              <w:jc w:val="center"/>
              <w:rPr>
                <w:sz w:val="20"/>
                <w:szCs w:val="20"/>
              </w:rPr>
            </w:pPr>
            <w:r>
              <w:rPr>
                <w:sz w:val="20"/>
                <w:szCs w:val="20"/>
              </w:rPr>
              <w:t>30</w:t>
            </w:r>
          </w:p>
        </w:tc>
        <w:tc>
          <w:tcPr>
            <w:tcW w:w="1350" w:type="dxa"/>
            <w:vAlign w:val="center"/>
          </w:tcPr>
          <w:p w:rsidR="00755164" w:rsidRPr="00755164" w:rsidRDefault="00755164" w:rsidP="00755164">
            <w:pPr>
              <w:jc w:val="center"/>
              <w:rPr>
                <w:sz w:val="20"/>
                <w:szCs w:val="20"/>
              </w:rPr>
            </w:pPr>
            <w:r w:rsidRPr="00755164">
              <w:rPr>
                <w:sz w:val="20"/>
                <w:szCs w:val="20"/>
              </w:rPr>
              <w:t>N/A</w:t>
            </w:r>
          </w:p>
        </w:tc>
        <w:tc>
          <w:tcPr>
            <w:tcW w:w="883" w:type="dxa"/>
            <w:vAlign w:val="center"/>
          </w:tcPr>
          <w:p w:rsidR="00755164" w:rsidRPr="00755164" w:rsidRDefault="00AB34CF" w:rsidP="00755164">
            <w:pPr>
              <w:jc w:val="center"/>
              <w:rPr>
                <w:sz w:val="20"/>
                <w:szCs w:val="20"/>
              </w:rPr>
            </w:pPr>
            <w:r>
              <w:rPr>
                <w:sz w:val="20"/>
                <w:szCs w:val="20"/>
              </w:rPr>
              <w:t>N/A</w:t>
            </w:r>
          </w:p>
        </w:tc>
      </w:tr>
      <w:tr w:rsidR="00755164" w:rsidTr="00755164">
        <w:trPr>
          <w:trHeight w:val="454"/>
        </w:trPr>
        <w:tc>
          <w:tcPr>
            <w:tcW w:w="1432" w:type="dxa"/>
            <w:vAlign w:val="center"/>
          </w:tcPr>
          <w:p w:rsidR="00755164" w:rsidRDefault="00755164" w:rsidP="00755164">
            <w:pPr>
              <w:rPr>
                <w:b/>
              </w:rPr>
            </w:pPr>
            <w:r>
              <w:rPr>
                <w:b/>
              </w:rPr>
              <w:t>Dinner</w:t>
            </w:r>
          </w:p>
        </w:tc>
        <w:tc>
          <w:tcPr>
            <w:tcW w:w="979" w:type="dxa"/>
            <w:vAlign w:val="center"/>
          </w:tcPr>
          <w:p w:rsidR="00755164" w:rsidRPr="00755164" w:rsidRDefault="00755164" w:rsidP="00755164">
            <w:pPr>
              <w:jc w:val="center"/>
              <w:rPr>
                <w:sz w:val="20"/>
                <w:szCs w:val="20"/>
              </w:rPr>
            </w:pPr>
            <w:r w:rsidRPr="00755164">
              <w:rPr>
                <w:sz w:val="20"/>
                <w:szCs w:val="20"/>
              </w:rPr>
              <w:t>200</w:t>
            </w:r>
          </w:p>
        </w:tc>
        <w:tc>
          <w:tcPr>
            <w:tcW w:w="1134" w:type="dxa"/>
            <w:vAlign w:val="center"/>
          </w:tcPr>
          <w:p w:rsidR="00755164" w:rsidRPr="00755164" w:rsidRDefault="00755164" w:rsidP="00755164">
            <w:pPr>
              <w:jc w:val="center"/>
              <w:rPr>
                <w:sz w:val="20"/>
                <w:szCs w:val="20"/>
              </w:rPr>
            </w:pPr>
            <w:r w:rsidRPr="00755164">
              <w:rPr>
                <w:sz w:val="20"/>
                <w:szCs w:val="20"/>
              </w:rPr>
              <w:t>50</w:t>
            </w:r>
          </w:p>
        </w:tc>
        <w:tc>
          <w:tcPr>
            <w:tcW w:w="1134" w:type="dxa"/>
            <w:vAlign w:val="center"/>
          </w:tcPr>
          <w:p w:rsidR="00755164" w:rsidRPr="00755164" w:rsidRDefault="00755164" w:rsidP="00755164">
            <w:pPr>
              <w:jc w:val="center"/>
              <w:rPr>
                <w:sz w:val="20"/>
                <w:szCs w:val="20"/>
              </w:rPr>
            </w:pPr>
            <w:r w:rsidRPr="00755164">
              <w:rPr>
                <w:sz w:val="20"/>
                <w:szCs w:val="20"/>
              </w:rPr>
              <w:t>N/A</w:t>
            </w:r>
          </w:p>
        </w:tc>
        <w:tc>
          <w:tcPr>
            <w:tcW w:w="850" w:type="dxa"/>
            <w:vAlign w:val="center"/>
          </w:tcPr>
          <w:p w:rsidR="00755164" w:rsidRPr="00755164" w:rsidRDefault="00755164" w:rsidP="00755164">
            <w:pPr>
              <w:jc w:val="center"/>
              <w:rPr>
                <w:sz w:val="20"/>
                <w:szCs w:val="20"/>
              </w:rPr>
            </w:pPr>
            <w:r w:rsidRPr="00755164">
              <w:rPr>
                <w:sz w:val="20"/>
                <w:szCs w:val="20"/>
              </w:rPr>
              <w:t>N/A</w:t>
            </w:r>
          </w:p>
        </w:tc>
        <w:tc>
          <w:tcPr>
            <w:tcW w:w="1276" w:type="dxa"/>
            <w:vAlign w:val="center"/>
          </w:tcPr>
          <w:p w:rsidR="00755164" w:rsidRPr="00755164" w:rsidRDefault="00AB34CF" w:rsidP="00755164">
            <w:pPr>
              <w:jc w:val="center"/>
              <w:rPr>
                <w:sz w:val="20"/>
                <w:szCs w:val="20"/>
              </w:rPr>
            </w:pPr>
            <w:r>
              <w:rPr>
                <w:sz w:val="20"/>
                <w:szCs w:val="20"/>
              </w:rPr>
              <w:t>N/A</w:t>
            </w:r>
          </w:p>
        </w:tc>
        <w:tc>
          <w:tcPr>
            <w:tcW w:w="992" w:type="dxa"/>
            <w:vAlign w:val="center"/>
          </w:tcPr>
          <w:p w:rsidR="00755164" w:rsidRPr="00755164" w:rsidRDefault="00AB34CF" w:rsidP="00755164">
            <w:pPr>
              <w:jc w:val="center"/>
              <w:rPr>
                <w:sz w:val="20"/>
                <w:szCs w:val="20"/>
              </w:rPr>
            </w:pPr>
            <w:r>
              <w:rPr>
                <w:sz w:val="20"/>
                <w:szCs w:val="20"/>
              </w:rPr>
              <w:t>N/A</w:t>
            </w:r>
          </w:p>
        </w:tc>
        <w:tc>
          <w:tcPr>
            <w:tcW w:w="1350" w:type="dxa"/>
            <w:vAlign w:val="center"/>
          </w:tcPr>
          <w:p w:rsidR="00755164" w:rsidRPr="00755164" w:rsidRDefault="00755164" w:rsidP="00755164">
            <w:pPr>
              <w:jc w:val="center"/>
              <w:rPr>
                <w:sz w:val="20"/>
                <w:szCs w:val="20"/>
              </w:rPr>
            </w:pPr>
            <w:r w:rsidRPr="00755164">
              <w:rPr>
                <w:sz w:val="20"/>
                <w:szCs w:val="20"/>
              </w:rPr>
              <w:t>N/A</w:t>
            </w:r>
          </w:p>
        </w:tc>
        <w:tc>
          <w:tcPr>
            <w:tcW w:w="883" w:type="dxa"/>
            <w:vAlign w:val="center"/>
          </w:tcPr>
          <w:p w:rsidR="00755164" w:rsidRPr="00755164" w:rsidRDefault="00AB34CF" w:rsidP="00755164">
            <w:pPr>
              <w:jc w:val="center"/>
              <w:rPr>
                <w:sz w:val="20"/>
                <w:szCs w:val="20"/>
              </w:rPr>
            </w:pPr>
            <w:r>
              <w:rPr>
                <w:sz w:val="20"/>
                <w:szCs w:val="20"/>
              </w:rPr>
              <w:t>N/A</w:t>
            </w:r>
          </w:p>
        </w:tc>
      </w:tr>
      <w:tr w:rsidR="00755164" w:rsidTr="00755164">
        <w:trPr>
          <w:trHeight w:val="454"/>
        </w:trPr>
        <w:tc>
          <w:tcPr>
            <w:tcW w:w="1432" w:type="dxa"/>
            <w:vAlign w:val="center"/>
          </w:tcPr>
          <w:p w:rsidR="00755164" w:rsidRDefault="00755164" w:rsidP="00755164">
            <w:pPr>
              <w:rPr>
                <w:b/>
              </w:rPr>
            </w:pPr>
            <w:r>
              <w:rPr>
                <w:b/>
              </w:rPr>
              <w:t>All standing</w:t>
            </w:r>
          </w:p>
        </w:tc>
        <w:tc>
          <w:tcPr>
            <w:tcW w:w="979" w:type="dxa"/>
            <w:vAlign w:val="center"/>
          </w:tcPr>
          <w:p w:rsidR="00755164" w:rsidRPr="00755164" w:rsidRDefault="00755164" w:rsidP="00755164">
            <w:pPr>
              <w:jc w:val="center"/>
              <w:rPr>
                <w:sz w:val="20"/>
                <w:szCs w:val="20"/>
              </w:rPr>
            </w:pPr>
            <w:r w:rsidRPr="00755164">
              <w:rPr>
                <w:sz w:val="20"/>
                <w:szCs w:val="20"/>
              </w:rPr>
              <w:t>250</w:t>
            </w:r>
          </w:p>
        </w:tc>
        <w:tc>
          <w:tcPr>
            <w:tcW w:w="1134" w:type="dxa"/>
            <w:vAlign w:val="center"/>
          </w:tcPr>
          <w:p w:rsidR="00755164" w:rsidRPr="00755164" w:rsidRDefault="00755164" w:rsidP="00755164">
            <w:pPr>
              <w:jc w:val="center"/>
              <w:rPr>
                <w:sz w:val="20"/>
                <w:szCs w:val="20"/>
              </w:rPr>
            </w:pPr>
            <w:r w:rsidRPr="00755164">
              <w:rPr>
                <w:sz w:val="20"/>
                <w:szCs w:val="20"/>
              </w:rPr>
              <w:t>80</w:t>
            </w:r>
          </w:p>
        </w:tc>
        <w:tc>
          <w:tcPr>
            <w:tcW w:w="1134" w:type="dxa"/>
            <w:vAlign w:val="center"/>
          </w:tcPr>
          <w:p w:rsidR="00755164" w:rsidRPr="00755164" w:rsidRDefault="00755164" w:rsidP="00755164">
            <w:pPr>
              <w:jc w:val="center"/>
              <w:rPr>
                <w:sz w:val="20"/>
                <w:szCs w:val="20"/>
              </w:rPr>
            </w:pPr>
            <w:r w:rsidRPr="00755164">
              <w:rPr>
                <w:sz w:val="20"/>
                <w:szCs w:val="20"/>
              </w:rPr>
              <w:t>N/A</w:t>
            </w:r>
          </w:p>
        </w:tc>
        <w:tc>
          <w:tcPr>
            <w:tcW w:w="850" w:type="dxa"/>
            <w:vAlign w:val="center"/>
          </w:tcPr>
          <w:p w:rsidR="00755164" w:rsidRPr="00755164" w:rsidRDefault="00755164" w:rsidP="00755164">
            <w:pPr>
              <w:jc w:val="center"/>
              <w:rPr>
                <w:sz w:val="20"/>
                <w:szCs w:val="20"/>
              </w:rPr>
            </w:pPr>
            <w:r w:rsidRPr="00755164">
              <w:rPr>
                <w:sz w:val="20"/>
                <w:szCs w:val="20"/>
              </w:rPr>
              <w:t>60</w:t>
            </w:r>
          </w:p>
        </w:tc>
        <w:tc>
          <w:tcPr>
            <w:tcW w:w="1276" w:type="dxa"/>
            <w:vAlign w:val="center"/>
          </w:tcPr>
          <w:p w:rsidR="00755164" w:rsidRPr="00755164" w:rsidRDefault="00AB34CF" w:rsidP="00755164">
            <w:pPr>
              <w:jc w:val="center"/>
              <w:rPr>
                <w:sz w:val="20"/>
                <w:szCs w:val="20"/>
              </w:rPr>
            </w:pPr>
            <w:r>
              <w:rPr>
                <w:sz w:val="20"/>
                <w:szCs w:val="20"/>
              </w:rPr>
              <w:t>50</w:t>
            </w:r>
          </w:p>
        </w:tc>
        <w:tc>
          <w:tcPr>
            <w:tcW w:w="992" w:type="dxa"/>
            <w:vAlign w:val="center"/>
          </w:tcPr>
          <w:p w:rsidR="00755164" w:rsidRPr="00755164" w:rsidRDefault="00AB34CF" w:rsidP="00755164">
            <w:pPr>
              <w:jc w:val="center"/>
              <w:rPr>
                <w:sz w:val="20"/>
                <w:szCs w:val="20"/>
              </w:rPr>
            </w:pPr>
            <w:r>
              <w:rPr>
                <w:sz w:val="20"/>
                <w:szCs w:val="20"/>
              </w:rPr>
              <w:t>50</w:t>
            </w:r>
          </w:p>
        </w:tc>
        <w:tc>
          <w:tcPr>
            <w:tcW w:w="1350" w:type="dxa"/>
            <w:vAlign w:val="center"/>
          </w:tcPr>
          <w:p w:rsidR="00755164" w:rsidRPr="00755164" w:rsidRDefault="00755164" w:rsidP="00755164">
            <w:pPr>
              <w:jc w:val="center"/>
              <w:rPr>
                <w:sz w:val="20"/>
                <w:szCs w:val="20"/>
              </w:rPr>
            </w:pPr>
            <w:r w:rsidRPr="00755164">
              <w:rPr>
                <w:sz w:val="20"/>
                <w:szCs w:val="20"/>
              </w:rPr>
              <w:t>N/A</w:t>
            </w:r>
          </w:p>
        </w:tc>
        <w:tc>
          <w:tcPr>
            <w:tcW w:w="883" w:type="dxa"/>
            <w:vAlign w:val="center"/>
          </w:tcPr>
          <w:p w:rsidR="00755164" w:rsidRPr="00755164" w:rsidRDefault="00AB34CF" w:rsidP="00755164">
            <w:pPr>
              <w:jc w:val="center"/>
              <w:rPr>
                <w:sz w:val="20"/>
                <w:szCs w:val="20"/>
              </w:rPr>
            </w:pPr>
            <w:r>
              <w:rPr>
                <w:sz w:val="20"/>
                <w:szCs w:val="20"/>
              </w:rPr>
              <w:t>N/A</w:t>
            </w:r>
          </w:p>
        </w:tc>
      </w:tr>
    </w:tbl>
    <w:p w:rsidR="00755164" w:rsidRDefault="00755164" w:rsidP="00755164">
      <w:pPr>
        <w:ind w:left="720"/>
        <w:rPr>
          <w:b/>
        </w:rPr>
      </w:pPr>
    </w:p>
    <w:p w:rsidR="00755164" w:rsidRDefault="00D30933" w:rsidP="00D30933">
      <w:pPr>
        <w:ind w:left="720" w:hanging="720"/>
      </w:pPr>
      <w:r>
        <w:rPr>
          <w:b/>
        </w:rPr>
        <w:t>2.</w:t>
      </w:r>
      <w:r>
        <w:rPr>
          <w:b/>
        </w:rPr>
        <w:tab/>
      </w:r>
      <w:r>
        <w:t>The Council may, in their absolute discretion, reduce the maximum number of persons to be admitted if they consider it expedient or necessary to do so.</w:t>
      </w:r>
    </w:p>
    <w:p w:rsidR="00D30933" w:rsidRDefault="00D30933" w:rsidP="00D30933">
      <w:pPr>
        <w:ind w:left="720" w:hanging="720"/>
      </w:pPr>
    </w:p>
    <w:p w:rsidR="00E66203" w:rsidRDefault="00E66203" w:rsidP="00D30933"/>
    <w:p w:rsidR="00E66203" w:rsidRDefault="00E66203" w:rsidP="00D30933">
      <w:r>
        <w:rPr>
          <w:b/>
        </w:rPr>
        <w:t>1</w:t>
      </w:r>
      <w:r w:rsidR="00D411F6">
        <w:rPr>
          <w:b/>
        </w:rPr>
        <w:t>3</w:t>
      </w:r>
      <w:r>
        <w:rPr>
          <w:b/>
        </w:rPr>
        <w:t>.0</w:t>
      </w:r>
      <w:r>
        <w:rPr>
          <w:b/>
        </w:rPr>
        <w:tab/>
        <w:t>ANIMALS AND BIRDS</w:t>
      </w:r>
    </w:p>
    <w:p w:rsidR="00E66203" w:rsidRDefault="00E66203" w:rsidP="00D30933"/>
    <w:p w:rsidR="00E66203" w:rsidRDefault="00E66203" w:rsidP="00E66203">
      <w:pPr>
        <w:ind w:left="720" w:hanging="720"/>
      </w:pPr>
      <w:r>
        <w:rPr>
          <w:b/>
        </w:rPr>
        <w:t>1.</w:t>
      </w:r>
      <w:r>
        <w:rPr>
          <w:b/>
        </w:rPr>
        <w:tab/>
      </w:r>
      <w:r>
        <w:t>Except with the written approval of the Supervising Officer, the hirer shall not permit any animal or bird to enter or remain on the premises provided that this condition shall not apply to any assistance animal.</w:t>
      </w:r>
    </w:p>
    <w:p w:rsidR="00E66203" w:rsidRDefault="00E66203" w:rsidP="00E66203">
      <w:pPr>
        <w:ind w:left="720" w:hanging="720"/>
      </w:pPr>
    </w:p>
    <w:p w:rsidR="00E66203" w:rsidRDefault="00D411F6" w:rsidP="00E66203">
      <w:pPr>
        <w:ind w:left="720" w:hanging="720"/>
      </w:pPr>
      <w:r>
        <w:rPr>
          <w:b/>
        </w:rPr>
        <w:t>14</w:t>
      </w:r>
      <w:r w:rsidR="00E66203">
        <w:rPr>
          <w:b/>
        </w:rPr>
        <w:t>.0</w:t>
      </w:r>
      <w:r w:rsidR="00E66203">
        <w:rPr>
          <w:b/>
        </w:rPr>
        <w:tab/>
        <w:t>SMOKING</w:t>
      </w:r>
    </w:p>
    <w:p w:rsidR="00E66203" w:rsidRDefault="00E66203" w:rsidP="00E66203">
      <w:pPr>
        <w:ind w:left="720" w:hanging="720"/>
      </w:pPr>
    </w:p>
    <w:p w:rsidR="00E66203" w:rsidRDefault="00E66203" w:rsidP="00E66203">
      <w:pPr>
        <w:ind w:left="720" w:hanging="720"/>
      </w:pPr>
      <w:r>
        <w:rPr>
          <w:b/>
        </w:rPr>
        <w:t>1.</w:t>
      </w:r>
      <w:r>
        <w:rPr>
          <w:b/>
        </w:rPr>
        <w:tab/>
      </w:r>
      <w:r>
        <w:t>Smoking is not permitted anywhere on or around the premises.</w:t>
      </w:r>
    </w:p>
    <w:p w:rsidR="00E66203" w:rsidRDefault="00E66203" w:rsidP="00E66203">
      <w:pPr>
        <w:ind w:left="720" w:hanging="720"/>
      </w:pPr>
    </w:p>
    <w:p w:rsidR="00E66203" w:rsidRDefault="00D411F6" w:rsidP="00E66203">
      <w:pPr>
        <w:ind w:left="720" w:hanging="720"/>
        <w:rPr>
          <w:b/>
        </w:rPr>
      </w:pPr>
      <w:r>
        <w:rPr>
          <w:b/>
        </w:rPr>
        <w:t>1</w:t>
      </w:r>
      <w:r w:rsidR="007A51EC">
        <w:rPr>
          <w:b/>
        </w:rPr>
        <w:t>5</w:t>
      </w:r>
      <w:r w:rsidR="00E66203">
        <w:rPr>
          <w:b/>
        </w:rPr>
        <w:t>.0</w:t>
      </w:r>
      <w:r w:rsidR="00E66203">
        <w:rPr>
          <w:b/>
        </w:rPr>
        <w:tab/>
        <w:t>MUSICAL COPYRIGHT</w:t>
      </w:r>
    </w:p>
    <w:p w:rsidR="00E66203" w:rsidRDefault="00E66203" w:rsidP="00E66203">
      <w:pPr>
        <w:ind w:left="720" w:hanging="720"/>
        <w:rPr>
          <w:b/>
        </w:rPr>
      </w:pPr>
    </w:p>
    <w:p w:rsidR="00E66203" w:rsidRDefault="00E66203" w:rsidP="00E66203">
      <w:pPr>
        <w:ind w:left="720" w:hanging="720"/>
      </w:pPr>
      <w:r>
        <w:rPr>
          <w:b/>
        </w:rPr>
        <w:t>1.</w:t>
      </w:r>
      <w:r>
        <w:rPr>
          <w:b/>
        </w:rPr>
        <w:tab/>
      </w:r>
      <w:r>
        <w:t>The premises are licensed by the Performing Rights Society for the performance of copyright music controlled by the Society</w:t>
      </w:r>
      <w:r w:rsidR="007A51EC">
        <w:t>.</w:t>
      </w:r>
    </w:p>
    <w:p w:rsidR="007A51EC" w:rsidRDefault="007A51EC" w:rsidP="00E66203">
      <w:pPr>
        <w:ind w:left="720" w:hanging="720"/>
      </w:pPr>
    </w:p>
    <w:p w:rsidR="00295C00" w:rsidRDefault="007A51EC" w:rsidP="00E66203">
      <w:pPr>
        <w:ind w:left="720" w:hanging="720"/>
      </w:pPr>
      <w:r>
        <w:rPr>
          <w:b/>
        </w:rPr>
        <w:t>2</w:t>
      </w:r>
      <w:r w:rsidR="00E66203">
        <w:rPr>
          <w:b/>
        </w:rPr>
        <w:t>.</w:t>
      </w:r>
      <w:r w:rsidR="00E66203">
        <w:rPr>
          <w:b/>
        </w:rPr>
        <w:tab/>
      </w:r>
      <w:r w:rsidR="00E66203">
        <w:t xml:space="preserve">The premises are licensed by Phonographic Performance Limited for the use of pre-recorded music for which a licence fee is payable to Phonographic Performance Limited (such licence being additional to that issued by the Performing Rights Society).  </w:t>
      </w:r>
    </w:p>
    <w:p w:rsidR="00295C00" w:rsidRDefault="00295C00" w:rsidP="00E66203">
      <w:pPr>
        <w:ind w:left="720" w:hanging="720"/>
      </w:pPr>
    </w:p>
    <w:p w:rsidR="002D4B87" w:rsidRDefault="002D4B87" w:rsidP="00E66203">
      <w:pPr>
        <w:ind w:left="720" w:hanging="720"/>
      </w:pPr>
    </w:p>
    <w:p w:rsidR="002D4B87" w:rsidRDefault="002D4B87" w:rsidP="00E66203">
      <w:pPr>
        <w:ind w:left="720" w:hanging="720"/>
      </w:pPr>
    </w:p>
    <w:p w:rsidR="002D4B87" w:rsidRDefault="002D4B87" w:rsidP="00E66203">
      <w:pPr>
        <w:ind w:left="720" w:hanging="720"/>
      </w:pPr>
    </w:p>
    <w:p w:rsidR="00295C00" w:rsidRDefault="002D4B87" w:rsidP="00E66203">
      <w:pPr>
        <w:ind w:left="720" w:hanging="720"/>
      </w:pPr>
      <w:r>
        <w:rPr>
          <w:b/>
        </w:rPr>
        <w:lastRenderedPageBreak/>
        <w:t>16</w:t>
      </w:r>
      <w:r w:rsidR="00295C00">
        <w:rPr>
          <w:b/>
        </w:rPr>
        <w:t>.0</w:t>
      </w:r>
      <w:r w:rsidR="00295C00">
        <w:rPr>
          <w:b/>
        </w:rPr>
        <w:tab/>
        <w:t>CATERING</w:t>
      </w:r>
    </w:p>
    <w:p w:rsidR="00295C00" w:rsidRDefault="00295C00" w:rsidP="00E66203">
      <w:pPr>
        <w:ind w:left="720" w:hanging="720"/>
      </w:pPr>
    </w:p>
    <w:p w:rsidR="00E66203" w:rsidRDefault="002D4B87" w:rsidP="002D4B87">
      <w:r>
        <w:rPr>
          <w:b/>
        </w:rPr>
        <w:t>1.</w:t>
      </w:r>
      <w:r w:rsidR="00326B0B">
        <w:tab/>
        <w:t xml:space="preserve">Hirers </w:t>
      </w:r>
      <w:r>
        <w:t xml:space="preserve">making use of the kitchen facilities </w:t>
      </w:r>
      <w:r w:rsidR="00326B0B">
        <w:t>shall be responsible for:-</w:t>
      </w:r>
    </w:p>
    <w:p w:rsidR="00326B0B" w:rsidRDefault="00326B0B" w:rsidP="00326B0B">
      <w:r>
        <w:tab/>
      </w:r>
    </w:p>
    <w:p w:rsidR="00326B0B" w:rsidRDefault="00326B0B" w:rsidP="00326B0B">
      <w:pPr>
        <w:pStyle w:val="ListParagraph"/>
        <w:numPr>
          <w:ilvl w:val="0"/>
          <w:numId w:val="3"/>
        </w:numPr>
      </w:pPr>
      <w:r>
        <w:t>Cleaning up all storing routes, preparation areas, kitchens</w:t>
      </w:r>
      <w:r w:rsidR="00D65351">
        <w:t>, kitchen equipment, serveries, eating areas and for disposing of all waste food and rubbish.</w:t>
      </w:r>
    </w:p>
    <w:p w:rsidR="00D65351" w:rsidRDefault="00D65351" w:rsidP="00326B0B">
      <w:pPr>
        <w:pStyle w:val="ListParagraph"/>
        <w:numPr>
          <w:ilvl w:val="0"/>
          <w:numId w:val="3"/>
        </w:numPr>
      </w:pPr>
      <w:r>
        <w:t xml:space="preserve">Supplying their own catering and waiting staff, tableware, condiments, </w:t>
      </w:r>
      <w:r w:rsidR="002D4B87">
        <w:t>k</w:t>
      </w:r>
      <w:r>
        <w:t>itchenware and glassware.</w:t>
      </w:r>
      <w:r w:rsidR="002D4B87">
        <w:t xml:space="preserve">  Table linen can be hired for a fee and this needs to be requested at the time of booking.</w:t>
      </w:r>
    </w:p>
    <w:p w:rsidR="00D65351" w:rsidRDefault="00D65351" w:rsidP="00326B0B">
      <w:pPr>
        <w:pStyle w:val="ListParagraph"/>
        <w:numPr>
          <w:ilvl w:val="0"/>
          <w:numId w:val="3"/>
        </w:numPr>
      </w:pPr>
      <w:r>
        <w:t>Complying with all requirements of Health and Safety at Work and all Food Hygiene and Health Regulations.</w:t>
      </w:r>
    </w:p>
    <w:p w:rsidR="002D4B87" w:rsidRDefault="002D4B87" w:rsidP="009B2BD9">
      <w:pPr>
        <w:ind w:left="720" w:hanging="720"/>
        <w:rPr>
          <w:b/>
        </w:rPr>
      </w:pPr>
    </w:p>
    <w:p w:rsidR="00D65351" w:rsidRDefault="002D4B87" w:rsidP="009B2BD9">
      <w:pPr>
        <w:ind w:left="720" w:hanging="720"/>
      </w:pPr>
      <w:r>
        <w:rPr>
          <w:b/>
        </w:rPr>
        <w:t>2</w:t>
      </w:r>
      <w:r w:rsidR="00D65351" w:rsidRPr="00D65351">
        <w:rPr>
          <w:b/>
        </w:rPr>
        <w:t>.</w:t>
      </w:r>
      <w:r w:rsidR="00D65351" w:rsidRPr="00D65351">
        <w:rPr>
          <w:b/>
        </w:rPr>
        <w:tab/>
      </w:r>
      <w:r w:rsidR="00D65351" w:rsidRPr="00D65351">
        <w:t>No food or drink</w:t>
      </w:r>
      <w:r w:rsidR="00D65351">
        <w:t xml:space="preserve"> shall be brought onto the premises unless a waiver</w:t>
      </w:r>
      <w:r w:rsidR="002F228C">
        <w:t xml:space="preserve"> has been granted in writing.</w:t>
      </w:r>
    </w:p>
    <w:p w:rsidR="002F228C" w:rsidRDefault="002F228C" w:rsidP="00D65351"/>
    <w:p w:rsidR="002F228C" w:rsidRDefault="002D4B87" w:rsidP="009B2BD9">
      <w:pPr>
        <w:ind w:left="720" w:hanging="720"/>
      </w:pPr>
      <w:r>
        <w:rPr>
          <w:b/>
        </w:rPr>
        <w:t>3</w:t>
      </w:r>
      <w:r w:rsidR="002F228C">
        <w:rPr>
          <w:b/>
        </w:rPr>
        <w:t>.</w:t>
      </w:r>
      <w:r w:rsidR="002F228C">
        <w:tab/>
        <w:t>No heating or foodstuffs shall be undertaken using charcoal or like solid fuel or inflammable liquid fuel cookers.  Hirers shall be responsible for ensuring all gas and electrical heating equipment brought onto the premises comply with all appropriate British Standards, Health and Safety Regulations and Food Hygiene Regulations.</w:t>
      </w:r>
    </w:p>
    <w:p w:rsidR="009B2BD9" w:rsidRDefault="009B2BD9" w:rsidP="009B2BD9">
      <w:pPr>
        <w:ind w:left="720" w:hanging="720"/>
      </w:pPr>
    </w:p>
    <w:p w:rsidR="00B531D9" w:rsidRDefault="002D4B87" w:rsidP="009B2BD9">
      <w:r>
        <w:rPr>
          <w:b/>
        </w:rPr>
        <w:t>17</w:t>
      </w:r>
      <w:r w:rsidR="00B531D9">
        <w:rPr>
          <w:b/>
        </w:rPr>
        <w:t>.0</w:t>
      </w:r>
      <w:r w:rsidR="00B531D9">
        <w:rPr>
          <w:b/>
        </w:rPr>
        <w:tab/>
        <w:t>ACCESS ONTO THE PREMISES AND AVAILABILITY</w:t>
      </w:r>
    </w:p>
    <w:p w:rsidR="00B531D9" w:rsidRDefault="00B531D9" w:rsidP="009B2BD9"/>
    <w:p w:rsidR="00B531D9" w:rsidRDefault="003F20E3" w:rsidP="00CA05B0">
      <w:pPr>
        <w:ind w:left="720" w:hanging="720"/>
      </w:pPr>
      <w:r>
        <w:rPr>
          <w:b/>
        </w:rPr>
        <w:t>1.</w:t>
      </w:r>
      <w:r>
        <w:rPr>
          <w:b/>
        </w:rPr>
        <w:tab/>
      </w:r>
      <w:r>
        <w:t>Under no circumstances will hirers or their attendees, contractors, performers, exhibitors or any other persons associated with the hiring be allowed onto the premises before the time of commencement of the hiring.</w:t>
      </w:r>
    </w:p>
    <w:p w:rsidR="003F20E3" w:rsidRDefault="003F20E3" w:rsidP="009B2BD9"/>
    <w:p w:rsidR="003F20E3" w:rsidRDefault="003F20E3" w:rsidP="00CA05B0">
      <w:pPr>
        <w:ind w:left="720" w:hanging="720"/>
      </w:pPr>
      <w:r>
        <w:rPr>
          <w:b/>
        </w:rPr>
        <w:t>2.</w:t>
      </w:r>
      <w:r>
        <w:rPr>
          <w:b/>
        </w:rPr>
        <w:tab/>
      </w:r>
      <w:r>
        <w:t>All hirers and any persons associated with any hiring must have vacated and be clear of the premises by the time of completion of the hire period.</w:t>
      </w:r>
    </w:p>
    <w:p w:rsidR="003F20E3" w:rsidRDefault="003F20E3" w:rsidP="009B2BD9"/>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2D4B87" w:rsidRDefault="002D4B87" w:rsidP="008E7327">
      <w:pPr>
        <w:ind w:left="720" w:hanging="720"/>
        <w:jc w:val="center"/>
        <w:rPr>
          <w:b/>
        </w:rPr>
      </w:pPr>
    </w:p>
    <w:p w:rsidR="008E7327" w:rsidRDefault="002D4B87" w:rsidP="002D4B87">
      <w:pPr>
        <w:ind w:left="720" w:hanging="720"/>
        <w:jc w:val="center"/>
        <w:rPr>
          <w:b/>
        </w:rPr>
      </w:pPr>
      <w:r>
        <w:rPr>
          <w:b/>
        </w:rPr>
        <w:lastRenderedPageBreak/>
        <w:t>APPENDIX A</w:t>
      </w:r>
    </w:p>
    <w:p w:rsidR="008E7327" w:rsidRDefault="008E7327" w:rsidP="008E7327">
      <w:pPr>
        <w:ind w:left="720" w:hanging="720"/>
        <w:jc w:val="center"/>
        <w:rPr>
          <w:b/>
        </w:rPr>
      </w:pPr>
    </w:p>
    <w:p w:rsidR="008E7327" w:rsidRDefault="008E7327" w:rsidP="008E7327">
      <w:pPr>
        <w:ind w:left="720" w:hanging="720"/>
        <w:jc w:val="center"/>
      </w:pPr>
      <w:r>
        <w:rPr>
          <w:b/>
        </w:rPr>
        <w:t>REDUCED LETTINGS CRITERIA</w:t>
      </w:r>
    </w:p>
    <w:p w:rsidR="008E7327" w:rsidRDefault="008E7327" w:rsidP="008E7327">
      <w:pPr>
        <w:ind w:left="720" w:hanging="720"/>
        <w:jc w:val="center"/>
      </w:pPr>
    </w:p>
    <w:p w:rsidR="008E7327" w:rsidRDefault="00BA6DCC" w:rsidP="00E44CE2">
      <w:pPr>
        <w:rPr>
          <w:b/>
        </w:rPr>
      </w:pPr>
      <w:r>
        <w:rPr>
          <w:b/>
        </w:rPr>
        <w:t>1</w:t>
      </w:r>
      <w:r w:rsidR="00E44CE2">
        <w:rPr>
          <w:b/>
        </w:rPr>
        <w:t>.0</w:t>
      </w:r>
      <w:r w:rsidR="00E44CE2">
        <w:rPr>
          <w:b/>
        </w:rPr>
        <w:tab/>
        <w:t>REDUCED HIRE FEES</w:t>
      </w:r>
    </w:p>
    <w:p w:rsidR="00E44CE2" w:rsidRDefault="00E44CE2" w:rsidP="00E44CE2">
      <w:pPr>
        <w:rPr>
          <w:b/>
        </w:rPr>
      </w:pPr>
    </w:p>
    <w:p w:rsidR="00E44CE2" w:rsidRDefault="00E44CE2" w:rsidP="00E44CE2">
      <w:pPr>
        <w:ind w:left="720" w:hanging="720"/>
      </w:pPr>
      <w:r>
        <w:rPr>
          <w:b/>
        </w:rPr>
        <w:t>1.</w:t>
      </w:r>
      <w:r>
        <w:rPr>
          <w:b/>
        </w:rPr>
        <w:tab/>
      </w:r>
      <w:r>
        <w:t>In accordance with Clause 2.</w:t>
      </w:r>
      <w:r w:rsidR="00BA6DCC">
        <w:t>6</w:t>
      </w:r>
      <w:r>
        <w:t xml:space="preserve"> of the Terms and Conditions of Hire, Registered Charities may apply for reduced hire charges.</w:t>
      </w:r>
    </w:p>
    <w:p w:rsidR="00E44CE2" w:rsidRDefault="00E44CE2" w:rsidP="00E44CE2"/>
    <w:p w:rsidR="00E44CE2" w:rsidRDefault="00E44CE2" w:rsidP="00E44CE2">
      <w:pPr>
        <w:ind w:left="720" w:hanging="720"/>
      </w:pPr>
      <w:r>
        <w:rPr>
          <w:b/>
        </w:rPr>
        <w:t>2.</w:t>
      </w:r>
      <w:r>
        <w:rPr>
          <w:b/>
        </w:rPr>
        <w:tab/>
      </w:r>
      <w:r>
        <w:t>All applications must be made in writing and must be made at least 8 weeks prior to the date of the event.  Repeat events are not automatically granted reductions and an application must be made for every event (although applications for multiple bookings are acceptable and desirable).</w:t>
      </w:r>
    </w:p>
    <w:p w:rsidR="00E44CE2" w:rsidRDefault="00E44CE2" w:rsidP="00E44CE2"/>
    <w:p w:rsidR="00E44CE2" w:rsidRDefault="00E44CE2" w:rsidP="00E44CE2">
      <w:pPr>
        <w:ind w:left="720" w:hanging="720"/>
      </w:pPr>
      <w:r>
        <w:rPr>
          <w:b/>
        </w:rPr>
        <w:t>3.</w:t>
      </w:r>
      <w:r>
        <w:rPr>
          <w:b/>
        </w:rPr>
        <w:tab/>
      </w:r>
      <w:r>
        <w:t xml:space="preserve">Applications for reduced fees are considered by the </w:t>
      </w:r>
      <w:r>
        <w:rPr>
          <w:b/>
        </w:rPr>
        <w:t>(need to decide who)</w:t>
      </w:r>
      <w:r>
        <w:t xml:space="preserve"> and the following policies have generally been adopted:</w:t>
      </w:r>
    </w:p>
    <w:p w:rsidR="00E44CE2" w:rsidRDefault="00E44CE2" w:rsidP="00E44CE2"/>
    <w:p w:rsidR="00E44CE2" w:rsidRDefault="00E44CE2" w:rsidP="00E44CE2">
      <w:pPr>
        <w:ind w:left="720"/>
      </w:pPr>
      <w:r>
        <w:rPr>
          <w:u w:val="single"/>
        </w:rPr>
        <w:t>75% reduction</w:t>
      </w:r>
      <w:r>
        <w:t>: a wholly local group or organisation who are a registered charity and who can demonstrably show that they provide services for the direct benefit of the residents of the borough of North East Lincolnshire.</w:t>
      </w:r>
    </w:p>
    <w:p w:rsidR="00E44CE2" w:rsidRDefault="00E44CE2" w:rsidP="00E44CE2"/>
    <w:p w:rsidR="00E44CE2" w:rsidRDefault="00E44CE2" w:rsidP="00E44CE2">
      <w:pPr>
        <w:ind w:left="720"/>
      </w:pPr>
      <w:r>
        <w:t>Events would not normally include fund raising but would typically be AGM’s or small meetings.</w:t>
      </w:r>
    </w:p>
    <w:p w:rsidR="00E44CE2" w:rsidRDefault="00E44CE2" w:rsidP="00E44CE2"/>
    <w:p w:rsidR="00E44CE2" w:rsidRDefault="00E44CE2" w:rsidP="00E44CE2">
      <w:pPr>
        <w:ind w:left="720"/>
      </w:pPr>
      <w:r>
        <w:rPr>
          <w:u w:val="single"/>
        </w:rPr>
        <w:t>25% reduction</w:t>
      </w:r>
      <w:r>
        <w:t>: a wholly local group or organisation who are a registered charity and who can demonstrably show that they provide services for the direct benefit of the residents of the borough of North East Lincolnshire.</w:t>
      </w:r>
    </w:p>
    <w:p w:rsidR="00E44CE2" w:rsidRDefault="00E44CE2" w:rsidP="00E44CE2"/>
    <w:p w:rsidR="00E44CE2" w:rsidRDefault="00E44CE2" w:rsidP="00E44CE2">
      <w:r>
        <w:tab/>
        <w:t>Events would normally include fundraising, e.g. Christmas Fayres or Spring Bazaars</w:t>
      </w:r>
    </w:p>
    <w:p w:rsidR="0071417B" w:rsidRDefault="0071417B" w:rsidP="00E44CE2"/>
    <w:p w:rsidR="0071417B" w:rsidRDefault="00773531" w:rsidP="00B5715D">
      <w:pPr>
        <w:ind w:left="720" w:hanging="720"/>
      </w:pPr>
      <w:r>
        <w:rPr>
          <w:b/>
        </w:rPr>
        <w:t>4</w:t>
      </w:r>
      <w:bookmarkStart w:id="0" w:name="_GoBack"/>
      <w:bookmarkEnd w:id="0"/>
      <w:r w:rsidR="0071417B">
        <w:rPr>
          <w:b/>
        </w:rPr>
        <w:t>.</w:t>
      </w:r>
      <w:r w:rsidR="0071417B">
        <w:rPr>
          <w:b/>
        </w:rPr>
        <w:tab/>
      </w:r>
      <w:r w:rsidR="0071417B">
        <w:t>Applications for reductions in hire fees must include the following information before they will be considered:</w:t>
      </w:r>
    </w:p>
    <w:p w:rsidR="0071417B" w:rsidRDefault="0071417B" w:rsidP="00E44CE2"/>
    <w:p w:rsidR="0071417B" w:rsidRDefault="0071417B" w:rsidP="0071417B">
      <w:pPr>
        <w:pStyle w:val="ListParagraph"/>
        <w:numPr>
          <w:ilvl w:val="0"/>
          <w:numId w:val="3"/>
        </w:numPr>
      </w:pPr>
      <w:r>
        <w:t>Name, address and Charity Registered Number (if applicable) of organisation making the application</w:t>
      </w:r>
    </w:p>
    <w:p w:rsidR="0071417B" w:rsidRDefault="0071417B" w:rsidP="0071417B">
      <w:pPr>
        <w:pStyle w:val="ListParagraph"/>
        <w:numPr>
          <w:ilvl w:val="0"/>
          <w:numId w:val="3"/>
        </w:numPr>
      </w:pPr>
      <w:r>
        <w:t>Contact name and telephone number (and address if different from above)</w:t>
      </w:r>
    </w:p>
    <w:p w:rsidR="0071417B" w:rsidRDefault="0071417B" w:rsidP="0071417B">
      <w:pPr>
        <w:pStyle w:val="ListParagraph"/>
        <w:numPr>
          <w:ilvl w:val="0"/>
          <w:numId w:val="3"/>
        </w:numPr>
      </w:pPr>
      <w:r>
        <w:t>Date of event(s)</w:t>
      </w:r>
    </w:p>
    <w:p w:rsidR="0071417B" w:rsidRDefault="0071417B" w:rsidP="0071417B">
      <w:pPr>
        <w:pStyle w:val="ListParagraph"/>
        <w:numPr>
          <w:ilvl w:val="0"/>
          <w:numId w:val="3"/>
        </w:numPr>
      </w:pPr>
      <w:r>
        <w:t>Halls and rooms booked</w:t>
      </w:r>
    </w:p>
    <w:p w:rsidR="0071417B" w:rsidRDefault="0071417B" w:rsidP="0071417B">
      <w:pPr>
        <w:pStyle w:val="ListParagraph"/>
        <w:numPr>
          <w:ilvl w:val="0"/>
          <w:numId w:val="3"/>
        </w:numPr>
      </w:pPr>
      <w:r>
        <w:t>Whether or not reductions have previously been granted (and when if known)</w:t>
      </w:r>
    </w:p>
    <w:p w:rsidR="0071417B" w:rsidRDefault="0071417B" w:rsidP="0071417B">
      <w:pPr>
        <w:pStyle w:val="ListParagraph"/>
        <w:numPr>
          <w:ilvl w:val="0"/>
          <w:numId w:val="3"/>
        </w:numPr>
      </w:pPr>
      <w:r>
        <w:t>Discount applied for (and previously granted if known)</w:t>
      </w:r>
    </w:p>
    <w:p w:rsidR="0071417B" w:rsidRDefault="0071417B" w:rsidP="0071417B">
      <w:pPr>
        <w:pStyle w:val="ListParagraph"/>
        <w:numPr>
          <w:ilvl w:val="0"/>
          <w:numId w:val="3"/>
        </w:numPr>
      </w:pPr>
      <w:r>
        <w:t>Whether the event is fund raising or not</w:t>
      </w:r>
    </w:p>
    <w:p w:rsidR="0071417B" w:rsidRDefault="0071417B" w:rsidP="0071417B">
      <w:pPr>
        <w:pStyle w:val="ListParagraph"/>
        <w:numPr>
          <w:ilvl w:val="0"/>
          <w:numId w:val="3"/>
        </w:numPr>
      </w:pPr>
      <w:r>
        <w:t>Whether the organisation is local or national organisation</w:t>
      </w:r>
    </w:p>
    <w:p w:rsidR="0071417B" w:rsidRDefault="0071417B" w:rsidP="0071417B">
      <w:pPr>
        <w:pStyle w:val="ListParagraph"/>
        <w:numPr>
          <w:ilvl w:val="0"/>
          <w:numId w:val="3"/>
        </w:numPr>
      </w:pPr>
      <w:r>
        <w:t xml:space="preserve">Nature of event (AGM, bazaar, </w:t>
      </w:r>
      <w:proofErr w:type="spellStart"/>
      <w:r>
        <w:t>etc</w:t>
      </w:r>
      <w:proofErr w:type="spellEnd"/>
      <w:r>
        <w:t>)</w:t>
      </w:r>
    </w:p>
    <w:p w:rsidR="00B5715D" w:rsidRDefault="0071417B" w:rsidP="0071417B">
      <w:pPr>
        <w:pStyle w:val="ListParagraph"/>
        <w:numPr>
          <w:ilvl w:val="0"/>
          <w:numId w:val="3"/>
        </w:numPr>
      </w:pPr>
      <w:r>
        <w:t>Supporting evidence of services provided to residents of the borough in such a way to reduce hardship and improve living standards.</w:t>
      </w:r>
    </w:p>
    <w:p w:rsidR="005A2CCB" w:rsidRPr="005A2CCB" w:rsidRDefault="005A2CCB" w:rsidP="005A2CCB"/>
    <w:sectPr w:rsidR="005A2CCB" w:rsidRPr="005A2CCB" w:rsidSect="003740D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F0D"/>
    <w:multiLevelType w:val="multilevel"/>
    <w:tmpl w:val="37C287C0"/>
    <w:lvl w:ilvl="0">
      <w:start w:val="1"/>
      <w:numFmt w:val="decimal"/>
      <w:lvlText w:val="%1.0"/>
      <w:lvlJc w:val="left"/>
      <w:pPr>
        <w:ind w:left="720" w:hanging="720"/>
      </w:pPr>
      <w:rPr>
        <w:rFonts w:hint="default"/>
        <w:b/>
      </w:rPr>
    </w:lvl>
    <w:lvl w:ilvl="1">
      <w:start w:val="1"/>
      <w:numFmt w:val="decimal"/>
      <w:lvlText w:val="%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4124407D"/>
    <w:multiLevelType w:val="hybridMultilevel"/>
    <w:tmpl w:val="69507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A944139"/>
    <w:multiLevelType w:val="hybridMultilevel"/>
    <w:tmpl w:val="F312B8C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0D0"/>
    <w:rsid w:val="000279E6"/>
    <w:rsid w:val="00081D02"/>
    <w:rsid w:val="000860EC"/>
    <w:rsid w:val="0008776D"/>
    <w:rsid w:val="000941BC"/>
    <w:rsid w:val="000950A8"/>
    <w:rsid w:val="000C292A"/>
    <w:rsid w:val="000E0898"/>
    <w:rsid w:val="000F3A33"/>
    <w:rsid w:val="00163870"/>
    <w:rsid w:val="001922BC"/>
    <w:rsid w:val="001A2AC2"/>
    <w:rsid w:val="001F063C"/>
    <w:rsid w:val="00251137"/>
    <w:rsid w:val="0029253B"/>
    <w:rsid w:val="00295C00"/>
    <w:rsid w:val="002D4B87"/>
    <w:rsid w:val="002F228C"/>
    <w:rsid w:val="00326B0B"/>
    <w:rsid w:val="00364040"/>
    <w:rsid w:val="003740D0"/>
    <w:rsid w:val="003F20E3"/>
    <w:rsid w:val="00446211"/>
    <w:rsid w:val="00452840"/>
    <w:rsid w:val="00492983"/>
    <w:rsid w:val="004A0758"/>
    <w:rsid w:val="004A42E8"/>
    <w:rsid w:val="0051680E"/>
    <w:rsid w:val="005A2CCB"/>
    <w:rsid w:val="00605C9F"/>
    <w:rsid w:val="006139A1"/>
    <w:rsid w:val="006757A0"/>
    <w:rsid w:val="006C5328"/>
    <w:rsid w:val="0071417B"/>
    <w:rsid w:val="00755164"/>
    <w:rsid w:val="00773531"/>
    <w:rsid w:val="007A51EC"/>
    <w:rsid w:val="00810891"/>
    <w:rsid w:val="008E7327"/>
    <w:rsid w:val="009060E5"/>
    <w:rsid w:val="00913E66"/>
    <w:rsid w:val="0092225B"/>
    <w:rsid w:val="009312AD"/>
    <w:rsid w:val="009540E6"/>
    <w:rsid w:val="009862C2"/>
    <w:rsid w:val="009B2BD9"/>
    <w:rsid w:val="009D0039"/>
    <w:rsid w:val="009E2506"/>
    <w:rsid w:val="00A27008"/>
    <w:rsid w:val="00A27A74"/>
    <w:rsid w:val="00A36CA4"/>
    <w:rsid w:val="00AB34CF"/>
    <w:rsid w:val="00B27098"/>
    <w:rsid w:val="00B27219"/>
    <w:rsid w:val="00B531D9"/>
    <w:rsid w:val="00B5715D"/>
    <w:rsid w:val="00B61541"/>
    <w:rsid w:val="00BA6DCC"/>
    <w:rsid w:val="00BD0094"/>
    <w:rsid w:val="00C178AF"/>
    <w:rsid w:val="00C322EB"/>
    <w:rsid w:val="00C430F7"/>
    <w:rsid w:val="00CA05B0"/>
    <w:rsid w:val="00D30933"/>
    <w:rsid w:val="00D411F6"/>
    <w:rsid w:val="00D65351"/>
    <w:rsid w:val="00D729E0"/>
    <w:rsid w:val="00D85589"/>
    <w:rsid w:val="00D862BB"/>
    <w:rsid w:val="00DB29FC"/>
    <w:rsid w:val="00E44CE2"/>
    <w:rsid w:val="00E66203"/>
    <w:rsid w:val="00E7485B"/>
    <w:rsid w:val="00E81DCB"/>
    <w:rsid w:val="00F00679"/>
    <w:rsid w:val="00F55041"/>
    <w:rsid w:val="00FD0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D0"/>
    <w:rPr>
      <w:sz w:val="24"/>
      <w:szCs w:val="24"/>
    </w:rPr>
  </w:style>
  <w:style w:type="paragraph" w:styleId="Heading1">
    <w:name w:val="heading 1"/>
    <w:basedOn w:val="Normal"/>
    <w:next w:val="Normal"/>
    <w:link w:val="Heading1Char"/>
    <w:uiPriority w:val="9"/>
    <w:qFormat/>
    <w:rsid w:val="00374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4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4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40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40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40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40D0"/>
    <w:pPr>
      <w:spacing w:before="240" w:after="60"/>
      <w:outlineLvl w:val="6"/>
    </w:pPr>
  </w:style>
  <w:style w:type="paragraph" w:styleId="Heading8">
    <w:name w:val="heading 8"/>
    <w:basedOn w:val="Normal"/>
    <w:next w:val="Normal"/>
    <w:link w:val="Heading8Char"/>
    <w:uiPriority w:val="9"/>
    <w:semiHidden/>
    <w:unhideWhenUsed/>
    <w:qFormat/>
    <w:rsid w:val="003740D0"/>
    <w:pPr>
      <w:spacing w:before="240" w:after="60"/>
      <w:outlineLvl w:val="7"/>
    </w:pPr>
    <w:rPr>
      <w:i/>
      <w:iCs/>
    </w:rPr>
  </w:style>
  <w:style w:type="paragraph" w:styleId="Heading9">
    <w:name w:val="heading 9"/>
    <w:basedOn w:val="Normal"/>
    <w:next w:val="Normal"/>
    <w:link w:val="Heading9Char"/>
    <w:uiPriority w:val="9"/>
    <w:semiHidden/>
    <w:unhideWhenUsed/>
    <w:qFormat/>
    <w:rsid w:val="003740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40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40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40D0"/>
    <w:rPr>
      <w:b/>
      <w:bCs/>
      <w:sz w:val="28"/>
      <w:szCs w:val="28"/>
    </w:rPr>
  </w:style>
  <w:style w:type="character" w:customStyle="1" w:styleId="Heading5Char">
    <w:name w:val="Heading 5 Char"/>
    <w:basedOn w:val="DefaultParagraphFont"/>
    <w:link w:val="Heading5"/>
    <w:uiPriority w:val="9"/>
    <w:semiHidden/>
    <w:rsid w:val="003740D0"/>
    <w:rPr>
      <w:b/>
      <w:bCs/>
      <w:i/>
      <w:iCs/>
      <w:sz w:val="26"/>
      <w:szCs w:val="26"/>
    </w:rPr>
  </w:style>
  <w:style w:type="character" w:customStyle="1" w:styleId="Heading6Char">
    <w:name w:val="Heading 6 Char"/>
    <w:basedOn w:val="DefaultParagraphFont"/>
    <w:link w:val="Heading6"/>
    <w:uiPriority w:val="9"/>
    <w:semiHidden/>
    <w:rsid w:val="003740D0"/>
    <w:rPr>
      <w:b/>
      <w:bCs/>
    </w:rPr>
  </w:style>
  <w:style w:type="character" w:customStyle="1" w:styleId="Heading7Char">
    <w:name w:val="Heading 7 Char"/>
    <w:basedOn w:val="DefaultParagraphFont"/>
    <w:link w:val="Heading7"/>
    <w:uiPriority w:val="9"/>
    <w:semiHidden/>
    <w:rsid w:val="003740D0"/>
    <w:rPr>
      <w:sz w:val="24"/>
      <w:szCs w:val="24"/>
    </w:rPr>
  </w:style>
  <w:style w:type="character" w:customStyle="1" w:styleId="Heading8Char">
    <w:name w:val="Heading 8 Char"/>
    <w:basedOn w:val="DefaultParagraphFont"/>
    <w:link w:val="Heading8"/>
    <w:uiPriority w:val="9"/>
    <w:semiHidden/>
    <w:rsid w:val="003740D0"/>
    <w:rPr>
      <w:i/>
      <w:iCs/>
      <w:sz w:val="24"/>
      <w:szCs w:val="24"/>
    </w:rPr>
  </w:style>
  <w:style w:type="character" w:customStyle="1" w:styleId="Heading9Char">
    <w:name w:val="Heading 9 Char"/>
    <w:basedOn w:val="DefaultParagraphFont"/>
    <w:link w:val="Heading9"/>
    <w:uiPriority w:val="9"/>
    <w:semiHidden/>
    <w:rsid w:val="003740D0"/>
    <w:rPr>
      <w:rFonts w:asciiTheme="majorHAnsi" w:eastAsiaTheme="majorEastAsia" w:hAnsiTheme="majorHAnsi"/>
    </w:rPr>
  </w:style>
  <w:style w:type="paragraph" w:styleId="Title">
    <w:name w:val="Title"/>
    <w:basedOn w:val="Normal"/>
    <w:next w:val="Normal"/>
    <w:link w:val="TitleChar"/>
    <w:uiPriority w:val="10"/>
    <w:qFormat/>
    <w:rsid w:val="00374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40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4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40D0"/>
    <w:rPr>
      <w:rFonts w:asciiTheme="majorHAnsi" w:eastAsiaTheme="majorEastAsia" w:hAnsiTheme="majorHAnsi"/>
      <w:sz w:val="24"/>
      <w:szCs w:val="24"/>
    </w:rPr>
  </w:style>
  <w:style w:type="character" w:styleId="Strong">
    <w:name w:val="Strong"/>
    <w:basedOn w:val="DefaultParagraphFont"/>
    <w:uiPriority w:val="22"/>
    <w:qFormat/>
    <w:rsid w:val="003740D0"/>
    <w:rPr>
      <w:b/>
      <w:bCs/>
    </w:rPr>
  </w:style>
  <w:style w:type="character" w:styleId="Emphasis">
    <w:name w:val="Emphasis"/>
    <w:basedOn w:val="DefaultParagraphFont"/>
    <w:uiPriority w:val="20"/>
    <w:qFormat/>
    <w:rsid w:val="003740D0"/>
    <w:rPr>
      <w:rFonts w:asciiTheme="minorHAnsi" w:hAnsiTheme="minorHAnsi"/>
      <w:b/>
      <w:i/>
      <w:iCs/>
    </w:rPr>
  </w:style>
  <w:style w:type="paragraph" w:styleId="NoSpacing">
    <w:name w:val="No Spacing"/>
    <w:basedOn w:val="Normal"/>
    <w:uiPriority w:val="1"/>
    <w:qFormat/>
    <w:rsid w:val="003740D0"/>
    <w:rPr>
      <w:szCs w:val="32"/>
    </w:rPr>
  </w:style>
  <w:style w:type="paragraph" w:styleId="ListParagraph">
    <w:name w:val="List Paragraph"/>
    <w:basedOn w:val="Normal"/>
    <w:uiPriority w:val="34"/>
    <w:qFormat/>
    <w:rsid w:val="003740D0"/>
    <w:pPr>
      <w:ind w:left="720"/>
      <w:contextualSpacing/>
    </w:pPr>
  </w:style>
  <w:style w:type="paragraph" w:styleId="Quote">
    <w:name w:val="Quote"/>
    <w:basedOn w:val="Normal"/>
    <w:next w:val="Normal"/>
    <w:link w:val="QuoteChar"/>
    <w:uiPriority w:val="29"/>
    <w:qFormat/>
    <w:rsid w:val="003740D0"/>
    <w:rPr>
      <w:i/>
    </w:rPr>
  </w:style>
  <w:style w:type="character" w:customStyle="1" w:styleId="QuoteChar">
    <w:name w:val="Quote Char"/>
    <w:basedOn w:val="DefaultParagraphFont"/>
    <w:link w:val="Quote"/>
    <w:uiPriority w:val="29"/>
    <w:rsid w:val="003740D0"/>
    <w:rPr>
      <w:i/>
      <w:sz w:val="24"/>
      <w:szCs w:val="24"/>
    </w:rPr>
  </w:style>
  <w:style w:type="paragraph" w:styleId="IntenseQuote">
    <w:name w:val="Intense Quote"/>
    <w:basedOn w:val="Normal"/>
    <w:next w:val="Normal"/>
    <w:link w:val="IntenseQuoteChar"/>
    <w:uiPriority w:val="30"/>
    <w:qFormat/>
    <w:rsid w:val="003740D0"/>
    <w:pPr>
      <w:ind w:left="720" w:right="720"/>
    </w:pPr>
    <w:rPr>
      <w:b/>
      <w:i/>
      <w:szCs w:val="22"/>
    </w:rPr>
  </w:style>
  <w:style w:type="character" w:customStyle="1" w:styleId="IntenseQuoteChar">
    <w:name w:val="Intense Quote Char"/>
    <w:basedOn w:val="DefaultParagraphFont"/>
    <w:link w:val="IntenseQuote"/>
    <w:uiPriority w:val="30"/>
    <w:rsid w:val="003740D0"/>
    <w:rPr>
      <w:b/>
      <w:i/>
      <w:sz w:val="24"/>
    </w:rPr>
  </w:style>
  <w:style w:type="character" w:styleId="SubtleEmphasis">
    <w:name w:val="Subtle Emphasis"/>
    <w:uiPriority w:val="19"/>
    <w:qFormat/>
    <w:rsid w:val="003740D0"/>
    <w:rPr>
      <w:i/>
      <w:color w:val="5A5A5A" w:themeColor="text1" w:themeTint="A5"/>
    </w:rPr>
  </w:style>
  <w:style w:type="character" w:styleId="IntenseEmphasis">
    <w:name w:val="Intense Emphasis"/>
    <w:basedOn w:val="DefaultParagraphFont"/>
    <w:uiPriority w:val="21"/>
    <w:qFormat/>
    <w:rsid w:val="003740D0"/>
    <w:rPr>
      <w:b/>
      <w:i/>
      <w:sz w:val="24"/>
      <w:szCs w:val="24"/>
      <w:u w:val="single"/>
    </w:rPr>
  </w:style>
  <w:style w:type="character" w:styleId="SubtleReference">
    <w:name w:val="Subtle Reference"/>
    <w:basedOn w:val="DefaultParagraphFont"/>
    <w:uiPriority w:val="31"/>
    <w:qFormat/>
    <w:rsid w:val="003740D0"/>
    <w:rPr>
      <w:sz w:val="24"/>
      <w:szCs w:val="24"/>
      <w:u w:val="single"/>
    </w:rPr>
  </w:style>
  <w:style w:type="character" w:styleId="IntenseReference">
    <w:name w:val="Intense Reference"/>
    <w:basedOn w:val="DefaultParagraphFont"/>
    <w:uiPriority w:val="32"/>
    <w:qFormat/>
    <w:rsid w:val="003740D0"/>
    <w:rPr>
      <w:b/>
      <w:sz w:val="24"/>
      <w:u w:val="single"/>
    </w:rPr>
  </w:style>
  <w:style w:type="character" w:styleId="BookTitle">
    <w:name w:val="Book Title"/>
    <w:basedOn w:val="DefaultParagraphFont"/>
    <w:uiPriority w:val="33"/>
    <w:qFormat/>
    <w:rsid w:val="003740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40D0"/>
    <w:pPr>
      <w:outlineLvl w:val="9"/>
    </w:pPr>
  </w:style>
  <w:style w:type="table" w:styleId="TableGrid">
    <w:name w:val="Table Grid"/>
    <w:basedOn w:val="TableNormal"/>
    <w:uiPriority w:val="59"/>
    <w:rsid w:val="0075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3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D0"/>
    <w:rPr>
      <w:sz w:val="24"/>
      <w:szCs w:val="24"/>
    </w:rPr>
  </w:style>
  <w:style w:type="paragraph" w:styleId="Heading1">
    <w:name w:val="heading 1"/>
    <w:basedOn w:val="Normal"/>
    <w:next w:val="Normal"/>
    <w:link w:val="Heading1Char"/>
    <w:uiPriority w:val="9"/>
    <w:qFormat/>
    <w:rsid w:val="003740D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40D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40D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40D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40D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40D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40D0"/>
    <w:pPr>
      <w:spacing w:before="240" w:after="60"/>
      <w:outlineLvl w:val="6"/>
    </w:pPr>
  </w:style>
  <w:style w:type="paragraph" w:styleId="Heading8">
    <w:name w:val="heading 8"/>
    <w:basedOn w:val="Normal"/>
    <w:next w:val="Normal"/>
    <w:link w:val="Heading8Char"/>
    <w:uiPriority w:val="9"/>
    <w:semiHidden/>
    <w:unhideWhenUsed/>
    <w:qFormat/>
    <w:rsid w:val="003740D0"/>
    <w:pPr>
      <w:spacing w:before="240" w:after="60"/>
      <w:outlineLvl w:val="7"/>
    </w:pPr>
    <w:rPr>
      <w:i/>
      <w:iCs/>
    </w:rPr>
  </w:style>
  <w:style w:type="paragraph" w:styleId="Heading9">
    <w:name w:val="heading 9"/>
    <w:basedOn w:val="Normal"/>
    <w:next w:val="Normal"/>
    <w:link w:val="Heading9Char"/>
    <w:uiPriority w:val="9"/>
    <w:semiHidden/>
    <w:unhideWhenUsed/>
    <w:qFormat/>
    <w:rsid w:val="003740D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D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40D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40D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740D0"/>
    <w:rPr>
      <w:b/>
      <w:bCs/>
      <w:sz w:val="28"/>
      <w:szCs w:val="28"/>
    </w:rPr>
  </w:style>
  <w:style w:type="character" w:customStyle="1" w:styleId="Heading5Char">
    <w:name w:val="Heading 5 Char"/>
    <w:basedOn w:val="DefaultParagraphFont"/>
    <w:link w:val="Heading5"/>
    <w:uiPriority w:val="9"/>
    <w:semiHidden/>
    <w:rsid w:val="003740D0"/>
    <w:rPr>
      <w:b/>
      <w:bCs/>
      <w:i/>
      <w:iCs/>
      <w:sz w:val="26"/>
      <w:szCs w:val="26"/>
    </w:rPr>
  </w:style>
  <w:style w:type="character" w:customStyle="1" w:styleId="Heading6Char">
    <w:name w:val="Heading 6 Char"/>
    <w:basedOn w:val="DefaultParagraphFont"/>
    <w:link w:val="Heading6"/>
    <w:uiPriority w:val="9"/>
    <w:semiHidden/>
    <w:rsid w:val="003740D0"/>
    <w:rPr>
      <w:b/>
      <w:bCs/>
    </w:rPr>
  </w:style>
  <w:style w:type="character" w:customStyle="1" w:styleId="Heading7Char">
    <w:name w:val="Heading 7 Char"/>
    <w:basedOn w:val="DefaultParagraphFont"/>
    <w:link w:val="Heading7"/>
    <w:uiPriority w:val="9"/>
    <w:semiHidden/>
    <w:rsid w:val="003740D0"/>
    <w:rPr>
      <w:sz w:val="24"/>
      <w:szCs w:val="24"/>
    </w:rPr>
  </w:style>
  <w:style w:type="character" w:customStyle="1" w:styleId="Heading8Char">
    <w:name w:val="Heading 8 Char"/>
    <w:basedOn w:val="DefaultParagraphFont"/>
    <w:link w:val="Heading8"/>
    <w:uiPriority w:val="9"/>
    <w:semiHidden/>
    <w:rsid w:val="003740D0"/>
    <w:rPr>
      <w:i/>
      <w:iCs/>
      <w:sz w:val="24"/>
      <w:szCs w:val="24"/>
    </w:rPr>
  </w:style>
  <w:style w:type="character" w:customStyle="1" w:styleId="Heading9Char">
    <w:name w:val="Heading 9 Char"/>
    <w:basedOn w:val="DefaultParagraphFont"/>
    <w:link w:val="Heading9"/>
    <w:uiPriority w:val="9"/>
    <w:semiHidden/>
    <w:rsid w:val="003740D0"/>
    <w:rPr>
      <w:rFonts w:asciiTheme="majorHAnsi" w:eastAsiaTheme="majorEastAsia" w:hAnsiTheme="majorHAnsi"/>
    </w:rPr>
  </w:style>
  <w:style w:type="paragraph" w:styleId="Title">
    <w:name w:val="Title"/>
    <w:basedOn w:val="Normal"/>
    <w:next w:val="Normal"/>
    <w:link w:val="TitleChar"/>
    <w:uiPriority w:val="10"/>
    <w:qFormat/>
    <w:rsid w:val="003740D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40D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40D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40D0"/>
    <w:rPr>
      <w:rFonts w:asciiTheme="majorHAnsi" w:eastAsiaTheme="majorEastAsia" w:hAnsiTheme="majorHAnsi"/>
      <w:sz w:val="24"/>
      <w:szCs w:val="24"/>
    </w:rPr>
  </w:style>
  <w:style w:type="character" w:styleId="Strong">
    <w:name w:val="Strong"/>
    <w:basedOn w:val="DefaultParagraphFont"/>
    <w:uiPriority w:val="22"/>
    <w:qFormat/>
    <w:rsid w:val="003740D0"/>
    <w:rPr>
      <w:b/>
      <w:bCs/>
    </w:rPr>
  </w:style>
  <w:style w:type="character" w:styleId="Emphasis">
    <w:name w:val="Emphasis"/>
    <w:basedOn w:val="DefaultParagraphFont"/>
    <w:uiPriority w:val="20"/>
    <w:qFormat/>
    <w:rsid w:val="003740D0"/>
    <w:rPr>
      <w:rFonts w:asciiTheme="minorHAnsi" w:hAnsiTheme="minorHAnsi"/>
      <w:b/>
      <w:i/>
      <w:iCs/>
    </w:rPr>
  </w:style>
  <w:style w:type="paragraph" w:styleId="NoSpacing">
    <w:name w:val="No Spacing"/>
    <w:basedOn w:val="Normal"/>
    <w:uiPriority w:val="1"/>
    <w:qFormat/>
    <w:rsid w:val="003740D0"/>
    <w:rPr>
      <w:szCs w:val="32"/>
    </w:rPr>
  </w:style>
  <w:style w:type="paragraph" w:styleId="ListParagraph">
    <w:name w:val="List Paragraph"/>
    <w:basedOn w:val="Normal"/>
    <w:uiPriority w:val="34"/>
    <w:qFormat/>
    <w:rsid w:val="003740D0"/>
    <w:pPr>
      <w:ind w:left="720"/>
      <w:contextualSpacing/>
    </w:pPr>
  </w:style>
  <w:style w:type="paragraph" w:styleId="Quote">
    <w:name w:val="Quote"/>
    <w:basedOn w:val="Normal"/>
    <w:next w:val="Normal"/>
    <w:link w:val="QuoteChar"/>
    <w:uiPriority w:val="29"/>
    <w:qFormat/>
    <w:rsid w:val="003740D0"/>
    <w:rPr>
      <w:i/>
    </w:rPr>
  </w:style>
  <w:style w:type="character" w:customStyle="1" w:styleId="QuoteChar">
    <w:name w:val="Quote Char"/>
    <w:basedOn w:val="DefaultParagraphFont"/>
    <w:link w:val="Quote"/>
    <w:uiPriority w:val="29"/>
    <w:rsid w:val="003740D0"/>
    <w:rPr>
      <w:i/>
      <w:sz w:val="24"/>
      <w:szCs w:val="24"/>
    </w:rPr>
  </w:style>
  <w:style w:type="paragraph" w:styleId="IntenseQuote">
    <w:name w:val="Intense Quote"/>
    <w:basedOn w:val="Normal"/>
    <w:next w:val="Normal"/>
    <w:link w:val="IntenseQuoteChar"/>
    <w:uiPriority w:val="30"/>
    <w:qFormat/>
    <w:rsid w:val="003740D0"/>
    <w:pPr>
      <w:ind w:left="720" w:right="720"/>
    </w:pPr>
    <w:rPr>
      <w:b/>
      <w:i/>
      <w:szCs w:val="22"/>
    </w:rPr>
  </w:style>
  <w:style w:type="character" w:customStyle="1" w:styleId="IntenseQuoteChar">
    <w:name w:val="Intense Quote Char"/>
    <w:basedOn w:val="DefaultParagraphFont"/>
    <w:link w:val="IntenseQuote"/>
    <w:uiPriority w:val="30"/>
    <w:rsid w:val="003740D0"/>
    <w:rPr>
      <w:b/>
      <w:i/>
      <w:sz w:val="24"/>
    </w:rPr>
  </w:style>
  <w:style w:type="character" w:styleId="SubtleEmphasis">
    <w:name w:val="Subtle Emphasis"/>
    <w:uiPriority w:val="19"/>
    <w:qFormat/>
    <w:rsid w:val="003740D0"/>
    <w:rPr>
      <w:i/>
      <w:color w:val="5A5A5A" w:themeColor="text1" w:themeTint="A5"/>
    </w:rPr>
  </w:style>
  <w:style w:type="character" w:styleId="IntenseEmphasis">
    <w:name w:val="Intense Emphasis"/>
    <w:basedOn w:val="DefaultParagraphFont"/>
    <w:uiPriority w:val="21"/>
    <w:qFormat/>
    <w:rsid w:val="003740D0"/>
    <w:rPr>
      <w:b/>
      <w:i/>
      <w:sz w:val="24"/>
      <w:szCs w:val="24"/>
      <w:u w:val="single"/>
    </w:rPr>
  </w:style>
  <w:style w:type="character" w:styleId="SubtleReference">
    <w:name w:val="Subtle Reference"/>
    <w:basedOn w:val="DefaultParagraphFont"/>
    <w:uiPriority w:val="31"/>
    <w:qFormat/>
    <w:rsid w:val="003740D0"/>
    <w:rPr>
      <w:sz w:val="24"/>
      <w:szCs w:val="24"/>
      <w:u w:val="single"/>
    </w:rPr>
  </w:style>
  <w:style w:type="character" w:styleId="IntenseReference">
    <w:name w:val="Intense Reference"/>
    <w:basedOn w:val="DefaultParagraphFont"/>
    <w:uiPriority w:val="32"/>
    <w:qFormat/>
    <w:rsid w:val="003740D0"/>
    <w:rPr>
      <w:b/>
      <w:sz w:val="24"/>
      <w:u w:val="single"/>
    </w:rPr>
  </w:style>
  <w:style w:type="character" w:styleId="BookTitle">
    <w:name w:val="Book Title"/>
    <w:basedOn w:val="DefaultParagraphFont"/>
    <w:uiPriority w:val="33"/>
    <w:qFormat/>
    <w:rsid w:val="003740D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40D0"/>
    <w:pPr>
      <w:outlineLvl w:val="9"/>
    </w:pPr>
  </w:style>
  <w:style w:type="table" w:styleId="TableGrid">
    <w:name w:val="Table Grid"/>
    <w:basedOn w:val="TableNormal"/>
    <w:uiPriority w:val="59"/>
    <w:rsid w:val="00755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73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Frisby, Tracy</dc:creator>
  <cp:lastModifiedBy>Frisby, Tracy</cp:lastModifiedBy>
  <cp:revision>60</cp:revision>
  <dcterms:created xsi:type="dcterms:W3CDTF">2015-09-01T15:10:00Z</dcterms:created>
  <dcterms:modified xsi:type="dcterms:W3CDTF">2016-01-18T12:00:00Z</dcterms:modified>
</cp:coreProperties>
</file>