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40240" w14:textId="77777777" w:rsidR="00B66AC9" w:rsidRDefault="00EE60A8" w:rsidP="003643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33F2229A" wp14:editId="03266DBD">
            <wp:extent cx="3115310" cy="1030605"/>
            <wp:effectExtent l="0" t="0" r="8890" b="0"/>
            <wp:docPr id="2" name="Picture 2" descr="Schools for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hools foru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572804" w14:textId="77777777" w:rsidR="00B66AC9" w:rsidRDefault="00B66AC9" w:rsidP="003643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A70854" w14:textId="2DBB4A26" w:rsidR="00EE60A8" w:rsidRPr="00EE60A8" w:rsidRDefault="00EE60A8" w:rsidP="00EE60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en-GB"/>
        </w:rPr>
      </w:pPr>
      <w:r w:rsidRPr="00EE60A8">
        <w:rPr>
          <w:rFonts w:ascii="Arial" w:eastAsia="Times New Roman" w:hAnsi="Arial" w:cs="Arial"/>
          <w:b/>
          <w:sz w:val="24"/>
          <w:szCs w:val="28"/>
          <w:lang w:eastAsia="en-GB"/>
        </w:rPr>
        <w:t>11</w:t>
      </w:r>
      <w:r w:rsidRPr="00EE60A8">
        <w:rPr>
          <w:rFonts w:ascii="Arial" w:eastAsia="Times New Roman" w:hAnsi="Arial" w:cs="Arial"/>
          <w:b/>
          <w:sz w:val="24"/>
          <w:szCs w:val="28"/>
          <w:vertAlign w:val="superscript"/>
          <w:lang w:eastAsia="en-GB"/>
        </w:rPr>
        <w:t>th</w:t>
      </w:r>
      <w:r w:rsidRPr="00EE60A8">
        <w:rPr>
          <w:rFonts w:ascii="Arial" w:eastAsia="Times New Roman" w:hAnsi="Arial" w:cs="Arial"/>
          <w:b/>
          <w:sz w:val="24"/>
          <w:szCs w:val="28"/>
          <w:lang w:eastAsia="en-GB"/>
        </w:rPr>
        <w:t xml:space="preserve"> </w:t>
      </w:r>
      <w:r w:rsidR="00910E9C">
        <w:rPr>
          <w:rFonts w:ascii="Arial" w:eastAsia="Times New Roman" w:hAnsi="Arial" w:cs="Arial"/>
          <w:b/>
          <w:sz w:val="24"/>
          <w:szCs w:val="28"/>
          <w:lang w:eastAsia="en-GB"/>
        </w:rPr>
        <w:t>March 2020</w:t>
      </w:r>
      <w:r w:rsidRPr="00EE60A8">
        <w:rPr>
          <w:rFonts w:ascii="Arial" w:eastAsia="Times New Roman" w:hAnsi="Arial" w:cs="Arial"/>
          <w:b/>
          <w:sz w:val="24"/>
          <w:szCs w:val="28"/>
          <w:lang w:eastAsia="en-GB"/>
        </w:rPr>
        <w:t>, 1:00 pm</w:t>
      </w:r>
    </w:p>
    <w:p w14:paraId="6CF7676A" w14:textId="77777777" w:rsidR="00EE60A8" w:rsidRPr="00EE60A8" w:rsidRDefault="00EE60A8" w:rsidP="00EE60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en-GB"/>
        </w:rPr>
      </w:pPr>
      <w:r w:rsidRPr="00EE60A8">
        <w:rPr>
          <w:rFonts w:ascii="Arial" w:eastAsia="Times New Roman" w:hAnsi="Arial" w:cs="Arial"/>
          <w:b/>
          <w:sz w:val="24"/>
          <w:szCs w:val="28"/>
          <w:lang w:eastAsia="en-GB"/>
        </w:rPr>
        <w:t>Tollbar Conference Centre</w:t>
      </w:r>
    </w:p>
    <w:p w14:paraId="6A4732BC" w14:textId="77777777" w:rsidR="00B66AC9" w:rsidRDefault="00B66AC9" w:rsidP="003643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723F6C" w14:textId="77777777" w:rsidR="003643D4" w:rsidRPr="00181254" w:rsidRDefault="0047786C" w:rsidP="001812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61F7E601" w14:textId="77777777" w:rsidR="003039DE" w:rsidRDefault="003039DE" w:rsidP="003643D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8132"/>
      </w:tblGrid>
      <w:tr w:rsidR="00D16091" w:rsidRPr="00B96DDF" w14:paraId="0526B998" w14:textId="77777777" w:rsidTr="003C1747">
        <w:tc>
          <w:tcPr>
            <w:tcW w:w="884" w:type="dxa"/>
          </w:tcPr>
          <w:p w14:paraId="7E3F910C" w14:textId="77777777" w:rsidR="00D16091" w:rsidRPr="00910E9C" w:rsidRDefault="00D16091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2" w:type="dxa"/>
          </w:tcPr>
          <w:p w14:paraId="67AC6DA5" w14:textId="77777777" w:rsidR="00D16091" w:rsidRPr="00910E9C" w:rsidRDefault="00D16091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E9C">
              <w:rPr>
                <w:rFonts w:ascii="Arial" w:hAnsi="Arial" w:cs="Arial"/>
                <w:b/>
                <w:sz w:val="24"/>
                <w:szCs w:val="24"/>
              </w:rPr>
              <w:t>Attendees</w:t>
            </w:r>
          </w:p>
          <w:p w14:paraId="5CF74F8C" w14:textId="77777777" w:rsidR="001A0AF8" w:rsidRPr="00910E9C" w:rsidRDefault="001A0AF8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B38A53" w14:textId="1063162F" w:rsidR="00EE60A8" w:rsidRPr="00910E9C" w:rsidRDefault="00EE60A8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D</w:t>
            </w:r>
            <w:r w:rsidR="000C5DBD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avid Hampson</w:t>
            </w:r>
            <w:r w:rsidR="00436FA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(DH)</w:t>
            </w:r>
            <w:r w:rsidR="000C5DBD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(Chair), George </w:t>
            </w:r>
            <w:proofErr w:type="spellStart"/>
            <w:r w:rsidR="000C5DBD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Krawiec</w:t>
            </w:r>
            <w:proofErr w:type="spellEnd"/>
            <w:r w:rsidR="001A0AF8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</w:t>
            </w:r>
            <w:r w:rsidR="00436FA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(GK) </w:t>
            </w:r>
            <w:r w:rsidR="001A0AF8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(Vice Chair)</w:t>
            </w:r>
            <w:r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, Andy Zielinsk</w:t>
            </w:r>
            <w:r w:rsidR="00436FA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i (AZ)</w:t>
            </w:r>
            <w:r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, Lorna </w:t>
            </w:r>
            <w:proofErr w:type="spellStart"/>
            <w:r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Pendred</w:t>
            </w:r>
            <w:proofErr w:type="spellEnd"/>
            <w:r w:rsidR="00436FA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(LP)</w:t>
            </w:r>
            <w:r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, Kim Leach</w:t>
            </w:r>
            <w:r w:rsidR="00436FA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(KL)</w:t>
            </w:r>
            <w:r w:rsidR="001A0AF8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,</w:t>
            </w:r>
            <w:r w:rsid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Mark Wood</w:t>
            </w:r>
            <w:r w:rsidR="00436FA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(MW)</w:t>
            </w:r>
            <w:r w:rsid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, </w:t>
            </w:r>
            <w:r w:rsidR="00E87BC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Carol Shaw (CS), </w:t>
            </w:r>
            <w:r w:rsidR="001A0AF8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Cllr Lindley</w:t>
            </w:r>
            <w:r w:rsidR="00436FA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(Cllr L)</w:t>
            </w:r>
            <w:r w:rsidR="001A0AF8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, </w:t>
            </w:r>
            <w:r w:rsidR="00910E9C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Sally Jack</w:t>
            </w:r>
            <w:r w:rsidR="00436FA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(SJ)</w:t>
            </w:r>
            <w:r w:rsidR="00910E9C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(NELC), Nathan Heath</w:t>
            </w:r>
            <w:r w:rsidR="00436FA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(NH)</w:t>
            </w:r>
            <w:r w:rsidR="00910E9C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(NELC) </w:t>
            </w:r>
            <w:r w:rsidR="001A0AF8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Dave Kirven</w:t>
            </w:r>
            <w:r w:rsidR="00436FA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(DK)</w:t>
            </w:r>
            <w:r w:rsidR="00910E9C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(NELC)</w:t>
            </w:r>
            <w:r w:rsidR="001A0AF8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, </w:t>
            </w:r>
            <w:r w:rsidR="00910E9C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C</w:t>
            </w:r>
            <w:r w:rsidR="001A0AF8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asey Thornton </w:t>
            </w:r>
            <w:r w:rsidR="00910E9C" w:rsidRP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(clerk)</w:t>
            </w:r>
          </w:p>
          <w:p w14:paraId="00CE4B2D" w14:textId="77777777" w:rsidR="00D16091" w:rsidRPr="00910E9C" w:rsidRDefault="00D16091" w:rsidP="00B96D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A23" w:rsidRPr="00B96DDF" w14:paraId="4541E814" w14:textId="77777777" w:rsidTr="003C1747">
        <w:tc>
          <w:tcPr>
            <w:tcW w:w="884" w:type="dxa"/>
          </w:tcPr>
          <w:p w14:paraId="39AAB132" w14:textId="16B3DFAF" w:rsidR="00124A23" w:rsidRPr="00B96DDF" w:rsidRDefault="00E54EDE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01/20</w:t>
            </w:r>
          </w:p>
        </w:tc>
        <w:tc>
          <w:tcPr>
            <w:tcW w:w="8132" w:type="dxa"/>
          </w:tcPr>
          <w:p w14:paraId="645C9A3F" w14:textId="77777777" w:rsidR="00124A23" w:rsidRDefault="001A0AF8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  <w:p w14:paraId="4F963DA0" w14:textId="77777777" w:rsidR="001A0AF8" w:rsidRPr="0034572D" w:rsidRDefault="001A0AF8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C6FBB1" w14:textId="11C0A96F" w:rsidR="00EE60A8" w:rsidRPr="00EE60A8" w:rsidRDefault="00EE60A8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 w:rsidRPr="00EE60A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Gill Alton, </w:t>
            </w:r>
            <w:r w:rsidR="00910E9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Phil Hutchinson, Helen Hussey, Allie Major, Alex Allenby (NELC)</w:t>
            </w:r>
          </w:p>
          <w:p w14:paraId="4034D0FA" w14:textId="4456D2F4" w:rsidR="00EE60A8" w:rsidRPr="00D16091" w:rsidRDefault="00EE60A8" w:rsidP="00910E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A23" w:rsidRPr="00B96DDF" w14:paraId="2300A496" w14:textId="77777777" w:rsidTr="003C1747">
        <w:tc>
          <w:tcPr>
            <w:tcW w:w="884" w:type="dxa"/>
          </w:tcPr>
          <w:p w14:paraId="0C711844" w14:textId="17FAFE63" w:rsidR="00124A23" w:rsidRPr="00B96DDF" w:rsidRDefault="00910E9C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54EDE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8132" w:type="dxa"/>
          </w:tcPr>
          <w:p w14:paraId="69BCA9BD" w14:textId="69622B92" w:rsidR="00EE60A8" w:rsidRDefault="00910E9C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  <w:t>Minutes and matters arising from the meeting on 10</w:t>
            </w:r>
            <w:r w:rsidRPr="00910E9C">
              <w:rPr>
                <w:rFonts w:ascii="Arial" w:eastAsia="Times New Roman" w:hAnsi="Arial" w:cs="Arial"/>
                <w:b/>
                <w:sz w:val="24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  <w:t xml:space="preserve"> December 2019</w:t>
            </w:r>
          </w:p>
          <w:p w14:paraId="762E6A49" w14:textId="6DB06216" w:rsidR="00910E9C" w:rsidRDefault="00910E9C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</w:p>
          <w:p w14:paraId="31F3289E" w14:textId="4BF686DC" w:rsidR="00910E9C" w:rsidRPr="00EE60A8" w:rsidRDefault="00910E9C" w:rsidP="00910E9C">
            <w:pPr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Minutes Agreed as a</w:t>
            </w:r>
            <w:r w:rsidRPr="00EE60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true record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EE60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KL moved, GK</w:t>
            </w:r>
            <w:r w:rsidRPr="00EE60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seconded</w:t>
            </w:r>
          </w:p>
          <w:p w14:paraId="41935DE4" w14:textId="77777777" w:rsidR="00E87BC7" w:rsidRDefault="00E87BC7" w:rsidP="00E54EDE">
            <w:pPr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en-GB"/>
              </w:rPr>
            </w:pPr>
          </w:p>
          <w:p w14:paraId="5653531C" w14:textId="03902588" w:rsidR="00E87BC7" w:rsidRDefault="00E87BC7" w:rsidP="00E54EDE">
            <w:pPr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E87BC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Matters arising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:</w:t>
            </w:r>
          </w:p>
          <w:p w14:paraId="4BFC7626" w14:textId="2F4D5BEF" w:rsidR="00E87BC7" w:rsidRDefault="00E87BC7" w:rsidP="00E54EDE">
            <w:pPr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AB5633A" w14:textId="391C8C1F" w:rsidR="00E54EDE" w:rsidRPr="00E87BC7" w:rsidRDefault="00E54EDE" w:rsidP="00E54EDE">
            <w:pPr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E87BC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26-19</w:t>
            </w:r>
            <w:r w:rsidR="00E87BC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–</w:t>
            </w:r>
            <w:r w:rsidRPr="00E87BC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s</w:t>
            </w:r>
            <w:r w:rsidR="00E87BC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till to be actioned, outstanding</w:t>
            </w:r>
          </w:p>
          <w:p w14:paraId="7BAC879A" w14:textId="6AF1B07F" w:rsidR="00E54EDE" w:rsidRPr="00E87BC7" w:rsidRDefault="00E54EDE" w:rsidP="00E54EDE">
            <w:pPr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E87BC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27-19 </w:t>
            </w:r>
            <w:r w:rsidR="00E87BC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- </w:t>
            </w:r>
            <w:r w:rsidRPr="00E87BC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complete</w:t>
            </w:r>
            <w:r w:rsidR="00E87BC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</w:t>
            </w:r>
          </w:p>
          <w:p w14:paraId="24DB0F7D" w14:textId="7A355DA5" w:rsidR="00E54EDE" w:rsidRPr="00E87BC7" w:rsidRDefault="00E54EDE" w:rsidP="00E54EDE">
            <w:pPr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E87BC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29-19</w:t>
            </w:r>
            <w:r w:rsidR="00E87BC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Pr="00E87BC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- </w:t>
            </w:r>
            <w:r w:rsidR="00E87BC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completed</w:t>
            </w:r>
          </w:p>
          <w:p w14:paraId="0B3FA098" w14:textId="77777777" w:rsidR="00124A23" w:rsidRPr="0034572D" w:rsidRDefault="00124A23" w:rsidP="00910E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4A23" w:rsidRPr="00B96DDF" w14:paraId="1E7A52C1" w14:textId="77777777" w:rsidTr="003C1747">
        <w:tc>
          <w:tcPr>
            <w:tcW w:w="884" w:type="dxa"/>
          </w:tcPr>
          <w:p w14:paraId="18E67887" w14:textId="77739182" w:rsidR="00124A23" w:rsidRPr="00B96DDF" w:rsidRDefault="00D8345E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54EDE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8132" w:type="dxa"/>
          </w:tcPr>
          <w:p w14:paraId="6DBC3EEF" w14:textId="61845F44" w:rsidR="00124A23" w:rsidRDefault="00E54EDE" w:rsidP="005F7B1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  <w:t>Dedicated Schools Grant (DSG) Financial settlement 2020-21</w:t>
            </w:r>
          </w:p>
          <w:p w14:paraId="2E479A5B" w14:textId="77777777" w:rsidR="00E54EDE" w:rsidRDefault="00E54EDE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</w:p>
          <w:p w14:paraId="4ADB77AD" w14:textId="77777777" w:rsidR="00E87BC7" w:rsidRDefault="00436FA7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DK presented</w:t>
            </w:r>
            <w:r w:rsidR="00E54EDE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the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DSG</w:t>
            </w:r>
            <w:r w:rsidR="00E54EDE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2020-21 financial settlement for members to note.  </w:t>
            </w:r>
          </w:p>
          <w:p w14:paraId="11F0E909" w14:textId="050AD03E" w:rsidR="00436FA7" w:rsidRDefault="00436FA7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The allocation BEFORE academy recoupment is £139.961 </w:t>
            </w:r>
            <w:r w:rsidR="00E87BC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which is 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an increase of £8.125m from 2019-20.</w:t>
            </w:r>
          </w:p>
          <w:p w14:paraId="0AE38BC1" w14:textId="77777777" w:rsidR="00E87BC7" w:rsidRDefault="00E87BC7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</w:p>
          <w:p w14:paraId="29C76E04" w14:textId="4A2D6D4E" w:rsidR="00436FA7" w:rsidRDefault="00E87BC7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The individual block splits were </w:t>
            </w:r>
            <w:r w:rsidR="00436FA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Schools - £106.862m, Early Years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- </w:t>
            </w:r>
            <w:r w:rsidR="00436FA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£</w:t>
            </w:r>
            <w:proofErr w:type="gramEnd"/>
            <w:r w:rsidR="00436FA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10.481m, High Needs 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- </w:t>
            </w:r>
            <w:r w:rsidR="00436FA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£21.210m and Central Services 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- </w:t>
            </w:r>
            <w:r w:rsidR="00436FA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£1.408m.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Each of these was briefly discussed.</w:t>
            </w:r>
          </w:p>
          <w:p w14:paraId="148070F6" w14:textId="77777777" w:rsidR="003367B3" w:rsidRPr="00896182" w:rsidRDefault="003367B3" w:rsidP="00D834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</w:p>
        </w:tc>
      </w:tr>
      <w:tr w:rsidR="00E54EDE" w:rsidRPr="00B96DDF" w14:paraId="1D57A390" w14:textId="77777777" w:rsidTr="003C1747">
        <w:tc>
          <w:tcPr>
            <w:tcW w:w="884" w:type="dxa"/>
          </w:tcPr>
          <w:p w14:paraId="05B229FE" w14:textId="55407E0D" w:rsidR="00E54EDE" w:rsidRDefault="00E54EDE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04/20</w:t>
            </w:r>
          </w:p>
        </w:tc>
        <w:tc>
          <w:tcPr>
            <w:tcW w:w="8132" w:type="dxa"/>
          </w:tcPr>
          <w:p w14:paraId="6E2A0D60" w14:textId="77777777" w:rsidR="00E54EDE" w:rsidRDefault="00E54EDE" w:rsidP="005F7B1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  <w:t>Funding Formula for schools 2020-21 update</w:t>
            </w:r>
          </w:p>
          <w:p w14:paraId="3D69D59A" w14:textId="77777777" w:rsidR="00E54EDE" w:rsidRDefault="00E54EDE" w:rsidP="005F7B1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</w:p>
          <w:p w14:paraId="1371532B" w14:textId="20A46667" w:rsidR="00E54EDE" w:rsidRDefault="00E54EDE" w:rsidP="005F7B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  <w:r w:rsidRPr="00E54EDE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DK</w:t>
            </w: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</w:t>
            </w:r>
            <w:r w:rsidR="00C03E25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updated</w:t>
            </w: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members </w:t>
            </w:r>
            <w:r w:rsidR="00C03E25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on the formula working party discussions of the 10</w:t>
            </w:r>
            <w:r w:rsidR="00C03E25" w:rsidRPr="00C03E25">
              <w:rPr>
                <w:rFonts w:ascii="Arial" w:eastAsia="Times New Roman" w:hAnsi="Arial" w:cs="Arial"/>
                <w:bCs/>
                <w:sz w:val="24"/>
                <w:szCs w:val="28"/>
                <w:vertAlign w:val="superscript"/>
                <w:lang w:eastAsia="en-GB"/>
              </w:rPr>
              <w:t>th</w:t>
            </w:r>
            <w:r w:rsidR="00C03E25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January 2020 along with the remodelling work carried out and the final formula submission. </w:t>
            </w: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</w:t>
            </w:r>
            <w:r w:rsidR="00C03E25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A summary of the main changes </w:t>
            </w:r>
            <w:r w:rsidR="00337A11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was a</w:t>
            </w:r>
            <w:r w:rsidR="00C03E25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s below:</w:t>
            </w:r>
          </w:p>
          <w:p w14:paraId="03E4FEEE" w14:textId="0314975A" w:rsidR="00C03E25" w:rsidRDefault="00C03E25" w:rsidP="005F7B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</w:p>
          <w:p w14:paraId="47FF1596" w14:textId="26A59F72" w:rsidR="00C03E25" w:rsidRDefault="00C03E25" w:rsidP="005F7B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Pupil number increases – 92 additional primary,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265  secondary</w:t>
            </w:r>
            <w:proofErr w:type="gramEnd"/>
          </w:p>
          <w:p w14:paraId="765A9D9C" w14:textId="505FFC1A" w:rsidR="00C03E25" w:rsidRDefault="00C03E25" w:rsidP="005F7B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lastRenderedPageBreak/>
              <w:t>Final AWPU’s - £3,125 primary, £4,130 KS3, £4,825 KS4.</w:t>
            </w:r>
          </w:p>
          <w:p w14:paraId="0D574D9C" w14:textId="69491D2E" w:rsidR="00C03E25" w:rsidRDefault="00C03E25" w:rsidP="005F7B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</w:p>
          <w:p w14:paraId="591B9C1C" w14:textId="7ECA4370" w:rsidR="00337A11" w:rsidRDefault="00337A11" w:rsidP="005F7B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The final allocation:</w:t>
            </w:r>
          </w:p>
          <w:p w14:paraId="4D03B365" w14:textId="22061930" w:rsidR="00337A11" w:rsidRDefault="00337A11" w:rsidP="005F7B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</w:p>
          <w:p w14:paraId="433C0A5E" w14:textId="308A195F" w:rsidR="00337A11" w:rsidRPr="00337A11" w:rsidRDefault="00337A11" w:rsidP="00337A11">
            <w:pPr>
              <w:numPr>
                <w:ilvl w:val="0"/>
                <w:numId w:val="12"/>
              </w:numPr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337A11">
              <w:rPr>
                <w:rFonts w:ascii="Arial" w:eastAsiaTheme="minorHAnsi" w:hAnsi="Arial" w:cs="Arial"/>
                <w:sz w:val="24"/>
                <w:szCs w:val="24"/>
              </w:rPr>
              <w:t>Increase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s</w:t>
            </w:r>
            <w:r w:rsidRPr="00337A11">
              <w:rPr>
                <w:rFonts w:ascii="Arial" w:eastAsiaTheme="minorHAnsi" w:hAnsi="Arial" w:cs="Arial"/>
                <w:sz w:val="24"/>
                <w:szCs w:val="24"/>
              </w:rPr>
              <w:t xml:space="preserve"> the previous year’s 2019-20 AWPU values</w:t>
            </w:r>
          </w:p>
          <w:p w14:paraId="7166A1DF" w14:textId="77777777" w:rsidR="00337A11" w:rsidRPr="00337A11" w:rsidRDefault="00337A11" w:rsidP="00337A11">
            <w:pPr>
              <w:numPr>
                <w:ilvl w:val="0"/>
                <w:numId w:val="12"/>
              </w:numPr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337A11">
              <w:rPr>
                <w:rFonts w:ascii="Arial" w:eastAsiaTheme="minorHAnsi" w:hAnsi="Arial" w:cs="Arial"/>
                <w:sz w:val="24"/>
                <w:szCs w:val="24"/>
              </w:rPr>
              <w:t xml:space="preserve">Maintains the current </w:t>
            </w:r>
            <w:proofErr w:type="spellStart"/>
            <w:r w:rsidRPr="00337A11">
              <w:rPr>
                <w:rFonts w:ascii="Arial" w:eastAsiaTheme="minorHAnsi" w:hAnsi="Arial" w:cs="Arial"/>
                <w:sz w:val="24"/>
                <w:szCs w:val="24"/>
              </w:rPr>
              <w:t>Primary:Secondary</w:t>
            </w:r>
            <w:proofErr w:type="spellEnd"/>
            <w:r w:rsidRPr="00337A11">
              <w:rPr>
                <w:rFonts w:ascii="Arial" w:eastAsiaTheme="minorHAnsi" w:hAnsi="Arial" w:cs="Arial"/>
                <w:sz w:val="24"/>
                <w:szCs w:val="24"/>
              </w:rPr>
              <w:t xml:space="preserve"> ratio of 1:1.28 which DfE expect.</w:t>
            </w:r>
          </w:p>
          <w:p w14:paraId="095CCD2B" w14:textId="77777777" w:rsidR="00337A11" w:rsidRPr="00337A11" w:rsidRDefault="00337A11" w:rsidP="00337A11">
            <w:pPr>
              <w:numPr>
                <w:ilvl w:val="0"/>
                <w:numId w:val="12"/>
              </w:numPr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337A11">
              <w:rPr>
                <w:rFonts w:ascii="Arial" w:eastAsiaTheme="minorHAnsi" w:hAnsi="Arial" w:cs="Arial"/>
                <w:sz w:val="24"/>
                <w:szCs w:val="24"/>
              </w:rPr>
              <w:t>Has additional funding for 2 primary schools and 2 secondary schools in order to meet the minimum funding levels.</w:t>
            </w:r>
          </w:p>
          <w:p w14:paraId="4837A67D" w14:textId="77777777" w:rsidR="00337A11" w:rsidRPr="00337A11" w:rsidRDefault="00337A11" w:rsidP="00337A11">
            <w:pPr>
              <w:numPr>
                <w:ilvl w:val="0"/>
                <w:numId w:val="12"/>
              </w:numPr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337A11">
              <w:rPr>
                <w:rFonts w:ascii="Arial" w:eastAsiaTheme="minorHAnsi" w:hAnsi="Arial" w:cs="Arial"/>
                <w:sz w:val="24"/>
                <w:szCs w:val="24"/>
              </w:rPr>
              <w:t xml:space="preserve">MFG + 1.84% compared to + 0.20% in 2019-20. As a </w:t>
            </w:r>
            <w:proofErr w:type="gramStart"/>
            <w:r w:rsidRPr="00337A11">
              <w:rPr>
                <w:rFonts w:ascii="Arial" w:eastAsiaTheme="minorHAnsi" w:hAnsi="Arial" w:cs="Arial"/>
                <w:sz w:val="24"/>
                <w:szCs w:val="24"/>
              </w:rPr>
              <w:t>result</w:t>
            </w:r>
            <w:proofErr w:type="gramEnd"/>
            <w:r w:rsidRPr="00337A11">
              <w:rPr>
                <w:rFonts w:ascii="Arial" w:eastAsiaTheme="minorHAnsi" w:hAnsi="Arial" w:cs="Arial"/>
                <w:sz w:val="24"/>
                <w:szCs w:val="24"/>
              </w:rPr>
              <w:t xml:space="preserve"> schools that gain will be allowed to keep all of these. </w:t>
            </w:r>
          </w:p>
          <w:p w14:paraId="19FAE846" w14:textId="77777777" w:rsidR="00337A11" w:rsidRPr="00337A11" w:rsidRDefault="00337A11" w:rsidP="00337A11">
            <w:pPr>
              <w:numPr>
                <w:ilvl w:val="0"/>
                <w:numId w:val="12"/>
              </w:numPr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337A11">
              <w:rPr>
                <w:rFonts w:ascii="Arial" w:eastAsiaTheme="minorHAnsi" w:hAnsi="Arial" w:cs="Arial"/>
                <w:sz w:val="24"/>
                <w:szCs w:val="24"/>
              </w:rPr>
              <w:t>Puts 75.00% of the funding through Basic pupil factors – Age Weighted Pupil Factors (AWPU). This was 75.52% in 2019-20.</w:t>
            </w:r>
          </w:p>
          <w:p w14:paraId="49AD7742" w14:textId="10A01814" w:rsidR="00337A11" w:rsidRDefault="00337A11" w:rsidP="00337A11">
            <w:pPr>
              <w:numPr>
                <w:ilvl w:val="0"/>
                <w:numId w:val="12"/>
              </w:numPr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337A11">
              <w:rPr>
                <w:rFonts w:ascii="Arial" w:eastAsiaTheme="minorHAnsi" w:hAnsi="Arial" w:cs="Arial"/>
                <w:sz w:val="24"/>
                <w:szCs w:val="24"/>
              </w:rPr>
              <w:t>Puts 93.16% of the funding through Pupil led factors – Age Weighted Pupil Factors (AWPU), deprivation, prior attainment etc. This was 92.80% in 2019-20.</w:t>
            </w:r>
          </w:p>
          <w:p w14:paraId="68C862CC" w14:textId="77777777" w:rsidR="00337A11" w:rsidRDefault="00337A11" w:rsidP="00337A11">
            <w:pPr>
              <w:ind w:left="1440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1C3E2BC" w14:textId="3F8D4FCE" w:rsidR="00337A11" w:rsidRDefault="00337A11" w:rsidP="00337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Schools block fully allocated and all but AWPU’s adopt the NFF unit values.  NELC AWPU values above NFF unit values. NELC submission was fully compliant with DfE guidelines.</w:t>
            </w:r>
          </w:p>
          <w:p w14:paraId="2B3B751E" w14:textId="2308CD3A" w:rsidR="00F632B5" w:rsidRDefault="00F632B5" w:rsidP="00337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</w:p>
          <w:p w14:paraId="23B5EEEE" w14:textId="35BBB903" w:rsidR="00F632B5" w:rsidRDefault="00F632B5" w:rsidP="00337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It is requested that Schools Forum ratify the working party decisions in respect of the final schools funding formula proposed for 2020-21.</w:t>
            </w:r>
          </w:p>
          <w:p w14:paraId="7DB5733D" w14:textId="3512F27B" w:rsidR="00F632B5" w:rsidRDefault="00F632B5" w:rsidP="00337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</w:p>
          <w:p w14:paraId="32ED3452" w14:textId="7F3CC951" w:rsidR="00F632B5" w:rsidRDefault="00F632B5" w:rsidP="00337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Schools Forum agreed with the submission made.</w:t>
            </w:r>
          </w:p>
          <w:p w14:paraId="1F01A65B" w14:textId="20345A1A" w:rsidR="00E54EDE" w:rsidRDefault="00E54EDE" w:rsidP="005F7B1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</w:p>
        </w:tc>
      </w:tr>
      <w:tr w:rsidR="00124A23" w:rsidRPr="00B96DDF" w14:paraId="317655F3" w14:textId="77777777" w:rsidTr="003C1747">
        <w:tc>
          <w:tcPr>
            <w:tcW w:w="884" w:type="dxa"/>
          </w:tcPr>
          <w:p w14:paraId="55C5713B" w14:textId="0DF207A1" w:rsidR="00124A23" w:rsidRPr="00B96DDF" w:rsidRDefault="00E54EDE" w:rsidP="00CE1FA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05</w:t>
            </w:r>
            <w:r w:rsidR="00D8345E">
              <w:rPr>
                <w:rFonts w:ascii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8132" w:type="dxa"/>
          </w:tcPr>
          <w:p w14:paraId="17802048" w14:textId="4E70C801" w:rsidR="00CE1FA9" w:rsidRPr="00D64C96" w:rsidRDefault="00D8345E" w:rsidP="00EE60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4C96">
              <w:rPr>
                <w:rFonts w:ascii="Arial" w:hAnsi="Arial" w:cs="Arial"/>
                <w:b/>
                <w:sz w:val="24"/>
                <w:szCs w:val="24"/>
              </w:rPr>
              <w:t>SEN – High Needs Block Allocation 2020-21</w:t>
            </w:r>
          </w:p>
          <w:p w14:paraId="57B5AF3F" w14:textId="7010D867" w:rsidR="00436FA7" w:rsidRPr="00D64C96" w:rsidRDefault="00436FA7" w:rsidP="00EE60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4AE36C" w14:textId="7589D5A4" w:rsidR="00436FA7" w:rsidRPr="00D64C96" w:rsidRDefault="00436FA7" w:rsidP="00EE60A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64C96">
              <w:rPr>
                <w:rFonts w:ascii="Arial" w:hAnsi="Arial" w:cs="Arial"/>
                <w:bCs/>
                <w:sz w:val="24"/>
                <w:szCs w:val="24"/>
              </w:rPr>
              <w:t>DK presented members with the proposed High Needs Block allocations</w:t>
            </w:r>
            <w:r w:rsidR="006D5BCA" w:rsidRPr="00D64C96">
              <w:rPr>
                <w:rFonts w:ascii="Arial" w:hAnsi="Arial" w:cs="Arial"/>
                <w:bCs/>
                <w:sz w:val="24"/>
                <w:szCs w:val="24"/>
              </w:rPr>
              <w:t xml:space="preserve"> for 2020-21.  </w:t>
            </w:r>
            <w:r w:rsidR="00A47EE2">
              <w:rPr>
                <w:rFonts w:ascii="Arial" w:hAnsi="Arial" w:cs="Arial"/>
                <w:bCs/>
                <w:sz w:val="24"/>
                <w:szCs w:val="24"/>
              </w:rPr>
              <w:t>The a</w:t>
            </w:r>
            <w:r w:rsidR="006D5BCA" w:rsidRPr="00D64C96">
              <w:rPr>
                <w:rFonts w:ascii="Arial" w:hAnsi="Arial" w:cs="Arial"/>
                <w:bCs/>
                <w:sz w:val="24"/>
                <w:szCs w:val="24"/>
              </w:rPr>
              <w:t>llocation BEFORE academy recoupment is £21.210</w:t>
            </w:r>
            <w:r w:rsidR="00D64C96" w:rsidRPr="00D64C96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6D5BCA" w:rsidRPr="00D64C96">
              <w:rPr>
                <w:rFonts w:ascii="Arial" w:hAnsi="Arial" w:cs="Arial"/>
                <w:bCs/>
                <w:sz w:val="24"/>
                <w:szCs w:val="24"/>
              </w:rPr>
              <w:t>. an increase of £2.652m on 2019-20.</w:t>
            </w:r>
            <w:r w:rsidR="00D64C96" w:rsidRPr="00D64C96">
              <w:rPr>
                <w:rFonts w:ascii="Arial" w:hAnsi="Arial" w:cs="Arial"/>
                <w:bCs/>
                <w:sz w:val="24"/>
                <w:szCs w:val="24"/>
              </w:rPr>
              <w:t xml:space="preserve"> Despite this increase the High Needs Block allocation is overallocated by £0.151m.</w:t>
            </w:r>
            <w:r w:rsidR="006D5BCA" w:rsidRPr="00D64C96">
              <w:rPr>
                <w:rFonts w:ascii="Arial" w:hAnsi="Arial" w:cs="Arial"/>
                <w:bCs/>
                <w:sz w:val="24"/>
                <w:szCs w:val="24"/>
              </w:rPr>
              <w:t xml:space="preserve">  A detailed discussion took place around the allocations. </w:t>
            </w:r>
            <w:r w:rsidR="007A647A">
              <w:rPr>
                <w:rFonts w:ascii="Arial" w:hAnsi="Arial" w:cs="Arial"/>
                <w:bCs/>
                <w:sz w:val="24"/>
                <w:szCs w:val="24"/>
              </w:rPr>
              <w:t>The m</w:t>
            </w:r>
            <w:r w:rsidR="006D5BCA" w:rsidRPr="00D64C96">
              <w:rPr>
                <w:rFonts w:ascii="Arial" w:hAnsi="Arial" w:cs="Arial"/>
                <w:bCs/>
                <w:sz w:val="24"/>
                <w:szCs w:val="24"/>
              </w:rPr>
              <w:t xml:space="preserve">ain changes from 2019-20 </w:t>
            </w:r>
            <w:r w:rsidR="007A647A">
              <w:rPr>
                <w:rFonts w:ascii="Arial" w:hAnsi="Arial" w:cs="Arial"/>
                <w:bCs/>
                <w:sz w:val="24"/>
                <w:szCs w:val="24"/>
              </w:rPr>
              <w:t xml:space="preserve">which were fully discussed </w:t>
            </w:r>
            <w:r w:rsidR="006D5BCA" w:rsidRPr="00D64C96">
              <w:rPr>
                <w:rFonts w:ascii="Arial" w:hAnsi="Arial" w:cs="Arial"/>
                <w:bCs/>
                <w:sz w:val="24"/>
                <w:szCs w:val="24"/>
              </w:rPr>
              <w:t>are summarised below:</w:t>
            </w:r>
          </w:p>
          <w:p w14:paraId="4420BB72" w14:textId="77777777" w:rsidR="006D5BCA" w:rsidRPr="00D64C96" w:rsidRDefault="006D5BCA" w:rsidP="00EE60A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122246" w14:textId="36C3D410" w:rsidR="006D5BCA" w:rsidRPr="00D64C96" w:rsidRDefault="006D5BCA" w:rsidP="006D5B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64C96">
              <w:rPr>
                <w:rFonts w:ascii="Arial" w:hAnsi="Arial" w:cs="Arial"/>
                <w:bCs/>
                <w:sz w:val="24"/>
                <w:szCs w:val="24"/>
              </w:rPr>
              <w:t>Agency placements – significant increase due to on-going demand which is being monitored.</w:t>
            </w:r>
          </w:p>
          <w:p w14:paraId="11AB46E0" w14:textId="72CAC9C7" w:rsidR="006D5BCA" w:rsidRPr="00D64C96" w:rsidRDefault="006D5BCA" w:rsidP="00EE60A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ABBF4B" w14:textId="407883C1" w:rsidR="006D5BCA" w:rsidRPr="00D64C96" w:rsidRDefault="006D5BCA" w:rsidP="006D5B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64C96">
              <w:rPr>
                <w:rFonts w:ascii="Arial" w:hAnsi="Arial" w:cs="Arial"/>
                <w:bCs/>
                <w:sz w:val="24"/>
                <w:szCs w:val="24"/>
              </w:rPr>
              <w:t xml:space="preserve">Top ups </w:t>
            </w:r>
            <w:proofErr w:type="gramStart"/>
            <w:r w:rsidRPr="00D64C96">
              <w:rPr>
                <w:rFonts w:ascii="Arial" w:hAnsi="Arial" w:cs="Arial"/>
                <w:bCs/>
                <w:sz w:val="24"/>
                <w:szCs w:val="24"/>
              </w:rPr>
              <w:t>-  mainstream</w:t>
            </w:r>
            <w:proofErr w:type="gramEnd"/>
            <w:r w:rsidRPr="00D64C96">
              <w:rPr>
                <w:rFonts w:ascii="Arial" w:hAnsi="Arial" w:cs="Arial"/>
                <w:bCs/>
                <w:sz w:val="24"/>
                <w:szCs w:val="24"/>
              </w:rPr>
              <w:t xml:space="preserve"> and special </w:t>
            </w:r>
            <w:r w:rsidR="00A47EE2">
              <w:rPr>
                <w:rFonts w:ascii="Arial" w:hAnsi="Arial" w:cs="Arial"/>
                <w:bCs/>
                <w:sz w:val="24"/>
                <w:szCs w:val="24"/>
              </w:rPr>
              <w:t xml:space="preserve">academies </w:t>
            </w:r>
            <w:r w:rsidRPr="00D64C96">
              <w:rPr>
                <w:rFonts w:ascii="Arial" w:hAnsi="Arial" w:cs="Arial"/>
                <w:bCs/>
                <w:sz w:val="24"/>
                <w:szCs w:val="24"/>
              </w:rPr>
              <w:t xml:space="preserve">increase of 7% across all bandings in addition a  fixed cost payment to special schools in line with mainstream schools lump sum. Effective April </w:t>
            </w:r>
            <w:r w:rsidR="00A47EE2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D64C96">
              <w:rPr>
                <w:rFonts w:ascii="Arial" w:hAnsi="Arial" w:cs="Arial"/>
                <w:bCs/>
                <w:sz w:val="24"/>
                <w:szCs w:val="24"/>
              </w:rPr>
              <w:t xml:space="preserve">20 for mainstream, Sept </w:t>
            </w:r>
            <w:r w:rsidR="00A47EE2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D64C96">
              <w:rPr>
                <w:rFonts w:ascii="Arial" w:hAnsi="Arial" w:cs="Arial"/>
                <w:bCs/>
                <w:sz w:val="24"/>
                <w:szCs w:val="24"/>
              </w:rPr>
              <w:t>20 Specials.</w:t>
            </w:r>
          </w:p>
          <w:p w14:paraId="7138B589" w14:textId="77777777" w:rsidR="006D5BCA" w:rsidRPr="00D64C96" w:rsidRDefault="006D5BCA" w:rsidP="006D5BCA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12AB0C" w14:textId="575F46EF" w:rsidR="006D5BCA" w:rsidRPr="00D64C96" w:rsidRDefault="006D5BCA" w:rsidP="006D5B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64C96">
              <w:rPr>
                <w:rFonts w:ascii="Arial" w:hAnsi="Arial" w:cs="Arial"/>
                <w:bCs/>
                <w:sz w:val="24"/>
                <w:szCs w:val="24"/>
              </w:rPr>
              <w:t>Top ups- AP 5.6% proposed increase from Sep 20.</w:t>
            </w:r>
          </w:p>
          <w:p w14:paraId="5EFC49E5" w14:textId="77777777" w:rsidR="006D5BCA" w:rsidRPr="00D64C96" w:rsidRDefault="006D5BCA" w:rsidP="006D5BCA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3114EA" w14:textId="4B01F530" w:rsidR="006D5BCA" w:rsidRPr="00D64C96" w:rsidRDefault="006D5BCA" w:rsidP="006D5B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64C96">
              <w:rPr>
                <w:rFonts w:ascii="Arial" w:hAnsi="Arial" w:cs="Arial"/>
                <w:bCs/>
                <w:sz w:val="24"/>
                <w:szCs w:val="24"/>
              </w:rPr>
              <w:lastRenderedPageBreak/>
              <w:t>Post 16 – budget reduction based upon 2019-20 outturn – budget to be closely monitored.</w:t>
            </w:r>
          </w:p>
          <w:p w14:paraId="0F966D00" w14:textId="77777777" w:rsidR="006D5BCA" w:rsidRPr="00D64C96" w:rsidRDefault="006D5BCA" w:rsidP="006D5BCA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282169" w14:textId="0BC32C49" w:rsidR="006D5BCA" w:rsidRPr="00D64C96" w:rsidRDefault="006D5BCA" w:rsidP="006D5B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64C96">
              <w:rPr>
                <w:rFonts w:ascii="Arial" w:hAnsi="Arial" w:cs="Arial"/>
                <w:bCs/>
                <w:sz w:val="24"/>
                <w:szCs w:val="24"/>
              </w:rPr>
              <w:t xml:space="preserve">Early Years Inclusion Fund </w:t>
            </w:r>
            <w:r w:rsidR="00D64C96" w:rsidRPr="00D64C96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D64C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64C96" w:rsidRPr="00D64C96">
              <w:rPr>
                <w:rFonts w:ascii="Arial" w:hAnsi="Arial" w:cs="Arial"/>
                <w:bCs/>
                <w:sz w:val="24"/>
                <w:szCs w:val="24"/>
              </w:rPr>
              <w:t xml:space="preserve">increase from 2019-20 based upon demand, </w:t>
            </w:r>
            <w:r w:rsidR="00A47EE2">
              <w:rPr>
                <w:rFonts w:ascii="Arial" w:hAnsi="Arial" w:cs="Arial"/>
                <w:bCs/>
                <w:sz w:val="24"/>
                <w:szCs w:val="24"/>
              </w:rPr>
              <w:t xml:space="preserve">will be </w:t>
            </w:r>
            <w:r w:rsidR="00D64C96" w:rsidRPr="00D64C96">
              <w:rPr>
                <w:rFonts w:ascii="Arial" w:hAnsi="Arial" w:cs="Arial"/>
                <w:bCs/>
                <w:sz w:val="24"/>
                <w:szCs w:val="24"/>
              </w:rPr>
              <w:t>charge</w:t>
            </w:r>
            <w:r w:rsidR="00A47EE2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D64C96" w:rsidRPr="00D64C96">
              <w:rPr>
                <w:rFonts w:ascii="Arial" w:hAnsi="Arial" w:cs="Arial"/>
                <w:bCs/>
                <w:sz w:val="24"/>
                <w:szCs w:val="24"/>
              </w:rPr>
              <w:t xml:space="preserve"> to Early Years Block at year end if this block is not fully spent.</w:t>
            </w:r>
          </w:p>
          <w:p w14:paraId="58A6DDDD" w14:textId="77777777" w:rsidR="00D64C96" w:rsidRPr="00D64C96" w:rsidRDefault="00D64C96" w:rsidP="00D64C96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797EF0" w14:textId="77777777" w:rsidR="00A47EE2" w:rsidRDefault="00D64C96" w:rsidP="006D5B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64C96">
              <w:rPr>
                <w:rFonts w:ascii="Arial" w:hAnsi="Arial" w:cs="Arial"/>
                <w:bCs/>
                <w:sz w:val="24"/>
                <w:szCs w:val="24"/>
              </w:rPr>
              <w:t xml:space="preserve">Pupil Inclusion Fund / contribution to DSG account – both new for 2020-20 in order to retain children in mainstream settings as opposed to the more expensive agency placements </w:t>
            </w:r>
            <w:r w:rsidR="00A47EE2">
              <w:rPr>
                <w:rFonts w:ascii="Arial" w:hAnsi="Arial" w:cs="Arial"/>
                <w:bCs/>
                <w:sz w:val="24"/>
                <w:szCs w:val="24"/>
              </w:rPr>
              <w:t xml:space="preserve">settings </w:t>
            </w:r>
            <w:r w:rsidRPr="00D64C96">
              <w:rPr>
                <w:rFonts w:ascii="Arial" w:hAnsi="Arial" w:cs="Arial"/>
                <w:bCs/>
                <w:sz w:val="24"/>
                <w:szCs w:val="24"/>
              </w:rPr>
              <w:t xml:space="preserve">and to contribute to the DSG account to avoid a deficit position and DfE reporting territory.  </w:t>
            </w:r>
          </w:p>
          <w:p w14:paraId="12188ADE" w14:textId="77777777" w:rsidR="00A47EE2" w:rsidRDefault="00A47EE2" w:rsidP="00A47EE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99582E" w14:textId="089B1649" w:rsidR="00D64C96" w:rsidRDefault="00D64C96" w:rsidP="00A47EE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47EE2">
              <w:rPr>
                <w:rFonts w:ascii="Arial" w:hAnsi="Arial" w:cs="Arial"/>
                <w:bCs/>
                <w:sz w:val="24"/>
                <w:szCs w:val="24"/>
              </w:rPr>
              <w:t xml:space="preserve">Central DSG position subject to allocations not </w:t>
            </w:r>
            <w:r w:rsidR="001B3C39" w:rsidRPr="00A47EE2">
              <w:rPr>
                <w:rFonts w:ascii="Arial" w:hAnsi="Arial" w:cs="Arial"/>
                <w:bCs/>
                <w:sz w:val="24"/>
                <w:szCs w:val="24"/>
              </w:rPr>
              <w:t>overspending</w:t>
            </w:r>
            <w:r w:rsidRPr="00A47EE2">
              <w:rPr>
                <w:rFonts w:ascii="Arial" w:hAnsi="Arial" w:cs="Arial"/>
                <w:bCs/>
                <w:sz w:val="24"/>
                <w:szCs w:val="24"/>
              </w:rPr>
              <w:t xml:space="preserve"> is a </w:t>
            </w:r>
            <w:r w:rsidR="00A47EE2">
              <w:rPr>
                <w:rFonts w:ascii="Arial" w:hAnsi="Arial" w:cs="Arial"/>
                <w:bCs/>
                <w:sz w:val="24"/>
                <w:szCs w:val="24"/>
              </w:rPr>
              <w:t xml:space="preserve">projected </w:t>
            </w:r>
            <w:r w:rsidRPr="00A47EE2">
              <w:rPr>
                <w:rFonts w:ascii="Arial" w:hAnsi="Arial" w:cs="Arial"/>
                <w:bCs/>
                <w:sz w:val="24"/>
                <w:szCs w:val="24"/>
              </w:rPr>
              <w:t xml:space="preserve">surplus </w:t>
            </w:r>
            <w:r w:rsidR="00A47EE2">
              <w:rPr>
                <w:rFonts w:ascii="Arial" w:hAnsi="Arial" w:cs="Arial"/>
                <w:bCs/>
                <w:sz w:val="24"/>
                <w:szCs w:val="24"/>
              </w:rPr>
              <w:t xml:space="preserve">of </w:t>
            </w:r>
            <w:r w:rsidRPr="00A47EE2">
              <w:rPr>
                <w:rFonts w:ascii="Arial" w:hAnsi="Arial" w:cs="Arial"/>
                <w:bCs/>
                <w:sz w:val="24"/>
                <w:szCs w:val="24"/>
              </w:rPr>
              <w:t>£0.200m.</w:t>
            </w:r>
          </w:p>
          <w:p w14:paraId="2B9C97BF" w14:textId="0F5CB506" w:rsidR="00A47EE2" w:rsidRPr="00D64C96" w:rsidRDefault="00A47EE2" w:rsidP="00A47EE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4A23" w:rsidRPr="00B96DDF" w14:paraId="5EE7FCE5" w14:textId="77777777" w:rsidTr="003C1747">
        <w:tc>
          <w:tcPr>
            <w:tcW w:w="884" w:type="dxa"/>
          </w:tcPr>
          <w:p w14:paraId="23CC23C5" w14:textId="2BE30F6C" w:rsidR="00124A23" w:rsidRPr="00B96DDF" w:rsidRDefault="00D8345E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06/20</w:t>
            </w:r>
          </w:p>
        </w:tc>
        <w:tc>
          <w:tcPr>
            <w:tcW w:w="8132" w:type="dxa"/>
          </w:tcPr>
          <w:p w14:paraId="698503E5" w14:textId="307FE52D" w:rsidR="00C56E11" w:rsidRPr="00D64C96" w:rsidRDefault="00D8345E" w:rsidP="00C56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4C96">
              <w:rPr>
                <w:rFonts w:ascii="Arial" w:hAnsi="Arial" w:cs="Arial"/>
                <w:b/>
                <w:sz w:val="24"/>
                <w:szCs w:val="24"/>
              </w:rPr>
              <w:t>BAC’s Recharging Consultation</w:t>
            </w:r>
          </w:p>
          <w:p w14:paraId="4E2790BA" w14:textId="6D77E8A7" w:rsidR="00B76C10" w:rsidRPr="00D64C96" w:rsidRDefault="00436FA7" w:rsidP="00B76C10">
            <w:pPr>
              <w:rPr>
                <w:rFonts w:ascii="Arial" w:hAnsi="Arial" w:cs="Arial"/>
                <w:sz w:val="2"/>
                <w:szCs w:val="24"/>
              </w:rPr>
            </w:pPr>
            <w:r w:rsidRPr="00D64C96">
              <w:rPr>
                <w:rFonts w:ascii="Arial" w:hAnsi="Arial" w:cs="Arial"/>
                <w:bCs/>
                <w:sz w:val="24"/>
                <w:szCs w:val="24"/>
              </w:rPr>
              <w:t>NH updated members on the on the proposed changes and discussed the work undertaken around how the BAC system is funded and how charges will be calculated.</w:t>
            </w:r>
            <w:r w:rsidR="00B76C10">
              <w:rPr>
                <w:rFonts w:ascii="Arial" w:hAnsi="Arial" w:cs="Arial"/>
                <w:bCs/>
                <w:sz w:val="24"/>
                <w:szCs w:val="24"/>
              </w:rPr>
              <w:t xml:space="preserve"> Following a </w:t>
            </w:r>
            <w:proofErr w:type="gramStart"/>
            <w:r w:rsidR="00B76C10">
              <w:rPr>
                <w:rFonts w:ascii="Arial" w:hAnsi="Arial" w:cs="Arial"/>
                <w:bCs/>
                <w:sz w:val="24"/>
                <w:szCs w:val="24"/>
              </w:rPr>
              <w:t>discussion forum members</w:t>
            </w:r>
            <w:proofErr w:type="gramEnd"/>
            <w:r w:rsidR="00B76C10">
              <w:rPr>
                <w:rFonts w:ascii="Arial" w:hAnsi="Arial" w:cs="Arial"/>
                <w:bCs/>
                <w:sz w:val="24"/>
                <w:szCs w:val="24"/>
              </w:rPr>
              <w:t xml:space="preserve"> confirmed that the position in the briefing note had been clarified.</w:t>
            </w:r>
          </w:p>
        </w:tc>
      </w:tr>
      <w:tr w:rsidR="00124A23" w:rsidRPr="00B96DDF" w14:paraId="681A00D1" w14:textId="77777777" w:rsidTr="003C1747">
        <w:tc>
          <w:tcPr>
            <w:tcW w:w="884" w:type="dxa"/>
          </w:tcPr>
          <w:p w14:paraId="04DDC86B" w14:textId="562AE3C5" w:rsidR="00124A23" w:rsidRPr="00B96DDF" w:rsidRDefault="00D8345E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07/</w:t>
            </w:r>
            <w:r w:rsidR="00E87BC7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132" w:type="dxa"/>
          </w:tcPr>
          <w:p w14:paraId="4B5E6193" w14:textId="36A6BF19" w:rsidR="00C56E11" w:rsidRPr="00B83702" w:rsidRDefault="00D8345E" w:rsidP="00C56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3702">
              <w:rPr>
                <w:rFonts w:ascii="Arial" w:hAnsi="Arial" w:cs="Arial"/>
                <w:b/>
                <w:sz w:val="24"/>
                <w:szCs w:val="24"/>
              </w:rPr>
              <w:t>Early Years Hourly Rates</w:t>
            </w:r>
          </w:p>
          <w:p w14:paraId="35FDEB4A" w14:textId="77777777" w:rsidR="00B83702" w:rsidRPr="00B83702" w:rsidRDefault="00B83702" w:rsidP="00C56E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6F1C77" w14:textId="77777777" w:rsidR="00436FA7" w:rsidRDefault="00B83702" w:rsidP="00D64C9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83702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K </w:t>
            </w:r>
            <w:r w:rsidRPr="00B83702">
              <w:rPr>
                <w:rFonts w:ascii="Arial" w:hAnsi="Arial" w:cs="Arial"/>
                <w:bCs/>
                <w:sz w:val="24"/>
                <w:szCs w:val="24"/>
              </w:rPr>
              <w:t>confirmed the new base rate</w:t>
            </w:r>
            <w:r w:rsidR="0017402B">
              <w:rPr>
                <w:rFonts w:ascii="Arial" w:hAnsi="Arial" w:cs="Arial"/>
                <w:bCs/>
                <w:sz w:val="24"/>
                <w:szCs w:val="24"/>
              </w:rPr>
              <w:t xml:space="preserve"> for all providers </w:t>
            </w:r>
            <w:r w:rsidR="00B76C10">
              <w:rPr>
                <w:rFonts w:ascii="Arial" w:hAnsi="Arial" w:cs="Arial"/>
                <w:bCs/>
                <w:sz w:val="24"/>
                <w:szCs w:val="24"/>
              </w:rPr>
              <w:t>will be</w:t>
            </w:r>
            <w:r w:rsidR="0017402B">
              <w:rPr>
                <w:rFonts w:ascii="Arial" w:hAnsi="Arial" w:cs="Arial"/>
                <w:bCs/>
                <w:sz w:val="24"/>
                <w:szCs w:val="24"/>
              </w:rPr>
              <w:t xml:space="preserve"> £4.08 per hour for 3 and 4 year olds</w:t>
            </w:r>
            <w:r w:rsidRPr="00B8370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7402B">
              <w:rPr>
                <w:rFonts w:ascii="Arial" w:hAnsi="Arial" w:cs="Arial"/>
                <w:bCs/>
                <w:sz w:val="24"/>
                <w:szCs w:val="24"/>
              </w:rPr>
              <w:t>and £5.08 per hour for 2 year olds.</w:t>
            </w:r>
            <w:r w:rsidRPr="00B83702">
              <w:rPr>
                <w:rFonts w:ascii="Arial" w:hAnsi="Arial" w:cs="Arial"/>
                <w:bCs/>
                <w:sz w:val="24"/>
                <w:szCs w:val="24"/>
              </w:rPr>
              <w:t xml:space="preserve"> This </w:t>
            </w:r>
            <w:r w:rsidR="00B76C10">
              <w:rPr>
                <w:rFonts w:ascii="Arial" w:hAnsi="Arial" w:cs="Arial"/>
                <w:bCs/>
                <w:sz w:val="24"/>
                <w:szCs w:val="24"/>
              </w:rPr>
              <w:t xml:space="preserve">is an </w:t>
            </w:r>
            <w:r w:rsidRPr="00B83702">
              <w:rPr>
                <w:rFonts w:ascii="Arial" w:hAnsi="Arial" w:cs="Arial"/>
                <w:bCs/>
                <w:sz w:val="24"/>
                <w:szCs w:val="24"/>
              </w:rPr>
              <w:t xml:space="preserve">increase of 8p </w:t>
            </w:r>
            <w:r w:rsidR="00B76C10">
              <w:rPr>
                <w:rFonts w:ascii="Arial" w:hAnsi="Arial" w:cs="Arial"/>
                <w:bCs/>
                <w:sz w:val="24"/>
                <w:szCs w:val="24"/>
              </w:rPr>
              <w:t xml:space="preserve">per hour which is the </w:t>
            </w:r>
            <w:r w:rsidRPr="00B83702">
              <w:rPr>
                <w:rFonts w:ascii="Arial" w:hAnsi="Arial" w:cs="Arial"/>
                <w:bCs/>
                <w:sz w:val="24"/>
                <w:szCs w:val="24"/>
              </w:rPr>
              <w:t xml:space="preserve">full passporting of the increase in funding </w:t>
            </w:r>
            <w:r w:rsidR="00B76C10">
              <w:rPr>
                <w:rFonts w:ascii="Arial" w:hAnsi="Arial" w:cs="Arial"/>
                <w:bCs/>
                <w:sz w:val="24"/>
                <w:szCs w:val="24"/>
              </w:rPr>
              <w:t xml:space="preserve">being </w:t>
            </w:r>
            <w:r w:rsidRPr="00B83702">
              <w:rPr>
                <w:rFonts w:ascii="Arial" w:hAnsi="Arial" w:cs="Arial"/>
                <w:bCs/>
                <w:sz w:val="24"/>
                <w:szCs w:val="24"/>
              </w:rPr>
              <w:t>received by NEL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B83702">
              <w:rPr>
                <w:rFonts w:ascii="Arial" w:hAnsi="Arial" w:cs="Arial"/>
                <w:bCs/>
                <w:sz w:val="24"/>
                <w:szCs w:val="24"/>
              </w:rPr>
              <w:t xml:space="preserve"> in the Early Years Block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8DD2D27" w14:textId="7FD8D4F8" w:rsidR="00A47EE2" w:rsidRPr="00B83702" w:rsidRDefault="00A47EE2" w:rsidP="00D64C9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24A23" w:rsidRPr="00B96DDF" w14:paraId="770E4B25" w14:textId="77777777" w:rsidTr="003C1747">
        <w:tc>
          <w:tcPr>
            <w:tcW w:w="884" w:type="dxa"/>
          </w:tcPr>
          <w:p w14:paraId="489E2EFD" w14:textId="269239DC" w:rsidR="00124A23" w:rsidRPr="00B96DDF" w:rsidRDefault="00D8345E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08/20</w:t>
            </w:r>
          </w:p>
        </w:tc>
        <w:tc>
          <w:tcPr>
            <w:tcW w:w="8132" w:type="dxa"/>
          </w:tcPr>
          <w:p w14:paraId="777D6A50" w14:textId="6C3E88FD" w:rsidR="00C56E11" w:rsidRDefault="00D8345E" w:rsidP="00C56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0C78B1">
              <w:rPr>
                <w:rFonts w:ascii="Arial" w:hAnsi="Arial" w:cs="Arial"/>
                <w:b/>
                <w:sz w:val="24"/>
                <w:szCs w:val="24"/>
              </w:rPr>
              <w:t>PA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Insurance arrangement for maintained schools</w:t>
            </w:r>
          </w:p>
          <w:p w14:paraId="361A37F7" w14:textId="26E1C17E" w:rsidR="000C78B1" w:rsidRDefault="000C78B1" w:rsidP="00C56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8E7070" w14:textId="77777777" w:rsidR="004E00CD" w:rsidRDefault="000C78B1" w:rsidP="0017402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78B1">
              <w:rPr>
                <w:rFonts w:ascii="Arial" w:hAnsi="Arial" w:cs="Arial"/>
                <w:bCs/>
                <w:sz w:val="24"/>
                <w:szCs w:val="24"/>
              </w:rPr>
              <w:t xml:space="preserve">DK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gave a verbal upda</w:t>
            </w:r>
            <w:r w:rsidR="00392E34">
              <w:rPr>
                <w:rFonts w:ascii="Arial" w:hAnsi="Arial" w:cs="Arial"/>
                <w:bCs/>
                <w:sz w:val="24"/>
                <w:szCs w:val="24"/>
              </w:rPr>
              <w:t>te regarding maintained schools joining the scheme from April 2020.  NELC Insurance section is</w:t>
            </w:r>
            <w:r w:rsidR="0017402B">
              <w:rPr>
                <w:rFonts w:ascii="Arial" w:hAnsi="Arial" w:cs="Arial"/>
                <w:bCs/>
                <w:sz w:val="24"/>
                <w:szCs w:val="24"/>
              </w:rPr>
              <w:t xml:space="preserve"> currently</w:t>
            </w:r>
            <w:r w:rsidR="00392E34">
              <w:rPr>
                <w:rFonts w:ascii="Arial" w:hAnsi="Arial" w:cs="Arial"/>
                <w:bCs/>
                <w:sz w:val="24"/>
                <w:szCs w:val="24"/>
              </w:rPr>
              <w:t xml:space="preserve"> looking into the level of cover offered compared to our existing arrangements</w:t>
            </w:r>
            <w:r w:rsidR="0017402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392E3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BAD6BD2" w14:textId="0DA3CA24" w:rsidR="00A47EE2" w:rsidRPr="0034572D" w:rsidRDefault="00A47EE2" w:rsidP="001740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345E" w:rsidRPr="00B96DDF" w14:paraId="4AE82A01" w14:textId="77777777" w:rsidTr="003C1747">
        <w:tc>
          <w:tcPr>
            <w:tcW w:w="884" w:type="dxa"/>
          </w:tcPr>
          <w:p w14:paraId="64A3B4BE" w14:textId="7D85FEA2" w:rsidR="00D8345E" w:rsidRDefault="00D8345E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09/20</w:t>
            </w:r>
          </w:p>
        </w:tc>
        <w:tc>
          <w:tcPr>
            <w:tcW w:w="8132" w:type="dxa"/>
          </w:tcPr>
          <w:p w14:paraId="46BC216C" w14:textId="77777777" w:rsidR="00D8345E" w:rsidRDefault="00D8345E" w:rsidP="00C56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  <w:p w14:paraId="4F52CC1A" w14:textId="77777777" w:rsidR="00B76C10" w:rsidRDefault="00B76C10" w:rsidP="00C56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9CBB1" w14:textId="7BAF11B8" w:rsidR="00B76C10" w:rsidRPr="00B76C10" w:rsidRDefault="00B76C10" w:rsidP="00C56E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6C10">
              <w:rPr>
                <w:rFonts w:ascii="Arial" w:hAnsi="Arial" w:cs="Arial"/>
                <w:bCs/>
                <w:sz w:val="24"/>
                <w:szCs w:val="24"/>
              </w:rPr>
              <w:t>None</w:t>
            </w:r>
          </w:p>
        </w:tc>
      </w:tr>
      <w:tr w:rsidR="00D8345E" w:rsidRPr="00B96DDF" w14:paraId="1F98F45E" w14:textId="77777777" w:rsidTr="003C1747">
        <w:tc>
          <w:tcPr>
            <w:tcW w:w="884" w:type="dxa"/>
          </w:tcPr>
          <w:p w14:paraId="3526593C" w14:textId="767CF5BC" w:rsidR="00D8345E" w:rsidRDefault="00D8345E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10/20</w:t>
            </w:r>
          </w:p>
        </w:tc>
        <w:tc>
          <w:tcPr>
            <w:tcW w:w="8132" w:type="dxa"/>
          </w:tcPr>
          <w:p w14:paraId="64955BE5" w14:textId="0647B8C8" w:rsidR="00D8345E" w:rsidRDefault="00D8345E" w:rsidP="00C56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and time of next meeting</w:t>
            </w:r>
          </w:p>
          <w:p w14:paraId="08888ABB" w14:textId="77777777" w:rsidR="00B76C10" w:rsidRDefault="00B76C10" w:rsidP="00C56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3A1DE1" w14:textId="05800C21" w:rsidR="00E54EDE" w:rsidRPr="00E54EDE" w:rsidRDefault="0069102B" w:rsidP="00C56E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69102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July </w:t>
            </w:r>
            <w:r w:rsidR="006D5BCA">
              <w:rPr>
                <w:rFonts w:ascii="Arial" w:hAnsi="Arial" w:cs="Arial"/>
                <w:bCs/>
                <w:sz w:val="24"/>
                <w:szCs w:val="24"/>
              </w:rPr>
              <w:t xml:space="preserve">2020 1:00pm </w:t>
            </w:r>
            <w:proofErr w:type="spellStart"/>
            <w:r w:rsidR="006D5BCA">
              <w:rPr>
                <w:rFonts w:ascii="Arial" w:hAnsi="Arial" w:cs="Arial"/>
                <w:bCs/>
                <w:sz w:val="24"/>
                <w:szCs w:val="24"/>
              </w:rPr>
              <w:t>TollBar</w:t>
            </w:r>
            <w:proofErr w:type="spellEnd"/>
            <w:r w:rsidR="006D5BCA">
              <w:rPr>
                <w:rFonts w:ascii="Arial" w:hAnsi="Arial" w:cs="Arial"/>
                <w:bCs/>
                <w:sz w:val="24"/>
                <w:szCs w:val="24"/>
              </w:rPr>
              <w:t xml:space="preserve"> Conference Centre.</w:t>
            </w:r>
          </w:p>
        </w:tc>
      </w:tr>
    </w:tbl>
    <w:p w14:paraId="361B5B81" w14:textId="77777777" w:rsidR="003039DE" w:rsidRPr="003039DE" w:rsidRDefault="003039DE" w:rsidP="00364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922FD7" w14:textId="77777777" w:rsidR="003643D4" w:rsidRDefault="003643D4" w:rsidP="00364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22BFD" w14:textId="77777777" w:rsidR="00B66AC9" w:rsidRDefault="00B66AC9" w:rsidP="00364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31A9B" w14:textId="77777777" w:rsidR="00B66AC9" w:rsidRDefault="00B66AC9" w:rsidP="00364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07777" w14:textId="77777777" w:rsidR="00735617" w:rsidRDefault="00735617" w:rsidP="00735617">
      <w:pPr>
        <w:pStyle w:val="ListParagraph"/>
        <w:spacing w:after="0" w:line="240" w:lineRule="auto"/>
        <w:rPr>
          <w:rFonts w:ascii="Arial" w:hAnsi="Arial" w:cs="Arial"/>
          <w:i/>
        </w:rPr>
      </w:pPr>
    </w:p>
    <w:p w14:paraId="0683CAD4" w14:textId="77777777" w:rsidR="00735617" w:rsidRPr="00735617" w:rsidRDefault="00735617" w:rsidP="0073561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908DC25" w14:textId="77777777" w:rsidR="003643D4" w:rsidRPr="003643D4" w:rsidRDefault="003643D4" w:rsidP="003643D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43D4" w:rsidRPr="00364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0093F" w14:textId="77777777" w:rsidR="00165BD9" w:rsidRDefault="00165BD9" w:rsidP="004D4F7A">
      <w:pPr>
        <w:spacing w:after="0" w:line="240" w:lineRule="auto"/>
      </w:pPr>
      <w:r>
        <w:separator/>
      </w:r>
    </w:p>
  </w:endnote>
  <w:endnote w:type="continuationSeparator" w:id="0">
    <w:p w14:paraId="79B34703" w14:textId="77777777" w:rsidR="00165BD9" w:rsidRDefault="00165BD9" w:rsidP="004D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92A78" w14:textId="77777777" w:rsidR="00165BD9" w:rsidRDefault="00165BD9" w:rsidP="004D4F7A">
      <w:pPr>
        <w:spacing w:after="0" w:line="240" w:lineRule="auto"/>
      </w:pPr>
      <w:r>
        <w:separator/>
      </w:r>
    </w:p>
  </w:footnote>
  <w:footnote w:type="continuationSeparator" w:id="0">
    <w:p w14:paraId="1044E5E0" w14:textId="77777777" w:rsidR="00165BD9" w:rsidRDefault="00165BD9" w:rsidP="004D4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1FE2"/>
    <w:multiLevelType w:val="hybridMultilevel"/>
    <w:tmpl w:val="B804F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4583"/>
    <w:multiLevelType w:val="hybridMultilevel"/>
    <w:tmpl w:val="C2E8F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80DB5"/>
    <w:multiLevelType w:val="hybridMultilevel"/>
    <w:tmpl w:val="4142FC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A10AB"/>
    <w:multiLevelType w:val="hybridMultilevel"/>
    <w:tmpl w:val="BAC6E3A6"/>
    <w:lvl w:ilvl="0" w:tplc="6EF2AD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4E5477"/>
    <w:multiLevelType w:val="hybridMultilevel"/>
    <w:tmpl w:val="0C5C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168A"/>
    <w:multiLevelType w:val="hybridMultilevel"/>
    <w:tmpl w:val="5F6C44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BF70802"/>
    <w:multiLevelType w:val="hybridMultilevel"/>
    <w:tmpl w:val="DE9A5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C67DA"/>
    <w:multiLevelType w:val="hybridMultilevel"/>
    <w:tmpl w:val="58DAF916"/>
    <w:lvl w:ilvl="0" w:tplc="7A22CE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CF1149"/>
    <w:multiLevelType w:val="hybridMultilevel"/>
    <w:tmpl w:val="7A3CE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E46D7"/>
    <w:multiLevelType w:val="hybridMultilevel"/>
    <w:tmpl w:val="D60C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23756"/>
    <w:multiLevelType w:val="hybridMultilevel"/>
    <w:tmpl w:val="9E2A4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C76C8"/>
    <w:multiLevelType w:val="hybridMultilevel"/>
    <w:tmpl w:val="4954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54"/>
    <w:rsid w:val="00002D79"/>
    <w:rsid w:val="00074FFB"/>
    <w:rsid w:val="00082D46"/>
    <w:rsid w:val="000C5DBD"/>
    <w:rsid w:val="000C78B1"/>
    <w:rsid w:val="000F37F1"/>
    <w:rsid w:val="00124A23"/>
    <w:rsid w:val="001373E1"/>
    <w:rsid w:val="00165BD9"/>
    <w:rsid w:val="001703DD"/>
    <w:rsid w:val="0017402B"/>
    <w:rsid w:val="00181254"/>
    <w:rsid w:val="001A0AF8"/>
    <w:rsid w:val="001A1C24"/>
    <w:rsid w:val="001B3C39"/>
    <w:rsid w:val="001B67D3"/>
    <w:rsid w:val="001D149E"/>
    <w:rsid w:val="0021155D"/>
    <w:rsid w:val="002507C0"/>
    <w:rsid w:val="00257A62"/>
    <w:rsid w:val="00266063"/>
    <w:rsid w:val="00281DCE"/>
    <w:rsid w:val="002839CF"/>
    <w:rsid w:val="00285BC2"/>
    <w:rsid w:val="002A6D90"/>
    <w:rsid w:val="002B5F6D"/>
    <w:rsid w:val="002C0098"/>
    <w:rsid w:val="002E0578"/>
    <w:rsid w:val="002E6B91"/>
    <w:rsid w:val="003039DE"/>
    <w:rsid w:val="00317468"/>
    <w:rsid w:val="00326881"/>
    <w:rsid w:val="003367B3"/>
    <w:rsid w:val="00337A11"/>
    <w:rsid w:val="0034572D"/>
    <w:rsid w:val="003643D4"/>
    <w:rsid w:val="00392E34"/>
    <w:rsid w:val="003C1747"/>
    <w:rsid w:val="003E2C1B"/>
    <w:rsid w:val="0042597B"/>
    <w:rsid w:val="00436FA7"/>
    <w:rsid w:val="00445171"/>
    <w:rsid w:val="00454E08"/>
    <w:rsid w:val="00463F9E"/>
    <w:rsid w:val="004717BC"/>
    <w:rsid w:val="0047786C"/>
    <w:rsid w:val="00482E83"/>
    <w:rsid w:val="00497861"/>
    <w:rsid w:val="004C04E9"/>
    <w:rsid w:val="004D4F7A"/>
    <w:rsid w:val="004E00CD"/>
    <w:rsid w:val="00505514"/>
    <w:rsid w:val="005452C1"/>
    <w:rsid w:val="00571BC8"/>
    <w:rsid w:val="00583B24"/>
    <w:rsid w:val="005D1F0C"/>
    <w:rsid w:val="005F7B1B"/>
    <w:rsid w:val="006513C2"/>
    <w:rsid w:val="0067664C"/>
    <w:rsid w:val="0069102B"/>
    <w:rsid w:val="006D321F"/>
    <w:rsid w:val="006D5BCA"/>
    <w:rsid w:val="007050E4"/>
    <w:rsid w:val="00715DB2"/>
    <w:rsid w:val="00725407"/>
    <w:rsid w:val="00735617"/>
    <w:rsid w:val="00746AD7"/>
    <w:rsid w:val="00793DB1"/>
    <w:rsid w:val="007A647A"/>
    <w:rsid w:val="007B1932"/>
    <w:rsid w:val="007C286D"/>
    <w:rsid w:val="00806070"/>
    <w:rsid w:val="008338EA"/>
    <w:rsid w:val="00850250"/>
    <w:rsid w:val="00873B1E"/>
    <w:rsid w:val="00896182"/>
    <w:rsid w:val="008A2A34"/>
    <w:rsid w:val="008C2A2C"/>
    <w:rsid w:val="00905462"/>
    <w:rsid w:val="00910E9C"/>
    <w:rsid w:val="009558D4"/>
    <w:rsid w:val="009563A4"/>
    <w:rsid w:val="009769B2"/>
    <w:rsid w:val="00987206"/>
    <w:rsid w:val="009B0380"/>
    <w:rsid w:val="009C77D8"/>
    <w:rsid w:val="00A1594E"/>
    <w:rsid w:val="00A22719"/>
    <w:rsid w:val="00A47EE2"/>
    <w:rsid w:val="00A50440"/>
    <w:rsid w:val="00A73F13"/>
    <w:rsid w:val="00A872C3"/>
    <w:rsid w:val="00AA2850"/>
    <w:rsid w:val="00AA524D"/>
    <w:rsid w:val="00AB5450"/>
    <w:rsid w:val="00B423ED"/>
    <w:rsid w:val="00B42528"/>
    <w:rsid w:val="00B65B1E"/>
    <w:rsid w:val="00B66AC9"/>
    <w:rsid w:val="00B71312"/>
    <w:rsid w:val="00B745DB"/>
    <w:rsid w:val="00B76C10"/>
    <w:rsid w:val="00B83702"/>
    <w:rsid w:val="00B959FB"/>
    <w:rsid w:val="00B96DDF"/>
    <w:rsid w:val="00BB4B54"/>
    <w:rsid w:val="00BD1CC5"/>
    <w:rsid w:val="00C03E25"/>
    <w:rsid w:val="00C47240"/>
    <w:rsid w:val="00C56E11"/>
    <w:rsid w:val="00C6391D"/>
    <w:rsid w:val="00C71673"/>
    <w:rsid w:val="00C74E19"/>
    <w:rsid w:val="00C75787"/>
    <w:rsid w:val="00C75BD9"/>
    <w:rsid w:val="00CC7696"/>
    <w:rsid w:val="00CD6805"/>
    <w:rsid w:val="00CE1FA9"/>
    <w:rsid w:val="00D16091"/>
    <w:rsid w:val="00D36F69"/>
    <w:rsid w:val="00D45D51"/>
    <w:rsid w:val="00D51CFB"/>
    <w:rsid w:val="00D64143"/>
    <w:rsid w:val="00D64C96"/>
    <w:rsid w:val="00D71B7B"/>
    <w:rsid w:val="00D8345E"/>
    <w:rsid w:val="00D85072"/>
    <w:rsid w:val="00DA4514"/>
    <w:rsid w:val="00DB78E7"/>
    <w:rsid w:val="00DD1C86"/>
    <w:rsid w:val="00DE482A"/>
    <w:rsid w:val="00DF72C6"/>
    <w:rsid w:val="00DF7DE2"/>
    <w:rsid w:val="00E1319C"/>
    <w:rsid w:val="00E15EBF"/>
    <w:rsid w:val="00E54EDE"/>
    <w:rsid w:val="00E57DC5"/>
    <w:rsid w:val="00E663CE"/>
    <w:rsid w:val="00E8182C"/>
    <w:rsid w:val="00E8580E"/>
    <w:rsid w:val="00E87BC7"/>
    <w:rsid w:val="00EA2872"/>
    <w:rsid w:val="00EC6FE5"/>
    <w:rsid w:val="00ED2B83"/>
    <w:rsid w:val="00ED67D0"/>
    <w:rsid w:val="00EE60A8"/>
    <w:rsid w:val="00F0283F"/>
    <w:rsid w:val="00F07F45"/>
    <w:rsid w:val="00F632B5"/>
    <w:rsid w:val="00F66DB7"/>
    <w:rsid w:val="00F7641E"/>
    <w:rsid w:val="00F8667A"/>
    <w:rsid w:val="00FC4B19"/>
    <w:rsid w:val="00FC4B7F"/>
    <w:rsid w:val="00FF6AD7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3D295"/>
  <w15:docId w15:val="{A6AC8DCB-19A9-43EB-A88E-CD784289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F7A"/>
  </w:style>
  <w:style w:type="paragraph" w:styleId="Footer">
    <w:name w:val="footer"/>
    <w:basedOn w:val="Normal"/>
    <w:link w:val="FooterChar"/>
    <w:uiPriority w:val="99"/>
    <w:unhideWhenUsed/>
    <w:rsid w:val="004D4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F7A"/>
  </w:style>
  <w:style w:type="paragraph" w:styleId="BalloonText">
    <w:name w:val="Balloon Text"/>
    <w:basedOn w:val="Normal"/>
    <w:link w:val="BalloonTextChar"/>
    <w:uiPriority w:val="99"/>
    <w:semiHidden/>
    <w:unhideWhenUsed/>
    <w:rsid w:val="00B6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6A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9E34-3C96-40D4-94FD-AAE34607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Bethany Salkeld (NELC)</dc:creator>
  <cp:lastModifiedBy>Lee Dimberline (NELC)</cp:lastModifiedBy>
  <cp:revision>3</cp:revision>
  <cp:lastPrinted>2015-01-15T08:40:00Z</cp:lastPrinted>
  <dcterms:created xsi:type="dcterms:W3CDTF">2020-09-29T15:04:00Z</dcterms:created>
  <dcterms:modified xsi:type="dcterms:W3CDTF">2020-10-01T08:32:00Z</dcterms:modified>
</cp:coreProperties>
</file>