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AAEF7" w14:textId="041C0ED1" w:rsidR="00E81333" w:rsidRDefault="003914A0" w:rsidP="00537304">
      <w:pPr>
        <w:spacing w:after="0"/>
        <w:jc w:val="center"/>
        <w:rPr>
          <w:rFonts w:cstheme="minorHAnsi"/>
          <w:b/>
          <w:sz w:val="32"/>
          <w:szCs w:val="32"/>
        </w:rPr>
      </w:pPr>
      <w:r w:rsidRPr="000E1BD5">
        <w:rPr>
          <w:rFonts w:cstheme="minorHAnsi"/>
          <w:b/>
          <w:sz w:val="32"/>
          <w:szCs w:val="32"/>
        </w:rPr>
        <w:t xml:space="preserve">Summary of </w:t>
      </w:r>
      <w:r w:rsidR="00E81333" w:rsidRPr="000E1BD5">
        <w:rPr>
          <w:rFonts w:cstheme="minorHAnsi"/>
          <w:b/>
          <w:sz w:val="32"/>
          <w:szCs w:val="32"/>
        </w:rPr>
        <w:t xml:space="preserve">Current </w:t>
      </w:r>
      <w:r w:rsidRPr="000E1BD5">
        <w:rPr>
          <w:rFonts w:cstheme="minorHAnsi"/>
          <w:b/>
          <w:sz w:val="32"/>
          <w:szCs w:val="32"/>
        </w:rPr>
        <w:t>C</w:t>
      </w:r>
      <w:r w:rsidR="007F1EC2">
        <w:rPr>
          <w:rFonts w:cstheme="minorHAnsi"/>
          <w:b/>
          <w:sz w:val="32"/>
          <w:szCs w:val="32"/>
        </w:rPr>
        <w:t>OVID</w:t>
      </w:r>
      <w:r w:rsidRPr="000E1BD5">
        <w:rPr>
          <w:rFonts w:cstheme="minorHAnsi"/>
          <w:b/>
          <w:sz w:val="32"/>
          <w:szCs w:val="32"/>
        </w:rPr>
        <w:t>-19 Epidemio</w:t>
      </w:r>
      <w:r w:rsidR="00E81333" w:rsidRPr="000E1BD5">
        <w:rPr>
          <w:rFonts w:cstheme="minorHAnsi"/>
          <w:b/>
          <w:sz w:val="32"/>
          <w:szCs w:val="32"/>
        </w:rPr>
        <w:t xml:space="preserve">logy in </w:t>
      </w:r>
      <w:r w:rsidR="000E1BD5">
        <w:rPr>
          <w:rFonts w:cstheme="minorHAnsi"/>
          <w:b/>
          <w:sz w:val="32"/>
          <w:szCs w:val="32"/>
        </w:rPr>
        <w:t>NE</w:t>
      </w:r>
      <w:r w:rsidR="00E81333" w:rsidRPr="000E1BD5">
        <w:rPr>
          <w:rFonts w:cstheme="minorHAnsi"/>
          <w:b/>
          <w:sz w:val="32"/>
          <w:szCs w:val="32"/>
        </w:rPr>
        <w:t xml:space="preserve"> Lincolnshire</w:t>
      </w:r>
    </w:p>
    <w:p w14:paraId="4371207F" w14:textId="77777777" w:rsidR="000855CC" w:rsidRPr="000E1BD5" w:rsidRDefault="000855CC" w:rsidP="00537304">
      <w:pPr>
        <w:spacing w:after="0"/>
        <w:jc w:val="center"/>
        <w:rPr>
          <w:rFonts w:cstheme="minorHAnsi"/>
          <w:b/>
          <w:sz w:val="32"/>
          <w:szCs w:val="32"/>
        </w:rPr>
      </w:pPr>
    </w:p>
    <w:p w14:paraId="1A2702B7" w14:textId="124D9B0B" w:rsidR="003914A0" w:rsidRPr="000E1BD5" w:rsidRDefault="00680060" w:rsidP="007204F4">
      <w:pPr>
        <w:tabs>
          <w:tab w:val="left" w:pos="8222"/>
        </w:tabs>
        <w:spacing w:after="0"/>
        <w:jc w:val="center"/>
        <w:rPr>
          <w:rFonts w:cstheme="minorHAnsi"/>
          <w:b/>
          <w:sz w:val="32"/>
          <w:szCs w:val="32"/>
        </w:rPr>
      </w:pPr>
      <w:r>
        <w:rPr>
          <w:rFonts w:cstheme="minorHAnsi"/>
          <w:b/>
          <w:sz w:val="32"/>
          <w:szCs w:val="32"/>
        </w:rPr>
        <w:t xml:space="preserve">October </w:t>
      </w:r>
      <w:r w:rsidR="00C83E85">
        <w:rPr>
          <w:rFonts w:cstheme="minorHAnsi"/>
          <w:b/>
          <w:sz w:val="32"/>
          <w:szCs w:val="32"/>
        </w:rPr>
        <w:t>1</w:t>
      </w:r>
      <w:r w:rsidR="00F127FB">
        <w:rPr>
          <w:rFonts w:cstheme="minorHAnsi"/>
          <w:b/>
          <w:sz w:val="32"/>
          <w:szCs w:val="32"/>
        </w:rPr>
        <w:t>9</w:t>
      </w:r>
      <w:r w:rsidRPr="00680060">
        <w:rPr>
          <w:rFonts w:cstheme="minorHAnsi"/>
          <w:b/>
          <w:sz w:val="32"/>
          <w:szCs w:val="32"/>
          <w:vertAlign w:val="superscript"/>
        </w:rPr>
        <w:t>th</w:t>
      </w:r>
      <w:proofErr w:type="gramStart"/>
      <w:r>
        <w:rPr>
          <w:rFonts w:cstheme="minorHAnsi"/>
          <w:b/>
          <w:sz w:val="32"/>
          <w:szCs w:val="32"/>
        </w:rPr>
        <w:t xml:space="preserve"> </w:t>
      </w:r>
      <w:r w:rsidR="00E81333" w:rsidRPr="000E1BD5">
        <w:rPr>
          <w:rFonts w:cstheme="minorHAnsi"/>
          <w:b/>
          <w:sz w:val="32"/>
          <w:szCs w:val="32"/>
        </w:rPr>
        <w:t>2020</w:t>
      </w:r>
      <w:proofErr w:type="gramEnd"/>
    </w:p>
    <w:p w14:paraId="58DE9B1F" w14:textId="77777777" w:rsidR="0084231B" w:rsidRPr="00537304" w:rsidRDefault="0084231B" w:rsidP="000855CC">
      <w:pPr>
        <w:spacing w:after="0"/>
        <w:rPr>
          <w:rFonts w:cstheme="minorHAnsi"/>
          <w:sz w:val="32"/>
          <w:szCs w:val="32"/>
        </w:rPr>
      </w:pPr>
    </w:p>
    <w:p w14:paraId="47C95181" w14:textId="77777777" w:rsidR="005600EE" w:rsidRDefault="005600EE" w:rsidP="005600EE">
      <w:pPr>
        <w:spacing w:after="0"/>
        <w:rPr>
          <w:rFonts w:cstheme="minorHAnsi"/>
          <w:b/>
          <w:bCs/>
          <w:sz w:val="28"/>
          <w:szCs w:val="28"/>
        </w:rPr>
      </w:pPr>
      <w:r w:rsidRPr="000E1BD5">
        <w:rPr>
          <w:rFonts w:cstheme="minorHAnsi"/>
          <w:b/>
          <w:bCs/>
          <w:sz w:val="28"/>
          <w:szCs w:val="28"/>
        </w:rPr>
        <w:t>Key Points</w:t>
      </w:r>
    </w:p>
    <w:p w14:paraId="1148939D" w14:textId="77777777" w:rsidR="005600EE" w:rsidRPr="00856EB6" w:rsidRDefault="005600EE" w:rsidP="005600EE">
      <w:pPr>
        <w:spacing w:after="0"/>
        <w:rPr>
          <w:rFonts w:cstheme="minorHAnsi"/>
          <w:b/>
          <w:bCs/>
        </w:rPr>
      </w:pPr>
    </w:p>
    <w:p w14:paraId="2853A808" w14:textId="77777777" w:rsidR="005600EE" w:rsidRPr="00856EB6" w:rsidRDefault="005600EE" w:rsidP="005600EE">
      <w:pPr>
        <w:spacing w:after="0"/>
        <w:jc w:val="both"/>
        <w:rPr>
          <w:rFonts w:cstheme="minorHAnsi"/>
        </w:rPr>
      </w:pPr>
      <w:r w:rsidRPr="00856EB6">
        <w:rPr>
          <w:rFonts w:cstheme="minorHAnsi"/>
        </w:rPr>
        <w:t xml:space="preserve">A total of </w:t>
      </w:r>
      <w:r>
        <w:rPr>
          <w:rFonts w:cstheme="minorHAnsi"/>
        </w:rPr>
        <w:t xml:space="preserve">1,037 </w:t>
      </w:r>
      <w:r w:rsidRPr="00856EB6">
        <w:rPr>
          <w:rFonts w:cstheme="minorHAnsi"/>
        </w:rPr>
        <w:t>residents of North East Lincolnshire have had a confirmed diagnosis of COVID-19 (based on Pillar 1 and Pillar 2 Testing)</w:t>
      </w:r>
      <w:r>
        <w:rPr>
          <w:rFonts w:cstheme="minorHAnsi"/>
        </w:rPr>
        <w:t xml:space="preserve"> which is an increase of 419 cases over the last week (by far the biggest week on week increase in confirmed cases that has been reported)</w:t>
      </w:r>
      <w:r w:rsidRPr="00856EB6">
        <w:rPr>
          <w:rFonts w:cstheme="minorHAnsi"/>
        </w:rPr>
        <w:t xml:space="preserve">.  </w:t>
      </w:r>
      <w:r>
        <w:rPr>
          <w:rFonts w:cstheme="minorHAnsi"/>
        </w:rPr>
        <w:t xml:space="preserve">The last three weeks have seen a doubling in new cases every six days and a forty-fold increase in the </w:t>
      </w:r>
      <w:proofErr w:type="gramStart"/>
      <w:r>
        <w:rPr>
          <w:rFonts w:cstheme="minorHAnsi"/>
        </w:rPr>
        <w:t>seven day</w:t>
      </w:r>
      <w:proofErr w:type="gramEnd"/>
      <w:r>
        <w:rPr>
          <w:rFonts w:cstheme="minorHAnsi"/>
        </w:rPr>
        <w:t xml:space="preserve"> rate of infection since the start of September.  </w:t>
      </w:r>
    </w:p>
    <w:p w14:paraId="2C620503" w14:textId="77777777" w:rsidR="005600EE" w:rsidRPr="00856EB6" w:rsidRDefault="005600EE" w:rsidP="005600EE">
      <w:pPr>
        <w:spacing w:after="0"/>
        <w:jc w:val="both"/>
        <w:rPr>
          <w:rFonts w:cstheme="minorHAnsi"/>
        </w:rPr>
      </w:pPr>
    </w:p>
    <w:p w14:paraId="47671038" w14:textId="77777777" w:rsidR="005600EE" w:rsidRPr="00856EB6" w:rsidRDefault="005600EE" w:rsidP="005600EE">
      <w:pPr>
        <w:spacing w:after="0"/>
        <w:jc w:val="both"/>
        <w:rPr>
          <w:rFonts w:cstheme="minorHAnsi"/>
        </w:rPr>
      </w:pPr>
      <w:r w:rsidRPr="00856EB6">
        <w:rPr>
          <w:rFonts w:cstheme="minorHAnsi"/>
        </w:rPr>
        <w:t>Nationally there has been a</w:t>
      </w:r>
      <w:r>
        <w:rPr>
          <w:rFonts w:cstheme="minorHAnsi"/>
        </w:rPr>
        <w:t xml:space="preserve"> significant</w:t>
      </w:r>
      <w:r w:rsidRPr="00856EB6">
        <w:rPr>
          <w:rFonts w:cstheme="minorHAnsi"/>
        </w:rPr>
        <w:t xml:space="preserve"> increase in the number of positive COVID-19 tests in recent weeks.  </w:t>
      </w:r>
      <w:r>
        <w:rPr>
          <w:rFonts w:cstheme="minorHAnsi"/>
        </w:rPr>
        <w:t>We are now seeing clear signs of an increase in hospital inpatients and deaths</w:t>
      </w:r>
      <w:r w:rsidRPr="00856EB6">
        <w:rPr>
          <w:rFonts w:cstheme="minorHAnsi"/>
        </w:rPr>
        <w:t xml:space="preserve">.  </w:t>
      </w:r>
      <w:r>
        <w:rPr>
          <w:rFonts w:cstheme="minorHAnsi"/>
        </w:rPr>
        <w:t>Nationally</w:t>
      </w:r>
      <w:r w:rsidRPr="00856EB6">
        <w:rPr>
          <w:rFonts w:cstheme="minorHAnsi"/>
        </w:rPr>
        <w:t xml:space="preserve"> a </w:t>
      </w:r>
      <w:r>
        <w:rPr>
          <w:rFonts w:cstheme="minorHAnsi"/>
        </w:rPr>
        <w:t xml:space="preserve">far </w:t>
      </w:r>
      <w:r w:rsidRPr="00856EB6">
        <w:rPr>
          <w:rFonts w:cstheme="minorHAnsi"/>
        </w:rPr>
        <w:t>greater proportion of cases are occurring amongst younger people who are less likely to suffer serious illness.</w:t>
      </w:r>
      <w:r>
        <w:rPr>
          <w:rFonts w:cstheme="minorHAnsi"/>
        </w:rPr>
        <w:t xml:space="preserve">  In North East Lincolnshire analysis of cases confirmed since 1</w:t>
      </w:r>
      <w:r w:rsidRPr="007955C7">
        <w:rPr>
          <w:rFonts w:cstheme="minorHAnsi"/>
          <w:vertAlign w:val="superscript"/>
        </w:rPr>
        <w:t>st</w:t>
      </w:r>
      <w:r>
        <w:rPr>
          <w:rFonts w:cstheme="minorHAnsi"/>
        </w:rPr>
        <w:t xml:space="preserve"> October suggests an even spread across the working age population, with a steadily increasing number of cases now occurring in the young adult population.  Since the beginning of October we have begun to see a growing number of cases in older people which is a worrying trend.  Geographically cases are occurring in all parts of the borough but far more are now occurring in the Grimsby residential suburbs of Humberston &amp; New Waltham, Freshney, Yarborough and Park wards.  </w:t>
      </w:r>
    </w:p>
    <w:p w14:paraId="57E5FCCC" w14:textId="77777777" w:rsidR="005600EE" w:rsidRPr="00856EB6" w:rsidRDefault="005600EE" w:rsidP="005600EE">
      <w:pPr>
        <w:spacing w:after="0"/>
        <w:jc w:val="both"/>
        <w:rPr>
          <w:rFonts w:cstheme="minorHAnsi"/>
        </w:rPr>
      </w:pPr>
    </w:p>
    <w:p w14:paraId="2D2010C0" w14:textId="77777777" w:rsidR="005600EE" w:rsidRPr="00856EB6" w:rsidRDefault="005600EE" w:rsidP="005600EE">
      <w:pPr>
        <w:spacing w:after="0"/>
        <w:jc w:val="both"/>
        <w:rPr>
          <w:rFonts w:cstheme="minorHAnsi"/>
        </w:rPr>
      </w:pPr>
      <w:r>
        <w:rPr>
          <w:rFonts w:cstheme="minorHAnsi"/>
        </w:rPr>
        <w:t>NLaG report that t</w:t>
      </w:r>
      <w:r w:rsidRPr="00856EB6">
        <w:rPr>
          <w:rFonts w:cstheme="minorHAnsi"/>
        </w:rPr>
        <w:t xml:space="preserve">here are </w:t>
      </w:r>
      <w:r>
        <w:rPr>
          <w:rFonts w:cstheme="minorHAnsi"/>
        </w:rPr>
        <w:t>20</w:t>
      </w:r>
      <w:r w:rsidRPr="00856EB6">
        <w:rPr>
          <w:rFonts w:cstheme="minorHAnsi"/>
        </w:rPr>
        <w:t xml:space="preserve"> patients with confirmed COVID-19 in Grimsby Hospital (as of </w:t>
      </w:r>
      <w:r>
        <w:rPr>
          <w:rFonts w:cstheme="minorHAnsi"/>
        </w:rPr>
        <w:t>19</w:t>
      </w:r>
      <w:r w:rsidRPr="002434C4">
        <w:rPr>
          <w:rFonts w:cstheme="minorHAnsi"/>
          <w:vertAlign w:val="superscript"/>
        </w:rPr>
        <w:t>th</w:t>
      </w:r>
      <w:r w:rsidRPr="00856EB6">
        <w:rPr>
          <w:rFonts w:cstheme="minorHAnsi"/>
        </w:rPr>
        <w:t xml:space="preserve"> </w:t>
      </w:r>
      <w:r>
        <w:rPr>
          <w:rFonts w:cstheme="minorHAnsi"/>
        </w:rPr>
        <w:t>October</w:t>
      </w:r>
      <w:r w:rsidRPr="00856EB6">
        <w:rPr>
          <w:rFonts w:cstheme="minorHAnsi"/>
        </w:rPr>
        <w:t>).</w:t>
      </w:r>
      <w:r>
        <w:rPr>
          <w:rFonts w:cstheme="minorHAnsi"/>
        </w:rPr>
        <w:t xml:space="preserve">  This is the most since April and represents a substantial increase since the beginning of October.</w:t>
      </w:r>
    </w:p>
    <w:p w14:paraId="422F6C24" w14:textId="77777777" w:rsidR="005600EE" w:rsidRPr="00856EB6" w:rsidRDefault="005600EE" w:rsidP="005600EE">
      <w:pPr>
        <w:spacing w:after="0"/>
        <w:jc w:val="both"/>
        <w:rPr>
          <w:rFonts w:cstheme="minorHAnsi"/>
        </w:rPr>
      </w:pPr>
    </w:p>
    <w:p w14:paraId="30548B7A" w14:textId="77777777" w:rsidR="005600EE" w:rsidRDefault="005600EE" w:rsidP="005600EE">
      <w:pPr>
        <w:spacing w:after="0"/>
        <w:jc w:val="both"/>
        <w:rPr>
          <w:rFonts w:cstheme="minorHAnsi"/>
        </w:rPr>
      </w:pPr>
      <w:r w:rsidRPr="00824701">
        <w:rPr>
          <w:rFonts w:cstheme="minorHAnsi"/>
        </w:rPr>
        <w:t xml:space="preserve">Care homes have been one of the major sources of new COVID-19 cases nationally since the beginning of the pandemic.  </w:t>
      </w:r>
      <w:r>
        <w:rPr>
          <w:rFonts w:cstheme="minorHAnsi"/>
        </w:rPr>
        <w:t>There are a small number of cases in care homes currently.  Many care homes are situated in the parts of the borough currently experiencing the highest number of cases.</w:t>
      </w:r>
    </w:p>
    <w:p w14:paraId="36779E76" w14:textId="77777777" w:rsidR="005600EE" w:rsidRDefault="005600EE" w:rsidP="005600EE">
      <w:pPr>
        <w:spacing w:after="0"/>
        <w:jc w:val="both"/>
        <w:rPr>
          <w:rFonts w:cstheme="minorHAnsi"/>
        </w:rPr>
      </w:pPr>
    </w:p>
    <w:p w14:paraId="2606F839" w14:textId="77777777" w:rsidR="005600EE" w:rsidRPr="00B665F2" w:rsidRDefault="005600EE" w:rsidP="005600EE">
      <w:pPr>
        <w:spacing w:after="0"/>
        <w:jc w:val="both"/>
        <w:rPr>
          <w:rFonts w:cstheme="minorHAnsi"/>
        </w:rPr>
      </w:pPr>
      <w:r w:rsidRPr="00B665F2">
        <w:rPr>
          <w:rFonts w:cstheme="minorHAnsi"/>
        </w:rPr>
        <w:t>We are now experiencing regular, small outbreaks in a range of settings including social clubs, spas</w:t>
      </w:r>
      <w:r>
        <w:rPr>
          <w:rFonts w:cstheme="minorHAnsi"/>
        </w:rPr>
        <w:t xml:space="preserve"> and</w:t>
      </w:r>
      <w:r w:rsidRPr="00B665F2">
        <w:rPr>
          <w:rFonts w:cstheme="minorHAnsi"/>
        </w:rPr>
        <w:t xml:space="preserve"> gyms</w:t>
      </w:r>
      <w:r>
        <w:rPr>
          <w:rFonts w:cstheme="minorHAnsi"/>
        </w:rPr>
        <w:t>.  However the largest number of outbreaks are occurring in workplaces and schools</w:t>
      </w:r>
      <w:r w:rsidRPr="00B665F2">
        <w:rPr>
          <w:rFonts w:cstheme="minorHAnsi"/>
        </w:rPr>
        <w:t xml:space="preserve">.  </w:t>
      </w:r>
    </w:p>
    <w:p w14:paraId="67ACB7E4" w14:textId="77777777" w:rsidR="00537304" w:rsidRPr="00856EB6" w:rsidRDefault="00537304" w:rsidP="000855CC">
      <w:pPr>
        <w:spacing w:after="0"/>
        <w:jc w:val="both"/>
        <w:rPr>
          <w:rFonts w:cstheme="minorHAnsi"/>
        </w:rPr>
      </w:pPr>
    </w:p>
    <w:p w14:paraId="1AC2DD90" w14:textId="4FB630C5" w:rsidR="008937EC" w:rsidRPr="00856C6C" w:rsidRDefault="00175B3E" w:rsidP="00856C6C">
      <w:pPr>
        <w:spacing w:after="120"/>
        <w:rPr>
          <w:rFonts w:cstheme="minorHAnsi"/>
          <w:b/>
          <w:bCs/>
        </w:rPr>
      </w:pPr>
      <w:r w:rsidRPr="00856C6C">
        <w:rPr>
          <w:rFonts w:cstheme="minorHAnsi"/>
          <w:b/>
          <w:bCs/>
        </w:rPr>
        <w:t>Public Health Update</w:t>
      </w:r>
    </w:p>
    <w:p w14:paraId="04FEB3DF" w14:textId="166DFA75" w:rsidR="00AC7A2E" w:rsidRPr="00B7559F" w:rsidRDefault="00175B3E" w:rsidP="00AC7A2E">
      <w:pPr>
        <w:spacing w:after="0"/>
        <w:jc w:val="both"/>
      </w:pPr>
      <w:r>
        <w:rPr>
          <w:rFonts w:cstheme="minorHAnsi"/>
        </w:rPr>
        <w:t xml:space="preserve">There has been a substantial increase in the rate of new COVID-19 infections since the beginning of September in most parts of the country but particularly in the North East of England, the North West of England and the Yorkshire &amp; Humber.  </w:t>
      </w:r>
      <w:r w:rsidRPr="00B665F2">
        <w:rPr>
          <w:rFonts w:cstheme="minorHAnsi"/>
        </w:rPr>
        <w:t xml:space="preserve">North East Lincolnshire </w:t>
      </w:r>
      <w:r w:rsidR="00856C6C" w:rsidRPr="00B665F2">
        <w:rPr>
          <w:rFonts w:cstheme="minorHAnsi"/>
        </w:rPr>
        <w:t>has also seen</w:t>
      </w:r>
      <w:r w:rsidRPr="00B665F2">
        <w:rPr>
          <w:rFonts w:cstheme="minorHAnsi"/>
        </w:rPr>
        <w:t xml:space="preserve"> a </w:t>
      </w:r>
      <w:r w:rsidR="0096724F">
        <w:rPr>
          <w:rFonts w:cstheme="minorHAnsi"/>
        </w:rPr>
        <w:t>forty-</w:t>
      </w:r>
      <w:r w:rsidR="00B665F2" w:rsidRPr="00B665F2">
        <w:rPr>
          <w:rFonts w:cstheme="minorHAnsi"/>
        </w:rPr>
        <w:t xml:space="preserve"> fold increase</w:t>
      </w:r>
      <w:r w:rsidRPr="00B665F2">
        <w:rPr>
          <w:rFonts w:cstheme="minorHAnsi"/>
        </w:rPr>
        <w:t xml:space="preserve"> in the rate of new infections during this period although our rate </w:t>
      </w:r>
      <w:r w:rsidR="00856C6C" w:rsidRPr="00B665F2">
        <w:rPr>
          <w:rFonts w:cstheme="minorHAnsi"/>
        </w:rPr>
        <w:t>remains lower than the Yorkshire &amp; Humber rate</w:t>
      </w:r>
      <w:r w:rsidRPr="00B665F2">
        <w:rPr>
          <w:rFonts w:cstheme="minorHAnsi"/>
        </w:rPr>
        <w:t>.</w:t>
      </w:r>
      <w:r>
        <w:rPr>
          <w:rFonts w:cstheme="minorHAnsi"/>
        </w:rPr>
        <w:t xml:space="preserve">  </w:t>
      </w:r>
      <w:r w:rsidR="00145FE6">
        <w:rPr>
          <w:rFonts w:cstheme="minorHAnsi"/>
        </w:rPr>
        <w:t xml:space="preserve">North East Lincolnshire has been placed into the </w:t>
      </w:r>
      <w:r w:rsidR="00AC7A2E">
        <w:rPr>
          <w:rFonts w:cstheme="minorHAnsi"/>
        </w:rPr>
        <w:t>Medium</w:t>
      </w:r>
      <w:r w:rsidR="00145FE6">
        <w:rPr>
          <w:rFonts w:cstheme="minorHAnsi"/>
        </w:rPr>
        <w:t xml:space="preserve"> Risk (Tier </w:t>
      </w:r>
      <w:r w:rsidR="00AC7A2E">
        <w:rPr>
          <w:rFonts w:cstheme="minorHAnsi"/>
        </w:rPr>
        <w:t>1</w:t>
      </w:r>
      <w:r w:rsidR="00145FE6">
        <w:rPr>
          <w:rFonts w:cstheme="minorHAnsi"/>
        </w:rPr>
        <w:t>) category that the Government has introduced to determin</w:t>
      </w:r>
      <w:r w:rsidR="00AC7A2E">
        <w:rPr>
          <w:rFonts w:cstheme="minorHAnsi"/>
        </w:rPr>
        <w:t>e</w:t>
      </w:r>
      <w:r w:rsidR="00145FE6">
        <w:rPr>
          <w:rFonts w:cstheme="minorHAnsi"/>
        </w:rPr>
        <w:t xml:space="preserve"> restrictions associated with COVID-19 infection rates</w:t>
      </w:r>
      <w:r w:rsidR="00AC7A2E">
        <w:rPr>
          <w:rFonts w:cstheme="minorHAnsi"/>
        </w:rPr>
        <w:t xml:space="preserve">.  </w:t>
      </w:r>
      <w:r w:rsidR="00AC7A2E">
        <w:t xml:space="preserve">People in North East Lincolnshire </w:t>
      </w:r>
      <w:r w:rsidR="00AC7A2E" w:rsidRPr="00B7559F">
        <w:t>will face the basic national rules currently in force:</w:t>
      </w:r>
    </w:p>
    <w:p w14:paraId="3A471920" w14:textId="77777777" w:rsidR="00AC7A2E" w:rsidRPr="00F914B2" w:rsidRDefault="00AC7A2E" w:rsidP="00AC7A2E">
      <w:pPr>
        <w:pStyle w:val="ListParagraph"/>
        <w:numPr>
          <w:ilvl w:val="0"/>
          <w:numId w:val="7"/>
        </w:numPr>
        <w:rPr>
          <w:rFonts w:cstheme="minorHAnsi"/>
        </w:rPr>
      </w:pPr>
      <w:r w:rsidRPr="00F914B2">
        <w:rPr>
          <w:rFonts w:cstheme="minorHAnsi"/>
          <w:b/>
          <w:bCs/>
        </w:rPr>
        <w:t>Leisure time</w:t>
      </w:r>
      <w:r w:rsidRPr="00F914B2">
        <w:rPr>
          <w:rFonts w:cstheme="minorHAnsi"/>
        </w:rPr>
        <w:t xml:space="preserve">: Pubs, bars and restaurants will have to close at 22:00 BST. They are restricted to table service only. Face coverings must be worn, except when seated to eat or drink. </w:t>
      </w:r>
      <w:r w:rsidRPr="002D367F">
        <w:rPr>
          <w:rFonts w:cstheme="minorHAnsi"/>
        </w:rPr>
        <w:t>Face coverings must be worn on public transport and indoor areas such as museums and cinemas. You can be fined £200 for breaking the rules. Shops can open with social distancing measures in place. Face coverings must be worn by customers and staff. Gyms open as normal.</w:t>
      </w:r>
    </w:p>
    <w:p w14:paraId="549BB36B" w14:textId="77777777" w:rsidR="00AC7A2E" w:rsidRPr="00F914B2" w:rsidRDefault="00AC7A2E" w:rsidP="00AC7A2E">
      <w:pPr>
        <w:pStyle w:val="ListParagraph"/>
        <w:numPr>
          <w:ilvl w:val="0"/>
          <w:numId w:val="7"/>
        </w:numPr>
        <w:rPr>
          <w:rFonts w:cstheme="minorHAnsi"/>
        </w:rPr>
      </w:pPr>
      <w:r w:rsidRPr="00F914B2">
        <w:rPr>
          <w:rFonts w:cstheme="minorHAnsi"/>
          <w:b/>
          <w:bCs/>
        </w:rPr>
        <w:lastRenderedPageBreak/>
        <w:t>Meeting up</w:t>
      </w:r>
      <w:r w:rsidRPr="00F914B2">
        <w:rPr>
          <w:rFonts w:cstheme="minorHAnsi"/>
        </w:rPr>
        <w:t>: The rule of six (number of people who can meet up) applies both indoors and outdoors in all settings. You can meet in a group of up to six people from multiple households. This includes children and applies indoors and outdoors, including private homes. There are exceptions, for example if your household or support bubble is larger than six. You could be fined for breaking these rules.</w:t>
      </w:r>
    </w:p>
    <w:p w14:paraId="743F050E" w14:textId="77777777" w:rsidR="00AC7A2E" w:rsidRPr="00F914B2" w:rsidRDefault="00AC7A2E" w:rsidP="00AC7A2E">
      <w:pPr>
        <w:pStyle w:val="ListParagraph"/>
        <w:numPr>
          <w:ilvl w:val="0"/>
          <w:numId w:val="7"/>
        </w:numPr>
        <w:rPr>
          <w:rFonts w:cstheme="minorHAnsi"/>
        </w:rPr>
      </w:pPr>
      <w:r w:rsidRPr="00F914B2">
        <w:rPr>
          <w:rFonts w:cstheme="minorHAnsi"/>
          <w:b/>
          <w:bCs/>
        </w:rPr>
        <w:t>Going to work</w:t>
      </w:r>
      <w:r w:rsidRPr="00F914B2">
        <w:rPr>
          <w:rFonts w:cstheme="minorHAnsi"/>
        </w:rPr>
        <w:t xml:space="preserve">: </w:t>
      </w:r>
      <w:r w:rsidRPr="00F914B2">
        <w:rPr>
          <w:rFonts w:cstheme="minorHAnsi"/>
          <w:color w:val="404040"/>
          <w:shd w:val="clear" w:color="auto" w:fill="FFFFFF"/>
        </w:rPr>
        <w:t>You should work at home if possible. If you have to return to your workplace your employer must make arrangements for you to work safely.</w:t>
      </w:r>
    </w:p>
    <w:p w14:paraId="30B1ED96" w14:textId="77777777" w:rsidR="00AC7A2E" w:rsidRPr="00F914B2" w:rsidRDefault="00AC7A2E" w:rsidP="00AC7A2E">
      <w:pPr>
        <w:pStyle w:val="ListParagraph"/>
        <w:numPr>
          <w:ilvl w:val="0"/>
          <w:numId w:val="7"/>
        </w:numPr>
        <w:rPr>
          <w:rFonts w:cstheme="minorHAnsi"/>
        </w:rPr>
      </w:pPr>
      <w:r w:rsidRPr="00F914B2">
        <w:rPr>
          <w:rFonts w:cstheme="minorHAnsi"/>
          <w:b/>
          <w:bCs/>
        </w:rPr>
        <w:t>Schools and nurseries</w:t>
      </w:r>
      <w:r w:rsidRPr="00F914B2">
        <w:rPr>
          <w:rFonts w:cstheme="minorHAnsi"/>
        </w:rPr>
        <w:t>: Schools, colleges and universities remain open, and youth club activities are permitted. Registered and wraparound childcare, supervised activities permitted in private homes and children’s groups are permitted.</w:t>
      </w:r>
    </w:p>
    <w:p w14:paraId="34F464F1" w14:textId="77777777" w:rsidR="00AC7A2E" w:rsidRPr="00F914B2" w:rsidRDefault="00AC7A2E" w:rsidP="00AC7A2E">
      <w:pPr>
        <w:pStyle w:val="ListParagraph"/>
        <w:numPr>
          <w:ilvl w:val="0"/>
          <w:numId w:val="7"/>
        </w:numPr>
        <w:rPr>
          <w:rFonts w:cstheme="minorHAnsi"/>
        </w:rPr>
      </w:pPr>
      <w:r w:rsidRPr="00F914B2">
        <w:rPr>
          <w:rFonts w:cstheme="minorHAnsi"/>
          <w:b/>
          <w:bCs/>
        </w:rPr>
        <w:t>Places of worship</w:t>
      </w:r>
      <w:r w:rsidRPr="00F914B2">
        <w:rPr>
          <w:rFonts w:cstheme="minorHAnsi"/>
        </w:rPr>
        <w:t xml:space="preserve"> remain open (subject to the rule of 6)</w:t>
      </w:r>
    </w:p>
    <w:p w14:paraId="6D79EFFB" w14:textId="29656E56" w:rsidR="00175B3E" w:rsidRDefault="00175B3E" w:rsidP="007F31FE">
      <w:pPr>
        <w:spacing w:before="240" w:after="0"/>
        <w:jc w:val="both"/>
        <w:rPr>
          <w:rFonts w:cstheme="minorHAnsi"/>
        </w:rPr>
      </w:pPr>
      <w:r w:rsidRPr="00D750FF">
        <w:rPr>
          <w:rFonts w:cstheme="minorHAnsi"/>
        </w:rPr>
        <w:t>We have analysed the</w:t>
      </w:r>
      <w:r w:rsidR="005579F5" w:rsidRPr="00D750FF">
        <w:rPr>
          <w:rFonts w:cstheme="minorHAnsi"/>
        </w:rPr>
        <w:t xml:space="preserve"> </w:t>
      </w:r>
      <w:r w:rsidR="00636DE5">
        <w:rPr>
          <w:rFonts w:cstheme="minorHAnsi"/>
        </w:rPr>
        <w:t>644</w:t>
      </w:r>
      <w:r w:rsidRPr="00D750FF">
        <w:rPr>
          <w:rFonts w:cstheme="minorHAnsi"/>
        </w:rPr>
        <w:t xml:space="preserve"> new cases that have been confirmed in North East Lincolnshire since the 1</w:t>
      </w:r>
      <w:r w:rsidRPr="00D750FF">
        <w:rPr>
          <w:rFonts w:cstheme="minorHAnsi"/>
          <w:vertAlign w:val="superscript"/>
        </w:rPr>
        <w:t>st</w:t>
      </w:r>
      <w:r w:rsidRPr="00D750FF">
        <w:rPr>
          <w:rFonts w:cstheme="minorHAnsi"/>
        </w:rPr>
        <w:t xml:space="preserve"> </w:t>
      </w:r>
      <w:r w:rsidR="00636DE5">
        <w:rPr>
          <w:rFonts w:cstheme="minorHAnsi"/>
        </w:rPr>
        <w:t>October</w:t>
      </w:r>
      <w:r w:rsidR="0058228E" w:rsidRPr="00D750FF">
        <w:rPr>
          <w:rFonts w:cstheme="minorHAnsi"/>
        </w:rPr>
        <w:t xml:space="preserve">.  </w:t>
      </w:r>
      <w:r w:rsidR="00343800" w:rsidRPr="00D750FF">
        <w:rPr>
          <w:rFonts w:cstheme="minorHAnsi"/>
        </w:rPr>
        <w:t xml:space="preserve">During </w:t>
      </w:r>
      <w:r w:rsidR="00D750FF" w:rsidRPr="00D750FF">
        <w:rPr>
          <w:rFonts w:cstheme="minorHAnsi"/>
        </w:rPr>
        <w:t>Octobe</w:t>
      </w:r>
      <w:r w:rsidR="00343800" w:rsidRPr="00D750FF">
        <w:rPr>
          <w:rFonts w:cstheme="minorHAnsi"/>
        </w:rPr>
        <w:t>r the majority of</w:t>
      </w:r>
      <w:r w:rsidR="007955C7" w:rsidRPr="00D750FF">
        <w:rPr>
          <w:rFonts w:cstheme="minorHAnsi"/>
        </w:rPr>
        <w:t xml:space="preserve"> </w:t>
      </w:r>
      <w:r w:rsidRPr="00D750FF">
        <w:rPr>
          <w:rFonts w:cstheme="minorHAnsi"/>
        </w:rPr>
        <w:t xml:space="preserve">our cases </w:t>
      </w:r>
      <w:r w:rsidR="00343800" w:rsidRPr="00D750FF">
        <w:rPr>
          <w:rFonts w:cstheme="minorHAnsi"/>
        </w:rPr>
        <w:t>have been</w:t>
      </w:r>
      <w:r w:rsidRPr="00D750FF">
        <w:rPr>
          <w:rFonts w:cstheme="minorHAnsi"/>
        </w:rPr>
        <w:t xml:space="preserve"> in the working age population between 21 and 60</w:t>
      </w:r>
      <w:r w:rsidR="00B341FD" w:rsidRPr="00D750FF">
        <w:rPr>
          <w:rFonts w:cstheme="minorHAnsi"/>
        </w:rPr>
        <w:t xml:space="preserve"> </w:t>
      </w:r>
      <w:r w:rsidR="0096724F">
        <w:rPr>
          <w:rFonts w:cstheme="minorHAnsi"/>
        </w:rPr>
        <w:t xml:space="preserve">with a fairly even spread between male and female </w:t>
      </w:r>
      <w:r w:rsidR="00AC7A2E" w:rsidRPr="00D750FF">
        <w:rPr>
          <w:rFonts w:cstheme="minorHAnsi"/>
        </w:rPr>
        <w:t>(Figure 1)</w:t>
      </w:r>
      <w:r w:rsidRPr="00D750FF">
        <w:rPr>
          <w:rFonts w:cstheme="minorHAnsi"/>
        </w:rPr>
        <w:t>.</w:t>
      </w:r>
      <w:r w:rsidR="00856C6C" w:rsidRPr="00D750FF">
        <w:rPr>
          <w:rFonts w:cstheme="minorHAnsi"/>
        </w:rPr>
        <w:t xml:space="preserve">  </w:t>
      </w:r>
      <w:r w:rsidR="00DD7D01" w:rsidRPr="00D750FF">
        <w:rPr>
          <w:rFonts w:cstheme="minorHAnsi"/>
        </w:rPr>
        <w:t xml:space="preserve">However </w:t>
      </w:r>
      <w:r w:rsidR="00D750FF" w:rsidRPr="00D750FF">
        <w:rPr>
          <w:rFonts w:cstheme="minorHAnsi"/>
        </w:rPr>
        <w:t xml:space="preserve">there </w:t>
      </w:r>
      <w:r w:rsidR="00F47F80" w:rsidRPr="00D750FF">
        <w:rPr>
          <w:rFonts w:cstheme="minorHAnsi"/>
        </w:rPr>
        <w:t xml:space="preserve">has been a substantial increase </w:t>
      </w:r>
      <w:r w:rsidR="00D750FF" w:rsidRPr="00D750FF">
        <w:rPr>
          <w:rFonts w:cstheme="minorHAnsi"/>
        </w:rPr>
        <w:t>across all age-bands</w:t>
      </w:r>
      <w:r w:rsidR="0096724F">
        <w:rPr>
          <w:rFonts w:cstheme="minorHAnsi"/>
        </w:rPr>
        <w:t xml:space="preserve"> compared with the previous month</w:t>
      </w:r>
      <w:r w:rsidR="00D750FF" w:rsidRPr="00D750FF">
        <w:rPr>
          <w:rFonts w:cstheme="minorHAnsi"/>
        </w:rPr>
        <w:t xml:space="preserve">, see Figure </w:t>
      </w:r>
      <w:r w:rsidR="00F47F80" w:rsidRPr="00D750FF">
        <w:rPr>
          <w:rFonts w:cstheme="minorHAnsi"/>
        </w:rPr>
        <w:t>2</w:t>
      </w:r>
      <w:r w:rsidR="0058228E" w:rsidRPr="00D750FF">
        <w:rPr>
          <w:rFonts w:cstheme="minorHAnsi"/>
        </w:rPr>
        <w:t xml:space="preserve">.  </w:t>
      </w:r>
      <w:r w:rsidR="00A3770B" w:rsidRPr="00D750FF">
        <w:rPr>
          <w:rFonts w:cstheme="minorHAnsi"/>
        </w:rPr>
        <w:t>Case</w:t>
      </w:r>
      <w:r w:rsidR="0058228E" w:rsidRPr="00D750FF">
        <w:rPr>
          <w:rFonts w:cstheme="minorHAnsi"/>
        </w:rPr>
        <w:t xml:space="preserve">s in the </w:t>
      </w:r>
      <w:r w:rsidR="00D750FF" w:rsidRPr="00D750FF">
        <w:rPr>
          <w:rFonts w:cstheme="minorHAnsi"/>
        </w:rPr>
        <w:t>65 and overs</w:t>
      </w:r>
      <w:r w:rsidR="0058228E" w:rsidRPr="00D750FF">
        <w:rPr>
          <w:rFonts w:cstheme="minorHAnsi"/>
        </w:rPr>
        <w:t xml:space="preserve"> </w:t>
      </w:r>
      <w:r w:rsidR="00A3770B" w:rsidRPr="00D750FF">
        <w:rPr>
          <w:rFonts w:cstheme="minorHAnsi"/>
        </w:rPr>
        <w:t xml:space="preserve">have increased </w:t>
      </w:r>
      <w:r w:rsidR="00761769" w:rsidRPr="00D750FF">
        <w:rPr>
          <w:rFonts w:cstheme="minorHAnsi"/>
        </w:rPr>
        <w:t xml:space="preserve">significantly </w:t>
      </w:r>
      <w:r w:rsidR="00A3770B" w:rsidRPr="00D750FF">
        <w:rPr>
          <w:rFonts w:cstheme="minorHAnsi"/>
        </w:rPr>
        <w:t xml:space="preserve">over the last two weeks </w:t>
      </w:r>
      <w:r w:rsidR="00761769" w:rsidRPr="00D750FF">
        <w:rPr>
          <w:rFonts w:cstheme="minorHAnsi"/>
        </w:rPr>
        <w:t xml:space="preserve">from a </w:t>
      </w:r>
      <w:r w:rsidR="00636DE5" w:rsidRPr="00D750FF">
        <w:rPr>
          <w:rFonts w:cstheme="minorHAnsi"/>
        </w:rPr>
        <w:t>seven-day</w:t>
      </w:r>
      <w:r w:rsidR="00761769" w:rsidRPr="00D750FF">
        <w:rPr>
          <w:rFonts w:cstheme="minorHAnsi"/>
        </w:rPr>
        <w:t xml:space="preserve"> infection rate of </w:t>
      </w:r>
      <w:r w:rsidR="00D750FF" w:rsidRPr="00D750FF">
        <w:rPr>
          <w:rFonts w:cstheme="minorHAnsi"/>
        </w:rPr>
        <w:t>6</w:t>
      </w:r>
      <w:r w:rsidR="00761769" w:rsidRPr="00D750FF">
        <w:rPr>
          <w:rFonts w:cstheme="minorHAnsi"/>
        </w:rPr>
        <w:t xml:space="preserve"> per 100,000 to an infection rate of </w:t>
      </w:r>
      <w:r w:rsidR="00D750FF" w:rsidRPr="00D750FF">
        <w:rPr>
          <w:rFonts w:cstheme="minorHAnsi"/>
        </w:rPr>
        <w:t>82</w:t>
      </w:r>
      <w:r w:rsidR="00761769" w:rsidRPr="00D750FF">
        <w:rPr>
          <w:rFonts w:cstheme="minorHAnsi"/>
        </w:rPr>
        <w:t xml:space="preserve"> per 100,000</w:t>
      </w:r>
      <w:r w:rsidR="00D750FF" w:rsidRPr="00D750FF">
        <w:rPr>
          <w:rFonts w:cstheme="minorHAnsi"/>
        </w:rPr>
        <w:t>.</w:t>
      </w:r>
    </w:p>
    <w:p w14:paraId="0A473AA0" w14:textId="62AE2F6A" w:rsidR="00175B3E" w:rsidRPr="00856C6C" w:rsidRDefault="00175B3E" w:rsidP="00175B3E">
      <w:pPr>
        <w:spacing w:before="240" w:after="0"/>
        <w:rPr>
          <w:rFonts w:cstheme="minorHAnsi"/>
          <w:b/>
          <w:bCs/>
        </w:rPr>
      </w:pPr>
      <w:r w:rsidRPr="00856C6C">
        <w:rPr>
          <w:rFonts w:cstheme="minorHAnsi"/>
          <w:b/>
          <w:bCs/>
        </w:rPr>
        <w:t xml:space="preserve">Figure </w:t>
      </w:r>
      <w:r w:rsidR="00094015">
        <w:rPr>
          <w:rFonts w:cstheme="minorHAnsi"/>
          <w:b/>
          <w:bCs/>
        </w:rPr>
        <w:t>1</w:t>
      </w:r>
      <w:r w:rsidRPr="00856C6C">
        <w:rPr>
          <w:rFonts w:cstheme="minorHAnsi"/>
          <w:b/>
          <w:bCs/>
        </w:rPr>
        <w:t xml:space="preserve">: </w:t>
      </w:r>
      <w:r w:rsidR="00856C6C" w:rsidRPr="00856C6C">
        <w:rPr>
          <w:rFonts w:cstheme="minorHAnsi"/>
          <w:b/>
          <w:bCs/>
        </w:rPr>
        <w:t>Cases of Confirmed COVID-19 in North East Lincolnshire since 1</w:t>
      </w:r>
      <w:r w:rsidR="00856C6C" w:rsidRPr="00856C6C">
        <w:rPr>
          <w:rFonts w:cstheme="minorHAnsi"/>
          <w:b/>
          <w:bCs/>
          <w:vertAlign w:val="superscript"/>
        </w:rPr>
        <w:t>st</w:t>
      </w:r>
      <w:r w:rsidR="008428BB">
        <w:rPr>
          <w:rFonts w:cstheme="minorHAnsi"/>
          <w:b/>
          <w:bCs/>
          <w:vertAlign w:val="superscript"/>
        </w:rPr>
        <w:t xml:space="preserve"> </w:t>
      </w:r>
      <w:r w:rsidR="008428BB">
        <w:rPr>
          <w:rFonts w:cstheme="minorHAnsi"/>
          <w:b/>
          <w:bCs/>
        </w:rPr>
        <w:t>OCTOBER</w:t>
      </w:r>
      <w:r w:rsidR="00856C6C" w:rsidRPr="00856C6C">
        <w:rPr>
          <w:rFonts w:cstheme="minorHAnsi"/>
          <w:b/>
          <w:bCs/>
        </w:rPr>
        <w:t>, analysed by age and gender</w:t>
      </w:r>
    </w:p>
    <w:p w14:paraId="30A5BF02" w14:textId="28F7072A" w:rsidR="00175B3E" w:rsidRPr="004F1BED" w:rsidRDefault="00175B3E" w:rsidP="00537304">
      <w:pPr>
        <w:spacing w:after="0"/>
        <w:rPr>
          <w:rFonts w:cstheme="minorHAnsi"/>
          <w:b/>
          <w:bCs/>
        </w:rPr>
      </w:pPr>
    </w:p>
    <w:p w14:paraId="1F4F96BC" w14:textId="050B277B" w:rsidR="000B5B2A" w:rsidRDefault="00636DE5" w:rsidP="00537304">
      <w:pPr>
        <w:spacing w:after="0"/>
        <w:rPr>
          <w:rFonts w:cstheme="minorHAnsi"/>
        </w:rPr>
      </w:pPr>
      <w:r>
        <w:rPr>
          <w:noProof/>
        </w:rPr>
        <w:drawing>
          <wp:inline distT="0" distB="0" distL="0" distR="0" wp14:anchorId="17F655C7" wp14:editId="7AE089C8">
            <wp:extent cx="6248400" cy="2867025"/>
            <wp:effectExtent l="0" t="0" r="0" b="9525"/>
            <wp:docPr id="17" name="Chart 17">
              <a:extLst xmlns:a="http://schemas.openxmlformats.org/drawingml/2006/main">
                <a:ext uri="{FF2B5EF4-FFF2-40B4-BE49-F238E27FC236}">
                  <a16:creationId xmlns:a16="http://schemas.microsoft.com/office/drawing/2014/main" id="{2A1B17B9-DA11-475E-80DB-747F8623D5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CF1C714" w14:textId="461D7BE5" w:rsidR="008F123E" w:rsidRPr="00636DE5" w:rsidRDefault="00636DE5">
      <w:pPr>
        <w:rPr>
          <w:rFonts w:ascii="Calibri" w:eastAsiaTheme="minorEastAsia" w:hAnsi="Calibri" w:cs="Calibri"/>
          <w:bCs/>
          <w:szCs w:val="24"/>
          <w:lang w:val="en-US"/>
        </w:rPr>
      </w:pPr>
      <w:r>
        <w:rPr>
          <w:rFonts w:ascii="Calibri" w:hAnsi="Calibri" w:cs="Calibri"/>
          <w:bCs/>
        </w:rPr>
        <w:t>*</w:t>
      </w:r>
      <w:r w:rsidRPr="00636DE5">
        <w:rPr>
          <w:rFonts w:ascii="Calibri" w:hAnsi="Calibri" w:cs="Calibri"/>
          <w:bCs/>
        </w:rPr>
        <w:t xml:space="preserve">2 </w:t>
      </w:r>
      <w:r>
        <w:rPr>
          <w:rFonts w:ascii="Calibri" w:hAnsi="Calibri" w:cs="Calibri"/>
          <w:bCs/>
        </w:rPr>
        <w:t xml:space="preserve">cases </w:t>
      </w:r>
      <w:r w:rsidRPr="00636DE5">
        <w:rPr>
          <w:rFonts w:ascii="Calibri" w:hAnsi="Calibri" w:cs="Calibri"/>
          <w:bCs/>
        </w:rPr>
        <w:t>have been excluded as their date of birth was missing</w:t>
      </w:r>
      <w:r w:rsidR="008F123E" w:rsidRPr="00636DE5">
        <w:rPr>
          <w:rFonts w:ascii="Calibri" w:hAnsi="Calibri" w:cs="Calibri"/>
          <w:bCs/>
        </w:rPr>
        <w:br w:type="page"/>
      </w:r>
    </w:p>
    <w:p w14:paraId="5E50F8A4" w14:textId="008EAF90" w:rsidR="000B5B2A" w:rsidRPr="000B5B2A" w:rsidRDefault="000B5B2A" w:rsidP="000B5B2A">
      <w:pPr>
        <w:pStyle w:val="BodyText"/>
        <w:rPr>
          <w:rFonts w:ascii="Calibri" w:hAnsi="Calibri" w:cs="Calibri"/>
        </w:rPr>
      </w:pPr>
      <w:r>
        <w:rPr>
          <w:rFonts w:ascii="Calibri" w:hAnsi="Calibri" w:cs="Calibri"/>
          <w:b/>
        </w:rPr>
        <w:lastRenderedPageBreak/>
        <w:t xml:space="preserve">Figure 2: </w:t>
      </w:r>
      <w:r w:rsidRPr="000B5B2A">
        <w:rPr>
          <w:rFonts w:ascii="Calibri" w:hAnsi="Calibri" w:cs="Calibri"/>
          <w:b/>
        </w:rPr>
        <w:t>Heat maps of age specific incidence per 100,000 people</w:t>
      </w:r>
      <w:r w:rsidRPr="000B5B2A">
        <w:rPr>
          <w:rFonts w:ascii="Calibri" w:hAnsi="Calibri" w:cs="Calibri"/>
        </w:rPr>
        <w:t xml:space="preserve"> </w:t>
      </w:r>
      <w:r w:rsidRPr="000B5B2A">
        <w:rPr>
          <w:rFonts w:ascii="Calibri" w:hAnsi="Calibri" w:cs="Calibri"/>
          <w:i/>
        </w:rPr>
        <w:t>Rates are calculated excluding data from the last four days due to reporting delays</w:t>
      </w:r>
    </w:p>
    <w:p w14:paraId="7D9B2679" w14:textId="1AFF8822" w:rsidR="000B5B2A" w:rsidRDefault="00040ECB" w:rsidP="00537304">
      <w:pPr>
        <w:spacing w:after="0"/>
        <w:rPr>
          <w:rFonts w:cstheme="minorHAnsi"/>
        </w:rPr>
      </w:pPr>
      <w:r w:rsidRPr="00040ECB">
        <w:rPr>
          <w:rFonts w:cstheme="minorHAnsi"/>
          <w:noProof/>
        </w:rPr>
        <w:drawing>
          <wp:inline distT="0" distB="0" distL="0" distR="0" wp14:anchorId="58164669" wp14:editId="299F8E4A">
            <wp:extent cx="6120130" cy="34537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3453765"/>
                    </a:xfrm>
                    <a:prstGeom prst="rect">
                      <a:avLst/>
                    </a:prstGeom>
                  </pic:spPr>
                </pic:pic>
              </a:graphicData>
            </a:graphic>
          </wp:inline>
        </w:drawing>
      </w:r>
    </w:p>
    <w:p w14:paraId="52698F67" w14:textId="2B9CC59E" w:rsidR="002434C4" w:rsidRDefault="000C4F98" w:rsidP="00092A8D">
      <w:pPr>
        <w:spacing w:after="0"/>
        <w:jc w:val="both"/>
        <w:rPr>
          <w:rFonts w:cstheme="minorHAnsi"/>
        </w:rPr>
      </w:pPr>
      <w:r w:rsidRPr="0000373D">
        <w:rPr>
          <w:rFonts w:cstheme="minorHAnsi"/>
        </w:rPr>
        <w:t xml:space="preserve">We are continuing to see cases </w:t>
      </w:r>
      <w:r w:rsidR="0058228E" w:rsidRPr="0000373D">
        <w:rPr>
          <w:rFonts w:cstheme="minorHAnsi"/>
        </w:rPr>
        <w:t xml:space="preserve">spread </w:t>
      </w:r>
      <w:r w:rsidRPr="0000373D">
        <w:rPr>
          <w:rFonts w:cstheme="minorHAnsi"/>
        </w:rPr>
        <w:t xml:space="preserve">across the borough </w:t>
      </w:r>
      <w:r w:rsidR="00A3770B" w:rsidRPr="0000373D">
        <w:rPr>
          <w:rFonts w:cstheme="minorHAnsi"/>
        </w:rPr>
        <w:t>but there are increasing indications of</w:t>
      </w:r>
      <w:r w:rsidRPr="0000373D">
        <w:rPr>
          <w:rFonts w:cstheme="minorHAnsi"/>
        </w:rPr>
        <w:t xml:space="preserve"> clustering</w:t>
      </w:r>
      <w:r w:rsidR="00A3770B" w:rsidRPr="0000373D">
        <w:rPr>
          <w:rFonts w:cstheme="minorHAnsi"/>
        </w:rPr>
        <w:t xml:space="preserve"> and hot spots</w:t>
      </w:r>
      <w:r w:rsidRPr="0000373D">
        <w:rPr>
          <w:rFonts w:cstheme="minorHAnsi"/>
        </w:rPr>
        <w:t xml:space="preserve">.  </w:t>
      </w:r>
      <w:r w:rsidR="00AC7A2E" w:rsidRPr="0000373D">
        <w:rPr>
          <w:rFonts w:cstheme="minorHAnsi"/>
        </w:rPr>
        <w:t xml:space="preserve">Since the beginning of </w:t>
      </w:r>
      <w:r w:rsidR="004F1BED" w:rsidRPr="0000373D">
        <w:rPr>
          <w:rFonts w:cstheme="minorHAnsi"/>
        </w:rPr>
        <w:t xml:space="preserve">October </w:t>
      </w:r>
      <w:r w:rsidRPr="0000373D">
        <w:rPr>
          <w:rFonts w:cstheme="minorHAnsi"/>
        </w:rPr>
        <w:t xml:space="preserve">we have seen the largest number of cases </w:t>
      </w:r>
      <w:r w:rsidR="000927B1" w:rsidRPr="0000373D">
        <w:rPr>
          <w:rFonts w:cstheme="minorHAnsi"/>
        </w:rPr>
        <w:t>in</w:t>
      </w:r>
      <w:r w:rsidRPr="0000373D">
        <w:rPr>
          <w:rFonts w:cstheme="minorHAnsi"/>
        </w:rPr>
        <w:t xml:space="preserve"> Humberston &amp; New Waltham</w:t>
      </w:r>
      <w:r w:rsidR="000927B1" w:rsidRPr="0000373D">
        <w:rPr>
          <w:rFonts w:cstheme="minorHAnsi"/>
        </w:rPr>
        <w:t xml:space="preserve">, </w:t>
      </w:r>
      <w:r w:rsidR="0000373D" w:rsidRPr="0000373D">
        <w:rPr>
          <w:rFonts w:cstheme="minorHAnsi"/>
        </w:rPr>
        <w:t xml:space="preserve">Freshney, Park and Yarborough </w:t>
      </w:r>
      <w:r w:rsidR="002434C4" w:rsidRPr="0000373D">
        <w:rPr>
          <w:rFonts w:cstheme="minorHAnsi"/>
        </w:rPr>
        <w:t xml:space="preserve">(Figure </w:t>
      </w:r>
      <w:r w:rsidR="000B5B2A" w:rsidRPr="0000373D">
        <w:rPr>
          <w:rFonts w:cstheme="minorHAnsi"/>
        </w:rPr>
        <w:t>3</w:t>
      </w:r>
      <w:r w:rsidR="002434C4" w:rsidRPr="0000373D">
        <w:rPr>
          <w:rFonts w:cstheme="minorHAnsi"/>
        </w:rPr>
        <w:t>).</w:t>
      </w:r>
      <w:r w:rsidR="00F47F80" w:rsidRPr="0000373D">
        <w:rPr>
          <w:rFonts w:cstheme="minorHAnsi"/>
        </w:rPr>
        <w:t xml:space="preserve">  </w:t>
      </w:r>
      <w:r w:rsidR="000724F7">
        <w:rPr>
          <w:rFonts w:cstheme="minorHAnsi"/>
        </w:rPr>
        <w:t xml:space="preserve">Freshney ward in particular has seen massive growth in cases as only six were confirmed there for the whole of September compared with 67 for the first </w:t>
      </w:r>
      <w:r w:rsidR="00EC416B">
        <w:rPr>
          <w:rFonts w:cstheme="minorHAnsi"/>
        </w:rPr>
        <w:t>19 days</w:t>
      </w:r>
      <w:r w:rsidR="000724F7">
        <w:rPr>
          <w:rFonts w:cstheme="minorHAnsi"/>
        </w:rPr>
        <w:t xml:space="preserve"> of October.  </w:t>
      </w:r>
    </w:p>
    <w:p w14:paraId="4BEE5C51" w14:textId="7C73A3ED" w:rsidR="000C4F98" w:rsidRDefault="000C4F98" w:rsidP="00537304">
      <w:pPr>
        <w:spacing w:after="0"/>
        <w:rPr>
          <w:rFonts w:cstheme="minorHAnsi"/>
        </w:rPr>
      </w:pPr>
    </w:p>
    <w:p w14:paraId="7B64C124" w14:textId="16A96364" w:rsidR="002434C4" w:rsidRPr="002434C4" w:rsidRDefault="002434C4" w:rsidP="00537304">
      <w:pPr>
        <w:spacing w:after="0"/>
        <w:rPr>
          <w:rFonts w:cstheme="minorHAnsi"/>
          <w:b/>
          <w:bCs/>
        </w:rPr>
      </w:pPr>
      <w:r w:rsidRPr="002434C4">
        <w:rPr>
          <w:rFonts w:cstheme="minorHAnsi"/>
          <w:b/>
          <w:bCs/>
        </w:rPr>
        <w:t xml:space="preserve">Figure </w:t>
      </w:r>
      <w:r w:rsidR="000B5B2A">
        <w:rPr>
          <w:rFonts w:cstheme="minorHAnsi"/>
          <w:b/>
          <w:bCs/>
        </w:rPr>
        <w:t>3</w:t>
      </w:r>
      <w:r w:rsidRPr="002434C4">
        <w:rPr>
          <w:rFonts w:cstheme="minorHAnsi"/>
          <w:b/>
          <w:bCs/>
        </w:rPr>
        <w:t xml:space="preserve">: </w:t>
      </w:r>
      <w:r>
        <w:rPr>
          <w:rFonts w:cstheme="minorHAnsi"/>
          <w:b/>
          <w:bCs/>
        </w:rPr>
        <w:t xml:space="preserve">COVID </w:t>
      </w:r>
      <w:r w:rsidRPr="002434C4">
        <w:rPr>
          <w:rFonts w:cstheme="minorHAnsi"/>
          <w:b/>
          <w:bCs/>
        </w:rPr>
        <w:t xml:space="preserve">Cases Confirmed </w:t>
      </w:r>
      <w:r w:rsidR="000927B1">
        <w:rPr>
          <w:rFonts w:cstheme="minorHAnsi"/>
          <w:b/>
          <w:bCs/>
        </w:rPr>
        <w:t>since 1</w:t>
      </w:r>
      <w:r w:rsidR="000927B1" w:rsidRPr="000927B1">
        <w:rPr>
          <w:rFonts w:cstheme="minorHAnsi"/>
          <w:b/>
          <w:bCs/>
          <w:vertAlign w:val="superscript"/>
        </w:rPr>
        <w:t>st</w:t>
      </w:r>
      <w:r w:rsidR="000927B1">
        <w:rPr>
          <w:rFonts w:cstheme="minorHAnsi"/>
          <w:b/>
          <w:bCs/>
        </w:rPr>
        <w:t xml:space="preserve"> </w:t>
      </w:r>
      <w:r w:rsidR="004F1BED">
        <w:rPr>
          <w:rFonts w:cstheme="minorHAnsi"/>
          <w:b/>
          <w:bCs/>
        </w:rPr>
        <w:t>OCTOBER</w:t>
      </w:r>
      <w:r w:rsidRPr="002434C4">
        <w:rPr>
          <w:rFonts w:cstheme="minorHAnsi"/>
          <w:b/>
          <w:bCs/>
        </w:rPr>
        <w:t xml:space="preserve"> 2020 </w:t>
      </w:r>
      <w:r>
        <w:rPr>
          <w:rFonts w:cstheme="minorHAnsi"/>
          <w:b/>
          <w:bCs/>
        </w:rPr>
        <w:t xml:space="preserve">in NEL </w:t>
      </w:r>
      <w:r w:rsidRPr="002434C4">
        <w:rPr>
          <w:rFonts w:cstheme="minorHAnsi"/>
          <w:b/>
          <w:bCs/>
        </w:rPr>
        <w:t>by Ward of Residence</w:t>
      </w:r>
    </w:p>
    <w:p w14:paraId="0DA6DFA5" w14:textId="2B457576" w:rsidR="000C4F98" w:rsidRDefault="0000373D" w:rsidP="007A1122">
      <w:pPr>
        <w:spacing w:after="0"/>
        <w:jc w:val="center"/>
        <w:rPr>
          <w:rFonts w:cstheme="minorHAnsi"/>
        </w:rPr>
      </w:pPr>
      <w:r>
        <w:rPr>
          <w:noProof/>
        </w:rPr>
        <w:drawing>
          <wp:inline distT="0" distB="0" distL="0" distR="0" wp14:anchorId="22B7E884" wp14:editId="48082125">
            <wp:extent cx="5524500" cy="2790825"/>
            <wp:effectExtent l="0" t="0" r="0" b="9525"/>
            <wp:docPr id="18" name="Chart 18">
              <a:extLst xmlns:a="http://schemas.openxmlformats.org/drawingml/2006/main">
                <a:ext uri="{FF2B5EF4-FFF2-40B4-BE49-F238E27FC236}">
                  <a16:creationId xmlns:a16="http://schemas.microsoft.com/office/drawing/2014/main" id="{9F13674F-7D11-4687-9D5B-FC66529D67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46CFA69" w14:textId="77777777" w:rsidR="00F47F80" w:rsidRDefault="00F47F80" w:rsidP="00537304">
      <w:pPr>
        <w:spacing w:after="0"/>
        <w:rPr>
          <w:rFonts w:cstheme="minorHAnsi"/>
        </w:rPr>
      </w:pPr>
    </w:p>
    <w:p w14:paraId="54B905F1" w14:textId="77777777" w:rsidR="000C4F98" w:rsidRDefault="000C4F98" w:rsidP="00537304">
      <w:pPr>
        <w:spacing w:after="0"/>
        <w:rPr>
          <w:rFonts w:cstheme="minorHAnsi"/>
        </w:rPr>
      </w:pPr>
    </w:p>
    <w:p w14:paraId="42C7E9D6" w14:textId="77777777" w:rsidR="005600EE" w:rsidRDefault="005600EE">
      <w:pPr>
        <w:rPr>
          <w:rFonts w:cstheme="minorHAnsi"/>
          <w:b/>
          <w:bCs/>
          <w:sz w:val="28"/>
          <w:szCs w:val="28"/>
        </w:rPr>
      </w:pPr>
      <w:r>
        <w:rPr>
          <w:rFonts w:cstheme="minorHAnsi"/>
          <w:b/>
          <w:bCs/>
          <w:sz w:val="28"/>
          <w:szCs w:val="28"/>
        </w:rPr>
        <w:br w:type="page"/>
      </w:r>
    </w:p>
    <w:p w14:paraId="1185DCEB" w14:textId="72BFCA7C" w:rsidR="00187263" w:rsidRDefault="00BC6CAE" w:rsidP="00537304">
      <w:pPr>
        <w:spacing w:after="0"/>
        <w:rPr>
          <w:rFonts w:cstheme="minorHAnsi"/>
          <w:b/>
          <w:bCs/>
          <w:sz w:val="28"/>
          <w:szCs w:val="28"/>
        </w:rPr>
      </w:pPr>
      <w:r w:rsidRPr="000E1BD5">
        <w:rPr>
          <w:rFonts w:cstheme="minorHAnsi"/>
          <w:b/>
          <w:bCs/>
          <w:sz w:val="28"/>
          <w:szCs w:val="28"/>
        </w:rPr>
        <w:lastRenderedPageBreak/>
        <w:t>National</w:t>
      </w:r>
      <w:r w:rsidR="002B1862">
        <w:rPr>
          <w:rFonts w:cstheme="minorHAnsi"/>
          <w:b/>
          <w:bCs/>
          <w:sz w:val="28"/>
          <w:szCs w:val="28"/>
        </w:rPr>
        <w:t xml:space="preserve"> </w:t>
      </w:r>
      <w:r w:rsidRPr="000E1BD5">
        <w:rPr>
          <w:rFonts w:cstheme="minorHAnsi"/>
          <w:b/>
          <w:bCs/>
          <w:sz w:val="28"/>
          <w:szCs w:val="28"/>
        </w:rPr>
        <w:t>Epidemiology</w:t>
      </w:r>
    </w:p>
    <w:p w14:paraId="019121B0" w14:textId="77777777" w:rsidR="00537304" w:rsidRPr="00856EB6" w:rsidRDefault="00537304" w:rsidP="00537304">
      <w:pPr>
        <w:spacing w:after="0"/>
        <w:rPr>
          <w:rFonts w:cstheme="minorHAnsi"/>
        </w:rPr>
      </w:pPr>
    </w:p>
    <w:p w14:paraId="23605E11" w14:textId="50BB0A51" w:rsidR="00425DFA" w:rsidRDefault="00D21B63" w:rsidP="00442E63">
      <w:pPr>
        <w:spacing w:after="0"/>
        <w:jc w:val="both"/>
      </w:pPr>
      <w:r w:rsidRPr="00537304">
        <w:rPr>
          <w:rFonts w:cstheme="minorHAnsi"/>
        </w:rPr>
        <w:t xml:space="preserve">As </w:t>
      </w:r>
      <w:r w:rsidR="00AC0061" w:rsidRPr="00537304">
        <w:rPr>
          <w:rFonts w:cstheme="minorHAnsi"/>
        </w:rPr>
        <w:t xml:space="preserve">of </w:t>
      </w:r>
      <w:r w:rsidR="008A6689">
        <w:rPr>
          <w:rFonts w:cstheme="minorHAnsi"/>
        </w:rPr>
        <w:t>19</w:t>
      </w:r>
      <w:r w:rsidR="00327E63" w:rsidRPr="00327E63">
        <w:rPr>
          <w:rFonts w:cstheme="minorHAnsi"/>
          <w:vertAlign w:val="superscript"/>
        </w:rPr>
        <w:t>th</w:t>
      </w:r>
      <w:r w:rsidR="00327E63">
        <w:rPr>
          <w:rFonts w:cstheme="minorHAnsi"/>
        </w:rPr>
        <w:t xml:space="preserve"> October</w:t>
      </w:r>
      <w:r w:rsidR="00856EB6" w:rsidRPr="00537304">
        <w:rPr>
          <w:rFonts w:cstheme="minorHAnsi"/>
        </w:rPr>
        <w:t xml:space="preserve"> 2020,</w:t>
      </w:r>
      <w:r w:rsidR="00FD0D44" w:rsidRPr="00537304">
        <w:rPr>
          <w:rFonts w:cstheme="minorHAnsi"/>
        </w:rPr>
        <w:t xml:space="preserve"> </w:t>
      </w:r>
      <w:r w:rsidRPr="00537304">
        <w:rPr>
          <w:rFonts w:cstheme="minorHAnsi"/>
        </w:rPr>
        <w:t xml:space="preserve">there are </w:t>
      </w:r>
      <w:r w:rsidR="008A6689">
        <w:rPr>
          <w:rFonts w:cstheme="minorHAnsi"/>
        </w:rPr>
        <w:t>722,409</w:t>
      </w:r>
      <w:r w:rsidR="00C23BAF" w:rsidRPr="00537304">
        <w:rPr>
          <w:rFonts w:cstheme="minorHAnsi"/>
        </w:rPr>
        <w:t xml:space="preserve"> </w:t>
      </w:r>
      <w:r w:rsidRPr="00537304">
        <w:rPr>
          <w:rFonts w:cstheme="minorHAnsi"/>
        </w:rPr>
        <w:t>cases in the UK, of which</w:t>
      </w:r>
      <w:r w:rsidR="00014970" w:rsidRPr="00537304">
        <w:rPr>
          <w:rFonts w:cstheme="minorHAnsi"/>
        </w:rPr>
        <w:t xml:space="preserve"> </w:t>
      </w:r>
      <w:r w:rsidR="008A6689">
        <w:rPr>
          <w:rFonts w:cstheme="minorHAnsi"/>
        </w:rPr>
        <w:t>612,846</w:t>
      </w:r>
      <w:r w:rsidR="008444A1">
        <w:rPr>
          <w:rFonts w:cstheme="minorHAnsi"/>
        </w:rPr>
        <w:t xml:space="preserve"> </w:t>
      </w:r>
      <w:r w:rsidRPr="00537304">
        <w:rPr>
          <w:rFonts w:cstheme="minorHAnsi"/>
        </w:rPr>
        <w:t xml:space="preserve">are in England, and </w:t>
      </w:r>
      <w:r w:rsidR="008A6689">
        <w:rPr>
          <w:rFonts w:cstheme="minorHAnsi"/>
        </w:rPr>
        <w:t>87,316</w:t>
      </w:r>
      <w:r w:rsidRPr="00537304">
        <w:rPr>
          <w:rFonts w:cstheme="minorHAnsi"/>
        </w:rPr>
        <w:t xml:space="preserve"> in the Yorkshire and </w:t>
      </w:r>
      <w:r w:rsidR="00380A02">
        <w:rPr>
          <w:rFonts w:cstheme="minorHAnsi"/>
        </w:rPr>
        <w:t xml:space="preserve">the </w:t>
      </w:r>
      <w:r w:rsidRPr="00537304">
        <w:rPr>
          <w:rFonts w:cstheme="minorHAnsi"/>
        </w:rPr>
        <w:t>Humber region.</w:t>
      </w:r>
      <w:r w:rsidR="00FD0D44" w:rsidRPr="00537304">
        <w:rPr>
          <w:rFonts w:cstheme="minorHAnsi"/>
        </w:rPr>
        <w:t xml:space="preserve"> </w:t>
      </w:r>
      <w:r w:rsidRPr="00537304">
        <w:rPr>
          <w:rFonts w:cstheme="minorHAnsi"/>
        </w:rPr>
        <w:t xml:space="preserve"> </w:t>
      </w:r>
      <w:r w:rsidR="008A6689">
        <w:rPr>
          <w:rFonts w:cstheme="minorHAnsi"/>
        </w:rPr>
        <w:t>43,646</w:t>
      </w:r>
      <w:r w:rsidR="00AC0061" w:rsidRPr="00537304">
        <w:rPr>
          <w:rFonts w:cstheme="minorHAnsi"/>
        </w:rPr>
        <w:t xml:space="preserve"> </w:t>
      </w:r>
      <w:r w:rsidRPr="00537304">
        <w:rPr>
          <w:rFonts w:cstheme="minorHAnsi"/>
        </w:rPr>
        <w:t>people have died from their infection</w:t>
      </w:r>
      <w:r w:rsidR="00C20C6D" w:rsidRPr="00537304">
        <w:rPr>
          <w:rFonts w:cstheme="minorHAnsi"/>
        </w:rPr>
        <w:t xml:space="preserve"> in the UK</w:t>
      </w:r>
      <w:r w:rsidR="00317584" w:rsidRPr="00537304">
        <w:rPr>
          <w:rFonts w:cstheme="minorHAnsi"/>
        </w:rPr>
        <w:t xml:space="preserve"> (within 28 days of a positive test)</w:t>
      </w:r>
      <w:r w:rsidR="00AB19C8" w:rsidRPr="00537304">
        <w:rPr>
          <w:rFonts w:cstheme="minorHAnsi"/>
        </w:rPr>
        <w:t xml:space="preserve">. </w:t>
      </w:r>
      <w:r w:rsidR="00007BC9" w:rsidRPr="00537304">
        <w:rPr>
          <w:rFonts w:cstheme="minorHAnsi"/>
        </w:rPr>
        <w:t xml:space="preserve"> </w:t>
      </w:r>
      <w:r w:rsidR="00007BC9" w:rsidRPr="00537304">
        <w:t xml:space="preserve">Figure </w:t>
      </w:r>
      <w:r w:rsidR="00B57F0D">
        <w:t>4</w:t>
      </w:r>
      <w:r w:rsidR="00007BC9" w:rsidRPr="00537304">
        <w:t xml:space="preserve"> </w:t>
      </w:r>
      <w:r w:rsidR="00FF78CC">
        <w:t xml:space="preserve">shows the average daily number of confirmed COVID-19 cases in the UK per week.  </w:t>
      </w:r>
      <w:r w:rsidR="00CE6480">
        <w:t>As can be seen, the average daily number of confirmed cases almost doubled this week rising by 97% to 11,994 cases per day on average.  This is the thirteenth consecutive increase in the average number of daily confirmed COVID-19 cases per week for the UK.  Average daily cases are now at their highest level ever, and are 2.5 times higher than at the first peak in late April</w:t>
      </w:r>
      <w:r w:rsidR="0048033E">
        <w:t xml:space="preserve"> (though it should be recognised that in the period between March and May testing was only usually available to people who became very ill or who worked in healthcare settings, the true number of cases during this period was therefore far higher than officially recorded)</w:t>
      </w:r>
      <w:r w:rsidR="00CE6480">
        <w:t xml:space="preserve">.  With schools largely fully reopen and most university terms started, as well as the colder autumn weather meaning people are likely to spend a greater part of their time indoors, further increases in the numbers of new cases are likely over the coming weeks.  </w:t>
      </w:r>
    </w:p>
    <w:p w14:paraId="01B2150E" w14:textId="77777777" w:rsidR="008561A7" w:rsidRDefault="008561A7" w:rsidP="00442E63">
      <w:pPr>
        <w:spacing w:after="0"/>
        <w:jc w:val="both"/>
        <w:rPr>
          <w:b/>
          <w:bCs/>
        </w:rPr>
      </w:pPr>
    </w:p>
    <w:p w14:paraId="77795373" w14:textId="24A9782D" w:rsidR="00007BC9" w:rsidRPr="00D72B4D" w:rsidRDefault="00007BC9" w:rsidP="00537304">
      <w:pPr>
        <w:spacing w:after="0"/>
        <w:rPr>
          <w:b/>
          <w:bCs/>
        </w:rPr>
      </w:pPr>
      <w:r w:rsidRPr="00D72B4D">
        <w:rPr>
          <w:b/>
          <w:bCs/>
        </w:rPr>
        <w:t xml:space="preserve">Figure </w:t>
      </w:r>
      <w:r w:rsidR="00B57F0D">
        <w:rPr>
          <w:b/>
          <w:bCs/>
        </w:rPr>
        <w:t>4</w:t>
      </w:r>
      <w:r w:rsidR="000855CC">
        <w:rPr>
          <w:b/>
          <w:bCs/>
        </w:rPr>
        <w:t>:</w:t>
      </w:r>
    </w:p>
    <w:p w14:paraId="0482BF20" w14:textId="7E47616E" w:rsidR="00C321BC" w:rsidRDefault="00CE6480" w:rsidP="00C321BC">
      <w:r>
        <w:rPr>
          <w:noProof/>
        </w:rPr>
        <w:drawing>
          <wp:inline distT="0" distB="0" distL="0" distR="0" wp14:anchorId="1371B8F2" wp14:editId="0CD0C966">
            <wp:extent cx="5767070" cy="2524125"/>
            <wp:effectExtent l="0" t="0" r="5080" b="9525"/>
            <wp:docPr id="8" name="Picture 8"/>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7070" cy="2524125"/>
                    </a:xfrm>
                    <a:prstGeom prst="rect">
                      <a:avLst/>
                    </a:prstGeom>
                    <a:noFill/>
                  </pic:spPr>
                </pic:pic>
              </a:graphicData>
            </a:graphic>
          </wp:inline>
        </w:drawing>
      </w:r>
    </w:p>
    <w:p w14:paraId="5C3B5F81" w14:textId="77777777" w:rsidR="00577014" w:rsidRPr="00537304" w:rsidRDefault="00577014" w:rsidP="00537304">
      <w:pPr>
        <w:spacing w:after="0"/>
        <w:rPr>
          <w:sz w:val="28"/>
          <w:szCs w:val="28"/>
        </w:rPr>
      </w:pPr>
    </w:p>
    <w:p w14:paraId="37AE2558" w14:textId="56D13BC4" w:rsidR="00284951" w:rsidRDefault="00284951" w:rsidP="00537304">
      <w:pPr>
        <w:spacing w:after="0"/>
        <w:rPr>
          <w:b/>
          <w:bCs/>
          <w:sz w:val="28"/>
          <w:szCs w:val="28"/>
        </w:rPr>
      </w:pPr>
      <w:r w:rsidRPr="006B20DE">
        <w:rPr>
          <w:b/>
          <w:bCs/>
          <w:sz w:val="28"/>
          <w:szCs w:val="28"/>
        </w:rPr>
        <w:t>Regional and Local Epidemiology</w:t>
      </w:r>
    </w:p>
    <w:p w14:paraId="33EEB83A" w14:textId="77777777" w:rsidR="00537304" w:rsidRPr="00380A02" w:rsidRDefault="00537304" w:rsidP="00537304">
      <w:pPr>
        <w:spacing w:after="0"/>
      </w:pPr>
    </w:p>
    <w:p w14:paraId="3077C9DE" w14:textId="21FE69AF" w:rsidR="006C68C3" w:rsidRPr="00856EB6" w:rsidRDefault="006C68C3" w:rsidP="00537304">
      <w:pPr>
        <w:spacing w:after="0"/>
        <w:jc w:val="both"/>
      </w:pPr>
      <w:r w:rsidRPr="00856EB6">
        <w:t xml:space="preserve">As of the </w:t>
      </w:r>
      <w:r w:rsidR="00CE6480">
        <w:t>19</w:t>
      </w:r>
      <w:r w:rsidR="00F21B4D" w:rsidRPr="00F21B4D">
        <w:rPr>
          <w:vertAlign w:val="superscript"/>
        </w:rPr>
        <w:t>th</w:t>
      </w:r>
      <w:r w:rsidR="00F21B4D">
        <w:t xml:space="preserve"> October</w:t>
      </w:r>
      <w:r w:rsidR="006779AF" w:rsidRPr="00856EB6">
        <w:t xml:space="preserve"> </w:t>
      </w:r>
      <w:r w:rsidR="00191386" w:rsidRPr="00856EB6">
        <w:t>2020,</w:t>
      </w:r>
      <w:r w:rsidR="00A05FA0">
        <w:t xml:space="preserve"> </w:t>
      </w:r>
      <w:r w:rsidR="00CE6480">
        <w:t>1,03</w:t>
      </w:r>
      <w:r w:rsidR="000C160E">
        <w:t>7</w:t>
      </w:r>
      <w:r w:rsidR="006779AF" w:rsidRPr="00856EB6">
        <w:t xml:space="preserve"> North</w:t>
      </w:r>
      <w:r w:rsidRPr="00856EB6">
        <w:t xml:space="preserve"> East Lincolnshire residents have tested positive for COVID-19 based on pillar 1 tests and pillar 2 tests</w:t>
      </w:r>
      <w:r w:rsidR="00092105">
        <w:t xml:space="preserve">, an increase of </w:t>
      </w:r>
      <w:r w:rsidR="00CE6480">
        <w:t>41</w:t>
      </w:r>
      <w:r w:rsidR="0096724F">
        <w:t>9</w:t>
      </w:r>
      <w:r w:rsidR="00092105">
        <w:t xml:space="preserve"> cases over the previous week</w:t>
      </w:r>
      <w:r w:rsidRPr="00856EB6">
        <w:t>.  The cumulative rate of COVID-19 infection in North East Lincolnshire is therefore</w:t>
      </w:r>
      <w:r w:rsidR="006A642F">
        <w:t xml:space="preserve"> </w:t>
      </w:r>
      <w:r w:rsidR="00CE6480">
        <w:t>596.6</w:t>
      </w:r>
      <w:r w:rsidR="006A642F">
        <w:t xml:space="preserve"> per 100,000, </w:t>
      </w:r>
      <w:r w:rsidR="00271594">
        <w:t>this is a significant increase from the previous week (w/c 5</w:t>
      </w:r>
      <w:r w:rsidR="00271594" w:rsidRPr="00271594">
        <w:rPr>
          <w:vertAlign w:val="superscript"/>
        </w:rPr>
        <w:t>th</w:t>
      </w:r>
      <w:r w:rsidR="00271594">
        <w:t xml:space="preserve"> October the rate was </w:t>
      </w:r>
      <w:r w:rsidR="00CE6480">
        <w:t>382.3</w:t>
      </w:r>
      <w:r w:rsidR="00E176D2" w:rsidRPr="00856EB6">
        <w:t xml:space="preserve"> per</w:t>
      </w:r>
      <w:r w:rsidRPr="00856EB6">
        <w:t xml:space="preserve"> 100,000 population</w:t>
      </w:r>
      <w:r w:rsidR="00271594">
        <w:t>)</w:t>
      </w:r>
      <w:r w:rsidRPr="00856EB6">
        <w:t xml:space="preserve">. </w:t>
      </w:r>
      <w:r w:rsidR="002A2891" w:rsidRPr="00856EB6">
        <w:t xml:space="preserve"> </w:t>
      </w:r>
      <w:r w:rsidRPr="00856EB6">
        <w:t xml:space="preserve">Figure </w:t>
      </w:r>
      <w:r w:rsidR="007204F4">
        <w:t>5</w:t>
      </w:r>
      <w:r w:rsidRPr="00856EB6">
        <w:t xml:space="preserve"> displays the cumulative rates of COVID-19 cases for all upper tier </w:t>
      </w:r>
      <w:r w:rsidR="00380A02">
        <w:t xml:space="preserve">local </w:t>
      </w:r>
      <w:r w:rsidRPr="00856EB6">
        <w:t xml:space="preserve">authorities in </w:t>
      </w:r>
      <w:r w:rsidR="00380A02">
        <w:t xml:space="preserve">the </w:t>
      </w:r>
      <w:r w:rsidRPr="00856EB6">
        <w:t xml:space="preserve">Yorkshire </w:t>
      </w:r>
      <w:r w:rsidR="00380A02">
        <w:t>and the</w:t>
      </w:r>
      <w:r w:rsidRPr="00856EB6">
        <w:t xml:space="preserve"> Humber.</w:t>
      </w:r>
    </w:p>
    <w:p w14:paraId="70E4F4E4" w14:textId="77777777" w:rsidR="00537304" w:rsidRDefault="00537304" w:rsidP="00537304">
      <w:pPr>
        <w:spacing w:after="0"/>
        <w:jc w:val="both"/>
      </w:pPr>
    </w:p>
    <w:p w14:paraId="02C1C044" w14:textId="77777777" w:rsidR="002C6148" w:rsidRDefault="002C6148">
      <w:pPr>
        <w:rPr>
          <w:rFonts w:ascii="Arial" w:hAnsi="Arial" w:cs="Arial"/>
          <w:b/>
          <w:bCs/>
          <w:color w:val="000000"/>
          <w:sz w:val="20"/>
          <w:szCs w:val="20"/>
        </w:rPr>
      </w:pPr>
      <w:r>
        <w:rPr>
          <w:b/>
          <w:bCs/>
          <w:sz w:val="20"/>
          <w:szCs w:val="20"/>
        </w:rPr>
        <w:br w:type="page"/>
      </w:r>
    </w:p>
    <w:p w14:paraId="7E882296" w14:textId="6A1D57E4" w:rsidR="006C68C3" w:rsidRDefault="006C68C3" w:rsidP="00537304">
      <w:pPr>
        <w:pStyle w:val="Default"/>
        <w:spacing w:line="276" w:lineRule="auto"/>
        <w:rPr>
          <w:b/>
          <w:bCs/>
          <w:sz w:val="20"/>
          <w:szCs w:val="20"/>
        </w:rPr>
      </w:pPr>
      <w:r>
        <w:rPr>
          <w:b/>
          <w:bCs/>
          <w:sz w:val="20"/>
          <w:szCs w:val="20"/>
        </w:rPr>
        <w:lastRenderedPageBreak/>
        <w:t xml:space="preserve">Figure </w:t>
      </w:r>
      <w:r w:rsidR="007204F4">
        <w:rPr>
          <w:b/>
          <w:bCs/>
          <w:sz w:val="20"/>
          <w:szCs w:val="20"/>
        </w:rPr>
        <w:t>5</w:t>
      </w:r>
      <w:r w:rsidRPr="00B669CF">
        <w:rPr>
          <w:b/>
          <w:bCs/>
          <w:sz w:val="20"/>
          <w:szCs w:val="20"/>
        </w:rPr>
        <w:t>: Laboratory confirmed COVID-19 cases</w:t>
      </w:r>
      <w:r>
        <w:rPr>
          <w:b/>
          <w:bCs/>
          <w:sz w:val="20"/>
          <w:szCs w:val="20"/>
        </w:rPr>
        <w:t xml:space="preserve"> (Pillar</w:t>
      </w:r>
      <w:r w:rsidR="00E176D2">
        <w:rPr>
          <w:b/>
          <w:bCs/>
          <w:sz w:val="20"/>
          <w:szCs w:val="20"/>
        </w:rPr>
        <w:t xml:space="preserve"> 1</w:t>
      </w:r>
      <w:r>
        <w:rPr>
          <w:b/>
          <w:bCs/>
          <w:sz w:val="20"/>
          <w:szCs w:val="20"/>
        </w:rPr>
        <w:t xml:space="preserve"> &amp; Pillar 2)</w:t>
      </w:r>
      <w:r w:rsidRPr="00B669CF">
        <w:rPr>
          <w:b/>
          <w:bCs/>
          <w:sz w:val="20"/>
          <w:szCs w:val="20"/>
        </w:rPr>
        <w:t xml:space="preserve"> by upper tier local authority in </w:t>
      </w:r>
      <w:r w:rsidR="00380A02">
        <w:rPr>
          <w:b/>
          <w:bCs/>
          <w:sz w:val="20"/>
          <w:szCs w:val="20"/>
        </w:rPr>
        <w:t xml:space="preserve">the </w:t>
      </w:r>
      <w:r w:rsidRPr="00B669CF">
        <w:rPr>
          <w:b/>
          <w:bCs/>
          <w:sz w:val="20"/>
          <w:szCs w:val="20"/>
        </w:rPr>
        <w:t xml:space="preserve">Yorkshire </w:t>
      </w:r>
      <w:r w:rsidR="00380A02">
        <w:rPr>
          <w:b/>
          <w:bCs/>
          <w:sz w:val="20"/>
          <w:szCs w:val="20"/>
        </w:rPr>
        <w:t>and the</w:t>
      </w:r>
      <w:r w:rsidRPr="00B669CF">
        <w:rPr>
          <w:b/>
          <w:bCs/>
          <w:sz w:val="20"/>
          <w:szCs w:val="20"/>
        </w:rPr>
        <w:t xml:space="preserve"> Humber, total cases (up to </w:t>
      </w:r>
      <w:r w:rsidR="006A642F">
        <w:rPr>
          <w:b/>
          <w:bCs/>
          <w:sz w:val="20"/>
          <w:szCs w:val="20"/>
        </w:rPr>
        <w:t>1</w:t>
      </w:r>
      <w:r w:rsidR="007414E5">
        <w:rPr>
          <w:b/>
          <w:bCs/>
          <w:sz w:val="20"/>
          <w:szCs w:val="20"/>
        </w:rPr>
        <w:t>9</w:t>
      </w:r>
      <w:r w:rsidR="00F5454D" w:rsidRPr="00F5454D">
        <w:rPr>
          <w:b/>
          <w:bCs/>
          <w:sz w:val="20"/>
          <w:szCs w:val="20"/>
          <w:vertAlign w:val="superscript"/>
        </w:rPr>
        <w:t>th</w:t>
      </w:r>
      <w:r w:rsidR="00F5454D">
        <w:rPr>
          <w:b/>
          <w:bCs/>
          <w:sz w:val="20"/>
          <w:szCs w:val="20"/>
        </w:rPr>
        <w:t xml:space="preserve"> October </w:t>
      </w:r>
      <w:r w:rsidR="00E176D2">
        <w:rPr>
          <w:b/>
          <w:bCs/>
          <w:sz w:val="20"/>
          <w:szCs w:val="20"/>
        </w:rPr>
        <w:t>2020</w:t>
      </w:r>
      <w:r w:rsidRPr="00B669CF">
        <w:rPr>
          <w:b/>
          <w:bCs/>
          <w:sz w:val="20"/>
          <w:szCs w:val="20"/>
        </w:rPr>
        <w:t>)</w:t>
      </w:r>
    </w:p>
    <w:p w14:paraId="70E1BC7A" w14:textId="1C8ECCF3" w:rsidR="006C68C3" w:rsidRDefault="007414E5" w:rsidP="006C68C3">
      <w:pPr>
        <w:pStyle w:val="Default"/>
        <w:rPr>
          <w:b/>
          <w:bCs/>
          <w:sz w:val="20"/>
          <w:szCs w:val="20"/>
        </w:rPr>
      </w:pPr>
      <w:r>
        <w:rPr>
          <w:noProof/>
        </w:rPr>
        <w:drawing>
          <wp:inline distT="0" distB="0" distL="0" distR="0" wp14:anchorId="2D594059" wp14:editId="34DD89B0">
            <wp:extent cx="6120130" cy="3985895"/>
            <wp:effectExtent l="0" t="0" r="13970" b="14605"/>
            <wp:docPr id="1" name="Chart 1">
              <a:extLst xmlns:a="http://schemas.openxmlformats.org/drawingml/2006/main">
                <a:ext uri="{FF2B5EF4-FFF2-40B4-BE49-F238E27FC236}">
                  <a16:creationId xmlns:a16="http://schemas.microsoft.com/office/drawing/2014/main" id="{7F79554D-2E54-4DC2-8B35-5A84A6D195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F08925A" w14:textId="77777777" w:rsidR="006C68C3" w:rsidRPr="00DD7BA2" w:rsidRDefault="006C68C3" w:rsidP="006C68C3">
      <w:pPr>
        <w:spacing w:after="0" w:line="240" w:lineRule="auto"/>
        <w:rPr>
          <w:sz w:val="16"/>
          <w:szCs w:val="16"/>
        </w:rPr>
      </w:pPr>
      <w:r w:rsidRPr="00DD7BA2">
        <w:rPr>
          <w:b/>
          <w:sz w:val="16"/>
          <w:szCs w:val="16"/>
        </w:rPr>
        <w:t xml:space="preserve">Data Source: </w:t>
      </w:r>
      <w:hyperlink r:id="rId16" w:history="1">
        <w:r w:rsidRPr="00DD7BA2">
          <w:rPr>
            <w:rStyle w:val="Hyperlink"/>
            <w:sz w:val="16"/>
            <w:szCs w:val="16"/>
          </w:rPr>
          <w:t>https://coronavirus-staging.data.gov.uk/cases</w:t>
        </w:r>
      </w:hyperlink>
    </w:p>
    <w:p w14:paraId="0D53FEFC" w14:textId="77777777" w:rsidR="00353331" w:rsidRPr="00856EB6" w:rsidRDefault="00353331" w:rsidP="00537304">
      <w:pPr>
        <w:spacing w:after="0"/>
      </w:pPr>
    </w:p>
    <w:p w14:paraId="28568DD9" w14:textId="601942B2" w:rsidR="00BD00D0" w:rsidRDefault="00BD00D0" w:rsidP="00537304">
      <w:pPr>
        <w:spacing w:after="0"/>
        <w:rPr>
          <w:b/>
          <w:bCs/>
        </w:rPr>
      </w:pPr>
      <w:r w:rsidRPr="00577014">
        <w:rPr>
          <w:b/>
          <w:bCs/>
        </w:rPr>
        <w:t>Recent COVID-19 Data for North East Lincolnshire</w:t>
      </w:r>
    </w:p>
    <w:p w14:paraId="008F1885" w14:textId="77777777" w:rsidR="00537304" w:rsidRPr="00537304" w:rsidRDefault="00537304" w:rsidP="00537304">
      <w:pPr>
        <w:spacing w:after="0"/>
        <w:jc w:val="both"/>
      </w:pPr>
    </w:p>
    <w:p w14:paraId="6F0FBAA9" w14:textId="4664BAFE" w:rsidR="003F618F" w:rsidRDefault="003F618F" w:rsidP="00537304">
      <w:pPr>
        <w:spacing w:after="0"/>
        <w:jc w:val="both"/>
      </w:pPr>
      <w:r w:rsidRPr="00537304">
        <w:t xml:space="preserve">Figure </w:t>
      </w:r>
      <w:r w:rsidR="00B57F0D">
        <w:t>6</w:t>
      </w:r>
      <w:r w:rsidRPr="00537304">
        <w:t xml:space="preserve"> shows the </w:t>
      </w:r>
      <w:r w:rsidR="00D3105D" w:rsidRPr="00824ACF">
        <w:t>7</w:t>
      </w:r>
      <w:r w:rsidR="00380A02" w:rsidRPr="009B7C34">
        <w:t>-</w:t>
      </w:r>
      <w:r w:rsidRPr="009B7C34">
        <w:t xml:space="preserve">day rate </w:t>
      </w:r>
      <w:r w:rsidR="00824ACF" w:rsidRPr="009B7C34">
        <w:t>per 100,000</w:t>
      </w:r>
      <w:r w:rsidR="00824ACF">
        <w:t xml:space="preserve"> population </w:t>
      </w:r>
      <w:r w:rsidRPr="00824ACF">
        <w:t xml:space="preserve">of new COVID-19 cases </w:t>
      </w:r>
      <w:r w:rsidR="00824ACF" w:rsidRPr="00824ACF">
        <w:t xml:space="preserve">from </w:t>
      </w:r>
      <w:r w:rsidR="00694D0D">
        <w:t>11</w:t>
      </w:r>
      <w:r w:rsidR="009B7C34">
        <w:rPr>
          <w:vertAlign w:val="superscript"/>
        </w:rPr>
        <w:t xml:space="preserve">th </w:t>
      </w:r>
      <w:r w:rsidR="009B7C34">
        <w:t>October</w:t>
      </w:r>
      <w:r w:rsidR="00815047">
        <w:t xml:space="preserve"> to </w:t>
      </w:r>
      <w:r w:rsidR="009B7C34">
        <w:t>1</w:t>
      </w:r>
      <w:r w:rsidR="00694D0D">
        <w:t>7</w:t>
      </w:r>
      <w:r w:rsidR="009B7C34" w:rsidRPr="009B7C34">
        <w:rPr>
          <w:vertAlign w:val="superscript"/>
        </w:rPr>
        <w:t>th</w:t>
      </w:r>
      <w:r w:rsidR="009B7C34">
        <w:t xml:space="preserve"> </w:t>
      </w:r>
      <w:r w:rsidR="000C77BE">
        <w:t xml:space="preserve"> October</w:t>
      </w:r>
      <w:r w:rsidR="00FA39EF" w:rsidRPr="00824ACF">
        <w:t xml:space="preserve"> </w:t>
      </w:r>
      <w:r w:rsidR="004E49BF" w:rsidRPr="00824ACF">
        <w:t>2020</w:t>
      </w:r>
      <w:r w:rsidR="004E49BF" w:rsidRPr="00537304">
        <w:t xml:space="preserve"> </w:t>
      </w:r>
      <w:r w:rsidR="00824ACF">
        <w:t xml:space="preserve">that have been </w:t>
      </w:r>
      <w:r w:rsidR="004E49BF" w:rsidRPr="00537304">
        <w:t>confirmed</w:t>
      </w:r>
      <w:r w:rsidRPr="00537304">
        <w:t xml:space="preserve"> for each upper tier </w:t>
      </w:r>
      <w:r w:rsidR="004E49BF" w:rsidRPr="00537304">
        <w:t xml:space="preserve">local </w:t>
      </w:r>
      <w:r w:rsidRPr="00537304">
        <w:t>authority in the Yorkshire and Humber (blue</w:t>
      </w:r>
      <w:r w:rsidR="00824ACF">
        <w:t xml:space="preserve"> bar</w:t>
      </w:r>
      <w:r w:rsidRPr="00537304">
        <w:t>)</w:t>
      </w:r>
      <w:r w:rsidR="004E49BF" w:rsidRPr="00537304">
        <w:t>,</w:t>
      </w:r>
      <w:r w:rsidRPr="00537304">
        <w:t xml:space="preserve"> and the </w:t>
      </w:r>
      <w:r w:rsidR="00824ACF">
        <w:t xml:space="preserve">overall </w:t>
      </w:r>
      <w:r w:rsidRPr="00537304">
        <w:t xml:space="preserve">cumulative </w:t>
      </w:r>
      <w:r w:rsidR="00824ACF">
        <w:t xml:space="preserve">positive test </w:t>
      </w:r>
      <w:r w:rsidRPr="00537304">
        <w:t xml:space="preserve">rate </w:t>
      </w:r>
      <w:r w:rsidR="00824ACF">
        <w:t xml:space="preserve">per 100,000 population </w:t>
      </w:r>
      <w:r w:rsidRPr="00537304">
        <w:t>since the start of the pandemic</w:t>
      </w:r>
      <w:r w:rsidR="004F598E" w:rsidRPr="00537304">
        <w:t xml:space="preserve"> </w:t>
      </w:r>
      <w:r w:rsidR="00824ACF">
        <w:t xml:space="preserve">to </w:t>
      </w:r>
      <w:r w:rsidR="009B7C34">
        <w:t>10</w:t>
      </w:r>
      <w:r w:rsidR="009B7C34" w:rsidRPr="009B7C34">
        <w:rPr>
          <w:vertAlign w:val="superscript"/>
        </w:rPr>
        <w:t>th</w:t>
      </w:r>
      <w:r w:rsidR="009B7C34">
        <w:t xml:space="preserve"> </w:t>
      </w:r>
      <w:r w:rsidR="000C77BE">
        <w:t>October</w:t>
      </w:r>
      <w:r w:rsidR="00824ACF">
        <w:t xml:space="preserve"> 2020 </w:t>
      </w:r>
      <w:r w:rsidR="004F598E" w:rsidRPr="00537304">
        <w:t>(red line)</w:t>
      </w:r>
      <w:r w:rsidR="00824ACF">
        <w:t>, both rates including both pillar 1 and pillar 2 tests.</w:t>
      </w:r>
      <w:r w:rsidRPr="00537304">
        <w:t xml:space="preserve">  With a </w:t>
      </w:r>
      <w:r w:rsidR="00380A02">
        <w:t>7</w:t>
      </w:r>
      <w:r w:rsidR="00C02E3C" w:rsidRPr="00537304">
        <w:t>-day</w:t>
      </w:r>
      <w:r w:rsidRPr="00537304">
        <w:t xml:space="preserve"> infection rate </w:t>
      </w:r>
      <w:r w:rsidR="006E1B08">
        <w:t>of</w:t>
      </w:r>
      <w:r w:rsidR="000C77BE">
        <w:t xml:space="preserve"> </w:t>
      </w:r>
      <w:r w:rsidR="00327E63">
        <w:t>1</w:t>
      </w:r>
      <w:r w:rsidR="00694D0D">
        <w:t>88</w:t>
      </w:r>
      <w:r w:rsidR="00327E63">
        <w:t>.</w:t>
      </w:r>
      <w:r w:rsidR="00694D0D">
        <w:t>3</w:t>
      </w:r>
      <w:r w:rsidRPr="00537304">
        <w:t xml:space="preserve"> cases per 100,000 </w:t>
      </w:r>
      <w:r w:rsidR="004E49BF" w:rsidRPr="00537304">
        <w:t xml:space="preserve">population, </w:t>
      </w:r>
      <w:r w:rsidRPr="00537304">
        <w:t xml:space="preserve">North East Lincolnshire </w:t>
      </w:r>
      <w:r w:rsidR="006C68C3" w:rsidRPr="00537304">
        <w:t>had the</w:t>
      </w:r>
      <w:r w:rsidR="00694D0D">
        <w:t xml:space="preserve"> fifth</w:t>
      </w:r>
      <w:r w:rsidR="00BA1BC0">
        <w:t xml:space="preserve"> </w:t>
      </w:r>
      <w:r w:rsidRPr="00537304">
        <w:t>lowest rate</w:t>
      </w:r>
      <w:r w:rsidR="006E1B08">
        <w:t xml:space="preserve"> </w:t>
      </w:r>
      <w:r w:rsidRPr="00537304">
        <w:t xml:space="preserve">of new infections </w:t>
      </w:r>
      <w:r w:rsidR="00D3105D" w:rsidRPr="00537304">
        <w:t xml:space="preserve">out of the 15 local authorities </w:t>
      </w:r>
      <w:r w:rsidRPr="00537304">
        <w:t xml:space="preserve">in the Yorkshire </w:t>
      </w:r>
      <w:r w:rsidR="00380A02">
        <w:t>and the</w:t>
      </w:r>
      <w:r w:rsidRPr="00537304">
        <w:t xml:space="preserve"> Humber region</w:t>
      </w:r>
      <w:r w:rsidR="004818BA">
        <w:t xml:space="preserve">, however it has seen </w:t>
      </w:r>
      <w:r w:rsidR="00C15C37">
        <w:t xml:space="preserve">by far the largest increase </w:t>
      </w:r>
      <w:r w:rsidR="004818BA">
        <w:t>in new infection rate on</w:t>
      </w:r>
      <w:r w:rsidR="00C15C37">
        <w:t xml:space="preserve"> the previous week in the Yorkshire and Humber</w:t>
      </w:r>
      <w:r w:rsidR="0048033E">
        <w:t xml:space="preserve"> and for the first time has the highest rate of cases within the Humber area</w:t>
      </w:r>
      <w:r w:rsidR="00327E63">
        <w:t>.</w:t>
      </w:r>
      <w:r w:rsidR="00C84564">
        <w:t xml:space="preserve"> </w:t>
      </w:r>
      <w:r w:rsidR="0048033E">
        <w:t xml:space="preserve"> </w:t>
      </w:r>
      <w:r w:rsidR="00C84564">
        <w:t xml:space="preserve">Sheffield </w:t>
      </w:r>
      <w:r w:rsidR="00C15C37">
        <w:t xml:space="preserve">continues to have </w:t>
      </w:r>
      <w:r w:rsidR="00C84564">
        <w:t xml:space="preserve">the highest rate of new </w:t>
      </w:r>
      <w:r w:rsidR="00327E63">
        <w:t xml:space="preserve">infections followed by Leeds. </w:t>
      </w:r>
    </w:p>
    <w:p w14:paraId="12608AF2" w14:textId="77777777" w:rsidR="00EA28ED" w:rsidRPr="00537304" w:rsidRDefault="00EA28ED" w:rsidP="00537304">
      <w:pPr>
        <w:pStyle w:val="Default"/>
        <w:spacing w:line="276" w:lineRule="auto"/>
        <w:rPr>
          <w:rFonts w:asciiTheme="minorHAnsi" w:hAnsiTheme="minorHAnsi" w:cstheme="minorHAnsi"/>
          <w:sz w:val="22"/>
          <w:szCs w:val="22"/>
        </w:rPr>
      </w:pPr>
    </w:p>
    <w:p w14:paraId="4BF71793" w14:textId="77777777" w:rsidR="002C6148" w:rsidRDefault="002C6148">
      <w:pPr>
        <w:rPr>
          <w:rFonts w:cstheme="minorHAnsi"/>
          <w:b/>
          <w:bCs/>
          <w:color w:val="000000"/>
        </w:rPr>
      </w:pPr>
      <w:r>
        <w:rPr>
          <w:rFonts w:cstheme="minorHAnsi"/>
          <w:b/>
          <w:bCs/>
        </w:rPr>
        <w:br w:type="page"/>
      </w:r>
    </w:p>
    <w:p w14:paraId="3A529B44" w14:textId="5DF99C89" w:rsidR="003F618F" w:rsidRPr="006B5A3D" w:rsidRDefault="003F618F" w:rsidP="00537304">
      <w:pPr>
        <w:pStyle w:val="Default"/>
        <w:spacing w:line="276" w:lineRule="auto"/>
        <w:rPr>
          <w:rFonts w:asciiTheme="minorHAnsi" w:hAnsiTheme="minorHAnsi" w:cstheme="minorHAnsi"/>
          <w:b/>
          <w:bCs/>
          <w:sz w:val="22"/>
          <w:szCs w:val="22"/>
        </w:rPr>
      </w:pPr>
      <w:r w:rsidRPr="006B5A3D">
        <w:rPr>
          <w:rFonts w:asciiTheme="minorHAnsi" w:hAnsiTheme="minorHAnsi" w:cstheme="minorHAnsi"/>
          <w:b/>
          <w:bCs/>
          <w:sz w:val="22"/>
          <w:szCs w:val="22"/>
        </w:rPr>
        <w:lastRenderedPageBreak/>
        <w:t xml:space="preserve">Figure </w:t>
      </w:r>
      <w:r w:rsidR="00B57F0D">
        <w:rPr>
          <w:rFonts w:asciiTheme="minorHAnsi" w:hAnsiTheme="minorHAnsi" w:cstheme="minorHAnsi"/>
          <w:b/>
          <w:bCs/>
          <w:sz w:val="22"/>
          <w:szCs w:val="22"/>
        </w:rPr>
        <w:t>6</w:t>
      </w:r>
      <w:r w:rsidR="006B5A3D" w:rsidRPr="006B5A3D">
        <w:rPr>
          <w:rFonts w:asciiTheme="minorHAnsi" w:hAnsiTheme="minorHAnsi" w:cstheme="minorHAnsi"/>
          <w:b/>
          <w:bCs/>
          <w:sz w:val="22"/>
          <w:szCs w:val="22"/>
        </w:rPr>
        <w:t xml:space="preserve">:  Laboratory confirmed daily cases of COVID-19 by sample date and </w:t>
      </w:r>
      <w:r w:rsidR="00980FC4">
        <w:rPr>
          <w:rFonts w:asciiTheme="minorHAnsi" w:hAnsiTheme="minorHAnsi" w:cstheme="minorHAnsi"/>
          <w:b/>
          <w:bCs/>
          <w:sz w:val="22"/>
          <w:szCs w:val="22"/>
        </w:rPr>
        <w:t>local authority</w:t>
      </w:r>
      <w:r w:rsidR="006B5A3D" w:rsidRPr="006B5A3D">
        <w:rPr>
          <w:rFonts w:asciiTheme="minorHAnsi" w:hAnsiTheme="minorHAnsi" w:cstheme="minorHAnsi"/>
          <w:b/>
          <w:bCs/>
          <w:sz w:val="22"/>
          <w:szCs w:val="22"/>
        </w:rPr>
        <w:t xml:space="preserve"> for prior week and cumulative total to date (Pillar 1 and Pillar 2)</w:t>
      </w:r>
    </w:p>
    <w:p w14:paraId="1BA31068" w14:textId="669F9412" w:rsidR="0095499B" w:rsidRDefault="00694D0D" w:rsidP="00DD7BA2">
      <w:pPr>
        <w:spacing w:after="0"/>
      </w:pPr>
      <w:r>
        <w:rPr>
          <w:noProof/>
        </w:rPr>
        <w:drawing>
          <wp:inline distT="0" distB="0" distL="0" distR="0" wp14:anchorId="130056E6" wp14:editId="2A9BFF28">
            <wp:extent cx="6120130" cy="3985895"/>
            <wp:effectExtent l="0" t="0" r="0" b="0"/>
            <wp:docPr id="9" name="Chart 9">
              <a:extLst xmlns:a="http://schemas.openxmlformats.org/drawingml/2006/main">
                <a:ext uri="{FF2B5EF4-FFF2-40B4-BE49-F238E27FC236}">
                  <a16:creationId xmlns:a16="http://schemas.microsoft.com/office/drawing/2014/main" id="{717A34E0-BEAD-4503-BAA4-7351B038EB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4BC7F3C" w14:textId="370C1FCC" w:rsidR="002E7766" w:rsidRDefault="002E7766" w:rsidP="00537304">
      <w:pPr>
        <w:spacing w:after="0"/>
        <w:rPr>
          <w:b/>
          <w:bCs/>
          <w:sz w:val="28"/>
          <w:szCs w:val="28"/>
        </w:rPr>
      </w:pPr>
    </w:p>
    <w:p w14:paraId="4FD6135E" w14:textId="7FBAE4B8" w:rsidR="003914A0" w:rsidRDefault="00284951" w:rsidP="00537304">
      <w:pPr>
        <w:spacing w:after="0"/>
        <w:rPr>
          <w:b/>
          <w:bCs/>
          <w:sz w:val="28"/>
          <w:szCs w:val="28"/>
        </w:rPr>
      </w:pPr>
      <w:r w:rsidRPr="00795A8C">
        <w:rPr>
          <w:b/>
          <w:bCs/>
          <w:sz w:val="28"/>
          <w:szCs w:val="28"/>
        </w:rPr>
        <w:t>Diana Princess of Wales Hospital</w:t>
      </w:r>
    </w:p>
    <w:p w14:paraId="054B58CA" w14:textId="77777777" w:rsidR="00537304" w:rsidRPr="00537304" w:rsidRDefault="00537304" w:rsidP="00537304">
      <w:pPr>
        <w:spacing w:after="0"/>
      </w:pPr>
    </w:p>
    <w:p w14:paraId="7C2D8479" w14:textId="7C558E0B" w:rsidR="007204F4" w:rsidRDefault="007204F4" w:rsidP="00537304">
      <w:pPr>
        <w:spacing w:after="0"/>
        <w:jc w:val="both"/>
      </w:pPr>
      <w:r w:rsidRPr="00856EB6">
        <w:t xml:space="preserve">Numbers of positive COVID-19 cases being treated in Diana Princess of Wales Hospital have </w:t>
      </w:r>
      <w:r>
        <w:t>increased significantly in recent days and are now at their highest since the end of April with 20 inpatients currently having confirmed COVID-19 (as of 12</w:t>
      </w:r>
      <w:r w:rsidRPr="00342F37">
        <w:rPr>
          <w:vertAlign w:val="superscript"/>
        </w:rPr>
        <w:t>th</w:t>
      </w:r>
      <w:r>
        <w:t xml:space="preserve"> October).</w:t>
      </w:r>
    </w:p>
    <w:p w14:paraId="5F72AC32" w14:textId="77777777" w:rsidR="00DD7BA2" w:rsidRPr="00537304" w:rsidRDefault="00DD7BA2" w:rsidP="00537304">
      <w:pPr>
        <w:spacing w:after="0"/>
        <w:rPr>
          <w:bCs/>
          <w:sz w:val="28"/>
          <w:szCs w:val="28"/>
        </w:rPr>
      </w:pPr>
    </w:p>
    <w:p w14:paraId="5550C1B4" w14:textId="68CD3A93" w:rsidR="00383D06" w:rsidRDefault="00DB6ABE" w:rsidP="00537304">
      <w:pPr>
        <w:spacing w:after="0"/>
        <w:rPr>
          <w:b/>
          <w:sz w:val="28"/>
          <w:szCs w:val="28"/>
        </w:rPr>
      </w:pPr>
      <w:r>
        <w:rPr>
          <w:b/>
          <w:sz w:val="28"/>
          <w:szCs w:val="28"/>
        </w:rPr>
        <w:t>C</w:t>
      </w:r>
      <w:r w:rsidR="00383D06">
        <w:rPr>
          <w:b/>
          <w:sz w:val="28"/>
          <w:szCs w:val="28"/>
        </w:rPr>
        <w:t>are Homes</w:t>
      </w:r>
    </w:p>
    <w:p w14:paraId="244D1111" w14:textId="77777777" w:rsidR="00537304" w:rsidRPr="00537304" w:rsidRDefault="00537304" w:rsidP="00537304">
      <w:pPr>
        <w:spacing w:after="0"/>
        <w:rPr>
          <w:bCs/>
        </w:rPr>
      </w:pPr>
    </w:p>
    <w:p w14:paraId="3D90C226" w14:textId="70FA78E1" w:rsidR="00E77917" w:rsidRDefault="0038232F" w:rsidP="00537304">
      <w:pPr>
        <w:spacing w:after="0"/>
        <w:jc w:val="both"/>
        <w:rPr>
          <w:bCs/>
        </w:rPr>
      </w:pPr>
      <w:r>
        <w:rPr>
          <w:bCs/>
        </w:rPr>
        <w:t>T</w:t>
      </w:r>
      <w:r w:rsidR="00E829B4" w:rsidRPr="00537304">
        <w:rPr>
          <w:bCs/>
        </w:rPr>
        <w:t xml:space="preserve">he </w:t>
      </w:r>
      <w:r w:rsidR="000855CC" w:rsidRPr="00537304">
        <w:rPr>
          <w:bCs/>
        </w:rPr>
        <w:t xml:space="preserve">North East Lincolnshire </w:t>
      </w:r>
      <w:r w:rsidR="00E829B4" w:rsidRPr="00537304">
        <w:rPr>
          <w:bCs/>
        </w:rPr>
        <w:t xml:space="preserve">CCG care home tracker </w:t>
      </w:r>
      <w:r>
        <w:rPr>
          <w:bCs/>
        </w:rPr>
        <w:t xml:space="preserve">currently </w:t>
      </w:r>
      <w:r w:rsidR="00E829B4" w:rsidRPr="00537304">
        <w:rPr>
          <w:bCs/>
        </w:rPr>
        <w:t xml:space="preserve">reports that </w:t>
      </w:r>
      <w:r w:rsidR="00262AF2">
        <w:rPr>
          <w:bCs/>
        </w:rPr>
        <w:t>three</w:t>
      </w:r>
      <w:r w:rsidR="00DE0254">
        <w:rPr>
          <w:bCs/>
        </w:rPr>
        <w:t xml:space="preserve"> </w:t>
      </w:r>
      <w:r w:rsidR="00E829B4" w:rsidRPr="00537304">
        <w:rPr>
          <w:bCs/>
        </w:rPr>
        <w:t>care home</w:t>
      </w:r>
      <w:r w:rsidR="00DE0254">
        <w:rPr>
          <w:bCs/>
        </w:rPr>
        <w:t>s</w:t>
      </w:r>
      <w:r w:rsidR="00E829B4" w:rsidRPr="00537304">
        <w:rPr>
          <w:bCs/>
        </w:rPr>
        <w:t xml:space="preserve"> </w:t>
      </w:r>
      <w:r w:rsidR="00FA2347" w:rsidRPr="00537304">
        <w:rPr>
          <w:bCs/>
        </w:rPr>
        <w:t>ha</w:t>
      </w:r>
      <w:r w:rsidR="00DE0254">
        <w:rPr>
          <w:bCs/>
        </w:rPr>
        <w:t>ve</w:t>
      </w:r>
      <w:r w:rsidR="00FA2347" w:rsidRPr="00537304">
        <w:rPr>
          <w:bCs/>
        </w:rPr>
        <w:t xml:space="preserve"> a</w:t>
      </w:r>
      <w:r w:rsidR="00262AF2">
        <w:rPr>
          <w:bCs/>
        </w:rPr>
        <w:t xml:space="preserve"> single</w:t>
      </w:r>
      <w:r w:rsidR="00E829B4" w:rsidRPr="00537304">
        <w:rPr>
          <w:bCs/>
        </w:rPr>
        <w:t xml:space="preserve"> active case of </w:t>
      </w:r>
      <w:r w:rsidR="007F1EC2" w:rsidRPr="00537304">
        <w:rPr>
          <w:bCs/>
        </w:rPr>
        <w:t>COVID</w:t>
      </w:r>
      <w:r w:rsidR="00E829B4" w:rsidRPr="00537304">
        <w:rPr>
          <w:bCs/>
        </w:rPr>
        <w:t xml:space="preserve">-19 among its residents.  </w:t>
      </w:r>
      <w:r w:rsidR="00AD00D7">
        <w:rPr>
          <w:bCs/>
        </w:rPr>
        <w:t>Four</w:t>
      </w:r>
      <w:r w:rsidR="000855CC" w:rsidRPr="00537304">
        <w:rPr>
          <w:bCs/>
        </w:rPr>
        <w:t xml:space="preserve"> care home</w:t>
      </w:r>
      <w:r w:rsidR="0092408F">
        <w:rPr>
          <w:bCs/>
        </w:rPr>
        <w:t>s</w:t>
      </w:r>
      <w:r w:rsidR="000855CC" w:rsidRPr="00537304">
        <w:rPr>
          <w:bCs/>
        </w:rPr>
        <w:t xml:space="preserve"> </w:t>
      </w:r>
      <w:r w:rsidR="0092408F">
        <w:rPr>
          <w:bCs/>
        </w:rPr>
        <w:t>are</w:t>
      </w:r>
      <w:r w:rsidR="000855CC" w:rsidRPr="00537304">
        <w:rPr>
          <w:bCs/>
        </w:rPr>
        <w:t xml:space="preserve"> currently closed to admissions</w:t>
      </w:r>
      <w:r w:rsidR="0092408F">
        <w:rPr>
          <w:bCs/>
        </w:rPr>
        <w:t>, a</w:t>
      </w:r>
      <w:r w:rsidR="00E829B4" w:rsidRPr="00537304">
        <w:rPr>
          <w:bCs/>
        </w:rPr>
        <w:t xml:space="preserve">ll </w:t>
      </w:r>
      <w:r w:rsidR="000855CC" w:rsidRPr="00537304">
        <w:rPr>
          <w:bCs/>
        </w:rPr>
        <w:t xml:space="preserve">other </w:t>
      </w:r>
      <w:r w:rsidR="00E829B4" w:rsidRPr="00537304">
        <w:rPr>
          <w:bCs/>
        </w:rPr>
        <w:t>home</w:t>
      </w:r>
      <w:r w:rsidR="00E85A84" w:rsidRPr="00537304">
        <w:rPr>
          <w:bCs/>
        </w:rPr>
        <w:t>s</w:t>
      </w:r>
      <w:r w:rsidR="00E829B4" w:rsidRPr="00537304">
        <w:rPr>
          <w:bCs/>
        </w:rPr>
        <w:t xml:space="preserve"> </w:t>
      </w:r>
      <w:r w:rsidR="00E85A84" w:rsidRPr="00537304">
        <w:rPr>
          <w:bCs/>
        </w:rPr>
        <w:t>are</w:t>
      </w:r>
      <w:r w:rsidR="00E829B4" w:rsidRPr="00537304">
        <w:rPr>
          <w:bCs/>
        </w:rPr>
        <w:t xml:space="preserve"> currently open to admissions</w:t>
      </w:r>
      <w:r w:rsidR="000855CC" w:rsidRPr="00537304">
        <w:rPr>
          <w:bCs/>
        </w:rPr>
        <w:t xml:space="preserve">.  </w:t>
      </w:r>
      <w:r w:rsidR="00E77917">
        <w:rPr>
          <w:bCs/>
        </w:rPr>
        <w:t>A large proportion of North East Lincolnshire care homes are situated within parts of the borough that are currently seeing the highest number of cases such as Yarborough, Waltham and Croft Baker wards which is a concern and supports the need for regular testing of care home staff.  There are a small number of care home staff who have tested positive for COVID through the whole care home testing programme in recent weeks.  These have been asymptomatic.</w:t>
      </w:r>
    </w:p>
    <w:p w14:paraId="2486C916" w14:textId="77777777" w:rsidR="00DD5546" w:rsidRDefault="00DD5546" w:rsidP="00537304">
      <w:pPr>
        <w:spacing w:after="0"/>
        <w:rPr>
          <w:b/>
          <w:sz w:val="28"/>
          <w:szCs w:val="28"/>
        </w:rPr>
      </w:pPr>
    </w:p>
    <w:p w14:paraId="1AD5D70A" w14:textId="4361AD0C" w:rsidR="003914A0" w:rsidRDefault="003914A0" w:rsidP="00537304">
      <w:pPr>
        <w:spacing w:after="0"/>
        <w:rPr>
          <w:b/>
          <w:sz w:val="28"/>
          <w:szCs w:val="28"/>
        </w:rPr>
      </w:pPr>
      <w:r w:rsidRPr="00A70C6C">
        <w:rPr>
          <w:b/>
          <w:sz w:val="28"/>
          <w:szCs w:val="28"/>
        </w:rPr>
        <w:t>Deaths</w:t>
      </w:r>
    </w:p>
    <w:p w14:paraId="07FFCF2B" w14:textId="77777777" w:rsidR="00537304" w:rsidRPr="00537304" w:rsidRDefault="00537304" w:rsidP="00537304">
      <w:pPr>
        <w:spacing w:after="0"/>
        <w:rPr>
          <w:bCs/>
        </w:rPr>
      </w:pPr>
    </w:p>
    <w:p w14:paraId="3F1B2ADD" w14:textId="22D09A6C" w:rsidR="00BE0535" w:rsidRDefault="00227ECF" w:rsidP="00537304">
      <w:pPr>
        <w:spacing w:after="0"/>
        <w:jc w:val="both"/>
      </w:pPr>
      <w:r>
        <w:t xml:space="preserve">The average daily numbers of COVID-19 deaths in the UK peaked during 08/04-14/04 at 938 deaths per day on average, and thence decreased each week until the end of August.  This week deaths from COVID-19 increased by just over half (54%) to 82 deaths per day on average, the fifth increase seen since the peak in early April, and the fourth consecutive increase.  The average daily deaths from COVID-19 this week are </w:t>
      </w:r>
      <w:r>
        <w:lastRenderedPageBreak/>
        <w:t xml:space="preserve">higher than at any point since the first half of June.   Despite this increase, the average daily number of COVID-19 related deaths remains 91% lower than at the peak, as shown in </w:t>
      </w:r>
      <w:r w:rsidR="00BE0535" w:rsidRPr="00537304">
        <w:t xml:space="preserve">Figure </w:t>
      </w:r>
      <w:r w:rsidR="007204F4">
        <w:t>7</w:t>
      </w:r>
      <w:r w:rsidR="00B57F0D">
        <w:t>.</w:t>
      </w:r>
    </w:p>
    <w:p w14:paraId="5B07A195" w14:textId="77777777" w:rsidR="00537304" w:rsidRDefault="00537304" w:rsidP="00537304">
      <w:pPr>
        <w:spacing w:after="0"/>
        <w:jc w:val="both"/>
      </w:pPr>
    </w:p>
    <w:p w14:paraId="48F6D2E4" w14:textId="7DCF4337" w:rsidR="00D72B4D" w:rsidRPr="00D72B4D" w:rsidRDefault="00D72B4D" w:rsidP="00537304">
      <w:pPr>
        <w:spacing w:after="0"/>
        <w:jc w:val="both"/>
        <w:rPr>
          <w:b/>
          <w:bCs/>
        </w:rPr>
      </w:pPr>
      <w:r w:rsidRPr="00D72B4D">
        <w:rPr>
          <w:b/>
          <w:bCs/>
        </w:rPr>
        <w:t>Figure</w:t>
      </w:r>
      <w:r w:rsidR="008D67ED">
        <w:rPr>
          <w:b/>
          <w:bCs/>
        </w:rPr>
        <w:t xml:space="preserve"> </w:t>
      </w:r>
      <w:r w:rsidR="007204F4">
        <w:rPr>
          <w:b/>
          <w:bCs/>
        </w:rPr>
        <w:t>7</w:t>
      </w:r>
      <w:r w:rsidR="000E7F26">
        <w:rPr>
          <w:b/>
          <w:bCs/>
        </w:rPr>
        <w:t>:</w:t>
      </w:r>
    </w:p>
    <w:p w14:paraId="3FD35950" w14:textId="368F279B" w:rsidR="00BE0535" w:rsidRDefault="004920BD" w:rsidP="0054429B">
      <w:pPr>
        <w:jc w:val="both"/>
      </w:pPr>
      <w:r>
        <w:rPr>
          <w:noProof/>
        </w:rPr>
        <w:drawing>
          <wp:inline distT="0" distB="0" distL="0" distR="0" wp14:anchorId="2CEF4931" wp14:editId="72D79525">
            <wp:extent cx="5767070" cy="2529840"/>
            <wp:effectExtent l="0" t="0" r="5080" b="381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7070" cy="2529840"/>
                    </a:xfrm>
                    <a:prstGeom prst="rect">
                      <a:avLst/>
                    </a:prstGeom>
                    <a:noFill/>
                  </pic:spPr>
                </pic:pic>
              </a:graphicData>
            </a:graphic>
          </wp:inline>
        </w:drawing>
      </w:r>
    </w:p>
    <w:p w14:paraId="45F9FCCD" w14:textId="77777777" w:rsidR="00DA73E4" w:rsidRDefault="00DA73E4" w:rsidP="00537304">
      <w:pPr>
        <w:spacing w:after="0"/>
        <w:jc w:val="both"/>
      </w:pPr>
    </w:p>
    <w:p w14:paraId="0C4FCB0E" w14:textId="32DD3847" w:rsidR="00145FE6" w:rsidRPr="00537304" w:rsidRDefault="00145FE6" w:rsidP="00145FE6">
      <w:pPr>
        <w:spacing w:after="0"/>
        <w:jc w:val="both"/>
      </w:pPr>
      <w:r w:rsidRPr="00537304">
        <w:t>There ha</w:t>
      </w:r>
      <w:r>
        <w:t>ve</w:t>
      </w:r>
      <w:r w:rsidRPr="00537304">
        <w:t xml:space="preserve"> been </w:t>
      </w:r>
      <w:r w:rsidR="00D610E9">
        <w:t>five</w:t>
      </w:r>
      <w:r w:rsidRPr="00537304">
        <w:t xml:space="preserve"> death</w:t>
      </w:r>
      <w:r>
        <w:t>s</w:t>
      </w:r>
      <w:r w:rsidRPr="00537304">
        <w:t xml:space="preserve"> associated with COVID-19 in North East Lincolnshire since the end of May</w:t>
      </w:r>
      <w:r>
        <w:t xml:space="preserve">, </w:t>
      </w:r>
      <w:r w:rsidR="00EC416B">
        <w:t xml:space="preserve">the </w:t>
      </w:r>
      <w:r>
        <w:t>th</w:t>
      </w:r>
      <w:r w:rsidR="00D610E9">
        <w:t>re</w:t>
      </w:r>
      <w:r>
        <w:t xml:space="preserve">e most recent occurred in </w:t>
      </w:r>
      <w:r w:rsidR="00D610E9">
        <w:t>October</w:t>
      </w:r>
      <w:r w:rsidRPr="00537304">
        <w:t>.  A total of 4</w:t>
      </w:r>
      <w:r w:rsidR="00D610E9">
        <w:t>9</w:t>
      </w:r>
      <w:r w:rsidRPr="00537304">
        <w:t xml:space="preserve"> deaths have now been registered in North East Lincolnshire with COVID-19 identified as a cause of death, </w:t>
      </w:r>
      <w:r>
        <w:t xml:space="preserve">with </w:t>
      </w:r>
      <w:r w:rsidRPr="00537304">
        <w:t>3</w:t>
      </w:r>
      <w:r w:rsidR="00D610E9">
        <w:t>6</w:t>
      </w:r>
      <w:r w:rsidRPr="00537304">
        <w:t xml:space="preserve"> be</w:t>
      </w:r>
      <w:r>
        <w:t>ing</w:t>
      </w:r>
      <w:r w:rsidRPr="00537304">
        <w:t xml:space="preserve"> North East Lincolnshire residents and 13 be</w:t>
      </w:r>
      <w:r>
        <w:t>ing</w:t>
      </w:r>
      <w:r w:rsidRPr="00537304">
        <w:t xml:space="preserve"> residents of other local authorities.  It is believed that a further three deaths of North East Lincolnshire residents have been registered elsewhere.</w:t>
      </w:r>
    </w:p>
    <w:p w14:paraId="6C2DA15D" w14:textId="77777777" w:rsidR="00145FE6" w:rsidRPr="00537304" w:rsidRDefault="00145FE6" w:rsidP="00145FE6">
      <w:pPr>
        <w:spacing w:after="0"/>
        <w:jc w:val="both"/>
      </w:pPr>
    </w:p>
    <w:p w14:paraId="2D945F5A" w14:textId="7FB19AF7" w:rsidR="00145FE6" w:rsidRPr="00856EB6" w:rsidRDefault="00145FE6" w:rsidP="00145FE6">
      <w:pPr>
        <w:spacing w:after="0"/>
        <w:jc w:val="both"/>
      </w:pPr>
      <w:r w:rsidRPr="00856EB6">
        <w:t xml:space="preserve">In North East Lincolnshire there have been no deaths registered in children. </w:t>
      </w:r>
      <w:r w:rsidR="007204F4">
        <w:t>Five</w:t>
      </w:r>
      <w:r w:rsidRPr="00856EB6">
        <w:t xml:space="preserve"> deaths were of people aged under 60</w:t>
      </w:r>
      <w:r>
        <w:t xml:space="preserve"> years</w:t>
      </w:r>
      <w:r w:rsidRPr="00856EB6">
        <w:t xml:space="preserve">, </w:t>
      </w:r>
      <w:r>
        <w:t>and</w:t>
      </w:r>
      <w:r w:rsidRPr="00856EB6">
        <w:t xml:space="preserve"> </w:t>
      </w:r>
      <w:r w:rsidR="007204F4">
        <w:t>59% of deaths occurred in</w:t>
      </w:r>
      <w:r w:rsidRPr="00856EB6">
        <w:t xml:space="preserve"> people </w:t>
      </w:r>
      <w:r>
        <w:t xml:space="preserve">aged </w:t>
      </w:r>
      <w:r w:rsidRPr="00856EB6">
        <w:t>over 80 years.</w:t>
      </w:r>
    </w:p>
    <w:p w14:paraId="301ACF32" w14:textId="77777777" w:rsidR="00145FE6" w:rsidRDefault="00145FE6" w:rsidP="00145FE6">
      <w:pPr>
        <w:spacing w:after="0"/>
        <w:jc w:val="both"/>
      </w:pPr>
    </w:p>
    <w:p w14:paraId="5F308063" w14:textId="77777777" w:rsidR="0048033E" w:rsidRDefault="0048033E" w:rsidP="0048033E">
      <w:pPr>
        <w:jc w:val="both"/>
      </w:pPr>
    </w:p>
    <w:p w14:paraId="79A106D1" w14:textId="77777777" w:rsidR="00537304" w:rsidRDefault="00537304" w:rsidP="00145FE6">
      <w:pPr>
        <w:spacing w:after="0"/>
        <w:jc w:val="both"/>
      </w:pPr>
    </w:p>
    <w:sectPr w:rsidR="00537304" w:rsidSect="00380A02">
      <w:headerReference w:type="default" r:id="rId19"/>
      <w:footerReference w:type="default" r:id="rId2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A2A42" w14:textId="77777777" w:rsidR="00AF1015" w:rsidRDefault="00AF1015" w:rsidP="00EA5E06">
      <w:pPr>
        <w:spacing w:after="0" w:line="240" w:lineRule="auto"/>
      </w:pPr>
      <w:r>
        <w:separator/>
      </w:r>
    </w:p>
  </w:endnote>
  <w:endnote w:type="continuationSeparator" w:id="0">
    <w:p w14:paraId="6474472B" w14:textId="77777777" w:rsidR="00AF1015" w:rsidRDefault="00AF1015" w:rsidP="00EA5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01797" w14:textId="308F60B2" w:rsidR="00D00DA9" w:rsidRDefault="007A4438" w:rsidP="004E49BF">
    <w:pPr>
      <w:pStyle w:val="Footer"/>
    </w:pPr>
    <w:r>
      <w:t>PUBLIC</w:t>
    </w:r>
    <w:r w:rsidR="004E49BF">
      <w:tab/>
    </w:r>
    <w:r w:rsidR="003D22CC">
      <w:tab/>
    </w:r>
    <w:r w:rsidR="004E49BF">
      <w:tab/>
    </w:r>
    <w:sdt>
      <w:sdtPr>
        <w:id w:val="2057739483"/>
        <w:docPartObj>
          <w:docPartGallery w:val="Page Numbers (Bottom of Page)"/>
          <w:docPartUnique/>
        </w:docPartObj>
      </w:sdtPr>
      <w:sdtEndPr>
        <w:rPr>
          <w:noProof/>
        </w:rPr>
      </w:sdtEndPr>
      <w:sdtContent>
        <w:r w:rsidR="00D00DA9">
          <w:fldChar w:fldCharType="begin"/>
        </w:r>
        <w:r w:rsidR="00D00DA9">
          <w:instrText xml:space="preserve"> PAGE   \* MERGEFORMAT </w:instrText>
        </w:r>
        <w:r w:rsidR="00D00DA9">
          <w:fldChar w:fldCharType="separate"/>
        </w:r>
        <w:r w:rsidR="00D00DA9">
          <w:rPr>
            <w:noProof/>
          </w:rPr>
          <w:t>2</w:t>
        </w:r>
        <w:r w:rsidR="00D00DA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D0B3E" w14:textId="77777777" w:rsidR="00AF1015" w:rsidRDefault="00AF1015" w:rsidP="00EA5E06">
      <w:pPr>
        <w:spacing w:after="0" w:line="240" w:lineRule="auto"/>
      </w:pPr>
      <w:r>
        <w:separator/>
      </w:r>
    </w:p>
  </w:footnote>
  <w:footnote w:type="continuationSeparator" w:id="0">
    <w:p w14:paraId="7167A923" w14:textId="77777777" w:rsidR="00AF1015" w:rsidRDefault="00AF1015" w:rsidP="00EA5E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02432" w14:textId="5460F46C" w:rsidR="007B6A93" w:rsidRDefault="007A4438">
    <w:pPr>
      <w:pStyle w:val="Header"/>
    </w:pPr>
    <w: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C6680"/>
    <w:multiLevelType w:val="hybridMultilevel"/>
    <w:tmpl w:val="2C2E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A0974"/>
    <w:multiLevelType w:val="multilevel"/>
    <w:tmpl w:val="C388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9F587F"/>
    <w:multiLevelType w:val="hybridMultilevel"/>
    <w:tmpl w:val="B4444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F42E3C"/>
    <w:multiLevelType w:val="hybridMultilevel"/>
    <w:tmpl w:val="06368B78"/>
    <w:lvl w:ilvl="0" w:tplc="781085F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5B7607"/>
    <w:multiLevelType w:val="hybridMultilevel"/>
    <w:tmpl w:val="8A28C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E04971"/>
    <w:multiLevelType w:val="hybridMultilevel"/>
    <w:tmpl w:val="5F0A9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201177"/>
    <w:multiLevelType w:val="hybridMultilevel"/>
    <w:tmpl w:val="87E0364E"/>
    <w:lvl w:ilvl="0" w:tplc="CAD25464">
      <w:start w:val="1"/>
      <w:numFmt w:val="bullet"/>
      <w:lvlText w:val="•"/>
      <w:lvlJc w:val="left"/>
      <w:pPr>
        <w:tabs>
          <w:tab w:val="num" w:pos="720"/>
        </w:tabs>
        <w:ind w:left="720" w:hanging="360"/>
      </w:pPr>
      <w:rPr>
        <w:rFonts w:ascii="Arial" w:hAnsi="Arial" w:hint="default"/>
      </w:rPr>
    </w:lvl>
    <w:lvl w:ilvl="1" w:tplc="D09C8D3C" w:tentative="1">
      <w:start w:val="1"/>
      <w:numFmt w:val="bullet"/>
      <w:lvlText w:val="•"/>
      <w:lvlJc w:val="left"/>
      <w:pPr>
        <w:tabs>
          <w:tab w:val="num" w:pos="1440"/>
        </w:tabs>
        <w:ind w:left="1440" w:hanging="360"/>
      </w:pPr>
      <w:rPr>
        <w:rFonts w:ascii="Arial" w:hAnsi="Arial" w:hint="default"/>
      </w:rPr>
    </w:lvl>
    <w:lvl w:ilvl="2" w:tplc="B96C1424" w:tentative="1">
      <w:start w:val="1"/>
      <w:numFmt w:val="bullet"/>
      <w:lvlText w:val="•"/>
      <w:lvlJc w:val="left"/>
      <w:pPr>
        <w:tabs>
          <w:tab w:val="num" w:pos="2160"/>
        </w:tabs>
        <w:ind w:left="2160" w:hanging="360"/>
      </w:pPr>
      <w:rPr>
        <w:rFonts w:ascii="Arial" w:hAnsi="Arial" w:hint="default"/>
      </w:rPr>
    </w:lvl>
    <w:lvl w:ilvl="3" w:tplc="2BCA55AA" w:tentative="1">
      <w:start w:val="1"/>
      <w:numFmt w:val="bullet"/>
      <w:lvlText w:val="•"/>
      <w:lvlJc w:val="left"/>
      <w:pPr>
        <w:tabs>
          <w:tab w:val="num" w:pos="2880"/>
        </w:tabs>
        <w:ind w:left="2880" w:hanging="360"/>
      </w:pPr>
      <w:rPr>
        <w:rFonts w:ascii="Arial" w:hAnsi="Arial" w:hint="default"/>
      </w:rPr>
    </w:lvl>
    <w:lvl w:ilvl="4" w:tplc="EAB8552C" w:tentative="1">
      <w:start w:val="1"/>
      <w:numFmt w:val="bullet"/>
      <w:lvlText w:val="•"/>
      <w:lvlJc w:val="left"/>
      <w:pPr>
        <w:tabs>
          <w:tab w:val="num" w:pos="3600"/>
        </w:tabs>
        <w:ind w:left="3600" w:hanging="360"/>
      </w:pPr>
      <w:rPr>
        <w:rFonts w:ascii="Arial" w:hAnsi="Arial" w:hint="default"/>
      </w:rPr>
    </w:lvl>
    <w:lvl w:ilvl="5" w:tplc="F0B03758" w:tentative="1">
      <w:start w:val="1"/>
      <w:numFmt w:val="bullet"/>
      <w:lvlText w:val="•"/>
      <w:lvlJc w:val="left"/>
      <w:pPr>
        <w:tabs>
          <w:tab w:val="num" w:pos="4320"/>
        </w:tabs>
        <w:ind w:left="4320" w:hanging="360"/>
      </w:pPr>
      <w:rPr>
        <w:rFonts w:ascii="Arial" w:hAnsi="Arial" w:hint="default"/>
      </w:rPr>
    </w:lvl>
    <w:lvl w:ilvl="6" w:tplc="7E529054" w:tentative="1">
      <w:start w:val="1"/>
      <w:numFmt w:val="bullet"/>
      <w:lvlText w:val="•"/>
      <w:lvlJc w:val="left"/>
      <w:pPr>
        <w:tabs>
          <w:tab w:val="num" w:pos="5040"/>
        </w:tabs>
        <w:ind w:left="5040" w:hanging="360"/>
      </w:pPr>
      <w:rPr>
        <w:rFonts w:ascii="Arial" w:hAnsi="Arial" w:hint="default"/>
      </w:rPr>
    </w:lvl>
    <w:lvl w:ilvl="7" w:tplc="5AE68A1C" w:tentative="1">
      <w:start w:val="1"/>
      <w:numFmt w:val="bullet"/>
      <w:lvlText w:val="•"/>
      <w:lvlJc w:val="left"/>
      <w:pPr>
        <w:tabs>
          <w:tab w:val="num" w:pos="5760"/>
        </w:tabs>
        <w:ind w:left="5760" w:hanging="360"/>
      </w:pPr>
      <w:rPr>
        <w:rFonts w:ascii="Arial" w:hAnsi="Arial" w:hint="default"/>
      </w:rPr>
    </w:lvl>
    <w:lvl w:ilvl="8" w:tplc="C5946F3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3"/>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7"/>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4A0"/>
    <w:rsid w:val="000025BC"/>
    <w:rsid w:val="0000373D"/>
    <w:rsid w:val="000070F6"/>
    <w:rsid w:val="00007BC9"/>
    <w:rsid w:val="00013E06"/>
    <w:rsid w:val="00014970"/>
    <w:rsid w:val="000166C0"/>
    <w:rsid w:val="00022714"/>
    <w:rsid w:val="00023CBC"/>
    <w:rsid w:val="00025670"/>
    <w:rsid w:val="000265D3"/>
    <w:rsid w:val="00031D2B"/>
    <w:rsid w:val="00033C32"/>
    <w:rsid w:val="00034685"/>
    <w:rsid w:val="00036537"/>
    <w:rsid w:val="00040ECB"/>
    <w:rsid w:val="00042BFB"/>
    <w:rsid w:val="0005264F"/>
    <w:rsid w:val="000549A9"/>
    <w:rsid w:val="00061D59"/>
    <w:rsid w:val="00062474"/>
    <w:rsid w:val="0007036D"/>
    <w:rsid w:val="00070D24"/>
    <w:rsid w:val="000724F7"/>
    <w:rsid w:val="00076843"/>
    <w:rsid w:val="000855CC"/>
    <w:rsid w:val="000910D7"/>
    <w:rsid w:val="00092105"/>
    <w:rsid w:val="000927B1"/>
    <w:rsid w:val="00092A8D"/>
    <w:rsid w:val="00094015"/>
    <w:rsid w:val="00097864"/>
    <w:rsid w:val="000978FB"/>
    <w:rsid w:val="000A13C6"/>
    <w:rsid w:val="000A1574"/>
    <w:rsid w:val="000A19ED"/>
    <w:rsid w:val="000A3BE8"/>
    <w:rsid w:val="000A41EC"/>
    <w:rsid w:val="000A5828"/>
    <w:rsid w:val="000A58CE"/>
    <w:rsid w:val="000A5C1A"/>
    <w:rsid w:val="000A7D81"/>
    <w:rsid w:val="000B1199"/>
    <w:rsid w:val="000B5B2A"/>
    <w:rsid w:val="000C1470"/>
    <w:rsid w:val="000C160E"/>
    <w:rsid w:val="000C4EE4"/>
    <w:rsid w:val="000C4F98"/>
    <w:rsid w:val="000C77BE"/>
    <w:rsid w:val="000D1B38"/>
    <w:rsid w:val="000D4070"/>
    <w:rsid w:val="000D6060"/>
    <w:rsid w:val="000E1BBD"/>
    <w:rsid w:val="000E1BD5"/>
    <w:rsid w:val="000E5281"/>
    <w:rsid w:val="000E7F26"/>
    <w:rsid w:val="000F1ACA"/>
    <w:rsid w:val="000F7E2D"/>
    <w:rsid w:val="00100C00"/>
    <w:rsid w:val="00124E3E"/>
    <w:rsid w:val="0013561B"/>
    <w:rsid w:val="00136278"/>
    <w:rsid w:val="00140A42"/>
    <w:rsid w:val="00140D22"/>
    <w:rsid w:val="00145FE6"/>
    <w:rsid w:val="00171800"/>
    <w:rsid w:val="00174D67"/>
    <w:rsid w:val="00175B3E"/>
    <w:rsid w:val="00176F4C"/>
    <w:rsid w:val="00183D35"/>
    <w:rsid w:val="00187263"/>
    <w:rsid w:val="00191386"/>
    <w:rsid w:val="00192201"/>
    <w:rsid w:val="00192218"/>
    <w:rsid w:val="001961CE"/>
    <w:rsid w:val="001A0052"/>
    <w:rsid w:val="001A0616"/>
    <w:rsid w:val="001A2E54"/>
    <w:rsid w:val="001A4535"/>
    <w:rsid w:val="001A78E5"/>
    <w:rsid w:val="001B227A"/>
    <w:rsid w:val="001C41D9"/>
    <w:rsid w:val="001D0DAE"/>
    <w:rsid w:val="001D146B"/>
    <w:rsid w:val="001D438C"/>
    <w:rsid w:val="001E687D"/>
    <w:rsid w:val="00201FF9"/>
    <w:rsid w:val="00202325"/>
    <w:rsid w:val="00204DF5"/>
    <w:rsid w:val="002066E7"/>
    <w:rsid w:val="00213C15"/>
    <w:rsid w:val="002167C8"/>
    <w:rsid w:val="00217E6B"/>
    <w:rsid w:val="002265AD"/>
    <w:rsid w:val="00227ECF"/>
    <w:rsid w:val="0023142A"/>
    <w:rsid w:val="002351FC"/>
    <w:rsid w:val="002428C6"/>
    <w:rsid w:val="002434C4"/>
    <w:rsid w:val="002571AC"/>
    <w:rsid w:val="00262AF2"/>
    <w:rsid w:val="0026587B"/>
    <w:rsid w:val="00266318"/>
    <w:rsid w:val="00266D40"/>
    <w:rsid w:val="00271594"/>
    <w:rsid w:val="002778BF"/>
    <w:rsid w:val="00282C3F"/>
    <w:rsid w:val="00284951"/>
    <w:rsid w:val="0028535D"/>
    <w:rsid w:val="00286B3F"/>
    <w:rsid w:val="00286FEC"/>
    <w:rsid w:val="00287878"/>
    <w:rsid w:val="00290F3D"/>
    <w:rsid w:val="00292AD1"/>
    <w:rsid w:val="002A16DD"/>
    <w:rsid w:val="002A2891"/>
    <w:rsid w:val="002A6D11"/>
    <w:rsid w:val="002A7E66"/>
    <w:rsid w:val="002B1862"/>
    <w:rsid w:val="002C18BE"/>
    <w:rsid w:val="002C2CAA"/>
    <w:rsid w:val="002C582D"/>
    <w:rsid w:val="002C6148"/>
    <w:rsid w:val="002E09EC"/>
    <w:rsid w:val="002E7766"/>
    <w:rsid w:val="002F2074"/>
    <w:rsid w:val="002F3F30"/>
    <w:rsid w:val="002F4788"/>
    <w:rsid w:val="002F6EC3"/>
    <w:rsid w:val="00301C73"/>
    <w:rsid w:val="00306FD5"/>
    <w:rsid w:val="00313935"/>
    <w:rsid w:val="00317584"/>
    <w:rsid w:val="00321C8A"/>
    <w:rsid w:val="00327C85"/>
    <w:rsid w:val="00327E63"/>
    <w:rsid w:val="003301A1"/>
    <w:rsid w:val="00337773"/>
    <w:rsid w:val="00343800"/>
    <w:rsid w:val="003442B6"/>
    <w:rsid w:val="00344EB2"/>
    <w:rsid w:val="00351E5E"/>
    <w:rsid w:val="00353331"/>
    <w:rsid w:val="003700B5"/>
    <w:rsid w:val="00380A02"/>
    <w:rsid w:val="0038232F"/>
    <w:rsid w:val="00383D06"/>
    <w:rsid w:val="0038724B"/>
    <w:rsid w:val="003876F3"/>
    <w:rsid w:val="00390BA4"/>
    <w:rsid w:val="003914A0"/>
    <w:rsid w:val="003A319D"/>
    <w:rsid w:val="003A3F7F"/>
    <w:rsid w:val="003A7E98"/>
    <w:rsid w:val="003B0789"/>
    <w:rsid w:val="003C10BD"/>
    <w:rsid w:val="003D22CC"/>
    <w:rsid w:val="003E0846"/>
    <w:rsid w:val="003E1E59"/>
    <w:rsid w:val="003E647F"/>
    <w:rsid w:val="003E6B5A"/>
    <w:rsid w:val="003F14E7"/>
    <w:rsid w:val="003F618F"/>
    <w:rsid w:val="00411D12"/>
    <w:rsid w:val="00412A85"/>
    <w:rsid w:val="004156EA"/>
    <w:rsid w:val="00424042"/>
    <w:rsid w:val="00425DFA"/>
    <w:rsid w:val="00426214"/>
    <w:rsid w:val="004302EC"/>
    <w:rsid w:val="00442E63"/>
    <w:rsid w:val="00446915"/>
    <w:rsid w:val="0044723F"/>
    <w:rsid w:val="004536FE"/>
    <w:rsid w:val="00457FA4"/>
    <w:rsid w:val="0046199D"/>
    <w:rsid w:val="00465B2A"/>
    <w:rsid w:val="0048033E"/>
    <w:rsid w:val="004818BA"/>
    <w:rsid w:val="00482A5E"/>
    <w:rsid w:val="00491DA9"/>
    <w:rsid w:val="004920BD"/>
    <w:rsid w:val="004971A7"/>
    <w:rsid w:val="00497571"/>
    <w:rsid w:val="0049773A"/>
    <w:rsid w:val="00497D4C"/>
    <w:rsid w:val="004A00B0"/>
    <w:rsid w:val="004A3D02"/>
    <w:rsid w:val="004B21A3"/>
    <w:rsid w:val="004B5BD5"/>
    <w:rsid w:val="004C1C55"/>
    <w:rsid w:val="004D20B9"/>
    <w:rsid w:val="004D3B3B"/>
    <w:rsid w:val="004E23A9"/>
    <w:rsid w:val="004E49BF"/>
    <w:rsid w:val="004F1BED"/>
    <w:rsid w:val="004F598E"/>
    <w:rsid w:val="00504362"/>
    <w:rsid w:val="00510A6C"/>
    <w:rsid w:val="0051187C"/>
    <w:rsid w:val="00515362"/>
    <w:rsid w:val="005275E2"/>
    <w:rsid w:val="005313B6"/>
    <w:rsid w:val="00537304"/>
    <w:rsid w:val="0054095F"/>
    <w:rsid w:val="00541FCE"/>
    <w:rsid w:val="0054429B"/>
    <w:rsid w:val="00547641"/>
    <w:rsid w:val="005579F5"/>
    <w:rsid w:val="005600EE"/>
    <w:rsid w:val="005633AB"/>
    <w:rsid w:val="00566BAB"/>
    <w:rsid w:val="005717DD"/>
    <w:rsid w:val="005764BE"/>
    <w:rsid w:val="00577009"/>
    <w:rsid w:val="00577014"/>
    <w:rsid w:val="005775D5"/>
    <w:rsid w:val="00577965"/>
    <w:rsid w:val="0058228E"/>
    <w:rsid w:val="00584AB4"/>
    <w:rsid w:val="005864D5"/>
    <w:rsid w:val="0059302C"/>
    <w:rsid w:val="00594650"/>
    <w:rsid w:val="005A7365"/>
    <w:rsid w:val="005C0ADA"/>
    <w:rsid w:val="005C665B"/>
    <w:rsid w:val="005D0219"/>
    <w:rsid w:val="005D0C6F"/>
    <w:rsid w:val="005D3959"/>
    <w:rsid w:val="005D4FB8"/>
    <w:rsid w:val="005D7C69"/>
    <w:rsid w:val="005E1C5E"/>
    <w:rsid w:val="005F4A65"/>
    <w:rsid w:val="005F5DE6"/>
    <w:rsid w:val="0060131F"/>
    <w:rsid w:val="00604CBE"/>
    <w:rsid w:val="00614B65"/>
    <w:rsid w:val="00616393"/>
    <w:rsid w:val="00616D14"/>
    <w:rsid w:val="00624481"/>
    <w:rsid w:val="0063064D"/>
    <w:rsid w:val="00630E59"/>
    <w:rsid w:val="00631D4E"/>
    <w:rsid w:val="00635660"/>
    <w:rsid w:val="00636DE5"/>
    <w:rsid w:val="00647B56"/>
    <w:rsid w:val="0065610E"/>
    <w:rsid w:val="00661B3C"/>
    <w:rsid w:val="00664EE1"/>
    <w:rsid w:val="006779AF"/>
    <w:rsid w:val="00677C02"/>
    <w:rsid w:val="00680060"/>
    <w:rsid w:val="00683B79"/>
    <w:rsid w:val="00691515"/>
    <w:rsid w:val="00694D0D"/>
    <w:rsid w:val="006A642F"/>
    <w:rsid w:val="006A7016"/>
    <w:rsid w:val="006B20DE"/>
    <w:rsid w:val="006B2CD8"/>
    <w:rsid w:val="006B3C59"/>
    <w:rsid w:val="006B5A3D"/>
    <w:rsid w:val="006C68C3"/>
    <w:rsid w:val="006D0427"/>
    <w:rsid w:val="006D2174"/>
    <w:rsid w:val="006E1B08"/>
    <w:rsid w:val="006E2D26"/>
    <w:rsid w:val="00705C66"/>
    <w:rsid w:val="007112B4"/>
    <w:rsid w:val="007153A4"/>
    <w:rsid w:val="00716647"/>
    <w:rsid w:val="0071706C"/>
    <w:rsid w:val="007204F4"/>
    <w:rsid w:val="007206B4"/>
    <w:rsid w:val="00720A0A"/>
    <w:rsid w:val="00721157"/>
    <w:rsid w:val="0072122C"/>
    <w:rsid w:val="007352E3"/>
    <w:rsid w:val="007414E5"/>
    <w:rsid w:val="007477FD"/>
    <w:rsid w:val="00750626"/>
    <w:rsid w:val="00752C97"/>
    <w:rsid w:val="0075426B"/>
    <w:rsid w:val="00761769"/>
    <w:rsid w:val="00762508"/>
    <w:rsid w:val="0078461F"/>
    <w:rsid w:val="00785B2A"/>
    <w:rsid w:val="0079335B"/>
    <w:rsid w:val="0079429F"/>
    <w:rsid w:val="007955C7"/>
    <w:rsid w:val="00795A8C"/>
    <w:rsid w:val="007A1122"/>
    <w:rsid w:val="007A399D"/>
    <w:rsid w:val="007A4438"/>
    <w:rsid w:val="007A70BC"/>
    <w:rsid w:val="007B1C58"/>
    <w:rsid w:val="007B6A93"/>
    <w:rsid w:val="007D055D"/>
    <w:rsid w:val="007D6543"/>
    <w:rsid w:val="007D6D0D"/>
    <w:rsid w:val="007E4842"/>
    <w:rsid w:val="007E54A0"/>
    <w:rsid w:val="007E786D"/>
    <w:rsid w:val="007F1EC2"/>
    <w:rsid w:val="007F29BD"/>
    <w:rsid w:val="007F31FE"/>
    <w:rsid w:val="007F512F"/>
    <w:rsid w:val="007F7D38"/>
    <w:rsid w:val="00804493"/>
    <w:rsid w:val="008044CE"/>
    <w:rsid w:val="008053ED"/>
    <w:rsid w:val="00815047"/>
    <w:rsid w:val="0081547A"/>
    <w:rsid w:val="00824701"/>
    <w:rsid w:val="00824A13"/>
    <w:rsid w:val="00824ACF"/>
    <w:rsid w:val="00826482"/>
    <w:rsid w:val="0083183D"/>
    <w:rsid w:val="00832C21"/>
    <w:rsid w:val="00833184"/>
    <w:rsid w:val="0083631F"/>
    <w:rsid w:val="0083646A"/>
    <w:rsid w:val="0084231B"/>
    <w:rsid w:val="008428BB"/>
    <w:rsid w:val="008444A1"/>
    <w:rsid w:val="00845565"/>
    <w:rsid w:val="008561A7"/>
    <w:rsid w:val="00856C6C"/>
    <w:rsid w:val="00856EB6"/>
    <w:rsid w:val="008626CA"/>
    <w:rsid w:val="00862772"/>
    <w:rsid w:val="00866559"/>
    <w:rsid w:val="00871622"/>
    <w:rsid w:val="0088037E"/>
    <w:rsid w:val="00880E9B"/>
    <w:rsid w:val="00884B6C"/>
    <w:rsid w:val="00890870"/>
    <w:rsid w:val="00890BE8"/>
    <w:rsid w:val="008937EC"/>
    <w:rsid w:val="008976C6"/>
    <w:rsid w:val="008A1EF3"/>
    <w:rsid w:val="008A5B2B"/>
    <w:rsid w:val="008A6689"/>
    <w:rsid w:val="008A6D2A"/>
    <w:rsid w:val="008A7778"/>
    <w:rsid w:val="008B3697"/>
    <w:rsid w:val="008B5F14"/>
    <w:rsid w:val="008C59ED"/>
    <w:rsid w:val="008D480B"/>
    <w:rsid w:val="008D67ED"/>
    <w:rsid w:val="008E57CF"/>
    <w:rsid w:val="008F123E"/>
    <w:rsid w:val="009047F9"/>
    <w:rsid w:val="009149C8"/>
    <w:rsid w:val="00920659"/>
    <w:rsid w:val="0092408F"/>
    <w:rsid w:val="00925006"/>
    <w:rsid w:val="00927895"/>
    <w:rsid w:val="00934668"/>
    <w:rsid w:val="009355FD"/>
    <w:rsid w:val="009409E6"/>
    <w:rsid w:val="00954565"/>
    <w:rsid w:val="0095499B"/>
    <w:rsid w:val="00957A04"/>
    <w:rsid w:val="00964F66"/>
    <w:rsid w:val="0096724F"/>
    <w:rsid w:val="00970758"/>
    <w:rsid w:val="00980FC4"/>
    <w:rsid w:val="00984A6E"/>
    <w:rsid w:val="009A0A14"/>
    <w:rsid w:val="009A6A71"/>
    <w:rsid w:val="009B44F5"/>
    <w:rsid w:val="009B59E0"/>
    <w:rsid w:val="009B68AF"/>
    <w:rsid w:val="009B7C34"/>
    <w:rsid w:val="009E30C7"/>
    <w:rsid w:val="009E3F43"/>
    <w:rsid w:val="009E7D20"/>
    <w:rsid w:val="009F4B64"/>
    <w:rsid w:val="00A05FA0"/>
    <w:rsid w:val="00A141FF"/>
    <w:rsid w:val="00A1480E"/>
    <w:rsid w:val="00A20920"/>
    <w:rsid w:val="00A24E8D"/>
    <w:rsid w:val="00A27A67"/>
    <w:rsid w:val="00A30DF1"/>
    <w:rsid w:val="00A32E08"/>
    <w:rsid w:val="00A33089"/>
    <w:rsid w:val="00A33B32"/>
    <w:rsid w:val="00A34C1A"/>
    <w:rsid w:val="00A3770B"/>
    <w:rsid w:val="00A43DFB"/>
    <w:rsid w:val="00A50265"/>
    <w:rsid w:val="00A53F63"/>
    <w:rsid w:val="00A629DB"/>
    <w:rsid w:val="00A6580E"/>
    <w:rsid w:val="00A74005"/>
    <w:rsid w:val="00A7577D"/>
    <w:rsid w:val="00A75819"/>
    <w:rsid w:val="00A76E46"/>
    <w:rsid w:val="00A80EA9"/>
    <w:rsid w:val="00A83AD1"/>
    <w:rsid w:val="00A84EB0"/>
    <w:rsid w:val="00AA0963"/>
    <w:rsid w:val="00AA5795"/>
    <w:rsid w:val="00AA7B5A"/>
    <w:rsid w:val="00AB19C8"/>
    <w:rsid w:val="00AB2E54"/>
    <w:rsid w:val="00AC0061"/>
    <w:rsid w:val="00AC7A2E"/>
    <w:rsid w:val="00AD00D7"/>
    <w:rsid w:val="00AD1328"/>
    <w:rsid w:val="00AD753F"/>
    <w:rsid w:val="00AE24B8"/>
    <w:rsid w:val="00AF1015"/>
    <w:rsid w:val="00AF1944"/>
    <w:rsid w:val="00AF36B9"/>
    <w:rsid w:val="00AF3F66"/>
    <w:rsid w:val="00AF591C"/>
    <w:rsid w:val="00AF59C4"/>
    <w:rsid w:val="00B10A34"/>
    <w:rsid w:val="00B12110"/>
    <w:rsid w:val="00B13312"/>
    <w:rsid w:val="00B1594A"/>
    <w:rsid w:val="00B2528C"/>
    <w:rsid w:val="00B26D16"/>
    <w:rsid w:val="00B314BE"/>
    <w:rsid w:val="00B341FD"/>
    <w:rsid w:val="00B34D54"/>
    <w:rsid w:val="00B36B22"/>
    <w:rsid w:val="00B43657"/>
    <w:rsid w:val="00B458A6"/>
    <w:rsid w:val="00B45F11"/>
    <w:rsid w:val="00B50A9A"/>
    <w:rsid w:val="00B546FB"/>
    <w:rsid w:val="00B56E92"/>
    <w:rsid w:val="00B57F0D"/>
    <w:rsid w:val="00B64E91"/>
    <w:rsid w:val="00B665F2"/>
    <w:rsid w:val="00B669CF"/>
    <w:rsid w:val="00B676D0"/>
    <w:rsid w:val="00B75CDD"/>
    <w:rsid w:val="00B77DD2"/>
    <w:rsid w:val="00B837C5"/>
    <w:rsid w:val="00B83C5B"/>
    <w:rsid w:val="00BA1BC0"/>
    <w:rsid w:val="00BB0C45"/>
    <w:rsid w:val="00BC05D7"/>
    <w:rsid w:val="00BC6CAE"/>
    <w:rsid w:val="00BD00D0"/>
    <w:rsid w:val="00BD0800"/>
    <w:rsid w:val="00BE0535"/>
    <w:rsid w:val="00BE334D"/>
    <w:rsid w:val="00BE5EE7"/>
    <w:rsid w:val="00BE722E"/>
    <w:rsid w:val="00C001B7"/>
    <w:rsid w:val="00C02E3C"/>
    <w:rsid w:val="00C12232"/>
    <w:rsid w:val="00C12B0E"/>
    <w:rsid w:val="00C15C37"/>
    <w:rsid w:val="00C206F6"/>
    <w:rsid w:val="00C20C6D"/>
    <w:rsid w:val="00C23BAF"/>
    <w:rsid w:val="00C25368"/>
    <w:rsid w:val="00C25993"/>
    <w:rsid w:val="00C27DF0"/>
    <w:rsid w:val="00C321BC"/>
    <w:rsid w:val="00C33EBF"/>
    <w:rsid w:val="00C52699"/>
    <w:rsid w:val="00C57FED"/>
    <w:rsid w:val="00C66DC4"/>
    <w:rsid w:val="00C707B9"/>
    <w:rsid w:val="00C72B05"/>
    <w:rsid w:val="00C73FE6"/>
    <w:rsid w:val="00C7737A"/>
    <w:rsid w:val="00C83E85"/>
    <w:rsid w:val="00C84564"/>
    <w:rsid w:val="00C91539"/>
    <w:rsid w:val="00CA23FA"/>
    <w:rsid w:val="00CB42C1"/>
    <w:rsid w:val="00CC1D09"/>
    <w:rsid w:val="00CC768D"/>
    <w:rsid w:val="00CD786F"/>
    <w:rsid w:val="00CE2034"/>
    <w:rsid w:val="00CE6480"/>
    <w:rsid w:val="00CF37CA"/>
    <w:rsid w:val="00D00DA9"/>
    <w:rsid w:val="00D1248D"/>
    <w:rsid w:val="00D15863"/>
    <w:rsid w:val="00D21B63"/>
    <w:rsid w:val="00D3105D"/>
    <w:rsid w:val="00D32C5A"/>
    <w:rsid w:val="00D366E0"/>
    <w:rsid w:val="00D409BD"/>
    <w:rsid w:val="00D44D85"/>
    <w:rsid w:val="00D47B94"/>
    <w:rsid w:val="00D53AC8"/>
    <w:rsid w:val="00D55215"/>
    <w:rsid w:val="00D56CCB"/>
    <w:rsid w:val="00D610E9"/>
    <w:rsid w:val="00D63A94"/>
    <w:rsid w:val="00D662BD"/>
    <w:rsid w:val="00D67593"/>
    <w:rsid w:val="00D72B4D"/>
    <w:rsid w:val="00D7345C"/>
    <w:rsid w:val="00D750FF"/>
    <w:rsid w:val="00D81A6E"/>
    <w:rsid w:val="00D83740"/>
    <w:rsid w:val="00D93FAB"/>
    <w:rsid w:val="00D97C95"/>
    <w:rsid w:val="00D97DA2"/>
    <w:rsid w:val="00DA08FC"/>
    <w:rsid w:val="00DA73E4"/>
    <w:rsid w:val="00DB23AF"/>
    <w:rsid w:val="00DB4BD9"/>
    <w:rsid w:val="00DB6ABE"/>
    <w:rsid w:val="00DD5546"/>
    <w:rsid w:val="00DD7BA2"/>
    <w:rsid w:val="00DD7D01"/>
    <w:rsid w:val="00DE0254"/>
    <w:rsid w:val="00DE094F"/>
    <w:rsid w:val="00DE633B"/>
    <w:rsid w:val="00DF2F79"/>
    <w:rsid w:val="00E00A82"/>
    <w:rsid w:val="00E04773"/>
    <w:rsid w:val="00E051EF"/>
    <w:rsid w:val="00E0699C"/>
    <w:rsid w:val="00E176D2"/>
    <w:rsid w:val="00E2069E"/>
    <w:rsid w:val="00E315DE"/>
    <w:rsid w:val="00E431AA"/>
    <w:rsid w:val="00E54379"/>
    <w:rsid w:val="00E56237"/>
    <w:rsid w:val="00E60117"/>
    <w:rsid w:val="00E64AC0"/>
    <w:rsid w:val="00E71E91"/>
    <w:rsid w:val="00E73118"/>
    <w:rsid w:val="00E74CD3"/>
    <w:rsid w:val="00E77675"/>
    <w:rsid w:val="00E77917"/>
    <w:rsid w:val="00E804EB"/>
    <w:rsid w:val="00E811B0"/>
    <w:rsid w:val="00E81333"/>
    <w:rsid w:val="00E8240D"/>
    <w:rsid w:val="00E829B4"/>
    <w:rsid w:val="00E85A84"/>
    <w:rsid w:val="00E863EC"/>
    <w:rsid w:val="00E87165"/>
    <w:rsid w:val="00E94784"/>
    <w:rsid w:val="00EA0768"/>
    <w:rsid w:val="00EA20BF"/>
    <w:rsid w:val="00EA28ED"/>
    <w:rsid w:val="00EA2B34"/>
    <w:rsid w:val="00EA5E06"/>
    <w:rsid w:val="00EA7371"/>
    <w:rsid w:val="00EA7490"/>
    <w:rsid w:val="00EC2CD6"/>
    <w:rsid w:val="00EC416B"/>
    <w:rsid w:val="00ED2215"/>
    <w:rsid w:val="00ED504C"/>
    <w:rsid w:val="00ED5474"/>
    <w:rsid w:val="00EE78C3"/>
    <w:rsid w:val="00F07416"/>
    <w:rsid w:val="00F127FB"/>
    <w:rsid w:val="00F155C0"/>
    <w:rsid w:val="00F2001A"/>
    <w:rsid w:val="00F2010D"/>
    <w:rsid w:val="00F21685"/>
    <w:rsid w:val="00F21B4D"/>
    <w:rsid w:val="00F27DC6"/>
    <w:rsid w:val="00F34C3C"/>
    <w:rsid w:val="00F433B8"/>
    <w:rsid w:val="00F476C4"/>
    <w:rsid w:val="00F47F80"/>
    <w:rsid w:val="00F5454D"/>
    <w:rsid w:val="00F660B1"/>
    <w:rsid w:val="00F70745"/>
    <w:rsid w:val="00F7390B"/>
    <w:rsid w:val="00F8156E"/>
    <w:rsid w:val="00FA2347"/>
    <w:rsid w:val="00FA39EF"/>
    <w:rsid w:val="00FC0A8D"/>
    <w:rsid w:val="00FC1827"/>
    <w:rsid w:val="00FC322E"/>
    <w:rsid w:val="00FC37B0"/>
    <w:rsid w:val="00FC4A18"/>
    <w:rsid w:val="00FD0D44"/>
    <w:rsid w:val="00FD141C"/>
    <w:rsid w:val="00FD3305"/>
    <w:rsid w:val="00FE1B9F"/>
    <w:rsid w:val="00FE72B5"/>
    <w:rsid w:val="00FF2CF4"/>
    <w:rsid w:val="00FF5BA9"/>
    <w:rsid w:val="00FF7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E3E5B86"/>
  <w15:docId w15:val="{897DEADC-0EF8-40F3-9A6C-CF9D532EE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4A0"/>
  </w:style>
  <w:style w:type="paragraph" w:styleId="Heading1">
    <w:name w:val="heading 1"/>
    <w:basedOn w:val="Normal"/>
    <w:next w:val="Normal"/>
    <w:link w:val="Heading1Char"/>
    <w:uiPriority w:val="9"/>
    <w:qFormat/>
    <w:rsid w:val="007204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14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4A0"/>
    <w:rPr>
      <w:rFonts w:ascii="Tahoma" w:hAnsi="Tahoma" w:cs="Tahoma"/>
      <w:sz w:val="16"/>
      <w:szCs w:val="16"/>
    </w:rPr>
  </w:style>
  <w:style w:type="paragraph" w:styleId="Header">
    <w:name w:val="header"/>
    <w:basedOn w:val="Normal"/>
    <w:link w:val="HeaderChar"/>
    <w:uiPriority w:val="99"/>
    <w:unhideWhenUsed/>
    <w:rsid w:val="00EA5E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E06"/>
  </w:style>
  <w:style w:type="paragraph" w:styleId="Footer">
    <w:name w:val="footer"/>
    <w:basedOn w:val="Normal"/>
    <w:link w:val="FooterChar"/>
    <w:uiPriority w:val="99"/>
    <w:unhideWhenUsed/>
    <w:rsid w:val="00EA5E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E06"/>
  </w:style>
  <w:style w:type="character" w:styleId="Hyperlink">
    <w:name w:val="Hyperlink"/>
    <w:basedOn w:val="DefaultParagraphFont"/>
    <w:uiPriority w:val="99"/>
    <w:unhideWhenUsed/>
    <w:rsid w:val="003700B5"/>
    <w:rPr>
      <w:color w:val="0000FF"/>
      <w:u w:val="single"/>
    </w:rPr>
  </w:style>
  <w:style w:type="paragraph" w:styleId="FootnoteText">
    <w:name w:val="footnote text"/>
    <w:basedOn w:val="Normal"/>
    <w:link w:val="FootnoteTextChar"/>
    <w:uiPriority w:val="99"/>
    <w:semiHidden/>
    <w:unhideWhenUsed/>
    <w:rsid w:val="002314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142A"/>
    <w:rPr>
      <w:sz w:val="20"/>
      <w:szCs w:val="20"/>
    </w:rPr>
  </w:style>
  <w:style w:type="character" w:styleId="FootnoteReference">
    <w:name w:val="footnote reference"/>
    <w:basedOn w:val="DefaultParagraphFont"/>
    <w:uiPriority w:val="99"/>
    <w:semiHidden/>
    <w:unhideWhenUsed/>
    <w:rsid w:val="0023142A"/>
    <w:rPr>
      <w:vertAlign w:val="superscript"/>
    </w:rPr>
  </w:style>
  <w:style w:type="table" w:styleId="TableGrid">
    <w:name w:val="Table Grid"/>
    <w:basedOn w:val="TableNormal"/>
    <w:uiPriority w:val="59"/>
    <w:rsid w:val="00AF3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3F66"/>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uiPriority w:val="35"/>
    <w:unhideWhenUsed/>
    <w:qFormat/>
    <w:rsid w:val="00007BC9"/>
    <w:pPr>
      <w:spacing w:after="0" w:line="240" w:lineRule="auto"/>
    </w:pPr>
    <w:rPr>
      <w:i/>
      <w:iCs/>
      <w:color w:val="000000" w:themeColor="text1"/>
      <w:szCs w:val="18"/>
    </w:rPr>
  </w:style>
  <w:style w:type="paragraph" w:styleId="NormalWeb">
    <w:name w:val="Normal (Web)"/>
    <w:basedOn w:val="Normal"/>
    <w:uiPriority w:val="99"/>
    <w:unhideWhenUsed/>
    <w:rsid w:val="00390B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C27DF0"/>
    <w:rPr>
      <w:color w:val="605E5C"/>
      <w:shd w:val="clear" w:color="auto" w:fill="E1DFDD"/>
    </w:rPr>
  </w:style>
  <w:style w:type="paragraph" w:styleId="BodyText">
    <w:name w:val="Body Text"/>
    <w:basedOn w:val="Normal"/>
    <w:link w:val="BodyTextChar"/>
    <w:qFormat/>
    <w:rsid w:val="000B5B2A"/>
    <w:pPr>
      <w:spacing w:before="180" w:after="180" w:line="240" w:lineRule="auto"/>
    </w:pPr>
    <w:rPr>
      <w:rFonts w:ascii="Arial" w:eastAsiaTheme="minorEastAsia" w:hAnsi="Arial" w:cs="Times New Roman"/>
      <w:szCs w:val="24"/>
      <w:lang w:val="en-US"/>
    </w:rPr>
  </w:style>
  <w:style w:type="character" w:customStyle="1" w:styleId="BodyTextChar">
    <w:name w:val="Body Text Char"/>
    <w:basedOn w:val="DefaultParagraphFont"/>
    <w:link w:val="BodyText"/>
    <w:rsid w:val="000B5B2A"/>
    <w:rPr>
      <w:rFonts w:ascii="Arial" w:eastAsiaTheme="minorEastAsia" w:hAnsi="Arial" w:cs="Times New Roman"/>
      <w:szCs w:val="24"/>
      <w:lang w:val="en-US"/>
    </w:rPr>
  </w:style>
  <w:style w:type="paragraph" w:styleId="ListParagraph">
    <w:name w:val="List Paragraph"/>
    <w:basedOn w:val="Normal"/>
    <w:uiPriority w:val="34"/>
    <w:qFormat/>
    <w:rsid w:val="00AC7A2E"/>
    <w:pPr>
      <w:spacing w:after="160" w:line="259" w:lineRule="auto"/>
      <w:ind w:left="720"/>
      <w:contextualSpacing/>
    </w:pPr>
  </w:style>
  <w:style w:type="character" w:customStyle="1" w:styleId="Heading1Char">
    <w:name w:val="Heading 1 Char"/>
    <w:basedOn w:val="DefaultParagraphFont"/>
    <w:link w:val="Heading1"/>
    <w:uiPriority w:val="9"/>
    <w:rsid w:val="007204F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495779">
      <w:bodyDiv w:val="1"/>
      <w:marLeft w:val="0"/>
      <w:marRight w:val="0"/>
      <w:marTop w:val="0"/>
      <w:marBottom w:val="0"/>
      <w:divBdr>
        <w:top w:val="none" w:sz="0" w:space="0" w:color="auto"/>
        <w:left w:val="none" w:sz="0" w:space="0" w:color="auto"/>
        <w:bottom w:val="none" w:sz="0" w:space="0" w:color="auto"/>
        <w:right w:val="none" w:sz="0" w:space="0" w:color="auto"/>
      </w:divBdr>
    </w:div>
    <w:div w:id="351030262">
      <w:bodyDiv w:val="1"/>
      <w:marLeft w:val="0"/>
      <w:marRight w:val="0"/>
      <w:marTop w:val="0"/>
      <w:marBottom w:val="0"/>
      <w:divBdr>
        <w:top w:val="none" w:sz="0" w:space="0" w:color="auto"/>
        <w:left w:val="none" w:sz="0" w:space="0" w:color="auto"/>
        <w:bottom w:val="none" w:sz="0" w:space="0" w:color="auto"/>
        <w:right w:val="none" w:sz="0" w:space="0" w:color="auto"/>
      </w:divBdr>
    </w:div>
    <w:div w:id="668023765">
      <w:bodyDiv w:val="1"/>
      <w:marLeft w:val="0"/>
      <w:marRight w:val="0"/>
      <w:marTop w:val="0"/>
      <w:marBottom w:val="0"/>
      <w:divBdr>
        <w:top w:val="none" w:sz="0" w:space="0" w:color="auto"/>
        <w:left w:val="none" w:sz="0" w:space="0" w:color="auto"/>
        <w:bottom w:val="none" w:sz="0" w:space="0" w:color="auto"/>
        <w:right w:val="none" w:sz="0" w:space="0" w:color="auto"/>
      </w:divBdr>
    </w:div>
    <w:div w:id="749544688">
      <w:bodyDiv w:val="1"/>
      <w:marLeft w:val="0"/>
      <w:marRight w:val="0"/>
      <w:marTop w:val="0"/>
      <w:marBottom w:val="0"/>
      <w:divBdr>
        <w:top w:val="none" w:sz="0" w:space="0" w:color="auto"/>
        <w:left w:val="none" w:sz="0" w:space="0" w:color="auto"/>
        <w:bottom w:val="none" w:sz="0" w:space="0" w:color="auto"/>
        <w:right w:val="none" w:sz="0" w:space="0" w:color="auto"/>
      </w:divBdr>
    </w:div>
    <w:div w:id="877740613">
      <w:bodyDiv w:val="1"/>
      <w:marLeft w:val="0"/>
      <w:marRight w:val="0"/>
      <w:marTop w:val="0"/>
      <w:marBottom w:val="0"/>
      <w:divBdr>
        <w:top w:val="none" w:sz="0" w:space="0" w:color="auto"/>
        <w:left w:val="none" w:sz="0" w:space="0" w:color="auto"/>
        <w:bottom w:val="none" w:sz="0" w:space="0" w:color="auto"/>
        <w:right w:val="none" w:sz="0" w:space="0" w:color="auto"/>
      </w:divBdr>
      <w:divsChild>
        <w:div w:id="1497838497">
          <w:marLeft w:val="0"/>
          <w:marRight w:val="0"/>
          <w:marTop w:val="0"/>
          <w:marBottom w:val="0"/>
          <w:divBdr>
            <w:top w:val="none" w:sz="0" w:space="0" w:color="auto"/>
            <w:left w:val="none" w:sz="0" w:space="0" w:color="auto"/>
            <w:bottom w:val="none" w:sz="0" w:space="0" w:color="auto"/>
            <w:right w:val="none" w:sz="0" w:space="0" w:color="auto"/>
          </w:divBdr>
        </w:div>
      </w:divsChild>
    </w:div>
    <w:div w:id="895049731">
      <w:bodyDiv w:val="1"/>
      <w:marLeft w:val="0"/>
      <w:marRight w:val="0"/>
      <w:marTop w:val="0"/>
      <w:marBottom w:val="0"/>
      <w:divBdr>
        <w:top w:val="none" w:sz="0" w:space="0" w:color="auto"/>
        <w:left w:val="none" w:sz="0" w:space="0" w:color="auto"/>
        <w:bottom w:val="none" w:sz="0" w:space="0" w:color="auto"/>
        <w:right w:val="none" w:sz="0" w:space="0" w:color="auto"/>
      </w:divBdr>
      <w:divsChild>
        <w:div w:id="1771924822">
          <w:marLeft w:val="0"/>
          <w:marRight w:val="0"/>
          <w:marTop w:val="0"/>
          <w:marBottom w:val="0"/>
          <w:divBdr>
            <w:top w:val="none" w:sz="0" w:space="0" w:color="auto"/>
            <w:left w:val="none" w:sz="0" w:space="0" w:color="auto"/>
            <w:bottom w:val="none" w:sz="0" w:space="0" w:color="auto"/>
            <w:right w:val="none" w:sz="0" w:space="0" w:color="auto"/>
          </w:divBdr>
        </w:div>
      </w:divsChild>
    </w:div>
    <w:div w:id="907154182">
      <w:bodyDiv w:val="1"/>
      <w:marLeft w:val="0"/>
      <w:marRight w:val="0"/>
      <w:marTop w:val="0"/>
      <w:marBottom w:val="0"/>
      <w:divBdr>
        <w:top w:val="none" w:sz="0" w:space="0" w:color="auto"/>
        <w:left w:val="none" w:sz="0" w:space="0" w:color="auto"/>
        <w:bottom w:val="none" w:sz="0" w:space="0" w:color="auto"/>
        <w:right w:val="none" w:sz="0" w:space="0" w:color="auto"/>
      </w:divBdr>
      <w:divsChild>
        <w:div w:id="16391389">
          <w:marLeft w:val="446"/>
          <w:marRight w:val="0"/>
          <w:marTop w:val="0"/>
          <w:marBottom w:val="0"/>
          <w:divBdr>
            <w:top w:val="none" w:sz="0" w:space="0" w:color="auto"/>
            <w:left w:val="none" w:sz="0" w:space="0" w:color="auto"/>
            <w:bottom w:val="none" w:sz="0" w:space="0" w:color="auto"/>
            <w:right w:val="none" w:sz="0" w:space="0" w:color="auto"/>
          </w:divBdr>
        </w:div>
        <w:div w:id="2146502275">
          <w:marLeft w:val="446"/>
          <w:marRight w:val="0"/>
          <w:marTop w:val="0"/>
          <w:marBottom w:val="0"/>
          <w:divBdr>
            <w:top w:val="none" w:sz="0" w:space="0" w:color="auto"/>
            <w:left w:val="none" w:sz="0" w:space="0" w:color="auto"/>
            <w:bottom w:val="none" w:sz="0" w:space="0" w:color="auto"/>
            <w:right w:val="none" w:sz="0" w:space="0" w:color="auto"/>
          </w:divBdr>
        </w:div>
        <w:div w:id="195626149">
          <w:marLeft w:val="446"/>
          <w:marRight w:val="0"/>
          <w:marTop w:val="0"/>
          <w:marBottom w:val="0"/>
          <w:divBdr>
            <w:top w:val="none" w:sz="0" w:space="0" w:color="auto"/>
            <w:left w:val="none" w:sz="0" w:space="0" w:color="auto"/>
            <w:bottom w:val="none" w:sz="0" w:space="0" w:color="auto"/>
            <w:right w:val="none" w:sz="0" w:space="0" w:color="auto"/>
          </w:divBdr>
        </w:div>
      </w:divsChild>
    </w:div>
    <w:div w:id="1023944565">
      <w:bodyDiv w:val="1"/>
      <w:marLeft w:val="0"/>
      <w:marRight w:val="0"/>
      <w:marTop w:val="0"/>
      <w:marBottom w:val="0"/>
      <w:divBdr>
        <w:top w:val="none" w:sz="0" w:space="0" w:color="auto"/>
        <w:left w:val="none" w:sz="0" w:space="0" w:color="auto"/>
        <w:bottom w:val="none" w:sz="0" w:space="0" w:color="auto"/>
        <w:right w:val="none" w:sz="0" w:space="0" w:color="auto"/>
      </w:divBdr>
      <w:divsChild>
        <w:div w:id="888417745">
          <w:marLeft w:val="0"/>
          <w:marRight w:val="0"/>
          <w:marTop w:val="0"/>
          <w:marBottom w:val="0"/>
          <w:divBdr>
            <w:top w:val="none" w:sz="0" w:space="0" w:color="auto"/>
            <w:left w:val="none" w:sz="0" w:space="0" w:color="auto"/>
            <w:bottom w:val="none" w:sz="0" w:space="0" w:color="auto"/>
            <w:right w:val="none" w:sz="0" w:space="0" w:color="auto"/>
          </w:divBdr>
        </w:div>
      </w:divsChild>
    </w:div>
    <w:div w:id="1128009023">
      <w:bodyDiv w:val="1"/>
      <w:marLeft w:val="0"/>
      <w:marRight w:val="0"/>
      <w:marTop w:val="0"/>
      <w:marBottom w:val="0"/>
      <w:divBdr>
        <w:top w:val="none" w:sz="0" w:space="0" w:color="auto"/>
        <w:left w:val="none" w:sz="0" w:space="0" w:color="auto"/>
        <w:bottom w:val="none" w:sz="0" w:space="0" w:color="auto"/>
        <w:right w:val="none" w:sz="0" w:space="0" w:color="auto"/>
      </w:divBdr>
    </w:div>
    <w:div w:id="1134711477">
      <w:bodyDiv w:val="1"/>
      <w:marLeft w:val="0"/>
      <w:marRight w:val="0"/>
      <w:marTop w:val="0"/>
      <w:marBottom w:val="0"/>
      <w:divBdr>
        <w:top w:val="none" w:sz="0" w:space="0" w:color="auto"/>
        <w:left w:val="none" w:sz="0" w:space="0" w:color="auto"/>
        <w:bottom w:val="none" w:sz="0" w:space="0" w:color="auto"/>
        <w:right w:val="none" w:sz="0" w:space="0" w:color="auto"/>
      </w:divBdr>
      <w:divsChild>
        <w:div w:id="1819148413">
          <w:marLeft w:val="0"/>
          <w:marRight w:val="0"/>
          <w:marTop w:val="0"/>
          <w:marBottom w:val="0"/>
          <w:divBdr>
            <w:top w:val="none" w:sz="0" w:space="0" w:color="auto"/>
            <w:left w:val="none" w:sz="0" w:space="0" w:color="auto"/>
            <w:bottom w:val="none" w:sz="0" w:space="0" w:color="auto"/>
            <w:right w:val="none" w:sz="0" w:space="0" w:color="auto"/>
          </w:divBdr>
        </w:div>
      </w:divsChild>
    </w:div>
    <w:div w:id="1138915510">
      <w:bodyDiv w:val="1"/>
      <w:marLeft w:val="0"/>
      <w:marRight w:val="0"/>
      <w:marTop w:val="0"/>
      <w:marBottom w:val="0"/>
      <w:divBdr>
        <w:top w:val="none" w:sz="0" w:space="0" w:color="auto"/>
        <w:left w:val="none" w:sz="0" w:space="0" w:color="auto"/>
        <w:bottom w:val="none" w:sz="0" w:space="0" w:color="auto"/>
        <w:right w:val="none" w:sz="0" w:space="0" w:color="auto"/>
      </w:divBdr>
      <w:divsChild>
        <w:div w:id="1638877104">
          <w:marLeft w:val="0"/>
          <w:marRight w:val="0"/>
          <w:marTop w:val="0"/>
          <w:marBottom w:val="0"/>
          <w:divBdr>
            <w:top w:val="none" w:sz="0" w:space="0" w:color="auto"/>
            <w:left w:val="none" w:sz="0" w:space="0" w:color="auto"/>
            <w:bottom w:val="none" w:sz="0" w:space="0" w:color="auto"/>
            <w:right w:val="none" w:sz="0" w:space="0" w:color="auto"/>
          </w:divBdr>
        </w:div>
      </w:divsChild>
    </w:div>
    <w:div w:id="1176387903">
      <w:bodyDiv w:val="1"/>
      <w:marLeft w:val="0"/>
      <w:marRight w:val="0"/>
      <w:marTop w:val="0"/>
      <w:marBottom w:val="0"/>
      <w:divBdr>
        <w:top w:val="none" w:sz="0" w:space="0" w:color="auto"/>
        <w:left w:val="none" w:sz="0" w:space="0" w:color="auto"/>
        <w:bottom w:val="none" w:sz="0" w:space="0" w:color="auto"/>
        <w:right w:val="none" w:sz="0" w:space="0" w:color="auto"/>
      </w:divBdr>
      <w:divsChild>
        <w:div w:id="781995829">
          <w:marLeft w:val="0"/>
          <w:marRight w:val="0"/>
          <w:marTop w:val="0"/>
          <w:marBottom w:val="0"/>
          <w:divBdr>
            <w:top w:val="none" w:sz="0" w:space="0" w:color="auto"/>
            <w:left w:val="none" w:sz="0" w:space="0" w:color="auto"/>
            <w:bottom w:val="none" w:sz="0" w:space="0" w:color="auto"/>
            <w:right w:val="none" w:sz="0" w:space="0" w:color="auto"/>
          </w:divBdr>
        </w:div>
      </w:divsChild>
    </w:div>
    <w:div w:id="1189761236">
      <w:bodyDiv w:val="1"/>
      <w:marLeft w:val="0"/>
      <w:marRight w:val="0"/>
      <w:marTop w:val="0"/>
      <w:marBottom w:val="0"/>
      <w:divBdr>
        <w:top w:val="none" w:sz="0" w:space="0" w:color="auto"/>
        <w:left w:val="none" w:sz="0" w:space="0" w:color="auto"/>
        <w:bottom w:val="none" w:sz="0" w:space="0" w:color="auto"/>
        <w:right w:val="none" w:sz="0" w:space="0" w:color="auto"/>
      </w:divBdr>
      <w:divsChild>
        <w:div w:id="36393671">
          <w:marLeft w:val="0"/>
          <w:marRight w:val="0"/>
          <w:marTop w:val="0"/>
          <w:marBottom w:val="0"/>
          <w:divBdr>
            <w:top w:val="none" w:sz="0" w:space="0" w:color="auto"/>
            <w:left w:val="none" w:sz="0" w:space="0" w:color="auto"/>
            <w:bottom w:val="none" w:sz="0" w:space="0" w:color="auto"/>
            <w:right w:val="none" w:sz="0" w:space="0" w:color="auto"/>
          </w:divBdr>
        </w:div>
      </w:divsChild>
    </w:div>
    <w:div w:id="1195659678">
      <w:bodyDiv w:val="1"/>
      <w:marLeft w:val="0"/>
      <w:marRight w:val="0"/>
      <w:marTop w:val="0"/>
      <w:marBottom w:val="0"/>
      <w:divBdr>
        <w:top w:val="none" w:sz="0" w:space="0" w:color="auto"/>
        <w:left w:val="none" w:sz="0" w:space="0" w:color="auto"/>
        <w:bottom w:val="none" w:sz="0" w:space="0" w:color="auto"/>
        <w:right w:val="none" w:sz="0" w:space="0" w:color="auto"/>
      </w:divBdr>
    </w:div>
    <w:div w:id="1241134693">
      <w:bodyDiv w:val="1"/>
      <w:marLeft w:val="0"/>
      <w:marRight w:val="0"/>
      <w:marTop w:val="0"/>
      <w:marBottom w:val="0"/>
      <w:divBdr>
        <w:top w:val="none" w:sz="0" w:space="0" w:color="auto"/>
        <w:left w:val="none" w:sz="0" w:space="0" w:color="auto"/>
        <w:bottom w:val="none" w:sz="0" w:space="0" w:color="auto"/>
        <w:right w:val="none" w:sz="0" w:space="0" w:color="auto"/>
      </w:divBdr>
    </w:div>
    <w:div w:id="1278374103">
      <w:bodyDiv w:val="1"/>
      <w:marLeft w:val="0"/>
      <w:marRight w:val="0"/>
      <w:marTop w:val="0"/>
      <w:marBottom w:val="0"/>
      <w:divBdr>
        <w:top w:val="none" w:sz="0" w:space="0" w:color="auto"/>
        <w:left w:val="none" w:sz="0" w:space="0" w:color="auto"/>
        <w:bottom w:val="none" w:sz="0" w:space="0" w:color="auto"/>
        <w:right w:val="none" w:sz="0" w:space="0" w:color="auto"/>
      </w:divBdr>
    </w:div>
    <w:div w:id="1281300494">
      <w:bodyDiv w:val="1"/>
      <w:marLeft w:val="0"/>
      <w:marRight w:val="0"/>
      <w:marTop w:val="0"/>
      <w:marBottom w:val="0"/>
      <w:divBdr>
        <w:top w:val="none" w:sz="0" w:space="0" w:color="auto"/>
        <w:left w:val="none" w:sz="0" w:space="0" w:color="auto"/>
        <w:bottom w:val="none" w:sz="0" w:space="0" w:color="auto"/>
        <w:right w:val="none" w:sz="0" w:space="0" w:color="auto"/>
      </w:divBdr>
      <w:divsChild>
        <w:div w:id="1055157921">
          <w:marLeft w:val="0"/>
          <w:marRight w:val="0"/>
          <w:marTop w:val="0"/>
          <w:marBottom w:val="0"/>
          <w:divBdr>
            <w:top w:val="none" w:sz="0" w:space="0" w:color="auto"/>
            <w:left w:val="none" w:sz="0" w:space="0" w:color="auto"/>
            <w:bottom w:val="none" w:sz="0" w:space="0" w:color="auto"/>
            <w:right w:val="none" w:sz="0" w:space="0" w:color="auto"/>
          </w:divBdr>
        </w:div>
      </w:divsChild>
    </w:div>
    <w:div w:id="1289510891">
      <w:bodyDiv w:val="1"/>
      <w:marLeft w:val="0"/>
      <w:marRight w:val="0"/>
      <w:marTop w:val="0"/>
      <w:marBottom w:val="0"/>
      <w:divBdr>
        <w:top w:val="none" w:sz="0" w:space="0" w:color="auto"/>
        <w:left w:val="none" w:sz="0" w:space="0" w:color="auto"/>
        <w:bottom w:val="none" w:sz="0" w:space="0" w:color="auto"/>
        <w:right w:val="none" w:sz="0" w:space="0" w:color="auto"/>
      </w:divBdr>
    </w:div>
    <w:div w:id="1293093635">
      <w:bodyDiv w:val="1"/>
      <w:marLeft w:val="0"/>
      <w:marRight w:val="0"/>
      <w:marTop w:val="0"/>
      <w:marBottom w:val="0"/>
      <w:divBdr>
        <w:top w:val="none" w:sz="0" w:space="0" w:color="auto"/>
        <w:left w:val="none" w:sz="0" w:space="0" w:color="auto"/>
        <w:bottom w:val="none" w:sz="0" w:space="0" w:color="auto"/>
        <w:right w:val="none" w:sz="0" w:space="0" w:color="auto"/>
      </w:divBdr>
    </w:div>
    <w:div w:id="1293755795">
      <w:bodyDiv w:val="1"/>
      <w:marLeft w:val="0"/>
      <w:marRight w:val="0"/>
      <w:marTop w:val="0"/>
      <w:marBottom w:val="0"/>
      <w:divBdr>
        <w:top w:val="none" w:sz="0" w:space="0" w:color="auto"/>
        <w:left w:val="none" w:sz="0" w:space="0" w:color="auto"/>
        <w:bottom w:val="none" w:sz="0" w:space="0" w:color="auto"/>
        <w:right w:val="none" w:sz="0" w:space="0" w:color="auto"/>
      </w:divBdr>
      <w:divsChild>
        <w:div w:id="1905870731">
          <w:marLeft w:val="0"/>
          <w:marRight w:val="0"/>
          <w:marTop w:val="0"/>
          <w:marBottom w:val="0"/>
          <w:divBdr>
            <w:top w:val="none" w:sz="0" w:space="0" w:color="auto"/>
            <w:left w:val="none" w:sz="0" w:space="0" w:color="auto"/>
            <w:bottom w:val="none" w:sz="0" w:space="0" w:color="auto"/>
            <w:right w:val="none" w:sz="0" w:space="0" w:color="auto"/>
          </w:divBdr>
        </w:div>
      </w:divsChild>
    </w:div>
    <w:div w:id="1430271478">
      <w:bodyDiv w:val="1"/>
      <w:marLeft w:val="0"/>
      <w:marRight w:val="0"/>
      <w:marTop w:val="0"/>
      <w:marBottom w:val="0"/>
      <w:divBdr>
        <w:top w:val="none" w:sz="0" w:space="0" w:color="auto"/>
        <w:left w:val="none" w:sz="0" w:space="0" w:color="auto"/>
        <w:bottom w:val="none" w:sz="0" w:space="0" w:color="auto"/>
        <w:right w:val="none" w:sz="0" w:space="0" w:color="auto"/>
      </w:divBdr>
      <w:divsChild>
        <w:div w:id="1476288914">
          <w:marLeft w:val="0"/>
          <w:marRight w:val="0"/>
          <w:marTop w:val="0"/>
          <w:marBottom w:val="0"/>
          <w:divBdr>
            <w:top w:val="none" w:sz="0" w:space="0" w:color="auto"/>
            <w:left w:val="none" w:sz="0" w:space="0" w:color="auto"/>
            <w:bottom w:val="none" w:sz="0" w:space="0" w:color="auto"/>
            <w:right w:val="none" w:sz="0" w:space="0" w:color="auto"/>
          </w:divBdr>
        </w:div>
      </w:divsChild>
    </w:div>
    <w:div w:id="1460147240">
      <w:bodyDiv w:val="1"/>
      <w:marLeft w:val="0"/>
      <w:marRight w:val="0"/>
      <w:marTop w:val="0"/>
      <w:marBottom w:val="0"/>
      <w:divBdr>
        <w:top w:val="none" w:sz="0" w:space="0" w:color="auto"/>
        <w:left w:val="none" w:sz="0" w:space="0" w:color="auto"/>
        <w:bottom w:val="none" w:sz="0" w:space="0" w:color="auto"/>
        <w:right w:val="none" w:sz="0" w:space="0" w:color="auto"/>
      </w:divBdr>
    </w:div>
    <w:div w:id="1830559403">
      <w:bodyDiv w:val="1"/>
      <w:marLeft w:val="0"/>
      <w:marRight w:val="0"/>
      <w:marTop w:val="0"/>
      <w:marBottom w:val="0"/>
      <w:divBdr>
        <w:top w:val="none" w:sz="0" w:space="0" w:color="auto"/>
        <w:left w:val="none" w:sz="0" w:space="0" w:color="auto"/>
        <w:bottom w:val="none" w:sz="0" w:space="0" w:color="auto"/>
        <w:right w:val="none" w:sz="0" w:space="0" w:color="auto"/>
      </w:divBdr>
    </w:div>
    <w:div w:id="1901600209">
      <w:bodyDiv w:val="1"/>
      <w:marLeft w:val="0"/>
      <w:marRight w:val="0"/>
      <w:marTop w:val="0"/>
      <w:marBottom w:val="0"/>
      <w:divBdr>
        <w:top w:val="none" w:sz="0" w:space="0" w:color="auto"/>
        <w:left w:val="none" w:sz="0" w:space="0" w:color="auto"/>
        <w:bottom w:val="none" w:sz="0" w:space="0" w:color="auto"/>
        <w:right w:val="none" w:sz="0" w:space="0" w:color="auto"/>
      </w:divBdr>
      <w:divsChild>
        <w:div w:id="1501505004">
          <w:marLeft w:val="0"/>
          <w:marRight w:val="0"/>
          <w:marTop w:val="0"/>
          <w:marBottom w:val="0"/>
          <w:divBdr>
            <w:top w:val="none" w:sz="0" w:space="0" w:color="auto"/>
            <w:left w:val="none" w:sz="0" w:space="0" w:color="auto"/>
            <w:bottom w:val="none" w:sz="0" w:space="0" w:color="auto"/>
            <w:right w:val="none" w:sz="0" w:space="0" w:color="auto"/>
          </w:divBdr>
          <w:divsChild>
            <w:div w:id="1027827054">
              <w:marLeft w:val="0"/>
              <w:marRight w:val="0"/>
              <w:marTop w:val="0"/>
              <w:marBottom w:val="0"/>
              <w:divBdr>
                <w:top w:val="none" w:sz="0" w:space="0" w:color="auto"/>
                <w:left w:val="none" w:sz="0" w:space="0" w:color="auto"/>
                <w:bottom w:val="none" w:sz="0" w:space="0" w:color="auto"/>
                <w:right w:val="none" w:sz="0" w:space="0" w:color="auto"/>
              </w:divBdr>
              <w:divsChild>
                <w:div w:id="1671180219">
                  <w:marLeft w:val="0"/>
                  <w:marRight w:val="0"/>
                  <w:marTop w:val="0"/>
                  <w:marBottom w:val="0"/>
                  <w:divBdr>
                    <w:top w:val="none" w:sz="0" w:space="0" w:color="auto"/>
                    <w:left w:val="none" w:sz="0" w:space="0" w:color="auto"/>
                    <w:bottom w:val="none" w:sz="0" w:space="0" w:color="auto"/>
                    <w:right w:val="none" w:sz="0" w:space="0" w:color="auto"/>
                  </w:divBdr>
                  <w:divsChild>
                    <w:div w:id="1324117366">
                      <w:marLeft w:val="0"/>
                      <w:marRight w:val="0"/>
                      <w:marTop w:val="0"/>
                      <w:marBottom w:val="0"/>
                      <w:divBdr>
                        <w:top w:val="none" w:sz="0" w:space="0" w:color="auto"/>
                        <w:left w:val="none" w:sz="0" w:space="0" w:color="auto"/>
                        <w:bottom w:val="none" w:sz="0" w:space="0" w:color="auto"/>
                        <w:right w:val="none" w:sz="0" w:space="0" w:color="auto"/>
                      </w:divBdr>
                      <w:divsChild>
                        <w:div w:id="1649628912">
                          <w:marLeft w:val="0"/>
                          <w:marRight w:val="0"/>
                          <w:marTop w:val="0"/>
                          <w:marBottom w:val="0"/>
                          <w:divBdr>
                            <w:top w:val="none" w:sz="0" w:space="0" w:color="auto"/>
                            <w:left w:val="none" w:sz="0" w:space="0" w:color="auto"/>
                            <w:bottom w:val="none" w:sz="0" w:space="0" w:color="auto"/>
                            <w:right w:val="none" w:sz="0" w:space="0" w:color="auto"/>
                          </w:divBdr>
                          <w:divsChild>
                            <w:div w:id="1182742274">
                              <w:marLeft w:val="0"/>
                              <w:marRight w:val="0"/>
                              <w:marTop w:val="0"/>
                              <w:marBottom w:val="0"/>
                              <w:divBdr>
                                <w:top w:val="none" w:sz="0" w:space="0" w:color="auto"/>
                                <w:left w:val="none" w:sz="0" w:space="0" w:color="auto"/>
                                <w:bottom w:val="none" w:sz="0" w:space="0" w:color="auto"/>
                                <w:right w:val="none" w:sz="0" w:space="0" w:color="auto"/>
                              </w:divBdr>
                              <w:divsChild>
                                <w:div w:id="1653020832">
                                  <w:marLeft w:val="0"/>
                                  <w:marRight w:val="0"/>
                                  <w:marTop w:val="0"/>
                                  <w:marBottom w:val="0"/>
                                  <w:divBdr>
                                    <w:top w:val="none" w:sz="0" w:space="0" w:color="auto"/>
                                    <w:left w:val="none" w:sz="0" w:space="0" w:color="auto"/>
                                    <w:bottom w:val="none" w:sz="0" w:space="0" w:color="auto"/>
                                    <w:right w:val="none" w:sz="0" w:space="0" w:color="auto"/>
                                  </w:divBdr>
                                  <w:divsChild>
                                    <w:div w:id="36216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939981">
              <w:marLeft w:val="0"/>
              <w:marRight w:val="0"/>
              <w:marTop w:val="0"/>
              <w:marBottom w:val="0"/>
              <w:divBdr>
                <w:top w:val="none" w:sz="0" w:space="0" w:color="auto"/>
                <w:left w:val="none" w:sz="0" w:space="0" w:color="auto"/>
                <w:bottom w:val="none" w:sz="0" w:space="0" w:color="auto"/>
                <w:right w:val="none" w:sz="0" w:space="0" w:color="auto"/>
              </w:divBdr>
            </w:div>
            <w:div w:id="1345671456">
              <w:marLeft w:val="0"/>
              <w:marRight w:val="0"/>
              <w:marTop w:val="0"/>
              <w:marBottom w:val="0"/>
              <w:divBdr>
                <w:top w:val="none" w:sz="0" w:space="0" w:color="auto"/>
                <w:left w:val="none" w:sz="0" w:space="0" w:color="auto"/>
                <w:bottom w:val="none" w:sz="0" w:space="0" w:color="auto"/>
                <w:right w:val="none" w:sz="0" w:space="0" w:color="auto"/>
              </w:divBdr>
              <w:divsChild>
                <w:div w:id="767962974">
                  <w:marLeft w:val="0"/>
                  <w:marRight w:val="0"/>
                  <w:marTop w:val="0"/>
                  <w:marBottom w:val="0"/>
                  <w:divBdr>
                    <w:top w:val="none" w:sz="0" w:space="0" w:color="auto"/>
                    <w:left w:val="none" w:sz="0" w:space="0" w:color="auto"/>
                    <w:bottom w:val="none" w:sz="0" w:space="0" w:color="auto"/>
                    <w:right w:val="none" w:sz="0" w:space="0" w:color="auto"/>
                  </w:divBdr>
                  <w:divsChild>
                    <w:div w:id="1158617881">
                      <w:marLeft w:val="0"/>
                      <w:marRight w:val="0"/>
                      <w:marTop w:val="0"/>
                      <w:marBottom w:val="0"/>
                      <w:divBdr>
                        <w:top w:val="none" w:sz="0" w:space="0" w:color="auto"/>
                        <w:left w:val="none" w:sz="0" w:space="0" w:color="auto"/>
                        <w:bottom w:val="none" w:sz="0" w:space="0" w:color="auto"/>
                        <w:right w:val="none" w:sz="0" w:space="0" w:color="auto"/>
                      </w:divBdr>
                      <w:divsChild>
                        <w:div w:id="1383749193">
                          <w:marLeft w:val="0"/>
                          <w:marRight w:val="0"/>
                          <w:marTop w:val="0"/>
                          <w:marBottom w:val="0"/>
                          <w:divBdr>
                            <w:top w:val="none" w:sz="0" w:space="0" w:color="auto"/>
                            <w:left w:val="none" w:sz="0" w:space="0" w:color="auto"/>
                            <w:bottom w:val="none" w:sz="0" w:space="0" w:color="auto"/>
                            <w:right w:val="none" w:sz="0" w:space="0" w:color="auto"/>
                          </w:divBdr>
                          <w:divsChild>
                            <w:div w:id="219943946">
                              <w:marLeft w:val="0"/>
                              <w:marRight w:val="0"/>
                              <w:marTop w:val="0"/>
                              <w:marBottom w:val="0"/>
                              <w:divBdr>
                                <w:top w:val="none" w:sz="0" w:space="0" w:color="auto"/>
                                <w:left w:val="none" w:sz="0" w:space="0" w:color="auto"/>
                                <w:bottom w:val="none" w:sz="0" w:space="0" w:color="auto"/>
                                <w:right w:val="none" w:sz="0" w:space="0" w:color="auto"/>
                              </w:divBdr>
                              <w:divsChild>
                                <w:div w:id="6282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301484">
      <w:bodyDiv w:val="1"/>
      <w:marLeft w:val="0"/>
      <w:marRight w:val="0"/>
      <w:marTop w:val="0"/>
      <w:marBottom w:val="0"/>
      <w:divBdr>
        <w:top w:val="none" w:sz="0" w:space="0" w:color="auto"/>
        <w:left w:val="none" w:sz="0" w:space="0" w:color="auto"/>
        <w:bottom w:val="none" w:sz="0" w:space="0" w:color="auto"/>
        <w:right w:val="none" w:sz="0" w:space="0" w:color="auto"/>
      </w:divBdr>
    </w:div>
    <w:div w:id="2019690658">
      <w:bodyDiv w:val="1"/>
      <w:marLeft w:val="0"/>
      <w:marRight w:val="0"/>
      <w:marTop w:val="0"/>
      <w:marBottom w:val="0"/>
      <w:divBdr>
        <w:top w:val="none" w:sz="0" w:space="0" w:color="auto"/>
        <w:left w:val="none" w:sz="0" w:space="0" w:color="auto"/>
        <w:bottom w:val="none" w:sz="0" w:space="0" w:color="auto"/>
        <w:right w:val="none" w:sz="0" w:space="0" w:color="auto"/>
      </w:divBdr>
      <w:divsChild>
        <w:div w:id="1893955789">
          <w:marLeft w:val="0"/>
          <w:marRight w:val="0"/>
          <w:marTop w:val="0"/>
          <w:marBottom w:val="0"/>
          <w:divBdr>
            <w:top w:val="none" w:sz="0" w:space="0" w:color="auto"/>
            <w:left w:val="none" w:sz="0" w:space="0" w:color="auto"/>
            <w:bottom w:val="none" w:sz="0" w:space="0" w:color="auto"/>
            <w:right w:val="none" w:sz="0" w:space="0" w:color="auto"/>
          </w:divBdr>
        </w:div>
      </w:divsChild>
    </w:div>
    <w:div w:id="2053379912">
      <w:bodyDiv w:val="1"/>
      <w:marLeft w:val="0"/>
      <w:marRight w:val="0"/>
      <w:marTop w:val="0"/>
      <w:marBottom w:val="0"/>
      <w:divBdr>
        <w:top w:val="none" w:sz="0" w:space="0" w:color="auto"/>
        <w:left w:val="none" w:sz="0" w:space="0" w:color="auto"/>
        <w:bottom w:val="none" w:sz="0" w:space="0" w:color="auto"/>
        <w:right w:val="none" w:sz="0" w:space="0" w:color="auto"/>
      </w:divBdr>
    </w:div>
    <w:div w:id="2062052797">
      <w:bodyDiv w:val="1"/>
      <w:marLeft w:val="0"/>
      <w:marRight w:val="0"/>
      <w:marTop w:val="0"/>
      <w:marBottom w:val="0"/>
      <w:divBdr>
        <w:top w:val="none" w:sz="0" w:space="0" w:color="auto"/>
        <w:left w:val="none" w:sz="0" w:space="0" w:color="auto"/>
        <w:bottom w:val="none" w:sz="0" w:space="0" w:color="auto"/>
        <w:right w:val="none" w:sz="0" w:space="0" w:color="auto"/>
      </w:divBdr>
    </w:div>
    <w:div w:id="206891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chart" Target="charts/chart4.xml"/><Relationship Id="rId2" Type="http://schemas.openxmlformats.org/officeDocument/2006/relationships/customXml" Target="../customXml/item2.xml"/><Relationship Id="rId16" Type="http://schemas.openxmlformats.org/officeDocument/2006/relationships/hyperlink" Target="https://coronavirus-staging.data.gov.uk/cas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chart" Target="charts/chart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NELINCS-DAT0\PubHealth\Public%20Health%20Core\PHIU\RESTRICTED%20DATA\COVID-19\Confirmed%20Cases\phe%2019.10.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NELINCS-DAT0\PubHealth\Public%20Health%20Core\PHIU\RESTRICTED%20DATA\COVID-19\Confirmed%20Cases\phe%2019.10.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NELINCS-DAT0\PubHealth\Public%20Health%20Core\PHIU\RESTRICTED%20DATA\COVID-19\Epi%20report\FIGURE%202%20Gov.uk%20confirmed%20cases%2019th%20oc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NELINCS-DAT0\PubHealth\Public%20Health%20Core\PHIU\RESTRICTED%20DATA\COVID-19\Epi%20report\FIGURE%203%20Yorkshire%20and%20Humber%20lab%20cases%2011th%20october%20to%2017th%20october.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'[phe 19.10.20.xlsx]Sheet3'!$B$1</c:f>
              <c:strCache>
                <c:ptCount val="1"/>
                <c:pt idx="0">
                  <c:v>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'[phe 19.10.20.xlsx]Sheet3'!$A$2:$A$6</c:f>
              <c:strCache>
                <c:ptCount val="5"/>
                <c:pt idx="0">
                  <c:v>20 and under</c:v>
                </c:pt>
                <c:pt idx="1">
                  <c:v>21 to 40</c:v>
                </c:pt>
                <c:pt idx="2">
                  <c:v>41 to 60</c:v>
                </c:pt>
                <c:pt idx="3">
                  <c:v>61 to 80</c:v>
                </c:pt>
                <c:pt idx="4">
                  <c:v>Over 80</c:v>
                </c:pt>
              </c:strCache>
            </c:strRef>
          </c:cat>
          <c:val>
            <c:numRef>
              <c:f>'[phe 19.10.20.xlsx]Sheet3'!$B$2:$B$6</c:f>
              <c:numCache>
                <c:formatCode>General</c:formatCode>
                <c:ptCount val="5"/>
                <c:pt idx="0">
                  <c:v>56</c:v>
                </c:pt>
                <c:pt idx="1">
                  <c:v>108</c:v>
                </c:pt>
                <c:pt idx="2">
                  <c:v>100</c:v>
                </c:pt>
                <c:pt idx="3">
                  <c:v>43</c:v>
                </c:pt>
                <c:pt idx="4">
                  <c:v>10</c:v>
                </c:pt>
              </c:numCache>
            </c:numRef>
          </c:val>
          <c:extLst>
            <c:ext xmlns:c16="http://schemas.microsoft.com/office/drawing/2014/chart" uri="{C3380CC4-5D6E-409C-BE32-E72D297353CC}">
              <c16:uniqueId val="{00000000-8DC1-4367-B376-015BD9FBAF74}"/>
            </c:ext>
          </c:extLst>
        </c:ser>
        <c:ser>
          <c:idx val="1"/>
          <c:order val="1"/>
          <c:tx>
            <c:strRef>
              <c:f>'[phe 19.10.20.xlsx]Sheet3'!$C$1</c:f>
              <c:strCache>
                <c:ptCount val="1"/>
                <c:pt idx="0">
                  <c:v>Female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'[phe 19.10.20.xlsx]Sheet3'!$A$2:$A$6</c:f>
              <c:strCache>
                <c:ptCount val="5"/>
                <c:pt idx="0">
                  <c:v>20 and under</c:v>
                </c:pt>
                <c:pt idx="1">
                  <c:v>21 to 40</c:v>
                </c:pt>
                <c:pt idx="2">
                  <c:v>41 to 60</c:v>
                </c:pt>
                <c:pt idx="3">
                  <c:v>61 to 80</c:v>
                </c:pt>
                <c:pt idx="4">
                  <c:v>Over 80</c:v>
                </c:pt>
              </c:strCache>
            </c:strRef>
          </c:cat>
          <c:val>
            <c:numRef>
              <c:f>'[phe 19.10.20.xlsx]Sheet3'!$C$2:$C$6</c:f>
              <c:numCache>
                <c:formatCode>General</c:formatCode>
                <c:ptCount val="5"/>
                <c:pt idx="0">
                  <c:v>62</c:v>
                </c:pt>
                <c:pt idx="1">
                  <c:v>115</c:v>
                </c:pt>
                <c:pt idx="2">
                  <c:v>101</c:v>
                </c:pt>
                <c:pt idx="3">
                  <c:v>40</c:v>
                </c:pt>
                <c:pt idx="4">
                  <c:v>7</c:v>
                </c:pt>
              </c:numCache>
            </c:numRef>
          </c:val>
          <c:extLst>
            <c:ext xmlns:c16="http://schemas.microsoft.com/office/drawing/2014/chart" uri="{C3380CC4-5D6E-409C-BE32-E72D297353CC}">
              <c16:uniqueId val="{00000001-8DC1-4367-B376-015BD9FBAF74}"/>
            </c:ext>
          </c:extLst>
        </c:ser>
        <c:dLbls>
          <c:dLblPos val="outEnd"/>
          <c:showLegendKey val="0"/>
          <c:showVal val="1"/>
          <c:showCatName val="0"/>
          <c:showSerName val="0"/>
          <c:showPercent val="0"/>
          <c:showBubbleSize val="0"/>
        </c:dLbls>
        <c:gapWidth val="219"/>
        <c:overlap val="-27"/>
        <c:axId val="970324728"/>
        <c:axId val="970325056"/>
      </c:barChart>
      <c:catAx>
        <c:axId val="9703247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Age-band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0325056"/>
        <c:crosses val="autoZero"/>
        <c:auto val="1"/>
        <c:lblAlgn val="ctr"/>
        <c:lblOffset val="100"/>
        <c:noMultiLvlLbl val="0"/>
      </c:catAx>
      <c:valAx>
        <c:axId val="970325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positive cases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0324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'[phe 19.10.20.xlsx]Sheet3'!$A$15:$A$29</c:f>
              <c:strCache>
                <c:ptCount val="15"/>
                <c:pt idx="0">
                  <c:v>Humberston &amp; New Waltham</c:v>
                </c:pt>
                <c:pt idx="1">
                  <c:v>Freshney</c:v>
                </c:pt>
                <c:pt idx="2">
                  <c:v>Park</c:v>
                </c:pt>
                <c:pt idx="3">
                  <c:v>Yarborough</c:v>
                </c:pt>
                <c:pt idx="4">
                  <c:v>Croft Baker</c:v>
                </c:pt>
                <c:pt idx="5">
                  <c:v>Scartho</c:v>
                </c:pt>
                <c:pt idx="6">
                  <c:v>South</c:v>
                </c:pt>
                <c:pt idx="7">
                  <c:v>Haverstoe</c:v>
                </c:pt>
                <c:pt idx="8">
                  <c:v>Heneage</c:v>
                </c:pt>
                <c:pt idx="9">
                  <c:v>Waltham</c:v>
                </c:pt>
                <c:pt idx="10">
                  <c:v>East Marsh</c:v>
                </c:pt>
                <c:pt idx="11">
                  <c:v>West Marsh</c:v>
                </c:pt>
                <c:pt idx="12">
                  <c:v>Wolds</c:v>
                </c:pt>
                <c:pt idx="13">
                  <c:v>Sidney Sussex</c:v>
                </c:pt>
                <c:pt idx="14">
                  <c:v>Immingham</c:v>
                </c:pt>
              </c:strCache>
            </c:strRef>
          </c:cat>
          <c:val>
            <c:numRef>
              <c:f>'[phe 19.10.20.xlsx]Sheet3'!$B$15:$B$29</c:f>
              <c:numCache>
                <c:formatCode>General</c:formatCode>
                <c:ptCount val="15"/>
                <c:pt idx="0">
                  <c:v>82</c:v>
                </c:pt>
                <c:pt idx="1">
                  <c:v>67</c:v>
                </c:pt>
                <c:pt idx="2">
                  <c:v>65</c:v>
                </c:pt>
                <c:pt idx="3">
                  <c:v>59</c:v>
                </c:pt>
                <c:pt idx="4">
                  <c:v>48</c:v>
                </c:pt>
                <c:pt idx="5">
                  <c:v>46</c:v>
                </c:pt>
                <c:pt idx="6">
                  <c:v>42</c:v>
                </c:pt>
                <c:pt idx="7">
                  <c:v>36</c:v>
                </c:pt>
                <c:pt idx="8">
                  <c:v>36</c:v>
                </c:pt>
                <c:pt idx="9">
                  <c:v>36</c:v>
                </c:pt>
                <c:pt idx="10">
                  <c:v>28</c:v>
                </c:pt>
                <c:pt idx="11">
                  <c:v>27</c:v>
                </c:pt>
                <c:pt idx="12">
                  <c:v>25</c:v>
                </c:pt>
                <c:pt idx="13">
                  <c:v>24</c:v>
                </c:pt>
                <c:pt idx="14">
                  <c:v>23</c:v>
                </c:pt>
              </c:numCache>
            </c:numRef>
          </c:val>
          <c:extLst>
            <c:ext xmlns:c16="http://schemas.microsoft.com/office/drawing/2014/chart" uri="{C3380CC4-5D6E-409C-BE32-E72D297353CC}">
              <c16:uniqueId val="{00000000-C992-4064-AC4C-82F6BDDA44EA}"/>
            </c:ext>
          </c:extLst>
        </c:ser>
        <c:dLbls>
          <c:dLblPos val="outEnd"/>
          <c:showLegendKey val="0"/>
          <c:showVal val="1"/>
          <c:showCatName val="0"/>
          <c:showSerName val="0"/>
          <c:showPercent val="0"/>
          <c:showBubbleSize val="0"/>
        </c:dLbls>
        <c:gapWidth val="30"/>
        <c:overlap val="-27"/>
        <c:axId val="892417432"/>
        <c:axId val="892420384"/>
      </c:barChart>
      <c:catAx>
        <c:axId val="8924174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Ward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2420384"/>
        <c:crosses val="autoZero"/>
        <c:auto val="1"/>
        <c:lblAlgn val="ctr"/>
        <c:lblOffset val="100"/>
        <c:noMultiLvlLbl val="0"/>
      </c:catAx>
      <c:valAx>
        <c:axId val="8924203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cases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2417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'[FIGURE 2 Gov.uk confirmed cases 19th oct.xlsx]Sheet1'!$B$1</c:f>
              <c:strCache>
                <c:ptCount val="1"/>
                <c:pt idx="0">
                  <c:v>Cumulative rate</c:v>
                </c:pt>
              </c:strCache>
            </c:strRef>
          </c:tx>
          <c:spPr>
            <a:solidFill>
              <a:srgbClr val="0070C0"/>
            </a:solidFill>
            <a:ln>
              <a:noFill/>
            </a:ln>
            <a:effectLst/>
          </c:spPr>
          <c:invertIfNegative val="0"/>
          <c:dPt>
            <c:idx val="0"/>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1-EC48-4BEF-B289-8DB3ACA919DB}"/>
              </c:ext>
            </c:extLst>
          </c:dPt>
          <c:dPt>
            <c:idx val="1"/>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3-EC48-4BEF-B289-8DB3ACA919DB}"/>
              </c:ext>
            </c:extLst>
          </c:dPt>
          <c:dPt>
            <c:idx val="3"/>
            <c:invertIfNegative val="0"/>
            <c:bubble3D val="0"/>
            <c:spPr>
              <a:solidFill>
                <a:srgbClr val="002060"/>
              </a:solidFill>
              <a:ln>
                <a:noFill/>
              </a:ln>
              <a:effectLst/>
            </c:spPr>
            <c:extLst>
              <c:ext xmlns:c16="http://schemas.microsoft.com/office/drawing/2014/chart" uri="{C3380CC4-5D6E-409C-BE32-E72D297353CC}">
                <c16:uniqueId val="{00000005-EC48-4BEF-B289-8DB3ACA919DB}"/>
              </c:ext>
            </c:extLst>
          </c:dPt>
          <c:dPt>
            <c:idx val="5"/>
            <c:invertIfNegative val="0"/>
            <c:bubble3D val="0"/>
            <c:spPr>
              <a:solidFill>
                <a:srgbClr val="0070C0"/>
              </a:solidFill>
              <a:ln>
                <a:noFill/>
              </a:ln>
              <a:effectLst/>
            </c:spPr>
            <c:extLst>
              <c:ext xmlns:c16="http://schemas.microsoft.com/office/drawing/2014/chart" uri="{C3380CC4-5D6E-409C-BE32-E72D297353CC}">
                <c16:uniqueId val="{00000007-EC48-4BEF-B289-8DB3ACA919DB}"/>
              </c:ext>
            </c:extLst>
          </c:dPt>
          <c:dPt>
            <c:idx val="6"/>
            <c:invertIfNegative val="0"/>
            <c:bubble3D val="0"/>
            <c:spPr>
              <a:solidFill>
                <a:srgbClr val="0070C0"/>
              </a:solidFill>
              <a:ln>
                <a:noFill/>
              </a:ln>
              <a:effectLst/>
            </c:spPr>
            <c:extLst>
              <c:ext xmlns:c16="http://schemas.microsoft.com/office/drawing/2014/chart" uri="{C3380CC4-5D6E-409C-BE32-E72D297353CC}">
                <c16:uniqueId val="{00000009-EC48-4BEF-B289-8DB3ACA919DB}"/>
              </c:ext>
            </c:extLst>
          </c:dPt>
          <c:dPt>
            <c:idx val="7"/>
            <c:invertIfNegative val="0"/>
            <c:bubble3D val="0"/>
            <c:spPr>
              <a:solidFill>
                <a:srgbClr val="0070C0"/>
              </a:solidFill>
              <a:ln>
                <a:noFill/>
              </a:ln>
              <a:effectLst/>
            </c:spPr>
            <c:extLst>
              <c:ext xmlns:c16="http://schemas.microsoft.com/office/drawing/2014/chart" uri="{C3380CC4-5D6E-409C-BE32-E72D297353CC}">
                <c16:uniqueId val="{0000000B-EC48-4BEF-B289-8DB3ACA919DB}"/>
              </c:ext>
            </c:extLst>
          </c:dPt>
          <c:dPt>
            <c:idx val="11"/>
            <c:invertIfNegative val="0"/>
            <c:bubble3D val="0"/>
            <c:spPr>
              <a:solidFill>
                <a:srgbClr val="0070C0"/>
              </a:solidFill>
              <a:ln>
                <a:noFill/>
              </a:ln>
              <a:effectLst/>
            </c:spPr>
            <c:extLst>
              <c:ext xmlns:c16="http://schemas.microsoft.com/office/drawing/2014/chart" uri="{C3380CC4-5D6E-409C-BE32-E72D297353CC}">
                <c16:uniqueId val="{0000000D-EC48-4BEF-B289-8DB3ACA919DB}"/>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2 Gov.uk confirmed cases 19th oct.xlsx]Sheet1'!$A$2:$A$19</c:f>
              <c:strCache>
                <c:ptCount val="18"/>
                <c:pt idx="0">
                  <c:v>Yorkshire and Humber</c:v>
                </c:pt>
                <c:pt idx="1">
                  <c:v>England</c:v>
                </c:pt>
                <c:pt idx="3">
                  <c:v>North East Lincolnshire</c:v>
                </c:pt>
                <c:pt idx="4">
                  <c:v>North Lincolnshire</c:v>
                </c:pt>
                <c:pt idx="5">
                  <c:v>North Yorkshire</c:v>
                </c:pt>
                <c:pt idx="6">
                  <c:v>East Riding</c:v>
                </c:pt>
                <c:pt idx="7">
                  <c:v>Hull</c:v>
                </c:pt>
                <c:pt idx="8">
                  <c:v>York</c:v>
                </c:pt>
                <c:pt idx="9">
                  <c:v>Doncaster</c:v>
                </c:pt>
                <c:pt idx="10">
                  <c:v>Wakefield</c:v>
                </c:pt>
                <c:pt idx="11">
                  <c:v>Calderdale</c:v>
                </c:pt>
                <c:pt idx="12">
                  <c:v>Kirklees</c:v>
                </c:pt>
                <c:pt idx="13">
                  <c:v>Barnsley</c:v>
                </c:pt>
                <c:pt idx="14">
                  <c:v>Rotherham</c:v>
                </c:pt>
                <c:pt idx="15">
                  <c:v>Leeds</c:v>
                </c:pt>
                <c:pt idx="16">
                  <c:v>Sheffield</c:v>
                </c:pt>
                <c:pt idx="17">
                  <c:v>Bradford</c:v>
                </c:pt>
              </c:strCache>
            </c:strRef>
          </c:cat>
          <c:val>
            <c:numRef>
              <c:f>'[FIGURE 2 Gov.uk confirmed cases 19th oct.xlsx]Sheet1'!$B$2:$B$19</c:f>
              <c:numCache>
                <c:formatCode>#,##0.0</c:formatCode>
                <c:ptCount val="18"/>
                <c:pt idx="0">
                  <c:v>1586.7</c:v>
                </c:pt>
                <c:pt idx="1">
                  <c:v>1088.8</c:v>
                </c:pt>
                <c:pt idx="3">
                  <c:v>596.6</c:v>
                </c:pt>
                <c:pt idx="4">
                  <c:v>900.8</c:v>
                </c:pt>
                <c:pt idx="5">
                  <c:v>947</c:v>
                </c:pt>
                <c:pt idx="6">
                  <c:v>948.5</c:v>
                </c:pt>
                <c:pt idx="7">
                  <c:v>977.8</c:v>
                </c:pt>
                <c:pt idx="8">
                  <c:v>1275.3</c:v>
                </c:pt>
                <c:pt idx="9">
                  <c:v>1355.3</c:v>
                </c:pt>
                <c:pt idx="10">
                  <c:v>1394.2</c:v>
                </c:pt>
                <c:pt idx="11">
                  <c:v>1431.5</c:v>
                </c:pt>
                <c:pt idx="12">
                  <c:v>1631.7</c:v>
                </c:pt>
                <c:pt idx="13">
                  <c:v>1729.3</c:v>
                </c:pt>
                <c:pt idx="14">
                  <c:v>1759.5</c:v>
                </c:pt>
                <c:pt idx="15">
                  <c:v>2011.1</c:v>
                </c:pt>
                <c:pt idx="16">
                  <c:v>2158.5</c:v>
                </c:pt>
                <c:pt idx="17">
                  <c:v>2537.5</c:v>
                </c:pt>
              </c:numCache>
            </c:numRef>
          </c:val>
          <c:extLst>
            <c:ext xmlns:c16="http://schemas.microsoft.com/office/drawing/2014/chart" uri="{C3380CC4-5D6E-409C-BE32-E72D297353CC}">
              <c16:uniqueId val="{0000000E-EC48-4BEF-B289-8DB3ACA919DB}"/>
            </c:ext>
          </c:extLst>
        </c:ser>
        <c:dLbls>
          <c:dLblPos val="outEnd"/>
          <c:showLegendKey val="0"/>
          <c:showVal val="1"/>
          <c:showCatName val="0"/>
          <c:showSerName val="0"/>
          <c:showPercent val="0"/>
          <c:showBubbleSize val="0"/>
        </c:dLbls>
        <c:gapWidth val="30"/>
        <c:axId val="421715000"/>
        <c:axId val="421715656"/>
      </c:barChart>
      <c:catAx>
        <c:axId val="4217150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1715656"/>
        <c:crosses val="autoZero"/>
        <c:auto val="1"/>
        <c:lblAlgn val="ctr"/>
        <c:lblOffset val="100"/>
        <c:noMultiLvlLbl val="0"/>
      </c:catAx>
      <c:valAx>
        <c:axId val="421715656"/>
        <c:scaling>
          <c:orientation val="minMax"/>
        </c:scaling>
        <c:delete val="0"/>
        <c:axPos val="b"/>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1715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 3 Yorkshire and Humber lab cases 11th october to 17th october.xlsx]Tables'!$B$20</c:f>
              <c:strCache>
                <c:ptCount val="1"/>
                <c:pt idx="0">
                  <c:v>Seven day rate per 100,000</c:v>
                </c:pt>
              </c:strCache>
            </c:strRef>
          </c:tx>
          <c:spPr>
            <a:solidFill>
              <a:schemeClr val="accent1"/>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3 Yorkshire and Humber lab cases 11th october to 17th october.xlsx]Tables'!$A$21:$A$35</c:f>
              <c:strCache>
                <c:ptCount val="15"/>
                <c:pt idx="0">
                  <c:v>Sheffield</c:v>
                </c:pt>
                <c:pt idx="1">
                  <c:v>Leeds</c:v>
                </c:pt>
                <c:pt idx="2">
                  <c:v>Bradford</c:v>
                </c:pt>
                <c:pt idx="3">
                  <c:v>Barnsley</c:v>
                </c:pt>
                <c:pt idx="4">
                  <c:v>Rotherham</c:v>
                </c:pt>
                <c:pt idx="5">
                  <c:v>York</c:v>
                </c:pt>
                <c:pt idx="6">
                  <c:v>Wakefield</c:v>
                </c:pt>
                <c:pt idx="7">
                  <c:v>Kirklees</c:v>
                </c:pt>
                <c:pt idx="8">
                  <c:v>Calderdale</c:v>
                </c:pt>
                <c:pt idx="9">
                  <c:v>Doncaster</c:v>
                </c:pt>
                <c:pt idx="10">
                  <c:v>North East Lincolnshire</c:v>
                </c:pt>
                <c:pt idx="11">
                  <c:v>North Lincolnshire</c:v>
                </c:pt>
                <c:pt idx="12">
                  <c:v>East Riding of Yorkshire</c:v>
                </c:pt>
                <c:pt idx="13">
                  <c:v>North Yorkshire</c:v>
                </c:pt>
                <c:pt idx="14">
                  <c:v>Kingston upon Hull</c:v>
                </c:pt>
              </c:strCache>
            </c:strRef>
          </c:cat>
          <c:val>
            <c:numRef>
              <c:f>'[FIGURE 3 Yorkshire and Humber lab cases 11th october to 17th october.xlsx]Tables'!$B$21:$B$35</c:f>
              <c:numCache>
                <c:formatCode>General</c:formatCode>
                <c:ptCount val="15"/>
                <c:pt idx="0">
                  <c:v>441.5</c:v>
                </c:pt>
                <c:pt idx="1">
                  <c:v>390</c:v>
                </c:pt>
                <c:pt idx="2">
                  <c:v>354.6</c:v>
                </c:pt>
                <c:pt idx="3">
                  <c:v>336.1</c:v>
                </c:pt>
                <c:pt idx="4">
                  <c:v>314.7</c:v>
                </c:pt>
                <c:pt idx="5">
                  <c:v>281.60000000000002</c:v>
                </c:pt>
                <c:pt idx="6">
                  <c:v>262</c:v>
                </c:pt>
                <c:pt idx="7">
                  <c:v>261.7</c:v>
                </c:pt>
                <c:pt idx="8">
                  <c:v>249.9</c:v>
                </c:pt>
                <c:pt idx="9">
                  <c:v>245.7</c:v>
                </c:pt>
                <c:pt idx="10">
                  <c:v>188.3</c:v>
                </c:pt>
                <c:pt idx="11">
                  <c:v>157.6</c:v>
                </c:pt>
                <c:pt idx="12">
                  <c:v>140.19999999999999</c:v>
                </c:pt>
                <c:pt idx="13">
                  <c:v>138.5</c:v>
                </c:pt>
                <c:pt idx="14">
                  <c:v>117.8</c:v>
                </c:pt>
              </c:numCache>
            </c:numRef>
          </c:val>
          <c:extLst>
            <c:ext xmlns:c16="http://schemas.microsoft.com/office/drawing/2014/chart" uri="{C3380CC4-5D6E-409C-BE32-E72D297353CC}">
              <c16:uniqueId val="{00000000-8C92-4CA2-89F8-9DE1F2EF6FC8}"/>
            </c:ext>
          </c:extLst>
        </c:ser>
        <c:dLbls>
          <c:showLegendKey val="0"/>
          <c:showVal val="0"/>
          <c:showCatName val="0"/>
          <c:showSerName val="0"/>
          <c:showPercent val="0"/>
          <c:showBubbleSize val="0"/>
        </c:dLbls>
        <c:gapWidth val="100"/>
        <c:axId val="575496080"/>
        <c:axId val="575496408"/>
      </c:barChart>
      <c:lineChart>
        <c:grouping val="standard"/>
        <c:varyColors val="0"/>
        <c:ser>
          <c:idx val="1"/>
          <c:order val="1"/>
          <c:tx>
            <c:strRef>
              <c:f>'[FIGURE 3 Yorkshire and Humber lab cases 11th october to 17th october.xlsx]Tables'!$C$20</c:f>
              <c:strCache>
                <c:ptCount val="1"/>
                <c:pt idx="0">
                  <c:v>Cumulative rate per 100,000</c:v>
                </c:pt>
              </c:strCache>
            </c:strRef>
          </c:tx>
          <c:spPr>
            <a:ln w="28575" cap="rnd">
              <a:solidFill>
                <a:schemeClr val="accent2"/>
              </a:solidFill>
              <a:round/>
            </a:ln>
            <a:effectLst/>
          </c:spPr>
          <c:marker>
            <c:symbol val="none"/>
          </c:marker>
          <c:cat>
            <c:strRef>
              <c:f>'[FIGURE 3 Yorkshire and Humber lab cases 11th october to 17th october.xlsx]Tables'!$A$21:$A$35</c:f>
              <c:strCache>
                <c:ptCount val="15"/>
                <c:pt idx="0">
                  <c:v>Sheffield</c:v>
                </c:pt>
                <c:pt idx="1">
                  <c:v>Leeds</c:v>
                </c:pt>
                <c:pt idx="2">
                  <c:v>Bradford</c:v>
                </c:pt>
                <c:pt idx="3">
                  <c:v>Barnsley</c:v>
                </c:pt>
                <c:pt idx="4">
                  <c:v>Rotherham</c:v>
                </c:pt>
                <c:pt idx="5">
                  <c:v>York</c:v>
                </c:pt>
                <c:pt idx="6">
                  <c:v>Wakefield</c:v>
                </c:pt>
                <c:pt idx="7">
                  <c:v>Kirklees</c:v>
                </c:pt>
                <c:pt idx="8">
                  <c:v>Calderdale</c:v>
                </c:pt>
                <c:pt idx="9">
                  <c:v>Doncaster</c:v>
                </c:pt>
                <c:pt idx="10">
                  <c:v>North East Lincolnshire</c:v>
                </c:pt>
                <c:pt idx="11">
                  <c:v>North Lincolnshire</c:v>
                </c:pt>
                <c:pt idx="12">
                  <c:v>East Riding of Yorkshire</c:v>
                </c:pt>
                <c:pt idx="13">
                  <c:v>North Yorkshire</c:v>
                </c:pt>
                <c:pt idx="14">
                  <c:v>Kingston upon Hull</c:v>
                </c:pt>
              </c:strCache>
            </c:strRef>
          </c:cat>
          <c:val>
            <c:numRef>
              <c:f>'[FIGURE 3 Yorkshire and Humber lab cases 11th october to 17th october.xlsx]Tables'!$C$21:$C$35</c:f>
              <c:numCache>
                <c:formatCode>General</c:formatCode>
                <c:ptCount val="15"/>
                <c:pt idx="0">
                  <c:v>2167.1999999999998</c:v>
                </c:pt>
                <c:pt idx="1">
                  <c:v>2021.2</c:v>
                </c:pt>
                <c:pt idx="2">
                  <c:v>2549.8000000000002</c:v>
                </c:pt>
                <c:pt idx="3">
                  <c:v>1741</c:v>
                </c:pt>
                <c:pt idx="4">
                  <c:v>1764.5</c:v>
                </c:pt>
                <c:pt idx="5">
                  <c:v>1279.7</c:v>
                </c:pt>
                <c:pt idx="6">
                  <c:v>1407.4</c:v>
                </c:pt>
                <c:pt idx="7">
                  <c:v>1635.6</c:v>
                </c:pt>
                <c:pt idx="8">
                  <c:v>1440.9</c:v>
                </c:pt>
                <c:pt idx="9">
                  <c:v>1361.2</c:v>
                </c:pt>
                <c:pt idx="10">
                  <c:v>595.70000000000005</c:v>
                </c:pt>
                <c:pt idx="11">
                  <c:v>902.3</c:v>
                </c:pt>
                <c:pt idx="12">
                  <c:v>952.8</c:v>
                </c:pt>
                <c:pt idx="13">
                  <c:v>952.5</c:v>
                </c:pt>
                <c:pt idx="14">
                  <c:v>974.5</c:v>
                </c:pt>
              </c:numCache>
            </c:numRef>
          </c:val>
          <c:smooth val="0"/>
          <c:extLst>
            <c:ext xmlns:c16="http://schemas.microsoft.com/office/drawing/2014/chart" uri="{C3380CC4-5D6E-409C-BE32-E72D297353CC}">
              <c16:uniqueId val="{00000001-8C92-4CA2-89F8-9DE1F2EF6FC8}"/>
            </c:ext>
          </c:extLst>
        </c:ser>
        <c:dLbls>
          <c:showLegendKey val="0"/>
          <c:showVal val="0"/>
          <c:showCatName val="0"/>
          <c:showSerName val="0"/>
          <c:showPercent val="0"/>
          <c:showBubbleSize val="0"/>
        </c:dLbls>
        <c:marker val="1"/>
        <c:smooth val="0"/>
        <c:axId val="585006392"/>
        <c:axId val="585006720"/>
      </c:lineChart>
      <c:catAx>
        <c:axId val="575496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75496408"/>
        <c:crosses val="autoZero"/>
        <c:auto val="1"/>
        <c:lblAlgn val="ctr"/>
        <c:lblOffset val="100"/>
        <c:noMultiLvlLbl val="0"/>
      </c:catAx>
      <c:valAx>
        <c:axId val="575496408"/>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Seven day rate per 100,000</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75496080"/>
        <c:crosses val="autoZero"/>
        <c:crossBetween val="between"/>
      </c:valAx>
      <c:valAx>
        <c:axId val="585006720"/>
        <c:scaling>
          <c:orientation val="minMax"/>
        </c:scaling>
        <c:delete val="0"/>
        <c:axPos val="r"/>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Cumulative rate per 100,000</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85006392"/>
        <c:crosses val="max"/>
        <c:crossBetween val="between"/>
      </c:valAx>
      <c:catAx>
        <c:axId val="585006392"/>
        <c:scaling>
          <c:orientation val="minMax"/>
        </c:scaling>
        <c:delete val="1"/>
        <c:axPos val="b"/>
        <c:numFmt formatCode="General" sourceLinked="1"/>
        <c:majorTickMark val="out"/>
        <c:minorTickMark val="none"/>
        <c:tickLblPos val="nextTo"/>
        <c:crossAx val="58500672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24A5FBBE1E4B4180D986C431BFCFDA" ma:contentTypeVersion="4" ma:contentTypeDescription="Create a new document." ma:contentTypeScope="" ma:versionID="89011aa5b6bf268500590732c156e26f">
  <xsd:schema xmlns:xsd="http://www.w3.org/2001/XMLSchema" xmlns:xs="http://www.w3.org/2001/XMLSchema" xmlns:p="http://schemas.microsoft.com/office/2006/metadata/properties" xmlns:ns3="cbb4137b-26f1-4776-ab0f-b6a6bf5e8b30" targetNamespace="http://schemas.microsoft.com/office/2006/metadata/properties" ma:root="true" ma:fieldsID="2939fb30c682ccadc4432efd93539579" ns3:_="">
    <xsd:import namespace="cbb4137b-26f1-4776-ab0f-b6a6bf5e8b3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4137b-26f1-4776-ab0f-b6a6bf5e8b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7D8828-11A9-4FA4-9923-8687FB11BCF3}">
  <ds:schemaRefs>
    <ds:schemaRef ds:uri="http://schemas.openxmlformats.org/officeDocument/2006/bibliography"/>
  </ds:schemaRefs>
</ds:datastoreItem>
</file>

<file path=customXml/itemProps2.xml><?xml version="1.0" encoding="utf-8"?>
<ds:datastoreItem xmlns:ds="http://schemas.openxmlformats.org/officeDocument/2006/customXml" ds:itemID="{623041B0-3436-4DE1-8062-6EEE5FE6C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4137b-26f1-4776-ab0f-b6a6bf5e8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693C1A-CB82-403A-8A23-E4AD09879B20}">
  <ds:schemaRefs>
    <ds:schemaRef ds:uri="http://schemas.microsoft.com/sharepoint/v3/contenttype/forms"/>
  </ds:schemaRefs>
</ds:datastoreItem>
</file>

<file path=customXml/itemProps4.xml><?xml version="1.0" encoding="utf-8"?>
<ds:datastoreItem xmlns:ds="http://schemas.openxmlformats.org/officeDocument/2006/customXml" ds:itemID="{315C6B6C-C82E-42D7-A873-1F4DE86AFF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1652</Words>
  <Characters>9418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Geoffrey Barnes (NELC)</dc:creator>
  <cp:lastModifiedBy>Geoffrey Barnes (NELC)</cp:lastModifiedBy>
  <cp:revision>6</cp:revision>
  <cp:lastPrinted>2020-10-06T09:04:00Z</cp:lastPrinted>
  <dcterms:created xsi:type="dcterms:W3CDTF">2020-10-20T09:29:00Z</dcterms:created>
  <dcterms:modified xsi:type="dcterms:W3CDTF">2020-10-20T13:41:00Z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0x0101006724A5FBBE1E4B4180D986C431BFCFDA</vt:lpwstr>
  </property>
</Properties>
</file>