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02B7" w14:textId="3B50B6A5" w:rsidR="003914A0" w:rsidRPr="000E1BD5" w:rsidRDefault="003914A0" w:rsidP="00EF46A0">
      <w:pPr>
        <w:pStyle w:val="Heading1"/>
        <w:jc w:val="center"/>
        <w:rPr>
          <w:rFonts w:cstheme="minorHAnsi"/>
          <w:b/>
        </w:rPr>
      </w:pPr>
      <w:r w:rsidRPr="00EF46A0">
        <w:rPr>
          <w:rFonts w:asciiTheme="minorHAnsi" w:hAnsiTheme="minorHAnsi" w:cstheme="minorHAnsi"/>
          <w:b/>
          <w:bCs/>
          <w:color w:val="auto"/>
        </w:rPr>
        <w:t xml:space="preserve">Summary of </w:t>
      </w:r>
      <w:r w:rsidR="00E81333" w:rsidRPr="00EF46A0">
        <w:rPr>
          <w:rFonts w:asciiTheme="minorHAnsi" w:hAnsiTheme="minorHAnsi" w:cstheme="minorHAnsi"/>
          <w:b/>
          <w:bCs/>
          <w:color w:val="auto"/>
        </w:rPr>
        <w:t xml:space="preserve">Current </w:t>
      </w:r>
      <w:r w:rsidRPr="00EF46A0">
        <w:rPr>
          <w:rFonts w:asciiTheme="minorHAnsi" w:hAnsiTheme="minorHAnsi" w:cstheme="minorHAnsi"/>
          <w:b/>
          <w:bCs/>
          <w:color w:val="auto"/>
        </w:rPr>
        <w:t>C</w:t>
      </w:r>
      <w:r w:rsidR="007F1EC2" w:rsidRPr="00EF46A0">
        <w:rPr>
          <w:rFonts w:asciiTheme="minorHAnsi" w:hAnsiTheme="minorHAnsi" w:cstheme="minorHAnsi"/>
          <w:b/>
          <w:bCs/>
          <w:color w:val="auto"/>
        </w:rPr>
        <w:t>OVID</w:t>
      </w:r>
      <w:r w:rsidRPr="00EF46A0">
        <w:rPr>
          <w:rFonts w:asciiTheme="minorHAnsi" w:hAnsiTheme="minorHAnsi" w:cstheme="minorHAnsi"/>
          <w:b/>
          <w:bCs/>
          <w:color w:val="auto"/>
        </w:rPr>
        <w:t>-19 Epidemio</w:t>
      </w:r>
      <w:r w:rsidR="00E81333" w:rsidRPr="00EF46A0">
        <w:rPr>
          <w:rFonts w:asciiTheme="minorHAnsi" w:hAnsiTheme="minorHAnsi" w:cstheme="minorHAnsi"/>
          <w:b/>
          <w:bCs/>
          <w:color w:val="auto"/>
        </w:rPr>
        <w:t xml:space="preserve">logy in </w:t>
      </w:r>
      <w:r w:rsidR="000E1BD5" w:rsidRPr="00EF46A0">
        <w:rPr>
          <w:rFonts w:asciiTheme="minorHAnsi" w:hAnsiTheme="minorHAnsi" w:cstheme="minorHAnsi"/>
          <w:b/>
          <w:bCs/>
          <w:color w:val="auto"/>
        </w:rPr>
        <w:t>NE</w:t>
      </w:r>
      <w:r w:rsidR="00E81333" w:rsidRPr="00EF46A0">
        <w:rPr>
          <w:rFonts w:asciiTheme="minorHAnsi" w:hAnsiTheme="minorHAnsi" w:cstheme="minorHAnsi"/>
          <w:b/>
          <w:bCs/>
          <w:color w:val="auto"/>
        </w:rPr>
        <w:t xml:space="preserve"> Lincolnshire</w:t>
      </w:r>
      <w:r w:rsidR="00EF46A0">
        <w:rPr>
          <w:rFonts w:asciiTheme="minorHAnsi" w:hAnsiTheme="minorHAnsi" w:cstheme="minorHAnsi"/>
          <w:b/>
          <w:bCs/>
          <w:color w:val="auto"/>
        </w:rPr>
        <w:t xml:space="preserve"> </w:t>
      </w:r>
      <w:r w:rsidR="00FB17AA" w:rsidRPr="00EF46A0">
        <w:rPr>
          <w:rFonts w:asciiTheme="minorHAnsi" w:hAnsiTheme="minorHAnsi" w:cstheme="minorHAnsi"/>
          <w:b/>
          <w:bCs/>
          <w:color w:val="auto"/>
        </w:rPr>
        <w:t>November 2nd</w:t>
      </w:r>
      <w:proofErr w:type="gramStart"/>
      <w:r w:rsidR="00FB17AA" w:rsidRPr="00EF46A0">
        <w:rPr>
          <w:rFonts w:asciiTheme="minorHAnsi" w:hAnsiTheme="minorHAnsi" w:cstheme="minorHAnsi"/>
          <w:b/>
          <w:bCs/>
          <w:color w:val="auto"/>
        </w:rPr>
        <w:t xml:space="preserve"> </w:t>
      </w:r>
      <w:r w:rsidR="00E81333" w:rsidRPr="00EF46A0">
        <w:rPr>
          <w:rFonts w:asciiTheme="minorHAnsi" w:hAnsiTheme="minorHAnsi" w:cstheme="minorHAnsi"/>
          <w:b/>
          <w:bCs/>
          <w:color w:val="auto"/>
        </w:rPr>
        <w:t>2020</w:t>
      </w:r>
      <w:proofErr w:type="gramEnd"/>
    </w:p>
    <w:p w14:paraId="58DE9B1F" w14:textId="77777777" w:rsidR="0084231B" w:rsidRPr="00537304" w:rsidRDefault="0084231B" w:rsidP="000855CC">
      <w:pPr>
        <w:spacing w:after="0"/>
        <w:rPr>
          <w:rFonts w:cstheme="minorHAnsi"/>
          <w:sz w:val="32"/>
          <w:szCs w:val="32"/>
        </w:rPr>
      </w:pPr>
    </w:p>
    <w:p w14:paraId="659FD6CF" w14:textId="2DA2AFBC" w:rsidR="0084231B" w:rsidRPr="00EF46A0" w:rsidRDefault="0084231B" w:rsidP="00EF46A0">
      <w:pPr>
        <w:pStyle w:val="Heading2"/>
        <w:rPr>
          <w:rFonts w:asciiTheme="minorHAnsi" w:hAnsiTheme="minorHAnsi" w:cstheme="minorHAnsi"/>
          <w:b/>
          <w:bCs/>
          <w:color w:val="auto"/>
        </w:rPr>
      </w:pPr>
      <w:r w:rsidRPr="00EF46A0">
        <w:rPr>
          <w:rFonts w:asciiTheme="minorHAnsi" w:hAnsiTheme="minorHAnsi" w:cstheme="minorHAnsi"/>
          <w:b/>
          <w:bCs/>
          <w:color w:val="auto"/>
        </w:rPr>
        <w:t>Key Points</w:t>
      </w:r>
    </w:p>
    <w:p w14:paraId="553C7CBD" w14:textId="77777777" w:rsidR="00FF5BA9" w:rsidRPr="003A0337" w:rsidRDefault="00FF5BA9" w:rsidP="000855CC">
      <w:pPr>
        <w:spacing w:after="0"/>
        <w:rPr>
          <w:rFonts w:cstheme="minorHAnsi"/>
        </w:rPr>
      </w:pPr>
    </w:p>
    <w:p w14:paraId="3BDC2AC7" w14:textId="77DFAFA3" w:rsidR="00B36B22" w:rsidRPr="00856EB6" w:rsidRDefault="002E09EC" w:rsidP="000855CC">
      <w:pPr>
        <w:spacing w:after="0"/>
        <w:jc w:val="both"/>
        <w:rPr>
          <w:rFonts w:cstheme="minorHAnsi"/>
        </w:rPr>
      </w:pPr>
      <w:r w:rsidRPr="00856EB6">
        <w:rPr>
          <w:rFonts w:cstheme="minorHAnsi"/>
        </w:rPr>
        <w:t xml:space="preserve">A total of </w:t>
      </w:r>
      <w:r w:rsidR="00722B7B">
        <w:rPr>
          <w:rFonts w:cstheme="minorHAnsi"/>
        </w:rPr>
        <w:t>2,405</w:t>
      </w:r>
      <w:r w:rsidR="00DD7D01">
        <w:rPr>
          <w:rFonts w:cstheme="minorHAnsi"/>
        </w:rPr>
        <w:t xml:space="preserve"> </w:t>
      </w:r>
      <w:r w:rsidRPr="00856EB6">
        <w:rPr>
          <w:rFonts w:cstheme="minorHAnsi"/>
        </w:rPr>
        <w:t>residents of North East Lincolnshire have had a confirmed diagnosis of COVID-19 (based on Pillar 1 and Pillar 2 Testing)</w:t>
      </w:r>
      <w:r w:rsidR="0065610E">
        <w:rPr>
          <w:rFonts w:cstheme="minorHAnsi"/>
        </w:rPr>
        <w:t xml:space="preserve"> which is an increase of </w:t>
      </w:r>
      <w:r w:rsidR="00A53F6B">
        <w:rPr>
          <w:rFonts w:cstheme="minorHAnsi"/>
        </w:rPr>
        <w:t>852</w:t>
      </w:r>
      <w:r w:rsidR="0065610E">
        <w:rPr>
          <w:rFonts w:cstheme="minorHAnsi"/>
        </w:rPr>
        <w:t xml:space="preserve"> cases over the last week</w:t>
      </w:r>
      <w:r w:rsidR="000C4F98">
        <w:rPr>
          <w:rFonts w:cstheme="minorHAnsi"/>
        </w:rPr>
        <w:t xml:space="preserve"> (the biggest week on week increase in confirmed cases that has been reported)</w:t>
      </w:r>
      <w:r w:rsidRPr="00856EB6">
        <w:rPr>
          <w:rFonts w:cstheme="minorHAnsi"/>
        </w:rPr>
        <w:t xml:space="preserve">.  </w:t>
      </w:r>
      <w:r w:rsidR="00E762CC">
        <w:rPr>
          <w:rFonts w:cstheme="minorHAnsi"/>
        </w:rPr>
        <w:t xml:space="preserve">The </w:t>
      </w:r>
      <w:proofErr w:type="gramStart"/>
      <w:r w:rsidR="00E762CC">
        <w:rPr>
          <w:rFonts w:cstheme="minorHAnsi"/>
        </w:rPr>
        <w:t xml:space="preserve">seven </w:t>
      </w:r>
      <w:r w:rsidR="00A53F6B">
        <w:rPr>
          <w:rFonts w:cstheme="minorHAnsi"/>
        </w:rPr>
        <w:t>day</w:t>
      </w:r>
      <w:proofErr w:type="gramEnd"/>
      <w:r w:rsidR="00A53F6B">
        <w:rPr>
          <w:rFonts w:cstheme="minorHAnsi"/>
        </w:rPr>
        <w:t xml:space="preserve"> </w:t>
      </w:r>
      <w:r w:rsidR="00E762CC">
        <w:rPr>
          <w:rFonts w:cstheme="minorHAnsi"/>
        </w:rPr>
        <w:t xml:space="preserve">rate of new cases now stands at </w:t>
      </w:r>
      <w:r w:rsidR="00A53F6B">
        <w:rPr>
          <w:rFonts w:cstheme="minorHAnsi"/>
        </w:rPr>
        <w:t>377</w:t>
      </w:r>
      <w:r w:rsidR="00E762CC">
        <w:rPr>
          <w:rFonts w:cstheme="minorHAnsi"/>
        </w:rPr>
        <w:t xml:space="preserve"> per 100,000.  </w:t>
      </w:r>
      <w:r w:rsidR="00A53F6B">
        <w:rPr>
          <w:rFonts w:cstheme="minorHAnsi"/>
        </w:rPr>
        <w:t xml:space="preserve">This has increased from 306 per 100,000 one week ago </w:t>
      </w:r>
      <w:r w:rsidR="00A6260C">
        <w:rPr>
          <w:rFonts w:cstheme="minorHAnsi"/>
        </w:rPr>
        <w:t xml:space="preserve">and has doubled in 14 days compared to a doubling rate of seven days the previous week.  </w:t>
      </w:r>
      <w:proofErr w:type="gramStart"/>
      <w:r w:rsidR="00A6260C">
        <w:rPr>
          <w:rFonts w:cstheme="minorHAnsi"/>
        </w:rPr>
        <w:t>Therefore</w:t>
      </w:r>
      <w:proofErr w:type="gramEnd"/>
      <w:r w:rsidR="00A6260C">
        <w:rPr>
          <w:rFonts w:cstheme="minorHAnsi"/>
        </w:rPr>
        <w:t xml:space="preserve"> although</w:t>
      </w:r>
      <w:r w:rsidR="00A53F6B">
        <w:rPr>
          <w:rFonts w:cstheme="minorHAnsi"/>
        </w:rPr>
        <w:t xml:space="preserve"> it is the highest figure that we have seen it represents a significant </w:t>
      </w:r>
      <w:proofErr w:type="spellStart"/>
      <w:r w:rsidR="00A53F6B">
        <w:rPr>
          <w:rFonts w:cstheme="minorHAnsi"/>
        </w:rPr>
        <w:t>slow down</w:t>
      </w:r>
      <w:proofErr w:type="spellEnd"/>
      <w:r w:rsidR="00A53F6B">
        <w:rPr>
          <w:rFonts w:cstheme="minorHAnsi"/>
        </w:rPr>
        <w:t xml:space="preserve"> in the overall rate of growth suggesting that we are close to a peak in the infection rate in </w:t>
      </w:r>
      <w:r w:rsidR="00A53F6B" w:rsidRPr="00A53F6B">
        <w:rPr>
          <w:rFonts w:cstheme="minorHAnsi"/>
        </w:rPr>
        <w:t>North East Lincolnshire</w:t>
      </w:r>
      <w:r w:rsidR="00BE334D">
        <w:rPr>
          <w:rFonts w:cstheme="minorHAnsi"/>
        </w:rPr>
        <w:t xml:space="preserve">.  </w:t>
      </w:r>
    </w:p>
    <w:p w14:paraId="43430CED" w14:textId="77777777" w:rsidR="00537304" w:rsidRPr="00856EB6" w:rsidRDefault="00537304" w:rsidP="000855CC">
      <w:pPr>
        <w:spacing w:after="0"/>
        <w:jc w:val="both"/>
        <w:rPr>
          <w:rFonts w:cstheme="minorHAnsi"/>
        </w:rPr>
      </w:pPr>
    </w:p>
    <w:p w14:paraId="31BDF6A7" w14:textId="0053E1F5" w:rsidR="00425DFA" w:rsidRPr="00856EB6" w:rsidRDefault="00425DFA" w:rsidP="000855CC">
      <w:pPr>
        <w:spacing w:after="0"/>
        <w:jc w:val="both"/>
        <w:rPr>
          <w:rFonts w:cstheme="minorHAnsi"/>
        </w:rPr>
      </w:pPr>
      <w:r w:rsidRPr="00856EB6">
        <w:rPr>
          <w:rFonts w:cstheme="minorHAnsi"/>
        </w:rPr>
        <w:t>Nationally there has been a</w:t>
      </w:r>
      <w:r w:rsidR="00824701">
        <w:rPr>
          <w:rFonts w:cstheme="minorHAnsi"/>
        </w:rPr>
        <w:t xml:space="preserve"> significant</w:t>
      </w:r>
      <w:r w:rsidRPr="00856EB6">
        <w:rPr>
          <w:rFonts w:cstheme="minorHAnsi"/>
        </w:rPr>
        <w:t xml:space="preserve"> increase in the number of positive COVID-19 tests in recent weeks.  </w:t>
      </w:r>
      <w:r w:rsidR="008937EC">
        <w:rPr>
          <w:rFonts w:cstheme="minorHAnsi"/>
        </w:rPr>
        <w:t xml:space="preserve">We are now </w:t>
      </w:r>
      <w:r w:rsidR="0096724F">
        <w:rPr>
          <w:rFonts w:cstheme="minorHAnsi"/>
        </w:rPr>
        <w:t>seeing clear</w:t>
      </w:r>
      <w:r w:rsidR="008937EC">
        <w:rPr>
          <w:rFonts w:cstheme="minorHAnsi"/>
        </w:rPr>
        <w:t xml:space="preserve"> signs of an increase in hospital inpatients</w:t>
      </w:r>
      <w:r w:rsidR="00CE6DE0">
        <w:rPr>
          <w:rFonts w:cstheme="minorHAnsi"/>
        </w:rPr>
        <w:t xml:space="preserve"> and deaths</w:t>
      </w:r>
      <w:r w:rsidRPr="00856EB6">
        <w:rPr>
          <w:rFonts w:cstheme="minorHAnsi"/>
        </w:rPr>
        <w:t xml:space="preserve">.  </w:t>
      </w:r>
      <w:r w:rsidR="007955C7">
        <w:rPr>
          <w:rFonts w:cstheme="minorHAnsi"/>
        </w:rPr>
        <w:t>In North East Lincolnshire analysis of cases confirmed since 1</w:t>
      </w:r>
      <w:r w:rsidR="007955C7" w:rsidRPr="007955C7">
        <w:rPr>
          <w:rFonts w:cstheme="minorHAnsi"/>
          <w:vertAlign w:val="superscript"/>
        </w:rPr>
        <w:t>st</w:t>
      </w:r>
      <w:r w:rsidR="007955C7">
        <w:rPr>
          <w:rFonts w:cstheme="minorHAnsi"/>
        </w:rPr>
        <w:t xml:space="preserve"> </w:t>
      </w:r>
      <w:r w:rsidR="0096724F">
        <w:rPr>
          <w:rFonts w:cstheme="minorHAnsi"/>
        </w:rPr>
        <w:t>October</w:t>
      </w:r>
      <w:r w:rsidR="007955C7">
        <w:rPr>
          <w:rFonts w:cstheme="minorHAnsi"/>
        </w:rPr>
        <w:t xml:space="preserve"> suggests an even spread across the working age population</w:t>
      </w:r>
      <w:r w:rsidR="00DD7D01">
        <w:rPr>
          <w:rFonts w:cstheme="minorHAnsi"/>
        </w:rPr>
        <w:t xml:space="preserve">, </w:t>
      </w:r>
      <w:r w:rsidR="00A53F6B">
        <w:rPr>
          <w:rFonts w:cstheme="minorHAnsi"/>
        </w:rPr>
        <w:t xml:space="preserve">but evidence that </w:t>
      </w:r>
      <w:r w:rsidR="00D82E61">
        <w:rPr>
          <w:rFonts w:cstheme="minorHAnsi"/>
        </w:rPr>
        <w:t xml:space="preserve">the rate of </w:t>
      </w:r>
      <w:r w:rsidR="00A53F6B">
        <w:rPr>
          <w:rFonts w:cstheme="minorHAnsi"/>
        </w:rPr>
        <w:t>growth may now have stopped in that population</w:t>
      </w:r>
      <w:r w:rsidR="00DD7D01">
        <w:rPr>
          <w:rFonts w:cstheme="minorHAnsi"/>
        </w:rPr>
        <w:t xml:space="preserve">.  </w:t>
      </w:r>
      <w:r w:rsidR="00A53F6B">
        <w:rPr>
          <w:rFonts w:cstheme="minorHAnsi"/>
        </w:rPr>
        <w:t xml:space="preserve">By contrast we </w:t>
      </w:r>
      <w:r w:rsidR="006E6B36">
        <w:rPr>
          <w:rFonts w:cstheme="minorHAnsi"/>
        </w:rPr>
        <w:t>are continuing</w:t>
      </w:r>
      <w:r w:rsidR="00A53F6B">
        <w:rPr>
          <w:rFonts w:cstheme="minorHAnsi"/>
        </w:rPr>
        <w:t xml:space="preserve"> to see a rapid increase in the number of cases in people over the age of 65</w:t>
      </w:r>
      <w:r w:rsidR="006E6B36">
        <w:rPr>
          <w:rFonts w:cstheme="minorHAnsi"/>
        </w:rPr>
        <w:t>.</w:t>
      </w:r>
      <w:r w:rsidR="00A53F6B">
        <w:rPr>
          <w:rFonts w:cstheme="minorHAnsi"/>
        </w:rPr>
        <w:t xml:space="preserve">  </w:t>
      </w:r>
      <w:r w:rsidR="00A53F6B" w:rsidRPr="00A6260C">
        <w:rPr>
          <w:rFonts w:cstheme="minorHAnsi"/>
        </w:rPr>
        <w:t>This is likely to put a significant burden on our hospital services over the coming weeks</w:t>
      </w:r>
      <w:r w:rsidR="00824701" w:rsidRPr="00A6260C">
        <w:rPr>
          <w:rFonts w:cstheme="minorHAnsi"/>
        </w:rPr>
        <w:t>.</w:t>
      </w:r>
      <w:r w:rsidR="002434C4" w:rsidRPr="00A6260C">
        <w:rPr>
          <w:rFonts w:cstheme="minorHAnsi"/>
        </w:rPr>
        <w:t xml:space="preserve">  Geographically cases </w:t>
      </w:r>
      <w:r w:rsidR="00DD7D01" w:rsidRPr="00A6260C">
        <w:rPr>
          <w:rFonts w:cstheme="minorHAnsi"/>
        </w:rPr>
        <w:t xml:space="preserve">are occurring in all parts of the borough </w:t>
      </w:r>
      <w:r w:rsidR="00A6260C" w:rsidRPr="00A6260C">
        <w:rPr>
          <w:rFonts w:cstheme="minorHAnsi"/>
        </w:rPr>
        <w:t>with the highest numbers over the last two weeks reported in Haverstoe, South, Heneage and Scartho wards</w:t>
      </w:r>
      <w:r w:rsidR="0096724F" w:rsidRPr="00A6260C">
        <w:rPr>
          <w:rFonts w:cstheme="minorHAnsi"/>
        </w:rPr>
        <w:t>.</w:t>
      </w:r>
      <w:r w:rsidR="00E762CC" w:rsidRPr="00A53F6B">
        <w:rPr>
          <w:rFonts w:cstheme="minorHAnsi"/>
          <w:i/>
          <w:iCs/>
        </w:rPr>
        <w:t xml:space="preserve">  </w:t>
      </w:r>
    </w:p>
    <w:p w14:paraId="6DF413A4" w14:textId="77777777" w:rsidR="00537304" w:rsidRPr="00856EB6" w:rsidRDefault="00537304" w:rsidP="000855CC">
      <w:pPr>
        <w:spacing w:after="0"/>
        <w:jc w:val="both"/>
        <w:rPr>
          <w:rFonts w:cstheme="minorHAnsi"/>
        </w:rPr>
      </w:pPr>
    </w:p>
    <w:p w14:paraId="2D1D94A5" w14:textId="65B9383C" w:rsidR="00A33B32" w:rsidRPr="00856EB6" w:rsidRDefault="00B34D54" w:rsidP="000855CC">
      <w:pPr>
        <w:spacing w:after="0"/>
        <w:jc w:val="both"/>
        <w:rPr>
          <w:rFonts w:cstheme="minorHAnsi"/>
        </w:rPr>
      </w:pPr>
      <w:r>
        <w:rPr>
          <w:rFonts w:cstheme="minorHAnsi"/>
        </w:rPr>
        <w:t>NLaG report that t</w:t>
      </w:r>
      <w:r w:rsidR="0046199D" w:rsidRPr="00856EB6">
        <w:rPr>
          <w:rFonts w:cstheme="minorHAnsi"/>
        </w:rPr>
        <w:t xml:space="preserve">here are </w:t>
      </w:r>
      <w:r w:rsidR="00A53F6B">
        <w:rPr>
          <w:rFonts w:cstheme="minorHAnsi"/>
        </w:rPr>
        <w:t>48</w:t>
      </w:r>
      <w:r w:rsidR="00286B3F" w:rsidRPr="00856EB6">
        <w:rPr>
          <w:rFonts w:cstheme="minorHAnsi"/>
        </w:rPr>
        <w:t xml:space="preserve"> </w:t>
      </w:r>
      <w:r w:rsidR="00A33B32" w:rsidRPr="00856EB6">
        <w:rPr>
          <w:rFonts w:cstheme="minorHAnsi"/>
        </w:rPr>
        <w:t>patient</w:t>
      </w:r>
      <w:r w:rsidR="0046199D" w:rsidRPr="00856EB6">
        <w:rPr>
          <w:rFonts w:cstheme="minorHAnsi"/>
        </w:rPr>
        <w:t>s</w:t>
      </w:r>
      <w:r w:rsidR="00A33B32" w:rsidRPr="00856EB6">
        <w:rPr>
          <w:rFonts w:cstheme="minorHAnsi"/>
        </w:rPr>
        <w:t xml:space="preserve"> with confirmed COVID-19 in Grimsby Hospital (as of </w:t>
      </w:r>
      <w:r w:rsidR="00A53F6B">
        <w:rPr>
          <w:rFonts w:cstheme="minorHAnsi"/>
        </w:rPr>
        <w:t>2</w:t>
      </w:r>
      <w:r w:rsidR="00A53F6B" w:rsidRPr="00A53F6B">
        <w:rPr>
          <w:rFonts w:cstheme="minorHAnsi"/>
          <w:vertAlign w:val="superscript"/>
        </w:rPr>
        <w:t>nd</w:t>
      </w:r>
      <w:r w:rsidR="00A53F6B">
        <w:rPr>
          <w:rFonts w:cstheme="minorHAnsi"/>
        </w:rPr>
        <w:t xml:space="preserve"> November</w:t>
      </w:r>
      <w:r w:rsidR="00A33B32" w:rsidRPr="00856EB6">
        <w:rPr>
          <w:rFonts w:cstheme="minorHAnsi"/>
        </w:rPr>
        <w:t>)</w:t>
      </w:r>
      <w:r w:rsidR="00A53F6B">
        <w:rPr>
          <w:rFonts w:cstheme="minorHAnsi"/>
        </w:rPr>
        <w:t>, an increase of ten from the previous week</w:t>
      </w:r>
      <w:r w:rsidR="00A33B32" w:rsidRPr="00856EB6">
        <w:rPr>
          <w:rFonts w:cstheme="minorHAnsi"/>
        </w:rPr>
        <w:t>.</w:t>
      </w:r>
      <w:r w:rsidR="002A16DD">
        <w:rPr>
          <w:rFonts w:cstheme="minorHAnsi"/>
        </w:rPr>
        <w:t xml:space="preserve">  </w:t>
      </w:r>
      <w:r w:rsidR="00761769">
        <w:rPr>
          <w:rFonts w:cstheme="minorHAnsi"/>
        </w:rPr>
        <w:t xml:space="preserve">This is the most </w:t>
      </w:r>
      <w:r w:rsidR="00233D07">
        <w:rPr>
          <w:rFonts w:cstheme="minorHAnsi"/>
        </w:rPr>
        <w:t xml:space="preserve">at any point during the pandemic </w:t>
      </w:r>
      <w:r w:rsidR="00761769">
        <w:rPr>
          <w:rFonts w:cstheme="minorHAnsi"/>
        </w:rPr>
        <w:t>and represents a substantial increase</w:t>
      </w:r>
      <w:r w:rsidR="0096724F">
        <w:rPr>
          <w:rFonts w:cstheme="minorHAnsi"/>
        </w:rPr>
        <w:t xml:space="preserve"> since the beginning of October</w:t>
      </w:r>
      <w:r w:rsidR="00761769">
        <w:rPr>
          <w:rFonts w:cstheme="minorHAnsi"/>
        </w:rPr>
        <w:t>.</w:t>
      </w:r>
    </w:p>
    <w:p w14:paraId="4BAF257F" w14:textId="77777777" w:rsidR="00537304" w:rsidRPr="00856EB6" w:rsidRDefault="00537304" w:rsidP="000855CC">
      <w:pPr>
        <w:spacing w:after="0"/>
        <w:jc w:val="both"/>
        <w:rPr>
          <w:rFonts w:cstheme="minorHAnsi"/>
        </w:rPr>
      </w:pPr>
    </w:p>
    <w:p w14:paraId="2FE37B8F" w14:textId="72D922C7" w:rsidR="00176343" w:rsidRPr="00A6260C" w:rsidRDefault="00176343" w:rsidP="00176343">
      <w:pPr>
        <w:spacing w:after="0"/>
        <w:jc w:val="both"/>
        <w:rPr>
          <w:rFonts w:cstheme="minorHAnsi"/>
        </w:rPr>
      </w:pPr>
      <w:r w:rsidRPr="00A6260C">
        <w:rPr>
          <w:rFonts w:cstheme="minorHAnsi"/>
        </w:rPr>
        <w:t xml:space="preserve">The number of cases in our care homes has grown significantly in the last week with </w:t>
      </w:r>
      <w:r w:rsidR="009955C1" w:rsidRPr="00A6260C">
        <w:rPr>
          <w:rFonts w:cstheme="minorHAnsi"/>
        </w:rPr>
        <w:t>eight</w:t>
      </w:r>
      <w:r w:rsidRPr="00A6260C">
        <w:rPr>
          <w:rFonts w:cstheme="minorHAnsi"/>
        </w:rPr>
        <w:t xml:space="preserve"> care homes currently treating a total of </w:t>
      </w:r>
      <w:r w:rsidR="009955C1" w:rsidRPr="00A6260C">
        <w:rPr>
          <w:rFonts w:cstheme="minorHAnsi"/>
        </w:rPr>
        <w:t>60</w:t>
      </w:r>
      <w:r w:rsidRPr="00A6260C">
        <w:rPr>
          <w:rFonts w:cstheme="minorHAnsi"/>
        </w:rPr>
        <w:t xml:space="preserve"> residents for COVID-19.  This is the highest number of cases within our care homes since the spring.  </w:t>
      </w:r>
    </w:p>
    <w:p w14:paraId="07CE2C6F" w14:textId="77777777" w:rsidR="00E762CC" w:rsidRDefault="00E762CC" w:rsidP="000855CC">
      <w:pPr>
        <w:spacing w:after="0"/>
        <w:jc w:val="both"/>
        <w:rPr>
          <w:rFonts w:cstheme="minorHAnsi"/>
        </w:rPr>
      </w:pPr>
    </w:p>
    <w:p w14:paraId="0DE90C97" w14:textId="7C24A89E" w:rsidR="0065610E" w:rsidRPr="00B665F2" w:rsidRDefault="00B665F2" w:rsidP="000855CC">
      <w:pPr>
        <w:spacing w:after="0"/>
        <w:jc w:val="both"/>
        <w:rPr>
          <w:rFonts w:cstheme="minorHAnsi"/>
        </w:rPr>
      </w:pPr>
      <w:r w:rsidRPr="00B665F2">
        <w:rPr>
          <w:rFonts w:cstheme="minorHAnsi"/>
        </w:rPr>
        <w:t xml:space="preserve">We are now experiencing regular, small outbreaks in a range of settings including social clubs, </w:t>
      </w:r>
      <w:proofErr w:type="gramStart"/>
      <w:r w:rsidRPr="00B665F2">
        <w:rPr>
          <w:rFonts w:cstheme="minorHAnsi"/>
        </w:rPr>
        <w:t>spas</w:t>
      </w:r>
      <w:proofErr w:type="gramEnd"/>
      <w:r w:rsidR="00CE6DE0">
        <w:rPr>
          <w:rFonts w:cstheme="minorHAnsi"/>
        </w:rPr>
        <w:t xml:space="preserve"> and</w:t>
      </w:r>
      <w:r w:rsidRPr="00B665F2">
        <w:rPr>
          <w:rFonts w:cstheme="minorHAnsi"/>
        </w:rPr>
        <w:t xml:space="preserve"> gyms</w:t>
      </w:r>
      <w:r w:rsidR="00CE6DE0">
        <w:rPr>
          <w:rFonts w:cstheme="minorHAnsi"/>
        </w:rPr>
        <w:t xml:space="preserve">.  </w:t>
      </w:r>
      <w:proofErr w:type="gramStart"/>
      <w:r w:rsidR="00CE6DE0">
        <w:rPr>
          <w:rFonts w:cstheme="minorHAnsi"/>
        </w:rPr>
        <w:t>However</w:t>
      </w:r>
      <w:proofErr w:type="gramEnd"/>
      <w:r w:rsidR="00CE6DE0">
        <w:rPr>
          <w:rFonts w:cstheme="minorHAnsi"/>
        </w:rPr>
        <w:t xml:space="preserve"> the largest number of outbreaks are occurring in workplaces and schools</w:t>
      </w:r>
      <w:r w:rsidRPr="00B665F2">
        <w:rPr>
          <w:rFonts w:cstheme="minorHAnsi"/>
        </w:rPr>
        <w:t>.</w:t>
      </w:r>
      <w:r w:rsidR="00A53F6B">
        <w:rPr>
          <w:rFonts w:cstheme="minorHAnsi"/>
        </w:rPr>
        <w:t xml:space="preserve">  The disease is now largely endemic across the North East Lincolnshire population.</w:t>
      </w:r>
    </w:p>
    <w:p w14:paraId="67ACB7E4" w14:textId="77777777" w:rsidR="00537304" w:rsidRPr="00856EB6" w:rsidRDefault="00537304" w:rsidP="000855CC">
      <w:pPr>
        <w:spacing w:after="0"/>
        <w:jc w:val="both"/>
        <w:rPr>
          <w:rFonts w:cstheme="minorHAnsi"/>
        </w:rPr>
      </w:pPr>
    </w:p>
    <w:p w14:paraId="1AC2DD90" w14:textId="4FB630C5" w:rsidR="008937EC" w:rsidRPr="00EF46A0" w:rsidRDefault="00175B3E" w:rsidP="00EF46A0">
      <w:pPr>
        <w:pStyle w:val="Heading2"/>
        <w:rPr>
          <w:rFonts w:asciiTheme="minorHAnsi" w:hAnsiTheme="minorHAnsi" w:cstheme="minorHAnsi"/>
          <w:b/>
          <w:bCs/>
          <w:color w:val="auto"/>
        </w:rPr>
      </w:pPr>
      <w:r w:rsidRPr="00EF46A0">
        <w:rPr>
          <w:rFonts w:asciiTheme="minorHAnsi" w:hAnsiTheme="minorHAnsi" w:cstheme="minorHAnsi"/>
          <w:b/>
          <w:bCs/>
          <w:color w:val="auto"/>
        </w:rPr>
        <w:t>Public Health Update</w:t>
      </w:r>
    </w:p>
    <w:p w14:paraId="04FEB3DF" w14:textId="25A7115A" w:rsidR="00AC7A2E" w:rsidRDefault="00175B3E" w:rsidP="00AC7A2E">
      <w:pPr>
        <w:spacing w:after="0"/>
        <w:jc w:val="both"/>
      </w:pPr>
      <w:r>
        <w:rPr>
          <w:rFonts w:cstheme="minorHAnsi"/>
        </w:rPr>
        <w:t xml:space="preserve">There has been a substantial increase in the rate of new COVID-19 infections since the beginning of September in most parts of the country but particularly in the North East of England, the North West of England and the Yorkshire &amp; Humber.  </w:t>
      </w:r>
      <w:r w:rsidRPr="00B665F2">
        <w:rPr>
          <w:rFonts w:cstheme="minorHAnsi"/>
        </w:rPr>
        <w:t xml:space="preserve">North East Lincolnshire </w:t>
      </w:r>
      <w:r w:rsidR="00856C6C" w:rsidRPr="00B665F2">
        <w:rPr>
          <w:rFonts w:cstheme="minorHAnsi"/>
        </w:rPr>
        <w:t>has also seen</w:t>
      </w:r>
      <w:r w:rsidRPr="00B665F2">
        <w:rPr>
          <w:rFonts w:cstheme="minorHAnsi"/>
        </w:rPr>
        <w:t xml:space="preserve"> a </w:t>
      </w:r>
      <w:r w:rsidR="00A53F6B">
        <w:rPr>
          <w:rFonts w:cstheme="minorHAnsi"/>
        </w:rPr>
        <w:t>ninety</w:t>
      </w:r>
      <w:r w:rsidR="0096724F">
        <w:rPr>
          <w:rFonts w:cstheme="minorHAnsi"/>
        </w:rPr>
        <w:t>-</w:t>
      </w:r>
      <w:r w:rsidR="00B665F2" w:rsidRPr="00B665F2">
        <w:rPr>
          <w:rFonts w:cstheme="minorHAnsi"/>
        </w:rPr>
        <w:t>fold increase</w:t>
      </w:r>
      <w:r w:rsidRPr="00B665F2">
        <w:rPr>
          <w:rFonts w:cstheme="minorHAnsi"/>
        </w:rPr>
        <w:t xml:space="preserve"> in the rate of new infections during this period although our rate </w:t>
      </w:r>
      <w:r w:rsidR="00856C6C" w:rsidRPr="00B665F2">
        <w:rPr>
          <w:rFonts w:cstheme="minorHAnsi"/>
        </w:rPr>
        <w:t>remains lower than the Yorkshire &amp; Humber rate</w:t>
      </w:r>
      <w:r w:rsidRPr="00B665F2">
        <w:rPr>
          <w:rFonts w:cstheme="minorHAnsi"/>
        </w:rPr>
        <w:t>.</w:t>
      </w:r>
      <w:r>
        <w:rPr>
          <w:rFonts w:cstheme="minorHAnsi"/>
        </w:rPr>
        <w:t xml:space="preserve">  </w:t>
      </w:r>
      <w:r w:rsidR="00145FE6">
        <w:rPr>
          <w:rFonts w:cstheme="minorHAnsi"/>
        </w:rPr>
        <w:t xml:space="preserve">North East Lincolnshire </w:t>
      </w:r>
      <w:r w:rsidR="00A53F6B">
        <w:rPr>
          <w:rFonts w:cstheme="minorHAnsi"/>
        </w:rPr>
        <w:t>was moved into the high risk</w:t>
      </w:r>
      <w:r w:rsidR="00145FE6">
        <w:rPr>
          <w:rFonts w:cstheme="minorHAnsi"/>
        </w:rPr>
        <w:t xml:space="preserve"> (Tier </w:t>
      </w:r>
      <w:r w:rsidR="00A53F6B">
        <w:rPr>
          <w:rFonts w:cstheme="minorHAnsi"/>
        </w:rPr>
        <w:t>2</w:t>
      </w:r>
      <w:r w:rsidR="00145FE6">
        <w:rPr>
          <w:rFonts w:cstheme="minorHAnsi"/>
        </w:rPr>
        <w:t>) category that the Government has introduced to determin</w:t>
      </w:r>
      <w:r w:rsidR="00AC7A2E">
        <w:rPr>
          <w:rFonts w:cstheme="minorHAnsi"/>
        </w:rPr>
        <w:t>e</w:t>
      </w:r>
      <w:r w:rsidR="00145FE6">
        <w:rPr>
          <w:rFonts w:cstheme="minorHAnsi"/>
        </w:rPr>
        <w:t xml:space="preserve"> restrictions associated with COVID-19 infection rates</w:t>
      </w:r>
      <w:r w:rsidR="00A53F6B">
        <w:rPr>
          <w:rFonts w:cstheme="minorHAnsi"/>
        </w:rPr>
        <w:t xml:space="preserve"> on 31st October</w:t>
      </w:r>
      <w:r w:rsidR="00AC7A2E">
        <w:rPr>
          <w:rFonts w:cstheme="minorHAnsi"/>
        </w:rPr>
        <w:t xml:space="preserve">.  </w:t>
      </w:r>
      <w:r w:rsidR="00A53F6B">
        <w:t xml:space="preserve">However shortly after this it was announced that the whole of England would move into </w:t>
      </w:r>
      <w:r w:rsidR="00B00ECC">
        <w:t>a partial lockdown from Thursday November 5</w:t>
      </w:r>
      <w:r w:rsidR="00B00ECC" w:rsidRPr="00B00ECC">
        <w:rPr>
          <w:vertAlign w:val="superscript"/>
        </w:rPr>
        <w:t>th</w:t>
      </w:r>
      <w:r w:rsidR="00B00ECC">
        <w:t xml:space="preserve">.  </w:t>
      </w:r>
      <w:r w:rsidR="00C25A57">
        <w:t xml:space="preserve">Key restrictions and measures </w:t>
      </w:r>
      <w:r w:rsidR="00A6260C">
        <w:t xml:space="preserve">in this lockdown </w:t>
      </w:r>
      <w:r w:rsidR="00C25A57">
        <w:t>include the following:</w:t>
      </w:r>
    </w:p>
    <w:p w14:paraId="7CD0BC9E" w14:textId="77777777" w:rsidR="00C25A57" w:rsidRPr="00C25A57" w:rsidRDefault="00C25A57" w:rsidP="006E6B36">
      <w:pPr>
        <w:numPr>
          <w:ilvl w:val="0"/>
          <w:numId w:val="8"/>
        </w:numPr>
        <w:shd w:val="clear" w:color="auto" w:fill="FFFFFF"/>
        <w:spacing w:after="0"/>
        <w:jc w:val="both"/>
        <w:textAlignment w:val="baseline"/>
        <w:rPr>
          <w:rFonts w:eastAsia="Times New Roman" w:cstheme="minorHAnsi"/>
          <w:color w:val="3F3F42"/>
          <w:lang w:eastAsia="en-GB"/>
        </w:rPr>
      </w:pPr>
      <w:r w:rsidRPr="00C25A57">
        <w:rPr>
          <w:rFonts w:eastAsia="Times New Roman" w:cstheme="minorHAnsi"/>
          <w:color w:val="3F3F42"/>
          <w:lang w:eastAsia="en-GB"/>
        </w:rPr>
        <w:lastRenderedPageBreak/>
        <w:t xml:space="preserve">People will be told to stay at home except for education, work (if it </w:t>
      </w:r>
      <w:proofErr w:type="gramStart"/>
      <w:r w:rsidRPr="00C25A57">
        <w:rPr>
          <w:rFonts w:eastAsia="Times New Roman" w:cstheme="minorHAnsi"/>
          <w:color w:val="3F3F42"/>
          <w:lang w:eastAsia="en-GB"/>
        </w:rPr>
        <w:t>can't</w:t>
      </w:r>
      <w:proofErr w:type="gramEnd"/>
      <w:r w:rsidRPr="00C25A57">
        <w:rPr>
          <w:rFonts w:eastAsia="Times New Roman" w:cstheme="minorHAnsi"/>
          <w:color w:val="3F3F42"/>
          <w:lang w:eastAsia="en-GB"/>
        </w:rPr>
        <w:t xml:space="preserve"> be done from home), exercise and recreation, medical reasons, shopping for food and other essentials, or to care for others</w:t>
      </w:r>
    </w:p>
    <w:p w14:paraId="6EE0E54B"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All pubs and restaurants will have to close (takeaways and deliveries can continue)</w:t>
      </w:r>
    </w:p>
    <w:p w14:paraId="44C95DAA"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All non-essential shops will have to close (supermarkets can sell non-essential goods)</w:t>
      </w:r>
    </w:p>
    <w:p w14:paraId="7C1B207D"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Households will not be allowed to mix with others indoors, or in private gardens</w:t>
      </w:r>
    </w:p>
    <w:p w14:paraId="37BA6488"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Individuals can meet one person from outside their household in an outside public space</w:t>
      </w:r>
    </w:p>
    <w:p w14:paraId="5AAD5CDF" w14:textId="52EC3F35"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 xml:space="preserve">Support bubbles for people who live </w:t>
      </w:r>
      <w:proofErr w:type="gramStart"/>
      <w:r w:rsidRPr="00C25A57">
        <w:rPr>
          <w:rFonts w:eastAsia="Times New Roman" w:cstheme="minorHAnsi"/>
          <w:color w:val="3F3F42"/>
          <w:lang w:eastAsia="en-GB"/>
        </w:rPr>
        <w:t>alone</w:t>
      </w:r>
      <w:proofErr w:type="gramEnd"/>
      <w:r w:rsidRPr="00C25A57">
        <w:rPr>
          <w:rFonts w:eastAsia="Times New Roman" w:cstheme="minorHAnsi"/>
          <w:color w:val="3F3F42"/>
          <w:lang w:eastAsia="en-GB"/>
        </w:rPr>
        <w:t xml:space="preserve"> and households made up of single parents and children can continue and </w:t>
      </w:r>
      <w:r>
        <w:rPr>
          <w:rFonts w:eastAsia="Times New Roman" w:cstheme="minorHAnsi"/>
          <w:color w:val="3F3F42"/>
          <w:lang w:eastAsia="en-GB"/>
        </w:rPr>
        <w:t>c</w:t>
      </w:r>
      <w:r w:rsidRPr="00C25A57">
        <w:rPr>
          <w:rFonts w:eastAsia="Times New Roman" w:cstheme="minorHAnsi"/>
          <w:color w:val="3F3F42"/>
          <w:lang w:eastAsia="en-GB"/>
        </w:rPr>
        <w:t>hildren will be able to move between homes if their parents are separated</w:t>
      </w:r>
    </w:p>
    <w:p w14:paraId="47D0C994"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 xml:space="preserve">Schools, nurseries, </w:t>
      </w:r>
      <w:proofErr w:type="gramStart"/>
      <w:r w:rsidRPr="00C25A57">
        <w:rPr>
          <w:rFonts w:eastAsia="Times New Roman" w:cstheme="minorHAnsi"/>
          <w:color w:val="3F3F42"/>
          <w:lang w:eastAsia="en-GB"/>
        </w:rPr>
        <w:t>colleges</w:t>
      </w:r>
      <w:proofErr w:type="gramEnd"/>
      <w:r w:rsidRPr="00C25A57">
        <w:rPr>
          <w:rFonts w:eastAsia="Times New Roman" w:cstheme="minorHAnsi"/>
          <w:color w:val="3F3F42"/>
          <w:lang w:eastAsia="en-GB"/>
        </w:rPr>
        <w:t xml:space="preserve"> and universities will remain open</w:t>
      </w:r>
    </w:p>
    <w:p w14:paraId="2FD20231"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 xml:space="preserve">Hotels will only open for people who </w:t>
      </w:r>
      <w:proofErr w:type="gramStart"/>
      <w:r w:rsidRPr="00C25A57">
        <w:rPr>
          <w:rFonts w:eastAsia="Times New Roman" w:cstheme="minorHAnsi"/>
          <w:color w:val="3F3F42"/>
          <w:lang w:eastAsia="en-GB"/>
        </w:rPr>
        <w:t>have to</w:t>
      </w:r>
      <w:proofErr w:type="gramEnd"/>
      <w:r w:rsidRPr="00C25A57">
        <w:rPr>
          <w:rFonts w:eastAsia="Times New Roman" w:cstheme="minorHAnsi"/>
          <w:color w:val="3F3F42"/>
          <w:lang w:eastAsia="en-GB"/>
        </w:rPr>
        <w:t xml:space="preserve"> travel for work plus a number of other limited reasons</w:t>
      </w:r>
    </w:p>
    <w:p w14:paraId="26AAD9F5"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Weddings and civil partnership ceremonies will not be allowed, apart from exceptional circumstances</w:t>
      </w:r>
    </w:p>
    <w:p w14:paraId="037862C6"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Places of worship will generally close but funerals, with a maximum of 30 people attending, individual prayer, and a few other activities will be allowed</w:t>
      </w:r>
    </w:p>
    <w:p w14:paraId="3C720672"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Workplaces will be asked to stay open if people cannot work from home - including construction and manufacturing</w:t>
      </w:r>
    </w:p>
    <w:p w14:paraId="7D6E05F2" w14:textId="77777777"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Outdoor exercise and recreation will be allowed, but gyms will have to close</w:t>
      </w:r>
    </w:p>
    <w:p w14:paraId="00E72082" w14:textId="155177EC" w:rsidR="00C25A57" w:rsidRPr="00C25A57" w:rsidRDefault="00C25A57" w:rsidP="006E6B36">
      <w:pPr>
        <w:numPr>
          <w:ilvl w:val="0"/>
          <w:numId w:val="8"/>
        </w:numPr>
        <w:shd w:val="clear" w:color="auto" w:fill="FFFFFF"/>
        <w:spacing w:before="100" w:beforeAutospacing="1" w:after="100" w:afterAutospacing="1"/>
        <w:jc w:val="both"/>
        <w:textAlignment w:val="baseline"/>
        <w:rPr>
          <w:rFonts w:eastAsia="Times New Roman" w:cstheme="minorHAnsi"/>
          <w:color w:val="3F3F42"/>
          <w:lang w:eastAsia="en-GB"/>
        </w:rPr>
      </w:pPr>
      <w:r w:rsidRPr="00C25A57">
        <w:rPr>
          <w:rFonts w:eastAsia="Times New Roman" w:cstheme="minorHAnsi"/>
          <w:color w:val="3F3F42"/>
          <w:lang w:eastAsia="en-GB"/>
        </w:rPr>
        <w:t>Clinically vulnerable advised not to go to work if they are unable to work from home</w:t>
      </w:r>
      <w:r w:rsidR="00A6260C">
        <w:rPr>
          <w:rFonts w:eastAsia="Times New Roman" w:cstheme="minorHAnsi"/>
          <w:color w:val="3F3F42"/>
          <w:lang w:eastAsia="en-GB"/>
        </w:rPr>
        <w:t>.</w:t>
      </w:r>
    </w:p>
    <w:p w14:paraId="3DD6DDFD" w14:textId="3561E900" w:rsidR="00C25A57" w:rsidRPr="00C25A57" w:rsidRDefault="00C25A57" w:rsidP="006E6B36">
      <w:pPr>
        <w:shd w:val="clear" w:color="auto" w:fill="FFFFFF"/>
        <w:spacing w:after="0"/>
        <w:jc w:val="both"/>
        <w:textAlignment w:val="baseline"/>
        <w:rPr>
          <w:rFonts w:eastAsia="Times New Roman" w:cstheme="minorHAnsi"/>
          <w:color w:val="3F3F42"/>
          <w:lang w:eastAsia="en-GB"/>
        </w:rPr>
      </w:pPr>
      <w:r>
        <w:rPr>
          <w:rFonts w:eastAsia="Times New Roman" w:cstheme="minorHAnsi"/>
          <w:color w:val="3F3F42"/>
          <w:lang w:eastAsia="en-GB"/>
        </w:rPr>
        <w:t>From</w:t>
      </w:r>
      <w:r w:rsidRPr="00C25A57">
        <w:rPr>
          <w:rFonts w:eastAsia="Times New Roman" w:cstheme="minorHAnsi"/>
          <w:color w:val="3F3F42"/>
          <w:lang w:eastAsia="en-GB"/>
        </w:rPr>
        <w:t xml:space="preserve"> 2</w:t>
      </w:r>
      <w:r>
        <w:rPr>
          <w:rFonts w:eastAsia="Times New Roman" w:cstheme="minorHAnsi"/>
          <w:color w:val="3F3F42"/>
          <w:lang w:eastAsia="en-GB"/>
        </w:rPr>
        <w:t>nd</w:t>
      </w:r>
      <w:r w:rsidRPr="00C25A57">
        <w:rPr>
          <w:rFonts w:eastAsia="Times New Roman" w:cstheme="minorHAnsi"/>
          <w:color w:val="3F3F42"/>
          <w:lang w:eastAsia="en-GB"/>
        </w:rPr>
        <w:t xml:space="preserve"> December</w:t>
      </w:r>
      <w:r>
        <w:rPr>
          <w:rFonts w:eastAsia="Times New Roman" w:cstheme="minorHAnsi"/>
          <w:color w:val="3F3F42"/>
          <w:lang w:eastAsia="en-GB"/>
        </w:rPr>
        <w:t xml:space="preserve"> the current plan is that</w:t>
      </w:r>
      <w:r w:rsidRPr="00C25A57">
        <w:rPr>
          <w:rFonts w:eastAsia="Times New Roman" w:cstheme="minorHAnsi"/>
          <w:color w:val="3F3F42"/>
          <w:lang w:eastAsia="en-GB"/>
        </w:rPr>
        <w:t xml:space="preserve"> different regions will return to the tiers system, depending upon the rates of infection.</w:t>
      </w:r>
    </w:p>
    <w:p w14:paraId="6D79EFFB" w14:textId="478AC529" w:rsidR="00175B3E" w:rsidRDefault="00B00ECC" w:rsidP="007F31FE">
      <w:pPr>
        <w:spacing w:before="240" w:after="0"/>
        <w:jc w:val="both"/>
        <w:rPr>
          <w:rFonts w:cstheme="minorHAnsi"/>
        </w:rPr>
      </w:pPr>
      <w:r>
        <w:rPr>
          <w:rFonts w:cstheme="minorHAnsi"/>
        </w:rPr>
        <w:t>During the month of October,</w:t>
      </w:r>
      <w:r w:rsidR="005579F5" w:rsidRPr="00D750FF">
        <w:rPr>
          <w:rFonts w:cstheme="minorHAnsi"/>
        </w:rPr>
        <w:t xml:space="preserve"> </w:t>
      </w:r>
      <w:r w:rsidR="008717D4">
        <w:rPr>
          <w:rFonts w:cstheme="minorHAnsi"/>
        </w:rPr>
        <w:t>2,010</w:t>
      </w:r>
      <w:r w:rsidR="00175B3E" w:rsidRPr="00D750FF">
        <w:rPr>
          <w:rFonts w:cstheme="minorHAnsi"/>
        </w:rPr>
        <w:t xml:space="preserve"> new cases </w:t>
      </w:r>
      <w:r>
        <w:rPr>
          <w:rFonts w:cstheme="minorHAnsi"/>
        </w:rPr>
        <w:t>of COVID-19 were</w:t>
      </w:r>
      <w:r w:rsidR="00175B3E" w:rsidRPr="00D750FF">
        <w:rPr>
          <w:rFonts w:cstheme="minorHAnsi"/>
        </w:rPr>
        <w:t xml:space="preserve"> confirmed in North East Lincolnshire</w:t>
      </w:r>
      <w:r>
        <w:rPr>
          <w:rFonts w:cstheme="minorHAnsi"/>
        </w:rPr>
        <w:t xml:space="preserve">, representing </w:t>
      </w:r>
      <w:r w:rsidR="009955C1">
        <w:rPr>
          <w:rFonts w:cstheme="minorHAnsi"/>
        </w:rPr>
        <w:t>more than 80%</w:t>
      </w:r>
      <w:r>
        <w:rPr>
          <w:rFonts w:cstheme="minorHAnsi"/>
        </w:rPr>
        <w:t xml:space="preserve"> of all cases confirmed in </w:t>
      </w:r>
      <w:r w:rsidR="00C25A57">
        <w:rPr>
          <w:rFonts w:cstheme="minorHAnsi"/>
        </w:rPr>
        <w:t>the borough</w:t>
      </w:r>
      <w:r w:rsidRPr="00B00ECC">
        <w:rPr>
          <w:rFonts w:cstheme="minorHAnsi"/>
        </w:rPr>
        <w:t xml:space="preserve"> </w:t>
      </w:r>
      <w:r>
        <w:rPr>
          <w:rFonts w:cstheme="minorHAnsi"/>
        </w:rPr>
        <w:t>since the start of the pandemic</w:t>
      </w:r>
      <w:r w:rsidR="0058228E" w:rsidRPr="00D750FF">
        <w:rPr>
          <w:rFonts w:cstheme="minorHAnsi"/>
        </w:rPr>
        <w:t xml:space="preserve">.  </w:t>
      </w:r>
      <w:r w:rsidR="00343800" w:rsidRPr="00D750FF">
        <w:rPr>
          <w:rFonts w:cstheme="minorHAnsi"/>
        </w:rPr>
        <w:t xml:space="preserve">During </w:t>
      </w:r>
      <w:proofErr w:type="gramStart"/>
      <w:r w:rsidR="00D750FF" w:rsidRPr="00D750FF">
        <w:rPr>
          <w:rFonts w:cstheme="minorHAnsi"/>
        </w:rPr>
        <w:t>Octobe</w:t>
      </w:r>
      <w:r w:rsidR="00343800" w:rsidRPr="00D750FF">
        <w:rPr>
          <w:rFonts w:cstheme="minorHAnsi"/>
        </w:rPr>
        <w:t>r</w:t>
      </w:r>
      <w:proofErr w:type="gramEnd"/>
      <w:r w:rsidR="00343800" w:rsidRPr="00D750FF">
        <w:rPr>
          <w:rFonts w:cstheme="minorHAnsi"/>
        </w:rPr>
        <w:t xml:space="preserve"> the majority of</w:t>
      </w:r>
      <w:r w:rsidR="007955C7" w:rsidRPr="00D750FF">
        <w:rPr>
          <w:rFonts w:cstheme="minorHAnsi"/>
        </w:rPr>
        <w:t xml:space="preserve"> </w:t>
      </w:r>
      <w:r w:rsidR="00175B3E" w:rsidRPr="00D750FF">
        <w:rPr>
          <w:rFonts w:cstheme="minorHAnsi"/>
        </w:rPr>
        <w:t xml:space="preserve">our cases </w:t>
      </w:r>
      <w:r w:rsidR="00343800" w:rsidRPr="00D750FF">
        <w:rPr>
          <w:rFonts w:cstheme="minorHAnsi"/>
        </w:rPr>
        <w:t>have been</w:t>
      </w:r>
      <w:r w:rsidR="00175B3E" w:rsidRPr="00D750FF">
        <w:rPr>
          <w:rFonts w:cstheme="minorHAnsi"/>
        </w:rPr>
        <w:t xml:space="preserve"> in the working age population between 21 and 60</w:t>
      </w:r>
      <w:r w:rsidR="00B341FD" w:rsidRPr="00D750FF">
        <w:rPr>
          <w:rFonts w:cstheme="minorHAnsi"/>
        </w:rPr>
        <w:t xml:space="preserve"> </w:t>
      </w:r>
      <w:r w:rsidR="0096724F">
        <w:rPr>
          <w:rFonts w:cstheme="minorHAnsi"/>
        </w:rPr>
        <w:t xml:space="preserve">with a fairly even spread between male and female </w:t>
      </w:r>
      <w:r w:rsidR="00AC7A2E" w:rsidRPr="00D750FF">
        <w:rPr>
          <w:rFonts w:cstheme="minorHAnsi"/>
        </w:rPr>
        <w:t>(Figure 1)</w:t>
      </w:r>
      <w:r w:rsidR="00175B3E" w:rsidRPr="00D750FF">
        <w:rPr>
          <w:rFonts w:cstheme="minorHAnsi"/>
        </w:rPr>
        <w:t>.</w:t>
      </w:r>
      <w:r w:rsidR="00856C6C" w:rsidRPr="00D750FF">
        <w:rPr>
          <w:rFonts w:cstheme="minorHAnsi"/>
        </w:rPr>
        <w:t xml:space="preserve">  </w:t>
      </w:r>
    </w:p>
    <w:p w14:paraId="0A473AA0" w14:textId="6F97A2A1" w:rsidR="00175B3E" w:rsidRPr="00856C6C" w:rsidRDefault="00175B3E" w:rsidP="00175B3E">
      <w:pPr>
        <w:spacing w:before="240" w:after="0"/>
        <w:rPr>
          <w:rFonts w:cstheme="minorHAnsi"/>
          <w:b/>
          <w:bCs/>
        </w:rPr>
      </w:pPr>
      <w:r w:rsidRPr="00856C6C">
        <w:rPr>
          <w:rFonts w:cstheme="minorHAnsi"/>
          <w:b/>
          <w:bCs/>
        </w:rPr>
        <w:t xml:space="preserve">Figure </w:t>
      </w:r>
      <w:r w:rsidR="00094015">
        <w:rPr>
          <w:rFonts w:cstheme="minorHAnsi"/>
          <w:b/>
          <w:bCs/>
        </w:rPr>
        <w:t>1</w:t>
      </w:r>
      <w:r w:rsidRPr="00856C6C">
        <w:rPr>
          <w:rFonts w:cstheme="minorHAnsi"/>
          <w:b/>
          <w:bCs/>
        </w:rPr>
        <w:t xml:space="preserve">: </w:t>
      </w:r>
      <w:r w:rsidR="00856C6C" w:rsidRPr="00856C6C">
        <w:rPr>
          <w:rFonts w:cstheme="minorHAnsi"/>
          <w:b/>
          <w:bCs/>
        </w:rPr>
        <w:t>Cases of Confirmed COVID-19 in North East Lincolnshire since 1</w:t>
      </w:r>
      <w:r w:rsidR="00856C6C" w:rsidRPr="00856C6C">
        <w:rPr>
          <w:rFonts w:cstheme="minorHAnsi"/>
          <w:b/>
          <w:bCs/>
          <w:vertAlign w:val="superscript"/>
        </w:rPr>
        <w:t>st</w:t>
      </w:r>
      <w:r w:rsidR="008428BB">
        <w:rPr>
          <w:rFonts w:cstheme="minorHAnsi"/>
          <w:b/>
          <w:bCs/>
          <w:vertAlign w:val="superscript"/>
        </w:rPr>
        <w:t xml:space="preserve"> </w:t>
      </w:r>
      <w:r w:rsidR="008428BB">
        <w:rPr>
          <w:rFonts w:cstheme="minorHAnsi"/>
          <w:b/>
          <w:bCs/>
        </w:rPr>
        <w:t>OCTOBER</w:t>
      </w:r>
      <w:r w:rsidR="00856C6C" w:rsidRPr="00856C6C">
        <w:rPr>
          <w:rFonts w:cstheme="minorHAnsi"/>
          <w:b/>
          <w:bCs/>
        </w:rPr>
        <w:t>, analysed by age and gender</w:t>
      </w:r>
    </w:p>
    <w:p w14:paraId="30A5BF02" w14:textId="28F7072A" w:rsidR="00175B3E" w:rsidRPr="004F1BED" w:rsidRDefault="00175B3E" w:rsidP="00537304">
      <w:pPr>
        <w:spacing w:after="0"/>
        <w:rPr>
          <w:rFonts w:cstheme="minorHAnsi"/>
          <w:b/>
          <w:bCs/>
        </w:rPr>
      </w:pPr>
    </w:p>
    <w:p w14:paraId="1F4F96BC" w14:textId="6BD8D49F" w:rsidR="000B5B2A" w:rsidRDefault="008717D4" w:rsidP="00537304">
      <w:pPr>
        <w:spacing w:after="0"/>
        <w:rPr>
          <w:rFonts w:cstheme="minorHAnsi"/>
        </w:rPr>
      </w:pPr>
      <w:r>
        <w:rPr>
          <w:noProof/>
        </w:rPr>
        <w:drawing>
          <wp:inline distT="0" distB="0" distL="0" distR="0" wp14:anchorId="7861D2DE" wp14:editId="24849980">
            <wp:extent cx="6137910" cy="3082344"/>
            <wp:effectExtent l="0" t="0" r="15240" b="3810"/>
            <wp:docPr id="7" name="Chart 7" descr="Cases of Confirmed COVID-19 in North East Lincolnshire since 1st OCTOBER, analysed by age and gender">
              <a:extLst xmlns:a="http://schemas.openxmlformats.org/drawingml/2006/main">
                <a:ext uri="{FF2B5EF4-FFF2-40B4-BE49-F238E27FC236}">
                  <a16:creationId xmlns:a16="http://schemas.microsoft.com/office/drawing/2014/main" id="{9807ECB2-2605-48B7-B027-EE888EBF4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F1C714" w14:textId="6B2C06F2" w:rsidR="008F123E" w:rsidRPr="00A6260C" w:rsidRDefault="002D19A5" w:rsidP="00C25A57">
      <w:pPr>
        <w:spacing w:after="0"/>
        <w:rPr>
          <w:rFonts w:ascii="Calibri" w:hAnsi="Calibri" w:cs="Calibri"/>
          <w:bCs/>
          <w:i/>
          <w:iCs/>
          <w:sz w:val="18"/>
          <w:szCs w:val="18"/>
        </w:rPr>
      </w:pPr>
      <w:r w:rsidRPr="00A6260C">
        <w:rPr>
          <w:rFonts w:ascii="Calibri" w:hAnsi="Calibri" w:cs="Calibri"/>
          <w:bCs/>
          <w:i/>
          <w:iCs/>
          <w:sz w:val="18"/>
          <w:szCs w:val="18"/>
        </w:rPr>
        <w:t>Does not include cases where DOB or sex was missing.</w:t>
      </w:r>
    </w:p>
    <w:p w14:paraId="1542F9EC" w14:textId="2E89B28C" w:rsidR="00115E1B" w:rsidRPr="00B00ECC" w:rsidRDefault="00B00ECC" w:rsidP="00126115">
      <w:pPr>
        <w:pStyle w:val="BodyText"/>
        <w:spacing w:before="0" w:after="0"/>
        <w:jc w:val="both"/>
        <w:rPr>
          <w:rFonts w:ascii="Calibri" w:hAnsi="Calibri" w:cs="Calibri"/>
          <w:bCs/>
        </w:rPr>
      </w:pPr>
      <w:r w:rsidRPr="00B00ECC">
        <w:rPr>
          <w:rFonts w:ascii="Calibri" w:hAnsi="Calibri" w:cs="Calibri"/>
          <w:bCs/>
        </w:rPr>
        <w:lastRenderedPageBreak/>
        <w:t xml:space="preserve">Figure </w:t>
      </w:r>
      <w:r w:rsidR="004C7C89">
        <w:rPr>
          <w:rFonts w:ascii="Calibri" w:hAnsi="Calibri" w:cs="Calibri"/>
          <w:bCs/>
        </w:rPr>
        <w:t>2</w:t>
      </w:r>
      <w:r w:rsidRPr="00B00ECC">
        <w:rPr>
          <w:rFonts w:ascii="Calibri" w:hAnsi="Calibri" w:cs="Calibri"/>
          <w:bCs/>
        </w:rPr>
        <w:t xml:space="preserve"> display</w:t>
      </w:r>
      <w:r w:rsidR="004C7C89">
        <w:rPr>
          <w:rFonts w:ascii="Calibri" w:hAnsi="Calibri" w:cs="Calibri"/>
          <w:bCs/>
        </w:rPr>
        <w:t>s</w:t>
      </w:r>
      <w:r w:rsidRPr="00B00ECC">
        <w:rPr>
          <w:rFonts w:ascii="Calibri" w:hAnsi="Calibri" w:cs="Calibri"/>
          <w:bCs/>
        </w:rPr>
        <w:t xml:space="preserve"> the growth in cases in the various age categories.  </w:t>
      </w:r>
      <w:r w:rsidR="004C7C89">
        <w:rPr>
          <w:rFonts w:ascii="Calibri" w:hAnsi="Calibri" w:cs="Calibri"/>
          <w:bCs/>
        </w:rPr>
        <w:t>It</w:t>
      </w:r>
      <w:r w:rsidRPr="00B00ECC">
        <w:rPr>
          <w:rFonts w:ascii="Calibri" w:hAnsi="Calibri" w:cs="Calibri"/>
          <w:bCs/>
        </w:rPr>
        <w:t xml:space="preserve"> show</w:t>
      </w:r>
      <w:r w:rsidR="004C7C89">
        <w:rPr>
          <w:rFonts w:ascii="Calibri" w:hAnsi="Calibri" w:cs="Calibri"/>
          <w:bCs/>
        </w:rPr>
        <w:t>s</w:t>
      </w:r>
      <w:r w:rsidRPr="00B00ECC">
        <w:rPr>
          <w:rFonts w:ascii="Calibri" w:hAnsi="Calibri" w:cs="Calibri"/>
          <w:bCs/>
        </w:rPr>
        <w:t xml:space="preserve"> that cases </w:t>
      </w:r>
      <w:r w:rsidR="004C7C89">
        <w:rPr>
          <w:rFonts w:ascii="Calibri" w:hAnsi="Calibri" w:cs="Calibri"/>
          <w:bCs/>
        </w:rPr>
        <w:t>have grown</w:t>
      </w:r>
      <w:r w:rsidRPr="00B00ECC">
        <w:rPr>
          <w:rFonts w:ascii="Calibri" w:hAnsi="Calibri" w:cs="Calibri"/>
          <w:bCs/>
        </w:rPr>
        <w:t xml:space="preserve"> in all age groups during the course of the month but</w:t>
      </w:r>
      <w:r w:rsidR="009955C1">
        <w:rPr>
          <w:rFonts w:ascii="Calibri" w:hAnsi="Calibri" w:cs="Calibri"/>
          <w:bCs/>
        </w:rPr>
        <w:t>,</w:t>
      </w:r>
      <w:r w:rsidRPr="00B00ECC">
        <w:rPr>
          <w:rFonts w:ascii="Calibri" w:hAnsi="Calibri" w:cs="Calibri"/>
          <w:bCs/>
        </w:rPr>
        <w:t xml:space="preserve"> more positively</w:t>
      </w:r>
      <w:r w:rsidR="009955C1">
        <w:rPr>
          <w:rFonts w:ascii="Calibri" w:hAnsi="Calibri" w:cs="Calibri"/>
          <w:bCs/>
        </w:rPr>
        <w:t>,</w:t>
      </w:r>
      <w:r w:rsidRPr="00B00ECC">
        <w:rPr>
          <w:rFonts w:ascii="Calibri" w:hAnsi="Calibri" w:cs="Calibri"/>
          <w:bCs/>
        </w:rPr>
        <w:t xml:space="preserve"> there is evidence that this growth stopped in the under 15 age category from the middle of the month and appears to have stopped in the working age population one week later.  </w:t>
      </w:r>
      <w:r w:rsidR="006E6B36" w:rsidRPr="00B00ECC">
        <w:rPr>
          <w:rFonts w:ascii="Calibri" w:hAnsi="Calibri" w:cs="Calibri"/>
          <w:bCs/>
        </w:rPr>
        <w:t>Unfortunately,</w:t>
      </w:r>
      <w:r w:rsidRPr="00B00ECC">
        <w:rPr>
          <w:rFonts w:ascii="Calibri" w:hAnsi="Calibri" w:cs="Calibri"/>
          <w:bCs/>
        </w:rPr>
        <w:t xml:space="preserve"> however the rate of growth in the over 65 population has continued to increase</w:t>
      </w:r>
      <w:r>
        <w:rPr>
          <w:rFonts w:ascii="Calibri" w:hAnsi="Calibri" w:cs="Calibri"/>
          <w:bCs/>
        </w:rPr>
        <w:t xml:space="preserve"> which is likely to have a major impact on health services over the coming weeks.</w:t>
      </w:r>
    </w:p>
    <w:p w14:paraId="56D0D6D2" w14:textId="77777777" w:rsidR="00115E1B" w:rsidRDefault="00115E1B" w:rsidP="00126115">
      <w:pPr>
        <w:pStyle w:val="BodyText"/>
        <w:spacing w:before="0" w:after="0"/>
        <w:rPr>
          <w:rFonts w:ascii="Calibri" w:hAnsi="Calibri" w:cs="Calibri"/>
          <w:b/>
        </w:rPr>
      </w:pPr>
    </w:p>
    <w:p w14:paraId="551F549F" w14:textId="19BFAB66" w:rsidR="00ED0574" w:rsidRPr="00B00ECC" w:rsidRDefault="00B00ECC" w:rsidP="00092A8D">
      <w:pPr>
        <w:spacing w:after="0"/>
        <w:jc w:val="both"/>
        <w:rPr>
          <w:rFonts w:cstheme="minorHAnsi"/>
          <w:b/>
          <w:bCs/>
        </w:rPr>
      </w:pPr>
      <w:r w:rsidRPr="00B00ECC">
        <w:rPr>
          <w:rFonts w:cstheme="minorHAnsi"/>
          <w:b/>
          <w:bCs/>
        </w:rPr>
        <w:t xml:space="preserve">Figure </w:t>
      </w:r>
      <w:r w:rsidR="004C7C89">
        <w:rPr>
          <w:rFonts w:cstheme="minorHAnsi"/>
          <w:b/>
          <w:bCs/>
        </w:rPr>
        <w:t>2</w:t>
      </w:r>
      <w:r w:rsidRPr="00B00ECC">
        <w:rPr>
          <w:rFonts w:cstheme="minorHAnsi"/>
          <w:b/>
          <w:bCs/>
        </w:rPr>
        <w:t xml:space="preserve">: Trends in </w:t>
      </w:r>
      <w:r w:rsidRPr="00B00ECC">
        <w:rPr>
          <w:rFonts w:ascii="Calibri" w:hAnsi="Calibri" w:cs="Calibri"/>
          <w:b/>
          <w:bCs/>
        </w:rPr>
        <w:t>age specific incidence per 100,000 people from 27</w:t>
      </w:r>
      <w:r w:rsidRPr="00B00ECC">
        <w:rPr>
          <w:rFonts w:ascii="Calibri" w:hAnsi="Calibri" w:cs="Calibri"/>
          <w:b/>
          <w:bCs/>
          <w:vertAlign w:val="superscript"/>
        </w:rPr>
        <w:t>th</w:t>
      </w:r>
      <w:r w:rsidRPr="00B00ECC">
        <w:rPr>
          <w:rFonts w:ascii="Calibri" w:hAnsi="Calibri" w:cs="Calibri"/>
          <w:b/>
          <w:bCs/>
        </w:rPr>
        <w:t xml:space="preserve"> September to 27</w:t>
      </w:r>
      <w:r w:rsidRPr="00B00ECC">
        <w:rPr>
          <w:rFonts w:ascii="Calibri" w:hAnsi="Calibri" w:cs="Calibri"/>
          <w:b/>
          <w:bCs/>
          <w:vertAlign w:val="superscript"/>
        </w:rPr>
        <w:t>th</w:t>
      </w:r>
      <w:r w:rsidRPr="00B00ECC">
        <w:rPr>
          <w:rFonts w:ascii="Calibri" w:hAnsi="Calibri" w:cs="Calibri"/>
          <w:b/>
          <w:bCs/>
        </w:rPr>
        <w:t xml:space="preserve"> October</w:t>
      </w:r>
    </w:p>
    <w:p w14:paraId="0D00CFBB" w14:textId="61480F21" w:rsidR="00ED0574" w:rsidRDefault="00ED0574" w:rsidP="00092A8D">
      <w:pPr>
        <w:spacing w:after="0"/>
        <w:jc w:val="both"/>
        <w:rPr>
          <w:rFonts w:cstheme="minorHAnsi"/>
        </w:rPr>
      </w:pPr>
      <w:r>
        <w:rPr>
          <w:noProof/>
        </w:rPr>
        <w:drawing>
          <wp:inline distT="0" distB="0" distL="0" distR="0" wp14:anchorId="24795EF9" wp14:editId="0C56F607">
            <wp:extent cx="6120130" cy="3558540"/>
            <wp:effectExtent l="0" t="0" r="13970" b="3810"/>
            <wp:docPr id="2" name="Chart 2" descr="Trends in age specific incidence per 100,000 people from 27th September to 27th October">
              <a:extLst xmlns:a="http://schemas.openxmlformats.org/drawingml/2006/main">
                <a:ext uri="{FF2B5EF4-FFF2-40B4-BE49-F238E27FC236}">
                  <a16:creationId xmlns:a16="http://schemas.microsoft.com/office/drawing/2014/main" id="{402CF9D5-02FC-4CA5-BF3E-6591581154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FE9363" w14:textId="77777777" w:rsidR="00ED0574" w:rsidRDefault="00ED0574" w:rsidP="00092A8D">
      <w:pPr>
        <w:spacing w:after="0"/>
        <w:jc w:val="both"/>
        <w:rPr>
          <w:rFonts w:cstheme="minorHAnsi"/>
        </w:rPr>
      </w:pPr>
    </w:p>
    <w:p w14:paraId="52698F67" w14:textId="400C8664" w:rsidR="002434C4" w:rsidRDefault="00A6260C" w:rsidP="00092A8D">
      <w:pPr>
        <w:spacing w:after="0"/>
        <w:jc w:val="both"/>
        <w:rPr>
          <w:rFonts w:cstheme="minorHAnsi"/>
        </w:rPr>
      </w:pPr>
      <w:r>
        <w:rPr>
          <w:rFonts w:cstheme="minorHAnsi"/>
        </w:rPr>
        <w:t>Cases of COVID-19 are now occurring at high numbers in all parts of the borough</w:t>
      </w:r>
      <w:r w:rsidR="000C4F98" w:rsidRPr="0000373D">
        <w:rPr>
          <w:rFonts w:cstheme="minorHAnsi"/>
        </w:rPr>
        <w:t xml:space="preserve">.  </w:t>
      </w:r>
      <w:r w:rsidR="00FC4DA0">
        <w:rPr>
          <w:rFonts w:cstheme="minorHAnsi"/>
        </w:rPr>
        <w:t>South ward now h</w:t>
      </w:r>
      <w:r>
        <w:rPr>
          <w:rFonts w:cstheme="minorHAnsi"/>
        </w:rPr>
        <w:t>ad</w:t>
      </w:r>
      <w:r w:rsidR="00FC4DA0">
        <w:rPr>
          <w:rFonts w:cstheme="minorHAnsi"/>
        </w:rPr>
        <w:t xml:space="preserve"> the highest number of new infections</w:t>
      </w:r>
      <w:r w:rsidR="002D19A5">
        <w:rPr>
          <w:rFonts w:cstheme="minorHAnsi"/>
        </w:rPr>
        <w:t xml:space="preserve"> </w:t>
      </w:r>
      <w:r>
        <w:rPr>
          <w:rFonts w:cstheme="minorHAnsi"/>
        </w:rPr>
        <w:t xml:space="preserve">during October </w:t>
      </w:r>
      <w:r w:rsidR="002D19A5">
        <w:rPr>
          <w:rFonts w:cstheme="minorHAnsi"/>
        </w:rPr>
        <w:t xml:space="preserve">and </w:t>
      </w:r>
      <w:r w:rsidR="000860AB">
        <w:rPr>
          <w:rFonts w:cstheme="minorHAnsi"/>
        </w:rPr>
        <w:t xml:space="preserve">the number </w:t>
      </w:r>
      <w:r w:rsidR="00B354D7">
        <w:rPr>
          <w:rFonts w:cstheme="minorHAnsi"/>
        </w:rPr>
        <w:t>in this ward</w:t>
      </w:r>
      <w:r w:rsidR="002D19A5">
        <w:rPr>
          <w:rFonts w:cstheme="minorHAnsi"/>
        </w:rPr>
        <w:t xml:space="preserve"> almost doubled in the last week</w:t>
      </w:r>
      <w:r w:rsidR="000860AB">
        <w:rPr>
          <w:rFonts w:cstheme="minorHAnsi"/>
        </w:rPr>
        <w:t>;</w:t>
      </w:r>
      <w:r w:rsidR="002D19A5">
        <w:rPr>
          <w:rFonts w:cstheme="minorHAnsi"/>
        </w:rPr>
        <w:t xml:space="preserve"> Park, Heneage, Humberston and New Waltham and Yarborough wards also </w:t>
      </w:r>
      <w:r w:rsidR="00B00ECC">
        <w:rPr>
          <w:rFonts w:cstheme="minorHAnsi"/>
        </w:rPr>
        <w:t xml:space="preserve">recorded very </w:t>
      </w:r>
      <w:r w:rsidR="002D19A5">
        <w:rPr>
          <w:rFonts w:cstheme="minorHAnsi"/>
        </w:rPr>
        <w:t>high number</w:t>
      </w:r>
      <w:r w:rsidR="00B00ECC">
        <w:rPr>
          <w:rFonts w:cstheme="minorHAnsi"/>
        </w:rPr>
        <w:t>s</w:t>
      </w:r>
      <w:r w:rsidR="002D19A5">
        <w:rPr>
          <w:rFonts w:cstheme="minorHAnsi"/>
        </w:rPr>
        <w:t xml:space="preserve"> of cases for October</w:t>
      </w:r>
      <w:r w:rsidR="00E762CC">
        <w:rPr>
          <w:rFonts w:cstheme="minorHAnsi"/>
        </w:rPr>
        <w:t xml:space="preserve"> </w:t>
      </w:r>
      <w:r w:rsidR="002434C4" w:rsidRPr="0000373D">
        <w:rPr>
          <w:rFonts w:cstheme="minorHAnsi"/>
        </w:rPr>
        <w:t xml:space="preserve">(Figure </w:t>
      </w:r>
      <w:r w:rsidR="004C7C89">
        <w:rPr>
          <w:rFonts w:cstheme="minorHAnsi"/>
        </w:rPr>
        <w:t>3</w:t>
      </w:r>
      <w:r w:rsidR="002434C4" w:rsidRPr="0000373D">
        <w:rPr>
          <w:rFonts w:cstheme="minorHAnsi"/>
        </w:rPr>
        <w:t>).</w:t>
      </w:r>
    </w:p>
    <w:p w14:paraId="4BEE5C51" w14:textId="7C73A3ED" w:rsidR="000C4F98" w:rsidRDefault="000C4F98" w:rsidP="00537304">
      <w:pPr>
        <w:spacing w:after="0"/>
        <w:rPr>
          <w:rFonts w:cstheme="minorHAnsi"/>
        </w:rPr>
      </w:pPr>
    </w:p>
    <w:p w14:paraId="7B64C124" w14:textId="6B38AD23" w:rsidR="002434C4" w:rsidRPr="002434C4" w:rsidRDefault="002434C4" w:rsidP="00537304">
      <w:pPr>
        <w:spacing w:after="0"/>
        <w:rPr>
          <w:rFonts w:cstheme="minorHAnsi"/>
          <w:b/>
          <w:bCs/>
        </w:rPr>
      </w:pPr>
      <w:r w:rsidRPr="002434C4">
        <w:rPr>
          <w:rFonts w:cstheme="minorHAnsi"/>
          <w:b/>
          <w:bCs/>
        </w:rPr>
        <w:t xml:space="preserve">Figure </w:t>
      </w:r>
      <w:r w:rsidR="004C7C89">
        <w:rPr>
          <w:rFonts w:cstheme="minorHAnsi"/>
          <w:b/>
          <w:bCs/>
        </w:rPr>
        <w:t>3</w:t>
      </w:r>
      <w:r w:rsidRPr="002434C4">
        <w:rPr>
          <w:rFonts w:cstheme="minorHAnsi"/>
          <w:b/>
          <w:bCs/>
        </w:rPr>
        <w:t xml:space="preserve">: </w:t>
      </w:r>
      <w:r>
        <w:rPr>
          <w:rFonts w:cstheme="minorHAnsi"/>
          <w:b/>
          <w:bCs/>
        </w:rPr>
        <w:t xml:space="preserve">COVID </w:t>
      </w:r>
      <w:r w:rsidRPr="002434C4">
        <w:rPr>
          <w:rFonts w:cstheme="minorHAnsi"/>
          <w:b/>
          <w:bCs/>
        </w:rPr>
        <w:t xml:space="preserve">Cases Confirmed </w:t>
      </w:r>
      <w:r w:rsidR="000927B1">
        <w:rPr>
          <w:rFonts w:cstheme="minorHAnsi"/>
          <w:b/>
          <w:bCs/>
        </w:rPr>
        <w:t>since 1</w:t>
      </w:r>
      <w:r w:rsidR="000927B1" w:rsidRPr="000927B1">
        <w:rPr>
          <w:rFonts w:cstheme="minorHAnsi"/>
          <w:b/>
          <w:bCs/>
          <w:vertAlign w:val="superscript"/>
        </w:rPr>
        <w:t>st</w:t>
      </w:r>
      <w:r w:rsidR="000927B1">
        <w:rPr>
          <w:rFonts w:cstheme="minorHAnsi"/>
          <w:b/>
          <w:bCs/>
        </w:rPr>
        <w:t xml:space="preserve"> </w:t>
      </w:r>
      <w:r w:rsidR="004F1BED">
        <w:rPr>
          <w:rFonts w:cstheme="minorHAnsi"/>
          <w:b/>
          <w:bCs/>
        </w:rPr>
        <w:t>OCTOBER</w:t>
      </w:r>
      <w:r w:rsidRPr="002434C4">
        <w:rPr>
          <w:rFonts w:cstheme="minorHAnsi"/>
          <w:b/>
          <w:bCs/>
        </w:rPr>
        <w:t xml:space="preserve"> 2020 </w:t>
      </w:r>
      <w:r>
        <w:rPr>
          <w:rFonts w:cstheme="minorHAnsi"/>
          <w:b/>
          <w:bCs/>
        </w:rPr>
        <w:t xml:space="preserve">in NEL </w:t>
      </w:r>
      <w:r w:rsidRPr="002434C4">
        <w:rPr>
          <w:rFonts w:cstheme="minorHAnsi"/>
          <w:b/>
          <w:bCs/>
        </w:rPr>
        <w:t>by Ward of Residence</w:t>
      </w:r>
    </w:p>
    <w:p w14:paraId="0DA6DFA5" w14:textId="2384F01E" w:rsidR="000C4F98" w:rsidRPr="005F6056" w:rsidRDefault="007C03A0" w:rsidP="005F6056">
      <w:pPr>
        <w:spacing w:after="0"/>
        <w:rPr>
          <w:rFonts w:cstheme="minorHAnsi"/>
          <w:sz w:val="18"/>
          <w:szCs w:val="18"/>
        </w:rPr>
      </w:pPr>
      <w:r>
        <w:rPr>
          <w:noProof/>
        </w:rPr>
        <w:drawing>
          <wp:inline distT="0" distB="0" distL="0" distR="0" wp14:anchorId="3DFC6FDD" wp14:editId="27B9ADCB">
            <wp:extent cx="6392848" cy="2902226"/>
            <wp:effectExtent l="0" t="0" r="8255" b="12700"/>
            <wp:docPr id="9" name="Chart 9" descr="COVID Cases Confirmed since 1st OCTOBER 2020 in NEL by Ward of Residence">
              <a:extLst xmlns:a="http://schemas.openxmlformats.org/drawingml/2006/main">
                <a:ext uri="{FF2B5EF4-FFF2-40B4-BE49-F238E27FC236}">
                  <a16:creationId xmlns:a16="http://schemas.microsoft.com/office/drawing/2014/main" id="{885A6465-F636-45CF-BC92-6F2660672F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6CFA69" w14:textId="77777777" w:rsidR="00F47F80" w:rsidRDefault="00F47F80" w:rsidP="00537304">
      <w:pPr>
        <w:spacing w:after="0"/>
        <w:rPr>
          <w:rFonts w:cstheme="minorHAnsi"/>
        </w:rPr>
      </w:pPr>
    </w:p>
    <w:p w14:paraId="5E4D40F3" w14:textId="779DF09B" w:rsidR="000B5B2A" w:rsidRDefault="00F47F80" w:rsidP="00B665F2">
      <w:pPr>
        <w:spacing w:after="0"/>
        <w:jc w:val="both"/>
        <w:rPr>
          <w:rFonts w:cstheme="minorHAnsi"/>
        </w:rPr>
      </w:pPr>
      <w:r>
        <w:rPr>
          <w:rFonts w:cstheme="minorHAnsi"/>
        </w:rPr>
        <w:t xml:space="preserve">Table 1 </w:t>
      </w:r>
      <w:r w:rsidRPr="000A13C6">
        <w:rPr>
          <w:rFonts w:cstheme="minorHAnsi"/>
        </w:rPr>
        <w:t xml:space="preserve">displays changes in the number of cases in the last two weeks that we have complete data for.  </w:t>
      </w:r>
      <w:r w:rsidR="00115E1B">
        <w:rPr>
          <w:rFonts w:cstheme="minorHAnsi"/>
        </w:rPr>
        <w:t xml:space="preserve">Haverstoe, South, Scartho and Croft Baker wards </w:t>
      </w:r>
      <w:r w:rsidR="000B5B2A" w:rsidRPr="000A13C6">
        <w:rPr>
          <w:rFonts w:cstheme="minorHAnsi"/>
        </w:rPr>
        <w:t>have seen the most significant increase in new infections compared to other North East Lincolnshire wards.</w:t>
      </w:r>
      <w:r w:rsidR="000B5B2A">
        <w:rPr>
          <w:rFonts w:cstheme="minorHAnsi"/>
        </w:rPr>
        <w:t xml:space="preserve"> </w:t>
      </w:r>
      <w:r w:rsidR="000724F7">
        <w:rPr>
          <w:rFonts w:cstheme="minorHAnsi"/>
        </w:rPr>
        <w:t xml:space="preserve"> </w:t>
      </w:r>
      <w:r w:rsidR="000860AB">
        <w:rPr>
          <w:rFonts w:cstheme="minorHAnsi"/>
        </w:rPr>
        <w:t>By contrast Freshney which was identified as one of our hot spots two weeks ago has seen a big fall in cases.</w:t>
      </w:r>
    </w:p>
    <w:p w14:paraId="0A784F90" w14:textId="77777777" w:rsidR="003E6C2F" w:rsidRDefault="003E6C2F" w:rsidP="00B665F2">
      <w:pPr>
        <w:spacing w:after="0"/>
        <w:jc w:val="both"/>
        <w:rPr>
          <w:rFonts w:cstheme="minorHAnsi"/>
        </w:rPr>
      </w:pPr>
    </w:p>
    <w:p w14:paraId="5A0DDDC5" w14:textId="647C46DE" w:rsidR="00FC4DA0" w:rsidRPr="003E6C2F" w:rsidRDefault="000B5B2A" w:rsidP="00FC4DA0">
      <w:pPr>
        <w:pStyle w:val="BodyText"/>
        <w:rPr>
          <w:rFonts w:asciiTheme="minorHAnsi" w:hAnsiTheme="minorHAnsi" w:cstheme="minorHAnsi"/>
          <w:sz w:val="18"/>
          <w:szCs w:val="20"/>
        </w:rPr>
      </w:pPr>
      <w:r w:rsidRPr="003E6C2F">
        <w:rPr>
          <w:rFonts w:asciiTheme="minorHAnsi" w:hAnsiTheme="minorHAnsi" w:cstheme="minorHAnsi"/>
          <w:b/>
        </w:rPr>
        <w:t xml:space="preserve">Table 1: </w:t>
      </w:r>
      <w:r w:rsidR="00FC4DA0" w:rsidRPr="003E6C2F">
        <w:rPr>
          <w:rFonts w:asciiTheme="minorHAnsi" w:hAnsiTheme="minorHAnsi" w:cstheme="minorHAnsi"/>
          <w:b/>
        </w:rPr>
        <w:t>Rate of COVID-19 per 100,000 per week in most recent 7 day period with complete data (October 21 2020 to October 27 2020) and prior 7 day period (October 14 2020 to October 20 2020), for wards in North East Lincolnshire</w:t>
      </w:r>
      <w:r w:rsidR="00FC4DA0" w:rsidRPr="003E6C2F">
        <w:rPr>
          <w:rFonts w:asciiTheme="minorHAnsi" w:hAnsiTheme="minorHAnsi" w:cstheme="minorHAnsi"/>
        </w:rPr>
        <w:t xml:space="preserve"> </w:t>
      </w:r>
      <w:r w:rsidR="00FC4DA0" w:rsidRPr="003E6C2F">
        <w:rPr>
          <w:rFonts w:asciiTheme="minorHAnsi" w:hAnsiTheme="minorHAnsi" w:cstheme="minorHAnsi"/>
          <w:i/>
          <w:sz w:val="18"/>
          <w:szCs w:val="20"/>
        </w:rPr>
        <w:t>4 most recent days excluded due to reporting delays. Relative change based on incidence rate ratio p value &lt;0.05 - please interpret carefully as increases or decreases to rates in some areas may be deemed insignificant (represented by “=”) at ward level but may still represent increases due to local outbreaks. Table ordered by ward with highest to lowest rate.</w:t>
      </w:r>
    </w:p>
    <w:tbl>
      <w:tblPr>
        <w:tblStyle w:val="TableGridLight"/>
        <w:tblW w:w="11082" w:type="dxa"/>
        <w:tblInd w:w="-714" w:type="dxa"/>
        <w:tblLayout w:type="fixed"/>
        <w:tblLook w:val="0420" w:firstRow="1" w:lastRow="0" w:firstColumn="0" w:lastColumn="0" w:noHBand="0" w:noVBand="1"/>
      </w:tblPr>
      <w:tblGrid>
        <w:gridCol w:w="851"/>
        <w:gridCol w:w="1559"/>
        <w:gridCol w:w="851"/>
        <w:gridCol w:w="1134"/>
        <w:gridCol w:w="992"/>
        <w:gridCol w:w="992"/>
        <w:gridCol w:w="1134"/>
        <w:gridCol w:w="1134"/>
        <w:gridCol w:w="1134"/>
        <w:gridCol w:w="1301"/>
      </w:tblGrid>
      <w:tr w:rsidR="0042180A" w14:paraId="72565C5B" w14:textId="77777777" w:rsidTr="0042180A">
        <w:tc>
          <w:tcPr>
            <w:tcW w:w="851" w:type="dxa"/>
          </w:tcPr>
          <w:p w14:paraId="1E0BDFCC" w14:textId="3D5B6461" w:rsidR="00FC4DA0" w:rsidRPr="0042180A" w:rsidRDefault="00DA35BC" w:rsidP="00A32FF6">
            <w:pPr>
              <w:jc w:val="center"/>
            </w:pPr>
            <w:r w:rsidRPr="0042180A">
              <w:rPr>
                <w:rFonts w:ascii="Arial" w:eastAsia="Arial" w:hAnsi="Arial" w:cs="Arial"/>
                <w:color w:val="111111"/>
                <w:sz w:val="20"/>
                <w:szCs w:val="20"/>
              </w:rPr>
              <w:t>Rank (Most recent rate)</w:t>
            </w:r>
          </w:p>
        </w:tc>
        <w:tc>
          <w:tcPr>
            <w:tcW w:w="1559" w:type="dxa"/>
          </w:tcPr>
          <w:p w14:paraId="48954E94" w14:textId="70986EE7" w:rsidR="00FC4DA0" w:rsidRPr="0042180A" w:rsidRDefault="00DA35BC" w:rsidP="00A32FF6">
            <w:pPr>
              <w:jc w:val="center"/>
            </w:pPr>
            <w:r w:rsidRPr="0042180A">
              <w:rPr>
                <w:rFonts w:ascii="Arial" w:eastAsia="Arial" w:hAnsi="Arial" w:cs="Arial"/>
                <w:color w:val="111111"/>
                <w:sz w:val="20"/>
                <w:szCs w:val="20"/>
              </w:rPr>
              <w:t>Ward</w:t>
            </w:r>
          </w:p>
        </w:tc>
        <w:tc>
          <w:tcPr>
            <w:tcW w:w="851" w:type="dxa"/>
          </w:tcPr>
          <w:p w14:paraId="22F469D2" w14:textId="7006AD58" w:rsidR="00FC4DA0" w:rsidRPr="0042180A" w:rsidRDefault="00DA35BC" w:rsidP="00A32FF6">
            <w:pPr>
              <w:jc w:val="center"/>
            </w:pPr>
            <w:r w:rsidRPr="0042180A">
              <w:rPr>
                <w:rFonts w:ascii="Arial" w:eastAsia="Arial" w:hAnsi="Arial" w:cs="Arial"/>
                <w:color w:val="000000"/>
                <w:sz w:val="20"/>
                <w:szCs w:val="20"/>
              </w:rPr>
              <w:t>Total c</w:t>
            </w:r>
            <w:r w:rsidR="00FC4DA0" w:rsidRPr="0042180A">
              <w:rPr>
                <w:rFonts w:ascii="Arial" w:eastAsia="Arial" w:hAnsi="Arial" w:cs="Arial"/>
                <w:color w:val="000000"/>
                <w:sz w:val="20"/>
                <w:szCs w:val="20"/>
              </w:rPr>
              <w:t>ases</w:t>
            </w:r>
          </w:p>
        </w:tc>
        <w:tc>
          <w:tcPr>
            <w:tcW w:w="1134" w:type="dxa"/>
          </w:tcPr>
          <w:p w14:paraId="158C5FE7" w14:textId="60B044A0" w:rsidR="00FC4DA0" w:rsidRPr="0042180A" w:rsidRDefault="00DA35BC" w:rsidP="00A32FF6">
            <w:pPr>
              <w:jc w:val="center"/>
            </w:pPr>
            <w:r w:rsidRPr="0042180A">
              <w:rPr>
                <w:rFonts w:ascii="Arial" w:eastAsia="Arial" w:hAnsi="Arial" w:cs="Arial"/>
                <w:color w:val="000000"/>
                <w:sz w:val="20"/>
                <w:szCs w:val="20"/>
              </w:rPr>
              <w:t>Total r</w:t>
            </w:r>
            <w:r w:rsidR="00FC4DA0" w:rsidRPr="0042180A">
              <w:rPr>
                <w:rFonts w:ascii="Arial" w:eastAsia="Arial" w:hAnsi="Arial" w:cs="Arial"/>
                <w:color w:val="000000"/>
                <w:sz w:val="20"/>
                <w:szCs w:val="20"/>
              </w:rPr>
              <w:t>ate</w:t>
            </w:r>
          </w:p>
        </w:tc>
        <w:tc>
          <w:tcPr>
            <w:tcW w:w="992" w:type="dxa"/>
          </w:tcPr>
          <w:p w14:paraId="4547E6C0" w14:textId="2B637ECF" w:rsidR="00FC4DA0" w:rsidRPr="0042180A" w:rsidRDefault="00DA35BC" w:rsidP="00A32FF6">
            <w:pPr>
              <w:jc w:val="center"/>
            </w:pPr>
            <w:r w:rsidRPr="0042180A">
              <w:rPr>
                <w:rFonts w:ascii="Arial" w:eastAsia="Arial" w:hAnsi="Arial" w:cs="Arial"/>
                <w:color w:val="111111"/>
                <w:sz w:val="20"/>
                <w:szCs w:val="20"/>
              </w:rPr>
              <w:t xml:space="preserve">Cases </w:t>
            </w:r>
            <w:r w:rsidR="00D661F0" w:rsidRPr="0042180A">
              <w:rPr>
                <w:rFonts w:ascii="Arial" w:eastAsia="Arial" w:hAnsi="Arial" w:cs="Arial"/>
                <w:color w:val="111111"/>
                <w:sz w:val="20"/>
                <w:szCs w:val="20"/>
              </w:rPr>
              <w:t>–</w:t>
            </w:r>
            <w:r w:rsidRPr="0042180A">
              <w:rPr>
                <w:rFonts w:ascii="Arial" w:eastAsia="Arial" w:hAnsi="Arial" w:cs="Arial"/>
                <w:color w:val="111111"/>
                <w:sz w:val="20"/>
                <w:szCs w:val="20"/>
              </w:rPr>
              <w:t xml:space="preserve"> </w:t>
            </w:r>
            <w:r w:rsidR="00D661F0" w:rsidRPr="0042180A">
              <w:rPr>
                <w:rFonts w:ascii="Arial" w:eastAsia="Arial" w:hAnsi="Arial" w:cs="Arial"/>
                <w:color w:val="111111"/>
                <w:sz w:val="20"/>
                <w:szCs w:val="20"/>
              </w:rPr>
              <w:t>(</w:t>
            </w:r>
            <w:r w:rsidRPr="0042180A">
              <w:rPr>
                <w:rFonts w:ascii="Arial" w:eastAsia="Arial" w:hAnsi="Arial" w:cs="Arial"/>
                <w:color w:val="111111"/>
                <w:sz w:val="20"/>
                <w:szCs w:val="20"/>
              </w:rPr>
              <w:t>P</w:t>
            </w:r>
            <w:r w:rsidRPr="0042180A">
              <w:rPr>
                <w:rFonts w:ascii="Arial" w:eastAsia="Arial" w:hAnsi="Arial" w:cs="Arial"/>
                <w:color w:val="111111"/>
                <w:sz w:val="20"/>
                <w:szCs w:val="20"/>
              </w:rPr>
              <w:t>rior week 2020-10-14 to 2020-10-20)</w:t>
            </w:r>
          </w:p>
        </w:tc>
        <w:tc>
          <w:tcPr>
            <w:tcW w:w="992" w:type="dxa"/>
          </w:tcPr>
          <w:p w14:paraId="726C38AD" w14:textId="5E7A417A" w:rsidR="00FC4DA0" w:rsidRPr="0042180A" w:rsidRDefault="00DA35BC" w:rsidP="00A32FF6">
            <w:pPr>
              <w:jc w:val="center"/>
            </w:pPr>
            <w:r w:rsidRPr="0042180A">
              <w:rPr>
                <w:rFonts w:ascii="Arial" w:eastAsia="Arial" w:hAnsi="Arial" w:cs="Arial"/>
                <w:color w:val="111111"/>
                <w:sz w:val="20"/>
                <w:szCs w:val="20"/>
              </w:rPr>
              <w:t xml:space="preserve">Rate </w:t>
            </w:r>
            <w:proofErr w:type="gramStart"/>
            <w:r w:rsidR="00D661F0" w:rsidRPr="0042180A">
              <w:rPr>
                <w:rFonts w:ascii="Arial" w:eastAsia="Arial" w:hAnsi="Arial" w:cs="Arial"/>
                <w:color w:val="111111"/>
                <w:sz w:val="20"/>
                <w:szCs w:val="20"/>
              </w:rPr>
              <w:t>–(</w:t>
            </w:r>
            <w:proofErr w:type="gramEnd"/>
            <w:r w:rsidRPr="0042180A">
              <w:rPr>
                <w:rFonts w:ascii="Arial" w:eastAsia="Arial" w:hAnsi="Arial" w:cs="Arial"/>
                <w:color w:val="111111"/>
                <w:sz w:val="20"/>
                <w:szCs w:val="20"/>
              </w:rPr>
              <w:t>Prior</w:t>
            </w:r>
            <w:r w:rsidRPr="0042180A">
              <w:rPr>
                <w:rFonts w:ascii="Arial" w:eastAsia="Arial" w:hAnsi="Arial" w:cs="Arial"/>
                <w:color w:val="111111"/>
                <w:sz w:val="20"/>
                <w:szCs w:val="20"/>
              </w:rPr>
              <w:t xml:space="preserve"> week 2020-10-14 to 2020-10-20)</w:t>
            </w:r>
          </w:p>
        </w:tc>
        <w:tc>
          <w:tcPr>
            <w:tcW w:w="1134" w:type="dxa"/>
          </w:tcPr>
          <w:p w14:paraId="3CC73863" w14:textId="6050D6D3" w:rsidR="00FC4DA0" w:rsidRPr="0042180A" w:rsidRDefault="00DA35BC" w:rsidP="00A32FF6">
            <w:pPr>
              <w:jc w:val="center"/>
            </w:pPr>
            <w:r w:rsidRPr="0042180A">
              <w:rPr>
                <w:rFonts w:ascii="Arial" w:eastAsia="Arial" w:hAnsi="Arial" w:cs="Arial"/>
                <w:color w:val="111111"/>
                <w:sz w:val="20"/>
                <w:szCs w:val="20"/>
              </w:rPr>
              <w:t xml:space="preserve">Cases </w:t>
            </w:r>
            <w:r w:rsidR="00D661F0" w:rsidRPr="0042180A">
              <w:rPr>
                <w:rFonts w:ascii="Arial" w:eastAsia="Arial" w:hAnsi="Arial" w:cs="Arial"/>
                <w:color w:val="111111"/>
                <w:sz w:val="20"/>
                <w:szCs w:val="20"/>
              </w:rPr>
              <w:t>–</w:t>
            </w:r>
            <w:r w:rsidRPr="0042180A">
              <w:rPr>
                <w:rFonts w:ascii="Arial" w:eastAsia="Arial" w:hAnsi="Arial" w:cs="Arial"/>
                <w:color w:val="111111"/>
                <w:sz w:val="20"/>
                <w:szCs w:val="20"/>
              </w:rPr>
              <w:t xml:space="preserve"> </w:t>
            </w:r>
            <w:r w:rsidR="00D661F0" w:rsidRPr="0042180A">
              <w:rPr>
                <w:rFonts w:ascii="Arial" w:eastAsia="Arial" w:hAnsi="Arial" w:cs="Arial"/>
                <w:color w:val="111111"/>
                <w:sz w:val="20"/>
                <w:szCs w:val="20"/>
              </w:rPr>
              <w:t>(</w:t>
            </w:r>
            <w:r w:rsidRPr="0042180A">
              <w:rPr>
                <w:rFonts w:ascii="Arial" w:eastAsia="Arial" w:hAnsi="Arial" w:cs="Arial"/>
                <w:color w:val="111111"/>
                <w:sz w:val="20"/>
                <w:szCs w:val="20"/>
              </w:rPr>
              <w:t>M</w:t>
            </w:r>
            <w:r w:rsidRPr="0042180A">
              <w:rPr>
                <w:rFonts w:ascii="Arial" w:eastAsia="Arial" w:hAnsi="Arial" w:cs="Arial"/>
                <w:color w:val="111111"/>
                <w:sz w:val="20"/>
                <w:szCs w:val="20"/>
              </w:rPr>
              <w:t>ost recent week 2020-10-21 to 2020-10-27)</w:t>
            </w:r>
          </w:p>
        </w:tc>
        <w:tc>
          <w:tcPr>
            <w:tcW w:w="1134" w:type="dxa"/>
          </w:tcPr>
          <w:p w14:paraId="41CB0B67" w14:textId="6A21E63C" w:rsidR="00FC4DA0" w:rsidRPr="0042180A" w:rsidRDefault="00DA35BC" w:rsidP="00A32FF6">
            <w:pPr>
              <w:jc w:val="center"/>
            </w:pPr>
            <w:r w:rsidRPr="0042180A">
              <w:rPr>
                <w:rFonts w:ascii="Arial" w:eastAsia="Arial" w:hAnsi="Arial" w:cs="Arial"/>
                <w:color w:val="111111"/>
                <w:sz w:val="20"/>
                <w:szCs w:val="20"/>
              </w:rPr>
              <w:t xml:space="preserve">Rate </w:t>
            </w:r>
            <w:r w:rsidR="00D661F0" w:rsidRPr="0042180A">
              <w:rPr>
                <w:rFonts w:ascii="Arial" w:eastAsia="Arial" w:hAnsi="Arial" w:cs="Arial"/>
                <w:color w:val="111111"/>
                <w:sz w:val="20"/>
                <w:szCs w:val="20"/>
              </w:rPr>
              <w:t>–</w:t>
            </w:r>
            <w:r w:rsidRPr="0042180A">
              <w:rPr>
                <w:rFonts w:ascii="Arial" w:eastAsia="Arial" w:hAnsi="Arial" w:cs="Arial"/>
                <w:color w:val="111111"/>
                <w:sz w:val="20"/>
                <w:szCs w:val="20"/>
              </w:rPr>
              <w:t xml:space="preserve"> </w:t>
            </w:r>
            <w:r w:rsidR="00D661F0" w:rsidRPr="0042180A">
              <w:rPr>
                <w:rFonts w:ascii="Arial" w:eastAsia="Arial" w:hAnsi="Arial" w:cs="Arial"/>
                <w:color w:val="111111"/>
                <w:sz w:val="20"/>
                <w:szCs w:val="20"/>
              </w:rPr>
              <w:t>(</w:t>
            </w:r>
            <w:r w:rsidRPr="0042180A">
              <w:rPr>
                <w:rFonts w:ascii="Arial" w:eastAsia="Arial" w:hAnsi="Arial" w:cs="Arial"/>
                <w:color w:val="111111"/>
                <w:sz w:val="20"/>
                <w:szCs w:val="20"/>
              </w:rPr>
              <w:t>Most recent week 2020-10-21 to 2020-10-27)</w:t>
            </w:r>
          </w:p>
        </w:tc>
        <w:tc>
          <w:tcPr>
            <w:tcW w:w="1134" w:type="dxa"/>
          </w:tcPr>
          <w:p w14:paraId="2581354D" w14:textId="1D758D75" w:rsidR="00FC4DA0" w:rsidRPr="0042180A" w:rsidRDefault="00DA35BC" w:rsidP="00A32FF6">
            <w:pPr>
              <w:jc w:val="center"/>
            </w:pPr>
            <w:r w:rsidRPr="0042180A">
              <w:rPr>
                <w:rFonts w:ascii="Arial" w:eastAsia="Arial" w:hAnsi="Arial" w:cs="Arial"/>
                <w:color w:val="111111"/>
                <w:sz w:val="20"/>
                <w:szCs w:val="20"/>
              </w:rPr>
              <w:t>Change in rate between two weeks</w:t>
            </w:r>
            <w:r w:rsidRPr="0042180A">
              <w:rPr>
                <w:rFonts w:ascii="Arial" w:eastAsia="Arial" w:hAnsi="Arial" w:cs="Arial"/>
                <w:color w:val="000000"/>
                <w:sz w:val="20"/>
                <w:szCs w:val="20"/>
              </w:rPr>
              <w:t xml:space="preserve"> </w:t>
            </w:r>
            <w:r w:rsidR="00D661F0" w:rsidRPr="0042180A">
              <w:rPr>
                <w:rFonts w:ascii="Arial" w:eastAsia="Arial" w:hAnsi="Arial" w:cs="Arial"/>
                <w:color w:val="000000"/>
                <w:sz w:val="20"/>
                <w:szCs w:val="20"/>
              </w:rPr>
              <w:t xml:space="preserve">- </w:t>
            </w:r>
            <w:r w:rsidR="00FC4DA0" w:rsidRPr="0042180A">
              <w:rPr>
                <w:rFonts w:ascii="Arial" w:eastAsia="Arial" w:hAnsi="Arial" w:cs="Arial"/>
                <w:color w:val="000000"/>
                <w:sz w:val="20"/>
                <w:szCs w:val="20"/>
              </w:rPr>
              <w:t>Absolute difference</w:t>
            </w:r>
          </w:p>
        </w:tc>
        <w:tc>
          <w:tcPr>
            <w:tcW w:w="1301" w:type="dxa"/>
          </w:tcPr>
          <w:p w14:paraId="68E69E5E" w14:textId="7BAEF4D6" w:rsidR="00FC4DA0" w:rsidRPr="0042180A" w:rsidRDefault="00DA35BC" w:rsidP="00A32FF6">
            <w:pPr>
              <w:jc w:val="center"/>
            </w:pPr>
            <w:r w:rsidRPr="0042180A">
              <w:rPr>
                <w:rFonts w:ascii="Arial" w:eastAsia="Arial" w:hAnsi="Arial" w:cs="Arial"/>
                <w:color w:val="111111"/>
                <w:sz w:val="20"/>
                <w:szCs w:val="20"/>
              </w:rPr>
              <w:t>Change in rate between two weeks</w:t>
            </w:r>
            <w:r w:rsidR="00D661F0" w:rsidRPr="0042180A">
              <w:rPr>
                <w:rFonts w:ascii="Arial" w:eastAsia="Arial" w:hAnsi="Arial" w:cs="Arial"/>
                <w:color w:val="111111"/>
                <w:sz w:val="20"/>
                <w:szCs w:val="20"/>
              </w:rPr>
              <w:t xml:space="preserve"> </w:t>
            </w:r>
            <w:r w:rsidR="0042180A" w:rsidRPr="0042180A">
              <w:rPr>
                <w:rFonts w:ascii="Arial" w:eastAsia="Arial" w:hAnsi="Arial" w:cs="Arial"/>
                <w:color w:val="111111"/>
                <w:sz w:val="20"/>
                <w:szCs w:val="20"/>
              </w:rPr>
              <w:t>-</w:t>
            </w:r>
            <w:r w:rsidR="0042180A" w:rsidRPr="0042180A">
              <w:rPr>
                <w:rFonts w:ascii="Arial" w:eastAsia="Arial" w:hAnsi="Arial" w:cs="Arial"/>
                <w:color w:val="000000"/>
                <w:sz w:val="20"/>
                <w:szCs w:val="20"/>
              </w:rPr>
              <w:t xml:space="preserve"> Relative</w:t>
            </w:r>
          </w:p>
        </w:tc>
      </w:tr>
      <w:tr w:rsidR="0042180A" w14:paraId="32AB2A29" w14:textId="77777777" w:rsidTr="0042180A">
        <w:tc>
          <w:tcPr>
            <w:tcW w:w="851" w:type="dxa"/>
          </w:tcPr>
          <w:p w14:paraId="7621F196" w14:textId="77777777" w:rsidR="00FC4DA0" w:rsidRDefault="00FC4DA0" w:rsidP="00A32FF6">
            <w:pPr>
              <w:spacing w:before="40" w:after="40"/>
              <w:ind w:left="100" w:right="100"/>
              <w:jc w:val="center"/>
            </w:pPr>
            <w:r>
              <w:rPr>
                <w:rFonts w:ascii="Arial" w:eastAsia="Arial" w:hAnsi="Arial" w:cs="Arial"/>
                <w:color w:val="111111"/>
                <w:sz w:val="20"/>
                <w:szCs w:val="20"/>
              </w:rPr>
              <w:t>1</w:t>
            </w:r>
          </w:p>
        </w:tc>
        <w:tc>
          <w:tcPr>
            <w:tcW w:w="1559" w:type="dxa"/>
          </w:tcPr>
          <w:p w14:paraId="0F3E024E" w14:textId="77777777" w:rsidR="00FC4DA0" w:rsidRDefault="00FC4DA0" w:rsidP="00A32FF6">
            <w:pPr>
              <w:spacing w:before="40" w:after="40"/>
              <w:ind w:left="100" w:right="100"/>
              <w:jc w:val="center"/>
            </w:pPr>
            <w:r>
              <w:rPr>
                <w:rFonts w:ascii="Arial" w:eastAsia="Arial" w:hAnsi="Arial" w:cs="Arial"/>
                <w:color w:val="111111"/>
                <w:sz w:val="20"/>
                <w:szCs w:val="20"/>
              </w:rPr>
              <w:t>Haverstoe</w:t>
            </w:r>
          </w:p>
        </w:tc>
        <w:tc>
          <w:tcPr>
            <w:tcW w:w="851" w:type="dxa"/>
          </w:tcPr>
          <w:p w14:paraId="58EB12B9" w14:textId="77777777" w:rsidR="00FC4DA0" w:rsidRDefault="00FC4DA0" w:rsidP="00A32FF6">
            <w:pPr>
              <w:spacing w:before="40" w:after="40"/>
              <w:ind w:left="100" w:right="100"/>
              <w:jc w:val="center"/>
            </w:pPr>
            <w:r>
              <w:rPr>
                <w:rFonts w:ascii="Arial" w:eastAsia="Arial" w:hAnsi="Arial" w:cs="Arial"/>
                <w:color w:val="111111"/>
                <w:sz w:val="20"/>
                <w:szCs w:val="20"/>
              </w:rPr>
              <w:t>152</w:t>
            </w:r>
          </w:p>
        </w:tc>
        <w:tc>
          <w:tcPr>
            <w:tcW w:w="1134" w:type="dxa"/>
          </w:tcPr>
          <w:p w14:paraId="4D3A1960" w14:textId="77777777" w:rsidR="00FC4DA0" w:rsidRDefault="00FC4DA0" w:rsidP="00A32FF6">
            <w:pPr>
              <w:spacing w:before="40" w:after="40"/>
              <w:ind w:left="100" w:right="100"/>
              <w:jc w:val="center"/>
            </w:pPr>
            <w:r>
              <w:rPr>
                <w:rFonts w:ascii="Arial" w:eastAsia="Arial" w:hAnsi="Arial" w:cs="Arial"/>
                <w:color w:val="111111"/>
                <w:sz w:val="20"/>
                <w:szCs w:val="20"/>
              </w:rPr>
              <w:t>1558.8</w:t>
            </w:r>
          </w:p>
        </w:tc>
        <w:tc>
          <w:tcPr>
            <w:tcW w:w="992" w:type="dxa"/>
          </w:tcPr>
          <w:p w14:paraId="48EC4D5E" w14:textId="77777777" w:rsidR="00FC4DA0" w:rsidRDefault="00FC4DA0" w:rsidP="00A32FF6">
            <w:pPr>
              <w:spacing w:before="40" w:after="40"/>
              <w:ind w:left="100" w:right="100"/>
              <w:jc w:val="center"/>
            </w:pPr>
            <w:r>
              <w:rPr>
                <w:rFonts w:ascii="Arial" w:eastAsia="Arial" w:hAnsi="Arial" w:cs="Arial"/>
                <w:color w:val="111111"/>
                <w:sz w:val="20"/>
                <w:szCs w:val="20"/>
              </w:rPr>
              <w:t>19</w:t>
            </w:r>
          </w:p>
        </w:tc>
        <w:tc>
          <w:tcPr>
            <w:tcW w:w="992" w:type="dxa"/>
          </w:tcPr>
          <w:p w14:paraId="2C60F2A8" w14:textId="77777777" w:rsidR="00FC4DA0" w:rsidRDefault="00FC4DA0" w:rsidP="00A32FF6">
            <w:pPr>
              <w:spacing w:before="40" w:after="40"/>
              <w:ind w:left="100" w:right="100"/>
              <w:jc w:val="center"/>
            </w:pPr>
            <w:r>
              <w:rPr>
                <w:rFonts w:ascii="Arial" w:eastAsia="Arial" w:hAnsi="Arial" w:cs="Arial"/>
                <w:color w:val="111111"/>
                <w:sz w:val="20"/>
                <w:szCs w:val="20"/>
              </w:rPr>
              <w:t>194.9</w:t>
            </w:r>
          </w:p>
        </w:tc>
        <w:tc>
          <w:tcPr>
            <w:tcW w:w="1134" w:type="dxa"/>
          </w:tcPr>
          <w:p w14:paraId="1E49D2E7" w14:textId="77777777" w:rsidR="00FC4DA0" w:rsidRDefault="00FC4DA0" w:rsidP="00A32FF6">
            <w:pPr>
              <w:spacing w:before="40" w:after="40"/>
              <w:ind w:left="100" w:right="100"/>
              <w:jc w:val="center"/>
            </w:pPr>
            <w:r>
              <w:rPr>
                <w:rFonts w:ascii="Arial" w:eastAsia="Arial" w:hAnsi="Arial" w:cs="Arial"/>
                <w:color w:val="111111"/>
                <w:sz w:val="20"/>
                <w:szCs w:val="20"/>
              </w:rPr>
              <w:t>55</w:t>
            </w:r>
          </w:p>
        </w:tc>
        <w:tc>
          <w:tcPr>
            <w:tcW w:w="1134" w:type="dxa"/>
          </w:tcPr>
          <w:p w14:paraId="112CA06B" w14:textId="77777777" w:rsidR="00FC4DA0" w:rsidRDefault="00FC4DA0" w:rsidP="00A32FF6">
            <w:pPr>
              <w:spacing w:before="40" w:after="40"/>
              <w:ind w:left="100" w:right="100"/>
              <w:jc w:val="center"/>
            </w:pPr>
            <w:r>
              <w:rPr>
                <w:rFonts w:ascii="Arial" w:eastAsia="Arial" w:hAnsi="Arial" w:cs="Arial"/>
                <w:color w:val="111111"/>
                <w:sz w:val="20"/>
                <w:szCs w:val="20"/>
              </w:rPr>
              <w:t>564.0</w:t>
            </w:r>
          </w:p>
        </w:tc>
        <w:tc>
          <w:tcPr>
            <w:tcW w:w="1134" w:type="dxa"/>
          </w:tcPr>
          <w:p w14:paraId="7812DAB2" w14:textId="77777777" w:rsidR="00FC4DA0" w:rsidRDefault="00FC4DA0" w:rsidP="00A32FF6">
            <w:pPr>
              <w:spacing w:before="40" w:after="40"/>
              <w:ind w:left="100" w:right="100"/>
              <w:jc w:val="center"/>
            </w:pPr>
            <w:r>
              <w:rPr>
                <w:rFonts w:ascii="Arial" w:eastAsia="Arial" w:hAnsi="Arial" w:cs="Arial"/>
                <w:color w:val="111111"/>
                <w:sz w:val="20"/>
                <w:szCs w:val="20"/>
              </w:rPr>
              <w:t>369.1</w:t>
            </w:r>
          </w:p>
        </w:tc>
        <w:tc>
          <w:tcPr>
            <w:tcW w:w="1301" w:type="dxa"/>
            <w:shd w:val="clear" w:color="auto" w:fill="D99594" w:themeFill="accent2" w:themeFillTint="99"/>
          </w:tcPr>
          <w:p w14:paraId="065CD6DA" w14:textId="77777777" w:rsidR="00FC4DA0" w:rsidRDefault="00FC4DA0" w:rsidP="00A32FF6">
            <w:pPr>
              <w:spacing w:before="40" w:after="40"/>
              <w:ind w:left="100" w:right="100"/>
              <w:jc w:val="center"/>
            </w:pPr>
            <w:r>
              <w:rPr>
                <w:rFonts w:ascii="Arial" w:eastAsia="Arial" w:hAnsi="Arial" w:cs="Arial"/>
                <w:color w:val="111111"/>
                <w:sz w:val="20"/>
                <w:szCs w:val="20"/>
              </w:rPr>
              <w:t>Increase</w:t>
            </w:r>
          </w:p>
        </w:tc>
      </w:tr>
      <w:tr w:rsidR="0042180A" w14:paraId="191991A3" w14:textId="77777777" w:rsidTr="0042180A">
        <w:tc>
          <w:tcPr>
            <w:tcW w:w="851" w:type="dxa"/>
          </w:tcPr>
          <w:p w14:paraId="6B7D2CE0" w14:textId="77777777" w:rsidR="00FC4DA0" w:rsidRDefault="00FC4DA0" w:rsidP="00A32FF6">
            <w:pPr>
              <w:spacing w:before="40" w:after="40"/>
              <w:ind w:left="100" w:right="100"/>
              <w:jc w:val="center"/>
            </w:pPr>
            <w:r>
              <w:rPr>
                <w:rFonts w:ascii="Arial" w:eastAsia="Arial" w:hAnsi="Arial" w:cs="Arial"/>
                <w:color w:val="111111"/>
                <w:sz w:val="20"/>
                <w:szCs w:val="20"/>
              </w:rPr>
              <w:t>2</w:t>
            </w:r>
          </w:p>
        </w:tc>
        <w:tc>
          <w:tcPr>
            <w:tcW w:w="1559" w:type="dxa"/>
          </w:tcPr>
          <w:p w14:paraId="3C2F803E" w14:textId="77777777" w:rsidR="00FC4DA0" w:rsidRDefault="00FC4DA0" w:rsidP="00A32FF6">
            <w:pPr>
              <w:spacing w:before="40" w:after="40"/>
              <w:ind w:left="100" w:right="100"/>
              <w:jc w:val="center"/>
            </w:pPr>
            <w:r>
              <w:rPr>
                <w:rFonts w:ascii="Arial" w:eastAsia="Arial" w:hAnsi="Arial" w:cs="Arial"/>
                <w:color w:val="111111"/>
                <w:sz w:val="20"/>
                <w:szCs w:val="20"/>
              </w:rPr>
              <w:t>South</w:t>
            </w:r>
          </w:p>
        </w:tc>
        <w:tc>
          <w:tcPr>
            <w:tcW w:w="851" w:type="dxa"/>
          </w:tcPr>
          <w:p w14:paraId="05578F89" w14:textId="77777777" w:rsidR="00FC4DA0" w:rsidRDefault="00FC4DA0" w:rsidP="00A32FF6">
            <w:pPr>
              <w:spacing w:before="40" w:after="40"/>
              <w:ind w:left="100" w:right="100"/>
              <w:jc w:val="center"/>
            </w:pPr>
            <w:r>
              <w:rPr>
                <w:rFonts w:ascii="Arial" w:eastAsia="Arial" w:hAnsi="Arial" w:cs="Arial"/>
                <w:color w:val="111111"/>
                <w:sz w:val="20"/>
                <w:szCs w:val="20"/>
              </w:rPr>
              <w:t>190</w:t>
            </w:r>
          </w:p>
        </w:tc>
        <w:tc>
          <w:tcPr>
            <w:tcW w:w="1134" w:type="dxa"/>
          </w:tcPr>
          <w:p w14:paraId="0B2A396A" w14:textId="77777777" w:rsidR="00FC4DA0" w:rsidRDefault="00FC4DA0" w:rsidP="00A32FF6">
            <w:pPr>
              <w:spacing w:before="40" w:after="40"/>
              <w:ind w:left="100" w:right="100"/>
              <w:jc w:val="center"/>
            </w:pPr>
            <w:r>
              <w:rPr>
                <w:rFonts w:ascii="Arial" w:eastAsia="Arial" w:hAnsi="Arial" w:cs="Arial"/>
                <w:color w:val="111111"/>
                <w:sz w:val="20"/>
                <w:szCs w:val="20"/>
              </w:rPr>
              <w:t>1486.9</w:t>
            </w:r>
          </w:p>
        </w:tc>
        <w:tc>
          <w:tcPr>
            <w:tcW w:w="992" w:type="dxa"/>
          </w:tcPr>
          <w:p w14:paraId="6DE94549" w14:textId="77777777" w:rsidR="00FC4DA0" w:rsidRDefault="00FC4DA0" w:rsidP="00A32FF6">
            <w:pPr>
              <w:spacing w:before="40" w:after="40"/>
              <w:ind w:left="100" w:right="100"/>
              <w:jc w:val="center"/>
            </w:pPr>
            <w:r>
              <w:rPr>
                <w:rFonts w:ascii="Arial" w:eastAsia="Arial" w:hAnsi="Arial" w:cs="Arial"/>
                <w:color w:val="111111"/>
                <w:sz w:val="20"/>
                <w:szCs w:val="20"/>
              </w:rPr>
              <w:t>41</w:t>
            </w:r>
          </w:p>
        </w:tc>
        <w:tc>
          <w:tcPr>
            <w:tcW w:w="992" w:type="dxa"/>
          </w:tcPr>
          <w:p w14:paraId="2914010D" w14:textId="77777777" w:rsidR="00FC4DA0" w:rsidRDefault="00FC4DA0" w:rsidP="00A32FF6">
            <w:pPr>
              <w:spacing w:before="40" w:after="40"/>
              <w:ind w:left="100" w:right="100"/>
              <w:jc w:val="center"/>
            </w:pPr>
            <w:r>
              <w:rPr>
                <w:rFonts w:ascii="Arial" w:eastAsia="Arial" w:hAnsi="Arial" w:cs="Arial"/>
                <w:color w:val="111111"/>
                <w:sz w:val="20"/>
                <w:szCs w:val="20"/>
              </w:rPr>
              <w:t>320.9</w:t>
            </w:r>
          </w:p>
        </w:tc>
        <w:tc>
          <w:tcPr>
            <w:tcW w:w="1134" w:type="dxa"/>
          </w:tcPr>
          <w:p w14:paraId="7F790930" w14:textId="77777777" w:rsidR="00FC4DA0" w:rsidRDefault="00FC4DA0" w:rsidP="00A32FF6">
            <w:pPr>
              <w:spacing w:before="40" w:after="40"/>
              <w:ind w:left="100" w:right="100"/>
              <w:jc w:val="center"/>
            </w:pPr>
            <w:r>
              <w:rPr>
                <w:rFonts w:ascii="Arial" w:eastAsia="Arial" w:hAnsi="Arial" w:cs="Arial"/>
                <w:color w:val="111111"/>
                <w:sz w:val="20"/>
                <w:szCs w:val="20"/>
              </w:rPr>
              <w:t>68</w:t>
            </w:r>
          </w:p>
        </w:tc>
        <w:tc>
          <w:tcPr>
            <w:tcW w:w="1134" w:type="dxa"/>
          </w:tcPr>
          <w:p w14:paraId="616282DA" w14:textId="77777777" w:rsidR="00FC4DA0" w:rsidRDefault="00FC4DA0" w:rsidP="00A32FF6">
            <w:pPr>
              <w:spacing w:before="40" w:after="40"/>
              <w:ind w:left="100" w:right="100"/>
              <w:jc w:val="center"/>
            </w:pPr>
            <w:r>
              <w:rPr>
                <w:rFonts w:ascii="Arial" w:eastAsia="Arial" w:hAnsi="Arial" w:cs="Arial"/>
                <w:color w:val="111111"/>
                <w:sz w:val="20"/>
                <w:szCs w:val="20"/>
              </w:rPr>
              <w:t>532.2</w:t>
            </w:r>
          </w:p>
        </w:tc>
        <w:tc>
          <w:tcPr>
            <w:tcW w:w="1134" w:type="dxa"/>
          </w:tcPr>
          <w:p w14:paraId="1B42CE53" w14:textId="77777777" w:rsidR="00FC4DA0" w:rsidRDefault="00FC4DA0" w:rsidP="00A32FF6">
            <w:pPr>
              <w:spacing w:before="40" w:after="40"/>
              <w:ind w:left="100" w:right="100"/>
              <w:jc w:val="center"/>
            </w:pPr>
            <w:r>
              <w:rPr>
                <w:rFonts w:ascii="Arial" w:eastAsia="Arial" w:hAnsi="Arial" w:cs="Arial"/>
                <w:color w:val="111111"/>
                <w:sz w:val="20"/>
                <w:szCs w:val="20"/>
              </w:rPr>
              <w:t>211.3</w:t>
            </w:r>
          </w:p>
        </w:tc>
        <w:tc>
          <w:tcPr>
            <w:tcW w:w="1301" w:type="dxa"/>
            <w:shd w:val="clear" w:color="auto" w:fill="D99594" w:themeFill="accent2" w:themeFillTint="99"/>
          </w:tcPr>
          <w:p w14:paraId="6CF1F38E" w14:textId="77777777" w:rsidR="00FC4DA0" w:rsidRDefault="00FC4DA0" w:rsidP="00A32FF6">
            <w:pPr>
              <w:spacing w:before="40" w:after="40"/>
              <w:ind w:left="100" w:right="100"/>
              <w:jc w:val="center"/>
            </w:pPr>
            <w:r>
              <w:rPr>
                <w:rFonts w:ascii="Arial" w:eastAsia="Arial" w:hAnsi="Arial" w:cs="Arial"/>
                <w:color w:val="111111"/>
                <w:sz w:val="20"/>
                <w:szCs w:val="20"/>
              </w:rPr>
              <w:t>Increas</w:t>
            </w:r>
            <w:r w:rsidRPr="00DA35BC">
              <w:rPr>
                <w:rFonts w:ascii="Arial" w:eastAsia="Arial" w:hAnsi="Arial" w:cs="Arial"/>
                <w:color w:val="111111"/>
                <w:sz w:val="20"/>
                <w:szCs w:val="20"/>
                <w:shd w:val="clear" w:color="auto" w:fill="D99594" w:themeFill="accent2" w:themeFillTint="99"/>
              </w:rPr>
              <w:t>e</w:t>
            </w:r>
          </w:p>
        </w:tc>
      </w:tr>
      <w:tr w:rsidR="0042180A" w14:paraId="2163BF9C" w14:textId="77777777" w:rsidTr="0042180A">
        <w:tc>
          <w:tcPr>
            <w:tcW w:w="851" w:type="dxa"/>
          </w:tcPr>
          <w:p w14:paraId="04F4E838" w14:textId="77777777" w:rsidR="00FC4DA0" w:rsidRDefault="00FC4DA0" w:rsidP="00A32FF6">
            <w:pPr>
              <w:spacing w:before="40" w:after="40"/>
              <w:ind w:left="100" w:right="100"/>
              <w:jc w:val="center"/>
            </w:pPr>
            <w:r>
              <w:rPr>
                <w:rFonts w:ascii="Arial" w:eastAsia="Arial" w:hAnsi="Arial" w:cs="Arial"/>
                <w:color w:val="111111"/>
                <w:sz w:val="20"/>
                <w:szCs w:val="20"/>
              </w:rPr>
              <w:t>3</w:t>
            </w:r>
          </w:p>
        </w:tc>
        <w:tc>
          <w:tcPr>
            <w:tcW w:w="1559" w:type="dxa"/>
          </w:tcPr>
          <w:p w14:paraId="427D6331" w14:textId="77777777" w:rsidR="00FC4DA0" w:rsidRDefault="00FC4DA0" w:rsidP="00A32FF6">
            <w:pPr>
              <w:spacing w:before="40" w:after="40"/>
              <w:ind w:left="100" w:right="100"/>
              <w:jc w:val="center"/>
            </w:pPr>
            <w:r>
              <w:rPr>
                <w:rFonts w:ascii="Arial" w:eastAsia="Arial" w:hAnsi="Arial" w:cs="Arial"/>
                <w:color w:val="111111"/>
                <w:sz w:val="20"/>
                <w:szCs w:val="20"/>
              </w:rPr>
              <w:t>Heneage</w:t>
            </w:r>
          </w:p>
        </w:tc>
        <w:tc>
          <w:tcPr>
            <w:tcW w:w="851" w:type="dxa"/>
          </w:tcPr>
          <w:p w14:paraId="5F532724" w14:textId="77777777" w:rsidR="00FC4DA0" w:rsidRDefault="00FC4DA0" w:rsidP="00A32FF6">
            <w:pPr>
              <w:spacing w:before="40" w:after="40"/>
              <w:ind w:left="100" w:right="100"/>
              <w:jc w:val="center"/>
            </w:pPr>
            <w:r>
              <w:rPr>
                <w:rFonts w:ascii="Arial" w:eastAsia="Arial" w:hAnsi="Arial" w:cs="Arial"/>
                <w:color w:val="111111"/>
                <w:sz w:val="20"/>
                <w:szCs w:val="20"/>
              </w:rPr>
              <w:t>183</w:t>
            </w:r>
          </w:p>
        </w:tc>
        <w:tc>
          <w:tcPr>
            <w:tcW w:w="1134" w:type="dxa"/>
          </w:tcPr>
          <w:p w14:paraId="14116FD7" w14:textId="77777777" w:rsidR="00FC4DA0" w:rsidRDefault="00FC4DA0" w:rsidP="00A32FF6">
            <w:pPr>
              <w:spacing w:before="40" w:after="40"/>
              <w:ind w:left="100" w:right="100"/>
              <w:jc w:val="center"/>
            </w:pPr>
            <w:r>
              <w:rPr>
                <w:rFonts w:ascii="Arial" w:eastAsia="Arial" w:hAnsi="Arial" w:cs="Arial"/>
                <w:color w:val="111111"/>
                <w:sz w:val="20"/>
                <w:szCs w:val="20"/>
              </w:rPr>
              <w:t>1536.9</w:t>
            </w:r>
          </w:p>
        </w:tc>
        <w:tc>
          <w:tcPr>
            <w:tcW w:w="992" w:type="dxa"/>
          </w:tcPr>
          <w:p w14:paraId="7BFC43D3" w14:textId="77777777" w:rsidR="00FC4DA0" w:rsidRDefault="00FC4DA0" w:rsidP="00A32FF6">
            <w:pPr>
              <w:spacing w:before="40" w:after="40"/>
              <w:ind w:left="100" w:right="100"/>
              <w:jc w:val="center"/>
            </w:pPr>
            <w:r>
              <w:rPr>
                <w:rFonts w:ascii="Arial" w:eastAsia="Arial" w:hAnsi="Arial" w:cs="Arial"/>
                <w:color w:val="111111"/>
                <w:sz w:val="20"/>
                <w:szCs w:val="20"/>
              </w:rPr>
              <w:t>51</w:t>
            </w:r>
          </w:p>
        </w:tc>
        <w:tc>
          <w:tcPr>
            <w:tcW w:w="992" w:type="dxa"/>
          </w:tcPr>
          <w:p w14:paraId="17C2E2C0" w14:textId="77777777" w:rsidR="00FC4DA0" w:rsidRDefault="00FC4DA0" w:rsidP="00A32FF6">
            <w:pPr>
              <w:spacing w:before="40" w:after="40"/>
              <w:ind w:left="100" w:right="100"/>
              <w:jc w:val="center"/>
            </w:pPr>
            <w:r>
              <w:rPr>
                <w:rFonts w:ascii="Arial" w:eastAsia="Arial" w:hAnsi="Arial" w:cs="Arial"/>
                <w:color w:val="111111"/>
                <w:sz w:val="20"/>
                <w:szCs w:val="20"/>
              </w:rPr>
              <w:t>428.3</w:t>
            </w:r>
          </w:p>
        </w:tc>
        <w:tc>
          <w:tcPr>
            <w:tcW w:w="1134" w:type="dxa"/>
          </w:tcPr>
          <w:p w14:paraId="2A81A536" w14:textId="77777777" w:rsidR="00FC4DA0" w:rsidRDefault="00FC4DA0" w:rsidP="00A32FF6">
            <w:pPr>
              <w:spacing w:before="40" w:after="40"/>
              <w:ind w:left="100" w:right="100"/>
              <w:jc w:val="center"/>
            </w:pPr>
            <w:r>
              <w:rPr>
                <w:rFonts w:ascii="Arial" w:eastAsia="Arial" w:hAnsi="Arial" w:cs="Arial"/>
                <w:color w:val="111111"/>
                <w:sz w:val="20"/>
                <w:szCs w:val="20"/>
              </w:rPr>
              <w:t>61</w:t>
            </w:r>
          </w:p>
        </w:tc>
        <w:tc>
          <w:tcPr>
            <w:tcW w:w="1134" w:type="dxa"/>
          </w:tcPr>
          <w:p w14:paraId="4AABCAB4" w14:textId="77777777" w:rsidR="00FC4DA0" w:rsidRDefault="00FC4DA0" w:rsidP="00A32FF6">
            <w:pPr>
              <w:spacing w:before="40" w:after="40"/>
              <w:ind w:left="100" w:right="100"/>
              <w:jc w:val="center"/>
            </w:pPr>
            <w:r>
              <w:rPr>
                <w:rFonts w:ascii="Arial" w:eastAsia="Arial" w:hAnsi="Arial" w:cs="Arial"/>
                <w:color w:val="111111"/>
                <w:sz w:val="20"/>
                <w:szCs w:val="20"/>
              </w:rPr>
              <w:t>512.3</w:t>
            </w:r>
          </w:p>
        </w:tc>
        <w:tc>
          <w:tcPr>
            <w:tcW w:w="1134" w:type="dxa"/>
          </w:tcPr>
          <w:p w14:paraId="3B8C3D2C" w14:textId="77777777" w:rsidR="00FC4DA0" w:rsidRDefault="00FC4DA0" w:rsidP="00A32FF6">
            <w:pPr>
              <w:spacing w:before="40" w:after="40"/>
              <w:ind w:left="100" w:right="100"/>
              <w:jc w:val="center"/>
            </w:pPr>
            <w:r>
              <w:rPr>
                <w:rFonts w:ascii="Arial" w:eastAsia="Arial" w:hAnsi="Arial" w:cs="Arial"/>
                <w:color w:val="111111"/>
                <w:sz w:val="20"/>
                <w:szCs w:val="20"/>
              </w:rPr>
              <w:t>84.0</w:t>
            </w:r>
          </w:p>
        </w:tc>
        <w:tc>
          <w:tcPr>
            <w:tcW w:w="1301" w:type="dxa"/>
          </w:tcPr>
          <w:p w14:paraId="0E139C66"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16FE9CBA" w14:textId="77777777" w:rsidTr="0042180A">
        <w:tc>
          <w:tcPr>
            <w:tcW w:w="851" w:type="dxa"/>
          </w:tcPr>
          <w:p w14:paraId="0ABA9340" w14:textId="77777777" w:rsidR="00FC4DA0" w:rsidRDefault="00FC4DA0" w:rsidP="00A32FF6">
            <w:pPr>
              <w:spacing w:before="40" w:after="40"/>
              <w:ind w:left="100" w:right="100"/>
              <w:jc w:val="center"/>
            </w:pPr>
            <w:r>
              <w:rPr>
                <w:rFonts w:ascii="Arial" w:eastAsia="Arial" w:hAnsi="Arial" w:cs="Arial"/>
                <w:color w:val="111111"/>
                <w:sz w:val="20"/>
                <w:szCs w:val="20"/>
              </w:rPr>
              <w:t>4</w:t>
            </w:r>
          </w:p>
        </w:tc>
        <w:tc>
          <w:tcPr>
            <w:tcW w:w="1559" w:type="dxa"/>
          </w:tcPr>
          <w:p w14:paraId="32AFADFB" w14:textId="77777777" w:rsidR="00FC4DA0" w:rsidRDefault="00FC4DA0" w:rsidP="00A32FF6">
            <w:pPr>
              <w:spacing w:before="40" w:after="40"/>
              <w:ind w:left="100" w:right="100"/>
              <w:jc w:val="center"/>
            </w:pPr>
            <w:r>
              <w:rPr>
                <w:rFonts w:ascii="Arial" w:eastAsia="Arial" w:hAnsi="Arial" w:cs="Arial"/>
                <w:color w:val="111111"/>
                <w:sz w:val="20"/>
                <w:szCs w:val="20"/>
              </w:rPr>
              <w:t>Scartho</w:t>
            </w:r>
          </w:p>
        </w:tc>
        <w:tc>
          <w:tcPr>
            <w:tcW w:w="851" w:type="dxa"/>
          </w:tcPr>
          <w:p w14:paraId="18B244B6" w14:textId="77777777" w:rsidR="00FC4DA0" w:rsidRDefault="00FC4DA0" w:rsidP="00A32FF6">
            <w:pPr>
              <w:spacing w:before="40" w:after="40"/>
              <w:ind w:left="100" w:right="100"/>
              <w:jc w:val="center"/>
            </w:pPr>
            <w:r>
              <w:rPr>
                <w:rFonts w:ascii="Arial" w:eastAsia="Arial" w:hAnsi="Arial" w:cs="Arial"/>
                <w:color w:val="111111"/>
                <w:sz w:val="20"/>
                <w:szCs w:val="20"/>
              </w:rPr>
              <w:t>175</w:t>
            </w:r>
          </w:p>
        </w:tc>
        <w:tc>
          <w:tcPr>
            <w:tcW w:w="1134" w:type="dxa"/>
          </w:tcPr>
          <w:p w14:paraId="0A02BB62" w14:textId="77777777" w:rsidR="00FC4DA0" w:rsidRDefault="00FC4DA0" w:rsidP="00A32FF6">
            <w:pPr>
              <w:spacing w:before="40" w:after="40"/>
              <w:ind w:left="100" w:right="100"/>
              <w:jc w:val="center"/>
            </w:pPr>
            <w:r>
              <w:rPr>
                <w:rFonts w:ascii="Arial" w:eastAsia="Arial" w:hAnsi="Arial" w:cs="Arial"/>
                <w:color w:val="111111"/>
                <w:sz w:val="20"/>
                <w:szCs w:val="20"/>
              </w:rPr>
              <w:t>1546.6</w:t>
            </w:r>
          </w:p>
        </w:tc>
        <w:tc>
          <w:tcPr>
            <w:tcW w:w="992" w:type="dxa"/>
          </w:tcPr>
          <w:p w14:paraId="25DB5A19" w14:textId="77777777" w:rsidR="00FC4DA0" w:rsidRDefault="00FC4DA0" w:rsidP="00A32FF6">
            <w:pPr>
              <w:spacing w:before="40" w:after="40"/>
              <w:ind w:left="100" w:right="100"/>
              <w:jc w:val="center"/>
            </w:pPr>
            <w:r>
              <w:rPr>
                <w:rFonts w:ascii="Arial" w:eastAsia="Arial" w:hAnsi="Arial" w:cs="Arial"/>
                <w:color w:val="111111"/>
                <w:sz w:val="20"/>
                <w:szCs w:val="20"/>
              </w:rPr>
              <w:t>30</w:t>
            </w:r>
          </w:p>
        </w:tc>
        <w:tc>
          <w:tcPr>
            <w:tcW w:w="992" w:type="dxa"/>
          </w:tcPr>
          <w:p w14:paraId="6B1C2D19" w14:textId="77777777" w:rsidR="00FC4DA0" w:rsidRDefault="00FC4DA0" w:rsidP="00A32FF6">
            <w:pPr>
              <w:spacing w:before="40" w:after="40"/>
              <w:ind w:left="100" w:right="100"/>
              <w:jc w:val="center"/>
            </w:pPr>
            <w:r>
              <w:rPr>
                <w:rFonts w:ascii="Arial" w:eastAsia="Arial" w:hAnsi="Arial" w:cs="Arial"/>
                <w:color w:val="111111"/>
                <w:sz w:val="20"/>
                <w:szCs w:val="20"/>
              </w:rPr>
              <w:t>265.1</w:t>
            </w:r>
          </w:p>
        </w:tc>
        <w:tc>
          <w:tcPr>
            <w:tcW w:w="1134" w:type="dxa"/>
          </w:tcPr>
          <w:p w14:paraId="32FB04E1" w14:textId="77777777" w:rsidR="00FC4DA0" w:rsidRDefault="00FC4DA0" w:rsidP="00A32FF6">
            <w:pPr>
              <w:spacing w:before="40" w:after="40"/>
              <w:ind w:left="100" w:right="100"/>
              <w:jc w:val="center"/>
            </w:pPr>
            <w:r>
              <w:rPr>
                <w:rFonts w:ascii="Arial" w:eastAsia="Arial" w:hAnsi="Arial" w:cs="Arial"/>
                <w:color w:val="111111"/>
                <w:sz w:val="20"/>
                <w:szCs w:val="20"/>
              </w:rPr>
              <w:t>52</w:t>
            </w:r>
          </w:p>
        </w:tc>
        <w:tc>
          <w:tcPr>
            <w:tcW w:w="1134" w:type="dxa"/>
          </w:tcPr>
          <w:p w14:paraId="62F6FBAF" w14:textId="77777777" w:rsidR="00FC4DA0" w:rsidRDefault="00FC4DA0" w:rsidP="00A32FF6">
            <w:pPr>
              <w:spacing w:before="40" w:after="40"/>
              <w:ind w:left="100" w:right="100"/>
              <w:jc w:val="center"/>
            </w:pPr>
            <w:r>
              <w:rPr>
                <w:rFonts w:ascii="Arial" w:eastAsia="Arial" w:hAnsi="Arial" w:cs="Arial"/>
                <w:color w:val="111111"/>
                <w:sz w:val="20"/>
                <w:szCs w:val="20"/>
              </w:rPr>
              <w:t>459.6</w:t>
            </w:r>
          </w:p>
        </w:tc>
        <w:tc>
          <w:tcPr>
            <w:tcW w:w="1134" w:type="dxa"/>
          </w:tcPr>
          <w:p w14:paraId="38226182" w14:textId="77777777" w:rsidR="00FC4DA0" w:rsidRDefault="00FC4DA0" w:rsidP="00A32FF6">
            <w:pPr>
              <w:spacing w:before="40" w:after="40"/>
              <w:ind w:left="100" w:right="100"/>
              <w:jc w:val="center"/>
            </w:pPr>
            <w:r>
              <w:rPr>
                <w:rFonts w:ascii="Arial" w:eastAsia="Arial" w:hAnsi="Arial" w:cs="Arial"/>
                <w:color w:val="111111"/>
                <w:sz w:val="20"/>
                <w:szCs w:val="20"/>
              </w:rPr>
              <w:t>194.5</w:t>
            </w:r>
          </w:p>
        </w:tc>
        <w:tc>
          <w:tcPr>
            <w:tcW w:w="1301" w:type="dxa"/>
            <w:shd w:val="clear" w:color="auto" w:fill="D99594" w:themeFill="accent2" w:themeFillTint="99"/>
          </w:tcPr>
          <w:p w14:paraId="1A039883" w14:textId="77777777" w:rsidR="00FC4DA0" w:rsidRDefault="00FC4DA0" w:rsidP="00A32FF6">
            <w:pPr>
              <w:spacing w:before="40" w:after="40"/>
              <w:ind w:left="100" w:right="100"/>
              <w:jc w:val="center"/>
            </w:pPr>
            <w:r>
              <w:rPr>
                <w:rFonts w:ascii="Arial" w:eastAsia="Arial" w:hAnsi="Arial" w:cs="Arial"/>
                <w:color w:val="111111"/>
                <w:sz w:val="20"/>
                <w:szCs w:val="20"/>
              </w:rPr>
              <w:t>Increase</w:t>
            </w:r>
          </w:p>
        </w:tc>
      </w:tr>
      <w:tr w:rsidR="0042180A" w14:paraId="4C4A5A72" w14:textId="77777777" w:rsidTr="0042180A">
        <w:tc>
          <w:tcPr>
            <w:tcW w:w="851" w:type="dxa"/>
          </w:tcPr>
          <w:p w14:paraId="40CF5BD2" w14:textId="77777777" w:rsidR="00FC4DA0" w:rsidRDefault="00FC4DA0" w:rsidP="00A32FF6">
            <w:pPr>
              <w:spacing w:before="40" w:after="40"/>
              <w:ind w:left="100" w:right="100"/>
              <w:jc w:val="center"/>
            </w:pPr>
            <w:r>
              <w:rPr>
                <w:rFonts w:ascii="Arial" w:eastAsia="Arial" w:hAnsi="Arial" w:cs="Arial"/>
                <w:color w:val="111111"/>
                <w:sz w:val="20"/>
                <w:szCs w:val="20"/>
              </w:rPr>
              <w:t>5</w:t>
            </w:r>
          </w:p>
        </w:tc>
        <w:tc>
          <w:tcPr>
            <w:tcW w:w="1559" w:type="dxa"/>
          </w:tcPr>
          <w:p w14:paraId="6E024F5E" w14:textId="77777777" w:rsidR="00FC4DA0" w:rsidRDefault="00FC4DA0" w:rsidP="00A32FF6">
            <w:pPr>
              <w:spacing w:before="40" w:after="40"/>
              <w:ind w:left="100" w:right="100"/>
              <w:jc w:val="center"/>
            </w:pPr>
            <w:r>
              <w:rPr>
                <w:rFonts w:ascii="Arial" w:eastAsia="Arial" w:hAnsi="Arial" w:cs="Arial"/>
                <w:color w:val="111111"/>
                <w:sz w:val="20"/>
                <w:szCs w:val="20"/>
              </w:rPr>
              <w:t>Croft Baker</w:t>
            </w:r>
          </w:p>
        </w:tc>
        <w:tc>
          <w:tcPr>
            <w:tcW w:w="851" w:type="dxa"/>
          </w:tcPr>
          <w:p w14:paraId="69ABBF4F" w14:textId="77777777" w:rsidR="00FC4DA0" w:rsidRDefault="00FC4DA0" w:rsidP="00A32FF6">
            <w:pPr>
              <w:spacing w:before="40" w:after="40"/>
              <w:ind w:left="100" w:right="100"/>
              <w:jc w:val="center"/>
            </w:pPr>
            <w:r>
              <w:rPr>
                <w:rFonts w:ascii="Arial" w:eastAsia="Arial" w:hAnsi="Arial" w:cs="Arial"/>
                <w:color w:val="111111"/>
                <w:sz w:val="20"/>
                <w:szCs w:val="20"/>
              </w:rPr>
              <w:t>164</w:t>
            </w:r>
          </w:p>
        </w:tc>
        <w:tc>
          <w:tcPr>
            <w:tcW w:w="1134" w:type="dxa"/>
          </w:tcPr>
          <w:p w14:paraId="7CD724C5" w14:textId="77777777" w:rsidR="00FC4DA0" w:rsidRDefault="00FC4DA0" w:rsidP="00A32FF6">
            <w:pPr>
              <w:spacing w:before="40" w:after="40"/>
              <w:ind w:left="100" w:right="100"/>
              <w:jc w:val="center"/>
            </w:pPr>
            <w:r>
              <w:rPr>
                <w:rFonts w:ascii="Arial" w:eastAsia="Arial" w:hAnsi="Arial" w:cs="Arial"/>
                <w:color w:val="111111"/>
                <w:sz w:val="20"/>
                <w:szCs w:val="20"/>
              </w:rPr>
              <w:t>1425.1</w:t>
            </w:r>
          </w:p>
        </w:tc>
        <w:tc>
          <w:tcPr>
            <w:tcW w:w="992" w:type="dxa"/>
          </w:tcPr>
          <w:p w14:paraId="64AA890F" w14:textId="77777777" w:rsidR="00FC4DA0" w:rsidRDefault="00FC4DA0" w:rsidP="00A32FF6">
            <w:pPr>
              <w:spacing w:before="40" w:after="40"/>
              <w:ind w:left="100" w:right="100"/>
              <w:jc w:val="center"/>
            </w:pPr>
            <w:r>
              <w:rPr>
                <w:rFonts w:ascii="Arial" w:eastAsia="Arial" w:hAnsi="Arial" w:cs="Arial"/>
                <w:color w:val="111111"/>
                <w:sz w:val="20"/>
                <w:szCs w:val="20"/>
              </w:rPr>
              <w:t>23</w:t>
            </w:r>
          </w:p>
        </w:tc>
        <w:tc>
          <w:tcPr>
            <w:tcW w:w="992" w:type="dxa"/>
          </w:tcPr>
          <w:p w14:paraId="7D58E913" w14:textId="77777777" w:rsidR="00FC4DA0" w:rsidRDefault="00FC4DA0" w:rsidP="00A32FF6">
            <w:pPr>
              <w:spacing w:before="40" w:after="40"/>
              <w:ind w:left="100" w:right="100"/>
              <w:jc w:val="center"/>
            </w:pPr>
            <w:r>
              <w:rPr>
                <w:rFonts w:ascii="Arial" w:eastAsia="Arial" w:hAnsi="Arial" w:cs="Arial"/>
                <w:color w:val="111111"/>
                <w:sz w:val="20"/>
                <w:szCs w:val="20"/>
              </w:rPr>
              <w:t>199.9</w:t>
            </w:r>
          </w:p>
        </w:tc>
        <w:tc>
          <w:tcPr>
            <w:tcW w:w="1134" w:type="dxa"/>
          </w:tcPr>
          <w:p w14:paraId="56F27BEE" w14:textId="77777777" w:rsidR="00FC4DA0" w:rsidRDefault="00FC4DA0" w:rsidP="00A32FF6">
            <w:pPr>
              <w:spacing w:before="40" w:after="40"/>
              <w:ind w:left="100" w:right="100"/>
              <w:jc w:val="center"/>
            </w:pPr>
            <w:r>
              <w:rPr>
                <w:rFonts w:ascii="Arial" w:eastAsia="Arial" w:hAnsi="Arial" w:cs="Arial"/>
                <w:color w:val="111111"/>
                <w:sz w:val="20"/>
                <w:szCs w:val="20"/>
              </w:rPr>
              <w:t>47</w:t>
            </w:r>
          </w:p>
        </w:tc>
        <w:tc>
          <w:tcPr>
            <w:tcW w:w="1134" w:type="dxa"/>
          </w:tcPr>
          <w:p w14:paraId="2F894762" w14:textId="77777777" w:rsidR="00FC4DA0" w:rsidRDefault="00FC4DA0" w:rsidP="00A32FF6">
            <w:pPr>
              <w:spacing w:before="40" w:after="40"/>
              <w:ind w:left="100" w:right="100"/>
              <w:jc w:val="center"/>
            </w:pPr>
            <w:r>
              <w:rPr>
                <w:rFonts w:ascii="Arial" w:eastAsia="Arial" w:hAnsi="Arial" w:cs="Arial"/>
                <w:color w:val="111111"/>
                <w:sz w:val="20"/>
                <w:szCs w:val="20"/>
              </w:rPr>
              <w:t>408.4</w:t>
            </w:r>
          </w:p>
        </w:tc>
        <w:tc>
          <w:tcPr>
            <w:tcW w:w="1134" w:type="dxa"/>
          </w:tcPr>
          <w:p w14:paraId="40843FFC" w14:textId="77777777" w:rsidR="00FC4DA0" w:rsidRDefault="00FC4DA0" w:rsidP="00A32FF6">
            <w:pPr>
              <w:spacing w:before="40" w:after="40"/>
              <w:ind w:left="100" w:right="100"/>
              <w:jc w:val="center"/>
            </w:pPr>
            <w:r>
              <w:rPr>
                <w:rFonts w:ascii="Arial" w:eastAsia="Arial" w:hAnsi="Arial" w:cs="Arial"/>
                <w:color w:val="111111"/>
                <w:sz w:val="20"/>
                <w:szCs w:val="20"/>
              </w:rPr>
              <w:t>208.5</w:t>
            </w:r>
          </w:p>
        </w:tc>
        <w:tc>
          <w:tcPr>
            <w:tcW w:w="1301" w:type="dxa"/>
            <w:shd w:val="clear" w:color="auto" w:fill="D99594" w:themeFill="accent2" w:themeFillTint="99"/>
          </w:tcPr>
          <w:p w14:paraId="2C978808" w14:textId="77777777" w:rsidR="00FC4DA0" w:rsidRDefault="00FC4DA0" w:rsidP="00A32FF6">
            <w:pPr>
              <w:spacing w:before="40" w:after="40"/>
              <w:ind w:left="100" w:right="100"/>
              <w:jc w:val="center"/>
            </w:pPr>
            <w:r>
              <w:rPr>
                <w:rFonts w:ascii="Arial" w:eastAsia="Arial" w:hAnsi="Arial" w:cs="Arial"/>
                <w:color w:val="111111"/>
                <w:sz w:val="20"/>
                <w:szCs w:val="20"/>
              </w:rPr>
              <w:t>Increase</w:t>
            </w:r>
          </w:p>
        </w:tc>
      </w:tr>
      <w:tr w:rsidR="0042180A" w14:paraId="589FB198" w14:textId="77777777" w:rsidTr="0042180A">
        <w:tc>
          <w:tcPr>
            <w:tcW w:w="851" w:type="dxa"/>
          </w:tcPr>
          <w:p w14:paraId="5B7CA273" w14:textId="77777777" w:rsidR="00FC4DA0" w:rsidRDefault="00FC4DA0" w:rsidP="00A32FF6">
            <w:pPr>
              <w:spacing w:before="40" w:after="40"/>
              <w:ind w:left="100" w:right="100"/>
              <w:jc w:val="center"/>
            </w:pPr>
            <w:r>
              <w:rPr>
                <w:rFonts w:ascii="Arial" w:eastAsia="Arial" w:hAnsi="Arial" w:cs="Arial"/>
                <w:color w:val="111111"/>
                <w:sz w:val="20"/>
                <w:szCs w:val="20"/>
              </w:rPr>
              <w:t>6</w:t>
            </w:r>
          </w:p>
        </w:tc>
        <w:tc>
          <w:tcPr>
            <w:tcW w:w="1559" w:type="dxa"/>
          </w:tcPr>
          <w:p w14:paraId="57710A37" w14:textId="77777777" w:rsidR="00FC4DA0" w:rsidRDefault="00FC4DA0" w:rsidP="00A32FF6">
            <w:pPr>
              <w:spacing w:before="40" w:after="40"/>
              <w:ind w:left="100" w:right="100"/>
              <w:jc w:val="center"/>
            </w:pPr>
            <w:r>
              <w:rPr>
                <w:rFonts w:ascii="Arial" w:eastAsia="Arial" w:hAnsi="Arial" w:cs="Arial"/>
                <w:color w:val="111111"/>
                <w:sz w:val="20"/>
                <w:szCs w:val="20"/>
              </w:rPr>
              <w:t>Park</w:t>
            </w:r>
          </w:p>
        </w:tc>
        <w:tc>
          <w:tcPr>
            <w:tcW w:w="851" w:type="dxa"/>
          </w:tcPr>
          <w:p w14:paraId="26A1C429" w14:textId="77777777" w:rsidR="00FC4DA0" w:rsidRDefault="00FC4DA0" w:rsidP="00A32FF6">
            <w:pPr>
              <w:spacing w:before="40" w:after="40"/>
              <w:ind w:left="100" w:right="100"/>
              <w:jc w:val="center"/>
            </w:pPr>
            <w:r>
              <w:rPr>
                <w:rFonts w:ascii="Arial" w:eastAsia="Arial" w:hAnsi="Arial" w:cs="Arial"/>
                <w:color w:val="111111"/>
                <w:sz w:val="20"/>
                <w:szCs w:val="20"/>
              </w:rPr>
              <w:t>200</w:t>
            </w:r>
          </w:p>
        </w:tc>
        <w:tc>
          <w:tcPr>
            <w:tcW w:w="1134" w:type="dxa"/>
          </w:tcPr>
          <w:p w14:paraId="26EF2D1E" w14:textId="77777777" w:rsidR="00FC4DA0" w:rsidRDefault="00FC4DA0" w:rsidP="00A32FF6">
            <w:pPr>
              <w:spacing w:before="40" w:after="40"/>
              <w:ind w:left="100" w:right="100"/>
              <w:jc w:val="center"/>
            </w:pPr>
            <w:r>
              <w:rPr>
                <w:rFonts w:ascii="Arial" w:eastAsia="Arial" w:hAnsi="Arial" w:cs="Arial"/>
                <w:color w:val="111111"/>
                <w:sz w:val="20"/>
                <w:szCs w:val="20"/>
              </w:rPr>
              <w:t>1681.9</w:t>
            </w:r>
          </w:p>
        </w:tc>
        <w:tc>
          <w:tcPr>
            <w:tcW w:w="992" w:type="dxa"/>
          </w:tcPr>
          <w:p w14:paraId="40A291AB" w14:textId="77777777" w:rsidR="00FC4DA0" w:rsidRDefault="00FC4DA0" w:rsidP="00A32FF6">
            <w:pPr>
              <w:spacing w:before="40" w:after="40"/>
              <w:ind w:left="100" w:right="100"/>
              <w:jc w:val="center"/>
            </w:pPr>
            <w:r>
              <w:rPr>
                <w:rFonts w:ascii="Arial" w:eastAsia="Arial" w:hAnsi="Arial" w:cs="Arial"/>
                <w:color w:val="111111"/>
                <w:sz w:val="20"/>
                <w:szCs w:val="20"/>
              </w:rPr>
              <w:t>45</w:t>
            </w:r>
          </w:p>
        </w:tc>
        <w:tc>
          <w:tcPr>
            <w:tcW w:w="992" w:type="dxa"/>
          </w:tcPr>
          <w:p w14:paraId="37BB28AF" w14:textId="77777777" w:rsidR="00FC4DA0" w:rsidRDefault="00FC4DA0" w:rsidP="00A32FF6">
            <w:pPr>
              <w:spacing w:before="40" w:after="40"/>
              <w:ind w:left="100" w:right="100"/>
              <w:jc w:val="center"/>
            </w:pPr>
            <w:r>
              <w:rPr>
                <w:rFonts w:ascii="Arial" w:eastAsia="Arial" w:hAnsi="Arial" w:cs="Arial"/>
                <w:color w:val="111111"/>
                <w:sz w:val="20"/>
                <w:szCs w:val="20"/>
              </w:rPr>
              <w:t>378.4</w:t>
            </w:r>
          </w:p>
        </w:tc>
        <w:tc>
          <w:tcPr>
            <w:tcW w:w="1134" w:type="dxa"/>
          </w:tcPr>
          <w:p w14:paraId="22149A11" w14:textId="77777777" w:rsidR="00FC4DA0" w:rsidRDefault="00FC4DA0" w:rsidP="00A32FF6">
            <w:pPr>
              <w:spacing w:before="40" w:after="40"/>
              <w:ind w:left="100" w:right="100"/>
              <w:jc w:val="center"/>
            </w:pPr>
            <w:r>
              <w:rPr>
                <w:rFonts w:ascii="Arial" w:eastAsia="Arial" w:hAnsi="Arial" w:cs="Arial"/>
                <w:color w:val="111111"/>
                <w:sz w:val="20"/>
                <w:szCs w:val="20"/>
              </w:rPr>
              <w:t>47</w:t>
            </w:r>
          </w:p>
        </w:tc>
        <w:tc>
          <w:tcPr>
            <w:tcW w:w="1134" w:type="dxa"/>
          </w:tcPr>
          <w:p w14:paraId="0B674583" w14:textId="77777777" w:rsidR="00FC4DA0" w:rsidRDefault="00FC4DA0" w:rsidP="00A32FF6">
            <w:pPr>
              <w:spacing w:before="40" w:after="40"/>
              <w:ind w:left="100" w:right="100"/>
              <w:jc w:val="center"/>
            </w:pPr>
            <w:r>
              <w:rPr>
                <w:rFonts w:ascii="Arial" w:eastAsia="Arial" w:hAnsi="Arial" w:cs="Arial"/>
                <w:color w:val="111111"/>
                <w:sz w:val="20"/>
                <w:szCs w:val="20"/>
              </w:rPr>
              <w:t>395.3</w:t>
            </w:r>
          </w:p>
        </w:tc>
        <w:tc>
          <w:tcPr>
            <w:tcW w:w="1134" w:type="dxa"/>
          </w:tcPr>
          <w:p w14:paraId="13E26312" w14:textId="77777777" w:rsidR="00FC4DA0" w:rsidRDefault="00FC4DA0" w:rsidP="00A32FF6">
            <w:pPr>
              <w:spacing w:before="40" w:after="40"/>
              <w:ind w:left="100" w:right="100"/>
              <w:jc w:val="center"/>
            </w:pPr>
            <w:r>
              <w:rPr>
                <w:rFonts w:ascii="Arial" w:eastAsia="Arial" w:hAnsi="Arial" w:cs="Arial"/>
                <w:color w:val="111111"/>
                <w:sz w:val="20"/>
                <w:szCs w:val="20"/>
              </w:rPr>
              <w:t>16.9</w:t>
            </w:r>
          </w:p>
        </w:tc>
        <w:tc>
          <w:tcPr>
            <w:tcW w:w="1301" w:type="dxa"/>
          </w:tcPr>
          <w:p w14:paraId="6EFF7105"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78407431" w14:textId="77777777" w:rsidTr="0042180A">
        <w:tc>
          <w:tcPr>
            <w:tcW w:w="851" w:type="dxa"/>
          </w:tcPr>
          <w:p w14:paraId="016CF9E7" w14:textId="77777777" w:rsidR="00FC4DA0" w:rsidRDefault="00FC4DA0" w:rsidP="00A32FF6">
            <w:pPr>
              <w:spacing w:before="40" w:after="40"/>
              <w:ind w:left="100" w:right="100"/>
              <w:jc w:val="center"/>
            </w:pPr>
            <w:r>
              <w:rPr>
                <w:rFonts w:ascii="Arial" w:eastAsia="Arial" w:hAnsi="Arial" w:cs="Arial"/>
                <w:color w:val="111111"/>
                <w:sz w:val="20"/>
                <w:szCs w:val="20"/>
              </w:rPr>
              <w:t>7</w:t>
            </w:r>
          </w:p>
        </w:tc>
        <w:tc>
          <w:tcPr>
            <w:tcW w:w="1559" w:type="dxa"/>
          </w:tcPr>
          <w:p w14:paraId="4CBBB2B0" w14:textId="77777777" w:rsidR="00FC4DA0" w:rsidRDefault="00FC4DA0" w:rsidP="00A32FF6">
            <w:pPr>
              <w:spacing w:before="40" w:after="40"/>
              <w:ind w:left="100" w:right="100"/>
              <w:jc w:val="center"/>
            </w:pPr>
            <w:r>
              <w:rPr>
                <w:rFonts w:ascii="Arial" w:eastAsia="Arial" w:hAnsi="Arial" w:cs="Arial"/>
                <w:color w:val="111111"/>
                <w:sz w:val="20"/>
                <w:szCs w:val="20"/>
              </w:rPr>
              <w:t>Sidney Sussex</w:t>
            </w:r>
          </w:p>
        </w:tc>
        <w:tc>
          <w:tcPr>
            <w:tcW w:w="851" w:type="dxa"/>
          </w:tcPr>
          <w:p w14:paraId="57C2E460" w14:textId="77777777" w:rsidR="00FC4DA0" w:rsidRDefault="00FC4DA0" w:rsidP="00A32FF6">
            <w:pPr>
              <w:spacing w:before="40" w:after="40"/>
              <w:ind w:left="100" w:right="100"/>
              <w:jc w:val="center"/>
            </w:pPr>
            <w:r>
              <w:rPr>
                <w:rFonts w:ascii="Arial" w:eastAsia="Arial" w:hAnsi="Arial" w:cs="Arial"/>
                <w:color w:val="111111"/>
                <w:sz w:val="20"/>
                <w:szCs w:val="20"/>
              </w:rPr>
              <w:t>138</w:t>
            </w:r>
          </w:p>
        </w:tc>
        <w:tc>
          <w:tcPr>
            <w:tcW w:w="1134" w:type="dxa"/>
          </w:tcPr>
          <w:p w14:paraId="6AC02564" w14:textId="77777777" w:rsidR="00FC4DA0" w:rsidRDefault="00FC4DA0" w:rsidP="00A32FF6">
            <w:pPr>
              <w:spacing w:before="40" w:after="40"/>
              <w:ind w:left="100" w:right="100"/>
              <w:jc w:val="center"/>
            </w:pPr>
            <w:r>
              <w:rPr>
                <w:rFonts w:ascii="Arial" w:eastAsia="Arial" w:hAnsi="Arial" w:cs="Arial"/>
                <w:color w:val="111111"/>
                <w:sz w:val="20"/>
                <w:szCs w:val="20"/>
              </w:rPr>
              <w:t>1100.1</w:t>
            </w:r>
          </w:p>
        </w:tc>
        <w:tc>
          <w:tcPr>
            <w:tcW w:w="992" w:type="dxa"/>
          </w:tcPr>
          <w:p w14:paraId="68676A75" w14:textId="77777777" w:rsidR="00FC4DA0" w:rsidRDefault="00FC4DA0" w:rsidP="00A32FF6">
            <w:pPr>
              <w:spacing w:before="40" w:after="40"/>
              <w:ind w:left="100" w:right="100"/>
              <w:jc w:val="center"/>
            </w:pPr>
            <w:r>
              <w:rPr>
                <w:rFonts w:ascii="Arial" w:eastAsia="Arial" w:hAnsi="Arial" w:cs="Arial"/>
                <w:color w:val="111111"/>
                <w:sz w:val="20"/>
                <w:szCs w:val="20"/>
              </w:rPr>
              <w:t>35</w:t>
            </w:r>
          </w:p>
        </w:tc>
        <w:tc>
          <w:tcPr>
            <w:tcW w:w="992" w:type="dxa"/>
          </w:tcPr>
          <w:p w14:paraId="626BF161" w14:textId="77777777" w:rsidR="00FC4DA0" w:rsidRDefault="00FC4DA0" w:rsidP="00A32FF6">
            <w:pPr>
              <w:spacing w:before="40" w:after="40"/>
              <w:ind w:left="100" w:right="100"/>
              <w:jc w:val="center"/>
            </w:pPr>
            <w:r>
              <w:rPr>
                <w:rFonts w:ascii="Arial" w:eastAsia="Arial" w:hAnsi="Arial" w:cs="Arial"/>
                <w:color w:val="111111"/>
                <w:sz w:val="20"/>
                <w:szCs w:val="20"/>
              </w:rPr>
              <w:t>279.0</w:t>
            </w:r>
          </w:p>
        </w:tc>
        <w:tc>
          <w:tcPr>
            <w:tcW w:w="1134" w:type="dxa"/>
          </w:tcPr>
          <w:p w14:paraId="6217FF23" w14:textId="77777777" w:rsidR="00FC4DA0" w:rsidRDefault="00FC4DA0" w:rsidP="00A32FF6">
            <w:pPr>
              <w:spacing w:before="40" w:after="40"/>
              <w:ind w:left="100" w:right="100"/>
              <w:jc w:val="center"/>
            </w:pPr>
            <w:r>
              <w:rPr>
                <w:rFonts w:ascii="Arial" w:eastAsia="Arial" w:hAnsi="Arial" w:cs="Arial"/>
                <w:color w:val="111111"/>
                <w:sz w:val="20"/>
                <w:szCs w:val="20"/>
              </w:rPr>
              <w:t>46</w:t>
            </w:r>
          </w:p>
        </w:tc>
        <w:tc>
          <w:tcPr>
            <w:tcW w:w="1134" w:type="dxa"/>
          </w:tcPr>
          <w:p w14:paraId="4DA3C6F1" w14:textId="77777777" w:rsidR="00FC4DA0" w:rsidRDefault="00FC4DA0" w:rsidP="00A32FF6">
            <w:pPr>
              <w:spacing w:before="40" w:after="40"/>
              <w:ind w:left="100" w:right="100"/>
              <w:jc w:val="center"/>
            </w:pPr>
            <w:r>
              <w:rPr>
                <w:rFonts w:ascii="Arial" w:eastAsia="Arial" w:hAnsi="Arial" w:cs="Arial"/>
                <w:color w:val="111111"/>
                <w:sz w:val="20"/>
                <w:szCs w:val="20"/>
              </w:rPr>
              <w:t>366.7</w:t>
            </w:r>
          </w:p>
        </w:tc>
        <w:tc>
          <w:tcPr>
            <w:tcW w:w="1134" w:type="dxa"/>
          </w:tcPr>
          <w:p w14:paraId="1F13F49A" w14:textId="77777777" w:rsidR="00FC4DA0" w:rsidRDefault="00FC4DA0" w:rsidP="00A32FF6">
            <w:pPr>
              <w:spacing w:before="40" w:after="40"/>
              <w:ind w:left="100" w:right="100"/>
              <w:jc w:val="center"/>
            </w:pPr>
            <w:r>
              <w:rPr>
                <w:rFonts w:ascii="Arial" w:eastAsia="Arial" w:hAnsi="Arial" w:cs="Arial"/>
                <w:color w:val="111111"/>
                <w:sz w:val="20"/>
                <w:szCs w:val="20"/>
              </w:rPr>
              <w:t>87.7</w:t>
            </w:r>
          </w:p>
        </w:tc>
        <w:tc>
          <w:tcPr>
            <w:tcW w:w="1301" w:type="dxa"/>
          </w:tcPr>
          <w:p w14:paraId="5B9B84BF"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199C89DD" w14:textId="77777777" w:rsidTr="0042180A">
        <w:tc>
          <w:tcPr>
            <w:tcW w:w="851" w:type="dxa"/>
          </w:tcPr>
          <w:p w14:paraId="5BB66FB7" w14:textId="77777777" w:rsidR="00FC4DA0" w:rsidRDefault="00FC4DA0" w:rsidP="00A32FF6">
            <w:pPr>
              <w:spacing w:before="40" w:after="40"/>
              <w:ind w:left="100" w:right="100"/>
              <w:jc w:val="center"/>
            </w:pPr>
            <w:r>
              <w:rPr>
                <w:rFonts w:ascii="Arial" w:eastAsia="Arial" w:hAnsi="Arial" w:cs="Arial"/>
                <w:color w:val="111111"/>
                <w:sz w:val="20"/>
                <w:szCs w:val="20"/>
              </w:rPr>
              <w:t>8</w:t>
            </w:r>
          </w:p>
        </w:tc>
        <w:tc>
          <w:tcPr>
            <w:tcW w:w="1559" w:type="dxa"/>
          </w:tcPr>
          <w:p w14:paraId="00E89953" w14:textId="77777777" w:rsidR="00FC4DA0" w:rsidRDefault="00FC4DA0" w:rsidP="00A32FF6">
            <w:pPr>
              <w:spacing w:before="40" w:after="40"/>
              <w:ind w:left="100" w:right="100"/>
              <w:jc w:val="center"/>
            </w:pPr>
            <w:r>
              <w:rPr>
                <w:rFonts w:ascii="Arial" w:eastAsia="Arial" w:hAnsi="Arial" w:cs="Arial"/>
                <w:color w:val="111111"/>
                <w:sz w:val="20"/>
                <w:szCs w:val="20"/>
              </w:rPr>
              <w:t>Yarborough</w:t>
            </w:r>
          </w:p>
        </w:tc>
        <w:tc>
          <w:tcPr>
            <w:tcW w:w="851" w:type="dxa"/>
          </w:tcPr>
          <w:p w14:paraId="764EB075" w14:textId="77777777" w:rsidR="00FC4DA0" w:rsidRDefault="00FC4DA0" w:rsidP="00A32FF6">
            <w:pPr>
              <w:spacing w:before="40" w:after="40"/>
              <w:ind w:left="100" w:right="100"/>
              <w:jc w:val="center"/>
            </w:pPr>
            <w:r>
              <w:rPr>
                <w:rFonts w:ascii="Arial" w:eastAsia="Arial" w:hAnsi="Arial" w:cs="Arial"/>
                <w:color w:val="111111"/>
                <w:sz w:val="20"/>
                <w:szCs w:val="20"/>
              </w:rPr>
              <w:t>173</w:t>
            </w:r>
          </w:p>
        </w:tc>
        <w:tc>
          <w:tcPr>
            <w:tcW w:w="1134" w:type="dxa"/>
          </w:tcPr>
          <w:p w14:paraId="43D47842" w14:textId="77777777" w:rsidR="00FC4DA0" w:rsidRDefault="00FC4DA0" w:rsidP="00A32FF6">
            <w:pPr>
              <w:spacing w:before="40" w:after="40"/>
              <w:ind w:left="100" w:right="100"/>
              <w:jc w:val="center"/>
            </w:pPr>
            <w:r>
              <w:rPr>
                <w:rFonts w:ascii="Arial" w:eastAsia="Arial" w:hAnsi="Arial" w:cs="Arial"/>
                <w:color w:val="111111"/>
                <w:sz w:val="20"/>
                <w:szCs w:val="20"/>
              </w:rPr>
              <w:t>1477.4</w:t>
            </w:r>
          </w:p>
        </w:tc>
        <w:tc>
          <w:tcPr>
            <w:tcW w:w="992" w:type="dxa"/>
          </w:tcPr>
          <w:p w14:paraId="491655D1" w14:textId="77777777" w:rsidR="00FC4DA0" w:rsidRDefault="00FC4DA0" w:rsidP="00A32FF6">
            <w:pPr>
              <w:spacing w:before="40" w:after="40"/>
              <w:ind w:left="100" w:right="100"/>
              <w:jc w:val="center"/>
            </w:pPr>
            <w:r>
              <w:rPr>
                <w:rFonts w:ascii="Arial" w:eastAsia="Arial" w:hAnsi="Arial" w:cs="Arial"/>
                <w:color w:val="111111"/>
                <w:sz w:val="20"/>
                <w:szCs w:val="20"/>
              </w:rPr>
              <w:t>40</w:t>
            </w:r>
          </w:p>
        </w:tc>
        <w:tc>
          <w:tcPr>
            <w:tcW w:w="992" w:type="dxa"/>
          </w:tcPr>
          <w:p w14:paraId="78E70498" w14:textId="77777777" w:rsidR="00FC4DA0" w:rsidRDefault="00FC4DA0" w:rsidP="00A32FF6">
            <w:pPr>
              <w:spacing w:before="40" w:after="40"/>
              <w:ind w:left="100" w:right="100"/>
              <w:jc w:val="center"/>
            </w:pPr>
            <w:r>
              <w:rPr>
                <w:rFonts w:ascii="Arial" w:eastAsia="Arial" w:hAnsi="Arial" w:cs="Arial"/>
                <w:color w:val="111111"/>
                <w:sz w:val="20"/>
                <w:szCs w:val="20"/>
              </w:rPr>
              <w:t>341.6</w:t>
            </w:r>
          </w:p>
        </w:tc>
        <w:tc>
          <w:tcPr>
            <w:tcW w:w="1134" w:type="dxa"/>
          </w:tcPr>
          <w:p w14:paraId="51A83AF9" w14:textId="77777777" w:rsidR="00FC4DA0" w:rsidRDefault="00FC4DA0" w:rsidP="00A32FF6">
            <w:pPr>
              <w:spacing w:before="40" w:after="40"/>
              <w:ind w:left="100" w:right="100"/>
              <w:jc w:val="center"/>
            </w:pPr>
            <w:r>
              <w:rPr>
                <w:rFonts w:ascii="Arial" w:eastAsia="Arial" w:hAnsi="Arial" w:cs="Arial"/>
                <w:color w:val="111111"/>
                <w:sz w:val="20"/>
                <w:szCs w:val="20"/>
              </w:rPr>
              <w:t>41</w:t>
            </w:r>
          </w:p>
        </w:tc>
        <w:tc>
          <w:tcPr>
            <w:tcW w:w="1134" w:type="dxa"/>
          </w:tcPr>
          <w:p w14:paraId="3DEB30C2" w14:textId="77777777" w:rsidR="00FC4DA0" w:rsidRDefault="00FC4DA0" w:rsidP="00A32FF6">
            <w:pPr>
              <w:spacing w:before="40" w:after="40"/>
              <w:ind w:left="100" w:right="100"/>
              <w:jc w:val="center"/>
            </w:pPr>
            <w:r>
              <w:rPr>
                <w:rFonts w:ascii="Arial" w:eastAsia="Arial" w:hAnsi="Arial" w:cs="Arial"/>
                <w:color w:val="111111"/>
                <w:sz w:val="20"/>
                <w:szCs w:val="20"/>
              </w:rPr>
              <w:t>350.1</w:t>
            </w:r>
          </w:p>
        </w:tc>
        <w:tc>
          <w:tcPr>
            <w:tcW w:w="1134" w:type="dxa"/>
          </w:tcPr>
          <w:p w14:paraId="02BA5534" w14:textId="77777777" w:rsidR="00FC4DA0" w:rsidRDefault="00FC4DA0" w:rsidP="00A32FF6">
            <w:pPr>
              <w:spacing w:before="40" w:after="40"/>
              <w:ind w:left="100" w:right="100"/>
              <w:jc w:val="center"/>
            </w:pPr>
            <w:r>
              <w:rPr>
                <w:rFonts w:ascii="Arial" w:eastAsia="Arial" w:hAnsi="Arial" w:cs="Arial"/>
                <w:color w:val="111111"/>
                <w:sz w:val="20"/>
                <w:szCs w:val="20"/>
              </w:rPr>
              <w:t>8.5</w:t>
            </w:r>
          </w:p>
        </w:tc>
        <w:tc>
          <w:tcPr>
            <w:tcW w:w="1301" w:type="dxa"/>
          </w:tcPr>
          <w:p w14:paraId="41634D62"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288AB022" w14:textId="77777777" w:rsidTr="0042180A">
        <w:tc>
          <w:tcPr>
            <w:tcW w:w="851" w:type="dxa"/>
          </w:tcPr>
          <w:p w14:paraId="2561A4ED" w14:textId="77777777" w:rsidR="00FC4DA0" w:rsidRDefault="00FC4DA0" w:rsidP="00A32FF6">
            <w:pPr>
              <w:spacing w:before="40" w:after="40"/>
              <w:ind w:left="100" w:right="100"/>
              <w:jc w:val="center"/>
            </w:pPr>
            <w:r>
              <w:rPr>
                <w:rFonts w:ascii="Arial" w:eastAsia="Arial" w:hAnsi="Arial" w:cs="Arial"/>
                <w:color w:val="111111"/>
                <w:sz w:val="20"/>
                <w:szCs w:val="20"/>
              </w:rPr>
              <w:t>9</w:t>
            </w:r>
          </w:p>
        </w:tc>
        <w:tc>
          <w:tcPr>
            <w:tcW w:w="1559" w:type="dxa"/>
          </w:tcPr>
          <w:p w14:paraId="2E00D012" w14:textId="77777777" w:rsidR="00FC4DA0" w:rsidRDefault="00FC4DA0" w:rsidP="00A32FF6">
            <w:pPr>
              <w:spacing w:before="40" w:after="40"/>
              <w:ind w:left="100" w:right="100"/>
              <w:jc w:val="center"/>
            </w:pPr>
            <w:r>
              <w:rPr>
                <w:rFonts w:ascii="Arial" w:eastAsia="Arial" w:hAnsi="Arial" w:cs="Arial"/>
                <w:color w:val="111111"/>
                <w:sz w:val="20"/>
                <w:szCs w:val="20"/>
              </w:rPr>
              <w:t>East Marsh</w:t>
            </w:r>
          </w:p>
        </w:tc>
        <w:tc>
          <w:tcPr>
            <w:tcW w:w="851" w:type="dxa"/>
          </w:tcPr>
          <w:p w14:paraId="703B1050" w14:textId="77777777" w:rsidR="00FC4DA0" w:rsidRDefault="00FC4DA0" w:rsidP="00A32FF6">
            <w:pPr>
              <w:spacing w:before="40" w:after="40"/>
              <w:ind w:left="100" w:right="100"/>
              <w:jc w:val="center"/>
            </w:pPr>
            <w:r>
              <w:rPr>
                <w:rFonts w:ascii="Arial" w:eastAsia="Arial" w:hAnsi="Arial" w:cs="Arial"/>
                <w:color w:val="111111"/>
                <w:sz w:val="20"/>
                <w:szCs w:val="20"/>
              </w:rPr>
              <w:t>127</w:t>
            </w:r>
          </w:p>
        </w:tc>
        <w:tc>
          <w:tcPr>
            <w:tcW w:w="1134" w:type="dxa"/>
          </w:tcPr>
          <w:p w14:paraId="24EDBBBC" w14:textId="77777777" w:rsidR="00FC4DA0" w:rsidRDefault="00FC4DA0" w:rsidP="00A32FF6">
            <w:pPr>
              <w:spacing w:before="40" w:after="40"/>
              <w:ind w:left="100" w:right="100"/>
              <w:jc w:val="center"/>
            </w:pPr>
            <w:r>
              <w:rPr>
                <w:rFonts w:ascii="Arial" w:eastAsia="Arial" w:hAnsi="Arial" w:cs="Arial"/>
                <w:color w:val="111111"/>
                <w:sz w:val="20"/>
                <w:szCs w:val="20"/>
              </w:rPr>
              <w:t>1096.7</w:t>
            </w:r>
          </w:p>
        </w:tc>
        <w:tc>
          <w:tcPr>
            <w:tcW w:w="992" w:type="dxa"/>
          </w:tcPr>
          <w:p w14:paraId="4F47D9B6" w14:textId="77777777" w:rsidR="00FC4DA0" w:rsidRDefault="00FC4DA0" w:rsidP="00A32FF6">
            <w:pPr>
              <w:spacing w:before="40" w:after="40"/>
              <w:ind w:left="100" w:right="100"/>
              <w:jc w:val="center"/>
            </w:pPr>
            <w:r>
              <w:rPr>
                <w:rFonts w:ascii="Arial" w:eastAsia="Arial" w:hAnsi="Arial" w:cs="Arial"/>
                <w:color w:val="111111"/>
                <w:sz w:val="20"/>
                <w:szCs w:val="20"/>
              </w:rPr>
              <w:t>37</w:t>
            </w:r>
          </w:p>
        </w:tc>
        <w:tc>
          <w:tcPr>
            <w:tcW w:w="992" w:type="dxa"/>
          </w:tcPr>
          <w:p w14:paraId="127800B9" w14:textId="77777777" w:rsidR="00FC4DA0" w:rsidRDefault="00FC4DA0" w:rsidP="00A32FF6">
            <w:pPr>
              <w:spacing w:before="40" w:after="40"/>
              <w:ind w:left="100" w:right="100"/>
              <w:jc w:val="center"/>
            </w:pPr>
            <w:r>
              <w:rPr>
                <w:rFonts w:ascii="Arial" w:eastAsia="Arial" w:hAnsi="Arial" w:cs="Arial"/>
                <w:color w:val="111111"/>
                <w:sz w:val="20"/>
                <w:szCs w:val="20"/>
              </w:rPr>
              <w:t>319.5</w:t>
            </w:r>
          </w:p>
        </w:tc>
        <w:tc>
          <w:tcPr>
            <w:tcW w:w="1134" w:type="dxa"/>
          </w:tcPr>
          <w:p w14:paraId="20C07860" w14:textId="77777777" w:rsidR="00FC4DA0" w:rsidRDefault="00FC4DA0" w:rsidP="00A32FF6">
            <w:pPr>
              <w:spacing w:before="40" w:after="40"/>
              <w:ind w:left="100" w:right="100"/>
              <w:jc w:val="center"/>
            </w:pPr>
            <w:r>
              <w:rPr>
                <w:rFonts w:ascii="Arial" w:eastAsia="Arial" w:hAnsi="Arial" w:cs="Arial"/>
                <w:color w:val="111111"/>
                <w:sz w:val="20"/>
                <w:szCs w:val="20"/>
              </w:rPr>
              <w:t>40</w:t>
            </w:r>
          </w:p>
        </w:tc>
        <w:tc>
          <w:tcPr>
            <w:tcW w:w="1134" w:type="dxa"/>
          </w:tcPr>
          <w:p w14:paraId="12D6B313" w14:textId="77777777" w:rsidR="00FC4DA0" w:rsidRDefault="00FC4DA0" w:rsidP="00A32FF6">
            <w:pPr>
              <w:spacing w:before="40" w:after="40"/>
              <w:ind w:left="100" w:right="100"/>
              <w:jc w:val="center"/>
            </w:pPr>
            <w:r>
              <w:rPr>
                <w:rFonts w:ascii="Arial" w:eastAsia="Arial" w:hAnsi="Arial" w:cs="Arial"/>
                <w:color w:val="111111"/>
                <w:sz w:val="20"/>
                <w:szCs w:val="20"/>
              </w:rPr>
              <w:t>345.4</w:t>
            </w:r>
          </w:p>
        </w:tc>
        <w:tc>
          <w:tcPr>
            <w:tcW w:w="1134" w:type="dxa"/>
          </w:tcPr>
          <w:p w14:paraId="51A09C38" w14:textId="77777777" w:rsidR="00FC4DA0" w:rsidRDefault="00FC4DA0" w:rsidP="00A32FF6">
            <w:pPr>
              <w:spacing w:before="40" w:after="40"/>
              <w:ind w:left="100" w:right="100"/>
              <w:jc w:val="center"/>
            </w:pPr>
            <w:r>
              <w:rPr>
                <w:rFonts w:ascii="Arial" w:eastAsia="Arial" w:hAnsi="Arial" w:cs="Arial"/>
                <w:color w:val="111111"/>
                <w:sz w:val="20"/>
                <w:szCs w:val="20"/>
              </w:rPr>
              <w:t>25.9</w:t>
            </w:r>
          </w:p>
        </w:tc>
        <w:tc>
          <w:tcPr>
            <w:tcW w:w="1301" w:type="dxa"/>
          </w:tcPr>
          <w:p w14:paraId="1995F2A7"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014F0477" w14:textId="77777777" w:rsidTr="0042180A">
        <w:tc>
          <w:tcPr>
            <w:tcW w:w="851" w:type="dxa"/>
          </w:tcPr>
          <w:p w14:paraId="6B93DC6B" w14:textId="77777777" w:rsidR="00FC4DA0" w:rsidRDefault="00FC4DA0" w:rsidP="00A32FF6">
            <w:pPr>
              <w:spacing w:before="40" w:after="40"/>
              <w:ind w:left="100" w:right="100"/>
              <w:jc w:val="center"/>
            </w:pPr>
            <w:r>
              <w:rPr>
                <w:rFonts w:ascii="Arial" w:eastAsia="Arial" w:hAnsi="Arial" w:cs="Arial"/>
                <w:color w:val="111111"/>
                <w:sz w:val="20"/>
                <w:szCs w:val="20"/>
              </w:rPr>
              <w:t>10</w:t>
            </w:r>
          </w:p>
        </w:tc>
        <w:tc>
          <w:tcPr>
            <w:tcW w:w="1559" w:type="dxa"/>
          </w:tcPr>
          <w:p w14:paraId="227BED6F" w14:textId="77777777" w:rsidR="00FC4DA0" w:rsidRDefault="00FC4DA0" w:rsidP="00A32FF6">
            <w:pPr>
              <w:spacing w:before="40" w:after="40"/>
              <w:ind w:left="100" w:right="100"/>
              <w:jc w:val="center"/>
            </w:pPr>
            <w:r>
              <w:rPr>
                <w:rFonts w:ascii="Arial" w:eastAsia="Arial" w:hAnsi="Arial" w:cs="Arial"/>
                <w:color w:val="111111"/>
                <w:sz w:val="20"/>
                <w:szCs w:val="20"/>
              </w:rPr>
              <w:t>Waltham</w:t>
            </w:r>
          </w:p>
        </w:tc>
        <w:tc>
          <w:tcPr>
            <w:tcW w:w="851" w:type="dxa"/>
          </w:tcPr>
          <w:p w14:paraId="075078D8" w14:textId="77777777" w:rsidR="00FC4DA0" w:rsidRDefault="00FC4DA0" w:rsidP="00A32FF6">
            <w:pPr>
              <w:spacing w:before="40" w:after="40"/>
              <w:ind w:left="100" w:right="100"/>
              <w:jc w:val="center"/>
            </w:pPr>
            <w:r>
              <w:rPr>
                <w:rFonts w:ascii="Arial" w:eastAsia="Arial" w:hAnsi="Arial" w:cs="Arial"/>
                <w:color w:val="111111"/>
                <w:sz w:val="20"/>
                <w:szCs w:val="20"/>
              </w:rPr>
              <w:t>107</w:t>
            </w:r>
          </w:p>
        </w:tc>
        <w:tc>
          <w:tcPr>
            <w:tcW w:w="1134" w:type="dxa"/>
          </w:tcPr>
          <w:p w14:paraId="3538AED1" w14:textId="77777777" w:rsidR="00FC4DA0" w:rsidRDefault="00FC4DA0" w:rsidP="00A32FF6">
            <w:pPr>
              <w:spacing w:before="40" w:after="40"/>
              <w:ind w:left="100" w:right="100"/>
              <w:jc w:val="center"/>
            </w:pPr>
            <w:r>
              <w:rPr>
                <w:rFonts w:ascii="Arial" w:eastAsia="Arial" w:hAnsi="Arial" w:cs="Arial"/>
                <w:color w:val="111111"/>
                <w:sz w:val="20"/>
                <w:szCs w:val="20"/>
              </w:rPr>
              <w:t>1587.1</w:t>
            </w:r>
          </w:p>
        </w:tc>
        <w:tc>
          <w:tcPr>
            <w:tcW w:w="992" w:type="dxa"/>
          </w:tcPr>
          <w:p w14:paraId="5A97522E" w14:textId="77777777" w:rsidR="00FC4DA0" w:rsidRDefault="00FC4DA0" w:rsidP="00A32FF6">
            <w:pPr>
              <w:spacing w:before="40" w:after="40"/>
              <w:ind w:left="100" w:right="100"/>
              <w:jc w:val="center"/>
            </w:pPr>
            <w:r>
              <w:rPr>
                <w:rFonts w:ascii="Arial" w:eastAsia="Arial" w:hAnsi="Arial" w:cs="Arial"/>
                <w:color w:val="111111"/>
                <w:sz w:val="20"/>
                <w:szCs w:val="20"/>
              </w:rPr>
              <w:t>13</w:t>
            </w:r>
          </w:p>
        </w:tc>
        <w:tc>
          <w:tcPr>
            <w:tcW w:w="992" w:type="dxa"/>
          </w:tcPr>
          <w:p w14:paraId="7A3888C6" w14:textId="77777777" w:rsidR="00FC4DA0" w:rsidRDefault="00FC4DA0" w:rsidP="00A32FF6">
            <w:pPr>
              <w:spacing w:before="40" w:after="40"/>
              <w:ind w:left="100" w:right="100"/>
              <w:jc w:val="center"/>
            </w:pPr>
            <w:r>
              <w:rPr>
                <w:rFonts w:ascii="Arial" w:eastAsia="Arial" w:hAnsi="Arial" w:cs="Arial"/>
                <w:color w:val="111111"/>
                <w:sz w:val="20"/>
                <w:szCs w:val="20"/>
              </w:rPr>
              <w:t>192.8</w:t>
            </w:r>
          </w:p>
        </w:tc>
        <w:tc>
          <w:tcPr>
            <w:tcW w:w="1134" w:type="dxa"/>
          </w:tcPr>
          <w:p w14:paraId="65E3FA81" w14:textId="77777777" w:rsidR="00FC4DA0" w:rsidRDefault="00FC4DA0" w:rsidP="00A32FF6">
            <w:pPr>
              <w:spacing w:before="40" w:after="40"/>
              <w:ind w:left="100" w:right="100"/>
              <w:jc w:val="center"/>
            </w:pPr>
            <w:r>
              <w:rPr>
                <w:rFonts w:ascii="Arial" w:eastAsia="Arial" w:hAnsi="Arial" w:cs="Arial"/>
                <w:color w:val="111111"/>
                <w:sz w:val="20"/>
                <w:szCs w:val="20"/>
              </w:rPr>
              <w:t>23</w:t>
            </w:r>
          </w:p>
        </w:tc>
        <w:tc>
          <w:tcPr>
            <w:tcW w:w="1134" w:type="dxa"/>
          </w:tcPr>
          <w:p w14:paraId="760E1A53" w14:textId="77777777" w:rsidR="00FC4DA0" w:rsidRDefault="00FC4DA0" w:rsidP="00A32FF6">
            <w:pPr>
              <w:spacing w:before="40" w:after="40"/>
              <w:ind w:left="100" w:right="100"/>
              <w:jc w:val="center"/>
            </w:pPr>
            <w:r>
              <w:rPr>
                <w:rFonts w:ascii="Arial" w:eastAsia="Arial" w:hAnsi="Arial" w:cs="Arial"/>
                <w:color w:val="111111"/>
                <w:sz w:val="20"/>
                <w:szCs w:val="20"/>
              </w:rPr>
              <w:t>341.1</w:t>
            </w:r>
          </w:p>
        </w:tc>
        <w:tc>
          <w:tcPr>
            <w:tcW w:w="1134" w:type="dxa"/>
          </w:tcPr>
          <w:p w14:paraId="1614DED6" w14:textId="77777777" w:rsidR="00FC4DA0" w:rsidRDefault="00FC4DA0" w:rsidP="00A32FF6">
            <w:pPr>
              <w:spacing w:before="40" w:after="40"/>
              <w:ind w:left="100" w:right="100"/>
              <w:jc w:val="center"/>
            </w:pPr>
            <w:r>
              <w:rPr>
                <w:rFonts w:ascii="Arial" w:eastAsia="Arial" w:hAnsi="Arial" w:cs="Arial"/>
                <w:color w:val="111111"/>
                <w:sz w:val="20"/>
                <w:szCs w:val="20"/>
              </w:rPr>
              <w:t>148.3</w:t>
            </w:r>
          </w:p>
        </w:tc>
        <w:tc>
          <w:tcPr>
            <w:tcW w:w="1301" w:type="dxa"/>
          </w:tcPr>
          <w:p w14:paraId="39B574CF"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307B5943" w14:textId="77777777" w:rsidTr="0042180A">
        <w:tc>
          <w:tcPr>
            <w:tcW w:w="851" w:type="dxa"/>
          </w:tcPr>
          <w:p w14:paraId="4F6B05D9" w14:textId="77777777" w:rsidR="00FC4DA0" w:rsidRDefault="00FC4DA0" w:rsidP="00A32FF6">
            <w:pPr>
              <w:spacing w:before="40" w:after="40"/>
              <w:ind w:left="100" w:right="100"/>
              <w:jc w:val="center"/>
            </w:pPr>
            <w:r>
              <w:rPr>
                <w:rFonts w:ascii="Arial" w:eastAsia="Arial" w:hAnsi="Arial" w:cs="Arial"/>
                <w:color w:val="111111"/>
                <w:sz w:val="20"/>
                <w:szCs w:val="20"/>
              </w:rPr>
              <w:t>11</w:t>
            </w:r>
          </w:p>
        </w:tc>
        <w:tc>
          <w:tcPr>
            <w:tcW w:w="1559" w:type="dxa"/>
          </w:tcPr>
          <w:p w14:paraId="57CC2DA6" w14:textId="77777777" w:rsidR="00FC4DA0" w:rsidRDefault="00FC4DA0" w:rsidP="00A32FF6">
            <w:pPr>
              <w:spacing w:before="40" w:after="40"/>
              <w:ind w:left="100" w:right="100"/>
              <w:jc w:val="center"/>
            </w:pPr>
            <w:r>
              <w:rPr>
                <w:rFonts w:ascii="Arial" w:eastAsia="Arial" w:hAnsi="Arial" w:cs="Arial"/>
                <w:color w:val="111111"/>
                <w:sz w:val="20"/>
                <w:szCs w:val="20"/>
              </w:rPr>
              <w:t>Wolds</w:t>
            </w:r>
          </w:p>
        </w:tc>
        <w:tc>
          <w:tcPr>
            <w:tcW w:w="851" w:type="dxa"/>
          </w:tcPr>
          <w:p w14:paraId="4F001A1D" w14:textId="77777777" w:rsidR="00FC4DA0" w:rsidRDefault="00FC4DA0" w:rsidP="00A32FF6">
            <w:pPr>
              <w:spacing w:before="40" w:after="40"/>
              <w:ind w:left="100" w:right="100"/>
              <w:jc w:val="center"/>
            </w:pPr>
            <w:r>
              <w:rPr>
                <w:rFonts w:ascii="Arial" w:eastAsia="Arial" w:hAnsi="Arial" w:cs="Arial"/>
                <w:color w:val="111111"/>
                <w:sz w:val="20"/>
                <w:szCs w:val="20"/>
              </w:rPr>
              <w:t>89</w:t>
            </w:r>
          </w:p>
        </w:tc>
        <w:tc>
          <w:tcPr>
            <w:tcW w:w="1134" w:type="dxa"/>
          </w:tcPr>
          <w:p w14:paraId="51F69816" w14:textId="77777777" w:rsidR="00FC4DA0" w:rsidRDefault="00FC4DA0" w:rsidP="00A32FF6">
            <w:pPr>
              <w:spacing w:before="40" w:after="40"/>
              <w:ind w:left="100" w:right="100"/>
              <w:jc w:val="center"/>
            </w:pPr>
            <w:r>
              <w:rPr>
                <w:rFonts w:ascii="Arial" w:eastAsia="Arial" w:hAnsi="Arial" w:cs="Arial"/>
                <w:color w:val="111111"/>
                <w:sz w:val="20"/>
                <w:szCs w:val="20"/>
              </w:rPr>
              <w:t>1162.5</w:t>
            </w:r>
          </w:p>
        </w:tc>
        <w:tc>
          <w:tcPr>
            <w:tcW w:w="992" w:type="dxa"/>
          </w:tcPr>
          <w:p w14:paraId="7C355DC1" w14:textId="77777777" w:rsidR="00FC4DA0" w:rsidRDefault="00FC4DA0" w:rsidP="00A32FF6">
            <w:pPr>
              <w:spacing w:before="40" w:after="40"/>
              <w:ind w:left="100" w:right="100"/>
              <w:jc w:val="center"/>
            </w:pPr>
            <w:r>
              <w:rPr>
                <w:rFonts w:ascii="Arial" w:eastAsia="Arial" w:hAnsi="Arial" w:cs="Arial"/>
                <w:color w:val="111111"/>
                <w:sz w:val="20"/>
                <w:szCs w:val="20"/>
              </w:rPr>
              <w:t>21</w:t>
            </w:r>
          </w:p>
        </w:tc>
        <w:tc>
          <w:tcPr>
            <w:tcW w:w="992" w:type="dxa"/>
          </w:tcPr>
          <w:p w14:paraId="265AA62F" w14:textId="77777777" w:rsidR="00FC4DA0" w:rsidRDefault="00FC4DA0" w:rsidP="00A32FF6">
            <w:pPr>
              <w:spacing w:before="40" w:after="40"/>
              <w:ind w:left="100" w:right="100"/>
              <w:jc w:val="center"/>
            </w:pPr>
            <w:r>
              <w:rPr>
                <w:rFonts w:ascii="Arial" w:eastAsia="Arial" w:hAnsi="Arial" w:cs="Arial"/>
                <w:color w:val="111111"/>
                <w:sz w:val="20"/>
                <w:szCs w:val="20"/>
              </w:rPr>
              <w:t>274.3</w:t>
            </w:r>
          </w:p>
        </w:tc>
        <w:tc>
          <w:tcPr>
            <w:tcW w:w="1134" w:type="dxa"/>
          </w:tcPr>
          <w:p w14:paraId="7EA6104B" w14:textId="77777777" w:rsidR="00FC4DA0" w:rsidRDefault="00FC4DA0" w:rsidP="00A32FF6">
            <w:pPr>
              <w:spacing w:before="40" w:after="40"/>
              <w:ind w:left="100" w:right="100"/>
              <w:jc w:val="center"/>
            </w:pPr>
            <w:r>
              <w:rPr>
                <w:rFonts w:ascii="Arial" w:eastAsia="Arial" w:hAnsi="Arial" w:cs="Arial"/>
                <w:color w:val="111111"/>
                <w:sz w:val="20"/>
                <w:szCs w:val="20"/>
              </w:rPr>
              <w:t>26</w:t>
            </w:r>
          </w:p>
        </w:tc>
        <w:tc>
          <w:tcPr>
            <w:tcW w:w="1134" w:type="dxa"/>
          </w:tcPr>
          <w:p w14:paraId="43CC086E" w14:textId="77777777" w:rsidR="00FC4DA0" w:rsidRDefault="00FC4DA0" w:rsidP="00A32FF6">
            <w:pPr>
              <w:spacing w:before="40" w:after="40"/>
              <w:ind w:left="100" w:right="100"/>
              <w:jc w:val="center"/>
            </w:pPr>
            <w:r>
              <w:rPr>
                <w:rFonts w:ascii="Arial" w:eastAsia="Arial" w:hAnsi="Arial" w:cs="Arial"/>
                <w:color w:val="111111"/>
                <w:sz w:val="20"/>
                <w:szCs w:val="20"/>
              </w:rPr>
              <w:t>339.6</w:t>
            </w:r>
          </w:p>
        </w:tc>
        <w:tc>
          <w:tcPr>
            <w:tcW w:w="1134" w:type="dxa"/>
          </w:tcPr>
          <w:p w14:paraId="056C2F1E" w14:textId="77777777" w:rsidR="00FC4DA0" w:rsidRDefault="00FC4DA0" w:rsidP="00A32FF6">
            <w:pPr>
              <w:spacing w:before="40" w:after="40"/>
              <w:ind w:left="100" w:right="100"/>
              <w:jc w:val="center"/>
            </w:pPr>
            <w:r>
              <w:rPr>
                <w:rFonts w:ascii="Arial" w:eastAsia="Arial" w:hAnsi="Arial" w:cs="Arial"/>
                <w:color w:val="111111"/>
                <w:sz w:val="20"/>
                <w:szCs w:val="20"/>
              </w:rPr>
              <w:t>65.3</w:t>
            </w:r>
          </w:p>
        </w:tc>
        <w:tc>
          <w:tcPr>
            <w:tcW w:w="1301" w:type="dxa"/>
          </w:tcPr>
          <w:p w14:paraId="22584C7F"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629E912D" w14:textId="77777777" w:rsidTr="0042180A">
        <w:tc>
          <w:tcPr>
            <w:tcW w:w="851" w:type="dxa"/>
          </w:tcPr>
          <w:p w14:paraId="071C30DE" w14:textId="77777777" w:rsidR="00FC4DA0" w:rsidRDefault="00FC4DA0" w:rsidP="00A32FF6">
            <w:pPr>
              <w:spacing w:before="40" w:after="40"/>
              <w:ind w:left="100" w:right="100"/>
              <w:jc w:val="center"/>
            </w:pPr>
            <w:r>
              <w:rPr>
                <w:rFonts w:ascii="Arial" w:eastAsia="Arial" w:hAnsi="Arial" w:cs="Arial"/>
                <w:color w:val="111111"/>
                <w:sz w:val="20"/>
                <w:szCs w:val="20"/>
              </w:rPr>
              <w:t>12</w:t>
            </w:r>
          </w:p>
        </w:tc>
        <w:tc>
          <w:tcPr>
            <w:tcW w:w="1559" w:type="dxa"/>
          </w:tcPr>
          <w:p w14:paraId="5F8B59BD" w14:textId="77777777" w:rsidR="00FC4DA0" w:rsidRDefault="00FC4DA0" w:rsidP="00A32FF6">
            <w:pPr>
              <w:spacing w:before="40" w:after="40"/>
              <w:ind w:left="100" w:right="100"/>
              <w:jc w:val="center"/>
            </w:pPr>
            <w:r>
              <w:rPr>
                <w:rFonts w:ascii="Arial" w:eastAsia="Arial" w:hAnsi="Arial" w:cs="Arial"/>
                <w:color w:val="111111"/>
                <w:sz w:val="20"/>
                <w:szCs w:val="20"/>
              </w:rPr>
              <w:t>Humberston and New Waltham</w:t>
            </w:r>
          </w:p>
        </w:tc>
        <w:tc>
          <w:tcPr>
            <w:tcW w:w="851" w:type="dxa"/>
          </w:tcPr>
          <w:p w14:paraId="7FFE7E20" w14:textId="77777777" w:rsidR="00FC4DA0" w:rsidRDefault="00FC4DA0" w:rsidP="00A32FF6">
            <w:pPr>
              <w:spacing w:before="40" w:after="40"/>
              <w:ind w:left="100" w:right="100"/>
              <w:jc w:val="center"/>
            </w:pPr>
            <w:r>
              <w:rPr>
                <w:rFonts w:ascii="Arial" w:eastAsia="Arial" w:hAnsi="Arial" w:cs="Arial"/>
                <w:color w:val="111111"/>
                <w:sz w:val="20"/>
                <w:szCs w:val="20"/>
              </w:rPr>
              <w:t>194</w:t>
            </w:r>
          </w:p>
        </w:tc>
        <w:tc>
          <w:tcPr>
            <w:tcW w:w="1134" w:type="dxa"/>
          </w:tcPr>
          <w:p w14:paraId="613982FD" w14:textId="77777777" w:rsidR="00FC4DA0" w:rsidRDefault="00FC4DA0" w:rsidP="00A32FF6">
            <w:pPr>
              <w:spacing w:before="40" w:after="40"/>
              <w:ind w:left="100" w:right="100"/>
              <w:jc w:val="center"/>
            </w:pPr>
            <w:r>
              <w:rPr>
                <w:rFonts w:ascii="Arial" w:eastAsia="Arial" w:hAnsi="Arial" w:cs="Arial"/>
                <w:color w:val="111111"/>
                <w:sz w:val="20"/>
                <w:szCs w:val="20"/>
              </w:rPr>
              <w:t>1731.4</w:t>
            </w:r>
          </w:p>
        </w:tc>
        <w:tc>
          <w:tcPr>
            <w:tcW w:w="992" w:type="dxa"/>
          </w:tcPr>
          <w:p w14:paraId="76631D5E" w14:textId="77777777" w:rsidR="00FC4DA0" w:rsidRDefault="00FC4DA0" w:rsidP="00A32FF6">
            <w:pPr>
              <w:spacing w:before="40" w:after="40"/>
              <w:ind w:left="100" w:right="100"/>
              <w:jc w:val="center"/>
            </w:pPr>
            <w:r>
              <w:rPr>
                <w:rFonts w:ascii="Arial" w:eastAsia="Arial" w:hAnsi="Arial" w:cs="Arial"/>
                <w:color w:val="111111"/>
                <w:sz w:val="20"/>
                <w:szCs w:val="20"/>
              </w:rPr>
              <w:t>34</w:t>
            </w:r>
          </w:p>
        </w:tc>
        <w:tc>
          <w:tcPr>
            <w:tcW w:w="992" w:type="dxa"/>
          </w:tcPr>
          <w:p w14:paraId="536A89D8" w14:textId="77777777" w:rsidR="00FC4DA0" w:rsidRDefault="00FC4DA0" w:rsidP="00A32FF6">
            <w:pPr>
              <w:spacing w:before="40" w:after="40"/>
              <w:ind w:left="100" w:right="100"/>
              <w:jc w:val="center"/>
            </w:pPr>
            <w:r>
              <w:rPr>
                <w:rFonts w:ascii="Arial" w:eastAsia="Arial" w:hAnsi="Arial" w:cs="Arial"/>
                <w:color w:val="111111"/>
                <w:sz w:val="20"/>
                <w:szCs w:val="20"/>
              </w:rPr>
              <w:t>303.4</w:t>
            </w:r>
          </w:p>
        </w:tc>
        <w:tc>
          <w:tcPr>
            <w:tcW w:w="1134" w:type="dxa"/>
          </w:tcPr>
          <w:p w14:paraId="3937167C" w14:textId="77777777" w:rsidR="00FC4DA0" w:rsidRDefault="00FC4DA0" w:rsidP="00A32FF6">
            <w:pPr>
              <w:spacing w:before="40" w:after="40"/>
              <w:ind w:left="100" w:right="100"/>
              <w:jc w:val="center"/>
            </w:pPr>
            <w:r>
              <w:rPr>
                <w:rFonts w:ascii="Arial" w:eastAsia="Arial" w:hAnsi="Arial" w:cs="Arial"/>
                <w:color w:val="111111"/>
                <w:sz w:val="20"/>
                <w:szCs w:val="20"/>
              </w:rPr>
              <w:t>37</w:t>
            </w:r>
          </w:p>
        </w:tc>
        <w:tc>
          <w:tcPr>
            <w:tcW w:w="1134" w:type="dxa"/>
          </w:tcPr>
          <w:p w14:paraId="116665EC" w14:textId="77777777" w:rsidR="00FC4DA0" w:rsidRDefault="00FC4DA0" w:rsidP="00A32FF6">
            <w:pPr>
              <w:spacing w:before="40" w:after="40"/>
              <w:ind w:left="100" w:right="100"/>
              <w:jc w:val="center"/>
            </w:pPr>
            <w:r>
              <w:rPr>
                <w:rFonts w:ascii="Arial" w:eastAsia="Arial" w:hAnsi="Arial" w:cs="Arial"/>
                <w:color w:val="111111"/>
                <w:sz w:val="20"/>
                <w:szCs w:val="20"/>
              </w:rPr>
              <w:t>330.2</w:t>
            </w:r>
          </w:p>
        </w:tc>
        <w:tc>
          <w:tcPr>
            <w:tcW w:w="1134" w:type="dxa"/>
          </w:tcPr>
          <w:p w14:paraId="2060BE2B" w14:textId="77777777" w:rsidR="00FC4DA0" w:rsidRDefault="00FC4DA0" w:rsidP="00A32FF6">
            <w:pPr>
              <w:spacing w:before="40" w:after="40"/>
              <w:ind w:left="100" w:right="100"/>
              <w:jc w:val="center"/>
            </w:pPr>
            <w:r>
              <w:rPr>
                <w:rFonts w:ascii="Arial" w:eastAsia="Arial" w:hAnsi="Arial" w:cs="Arial"/>
                <w:color w:val="111111"/>
                <w:sz w:val="20"/>
                <w:szCs w:val="20"/>
              </w:rPr>
              <w:t>26.8</w:t>
            </w:r>
          </w:p>
        </w:tc>
        <w:tc>
          <w:tcPr>
            <w:tcW w:w="1301" w:type="dxa"/>
          </w:tcPr>
          <w:p w14:paraId="3A6C2A46"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171060DC" w14:textId="77777777" w:rsidTr="0042180A">
        <w:tc>
          <w:tcPr>
            <w:tcW w:w="851" w:type="dxa"/>
          </w:tcPr>
          <w:p w14:paraId="78344BB4" w14:textId="77777777" w:rsidR="00FC4DA0" w:rsidRDefault="00FC4DA0" w:rsidP="00A32FF6">
            <w:pPr>
              <w:spacing w:before="40" w:after="40"/>
              <w:ind w:left="100" w:right="100"/>
              <w:jc w:val="center"/>
            </w:pPr>
            <w:r>
              <w:rPr>
                <w:rFonts w:ascii="Arial" w:eastAsia="Arial" w:hAnsi="Arial" w:cs="Arial"/>
                <w:color w:val="111111"/>
                <w:sz w:val="20"/>
                <w:szCs w:val="20"/>
              </w:rPr>
              <w:t>13</w:t>
            </w:r>
          </w:p>
        </w:tc>
        <w:tc>
          <w:tcPr>
            <w:tcW w:w="1559" w:type="dxa"/>
          </w:tcPr>
          <w:p w14:paraId="094928DD" w14:textId="77777777" w:rsidR="00FC4DA0" w:rsidRDefault="00FC4DA0" w:rsidP="00A32FF6">
            <w:pPr>
              <w:spacing w:before="40" w:after="40"/>
              <w:ind w:left="100" w:right="100"/>
              <w:jc w:val="center"/>
            </w:pPr>
            <w:r>
              <w:rPr>
                <w:rFonts w:ascii="Arial" w:eastAsia="Arial" w:hAnsi="Arial" w:cs="Arial"/>
                <w:color w:val="111111"/>
                <w:sz w:val="20"/>
                <w:szCs w:val="20"/>
              </w:rPr>
              <w:t>West Marsh</w:t>
            </w:r>
          </w:p>
        </w:tc>
        <w:tc>
          <w:tcPr>
            <w:tcW w:w="851" w:type="dxa"/>
          </w:tcPr>
          <w:p w14:paraId="56B14C1F" w14:textId="77777777" w:rsidR="00FC4DA0" w:rsidRDefault="00FC4DA0" w:rsidP="00A32FF6">
            <w:pPr>
              <w:spacing w:before="40" w:after="40"/>
              <w:ind w:left="100" w:right="100"/>
              <w:jc w:val="center"/>
            </w:pPr>
            <w:r>
              <w:rPr>
                <w:rFonts w:ascii="Arial" w:eastAsia="Arial" w:hAnsi="Arial" w:cs="Arial"/>
                <w:color w:val="111111"/>
                <w:sz w:val="20"/>
                <w:szCs w:val="20"/>
              </w:rPr>
              <w:t>79</w:t>
            </w:r>
          </w:p>
        </w:tc>
        <w:tc>
          <w:tcPr>
            <w:tcW w:w="1134" w:type="dxa"/>
          </w:tcPr>
          <w:p w14:paraId="6AC2370C" w14:textId="77777777" w:rsidR="00FC4DA0" w:rsidRDefault="00FC4DA0" w:rsidP="00A32FF6">
            <w:pPr>
              <w:spacing w:before="40" w:after="40"/>
              <w:ind w:left="100" w:right="100"/>
              <w:jc w:val="center"/>
            </w:pPr>
            <w:r>
              <w:rPr>
                <w:rFonts w:ascii="Arial" w:eastAsia="Arial" w:hAnsi="Arial" w:cs="Arial"/>
                <w:color w:val="111111"/>
                <w:sz w:val="20"/>
                <w:szCs w:val="20"/>
              </w:rPr>
              <w:t>1027.3</w:t>
            </w:r>
          </w:p>
        </w:tc>
        <w:tc>
          <w:tcPr>
            <w:tcW w:w="992" w:type="dxa"/>
          </w:tcPr>
          <w:p w14:paraId="37C6B5E1" w14:textId="77777777" w:rsidR="00FC4DA0" w:rsidRDefault="00FC4DA0" w:rsidP="00A32FF6">
            <w:pPr>
              <w:spacing w:before="40" w:after="40"/>
              <w:ind w:left="100" w:right="100"/>
              <w:jc w:val="center"/>
            </w:pPr>
            <w:r>
              <w:rPr>
                <w:rFonts w:ascii="Arial" w:eastAsia="Arial" w:hAnsi="Arial" w:cs="Arial"/>
                <w:color w:val="111111"/>
                <w:sz w:val="20"/>
                <w:szCs w:val="20"/>
              </w:rPr>
              <w:t>17</w:t>
            </w:r>
          </w:p>
        </w:tc>
        <w:tc>
          <w:tcPr>
            <w:tcW w:w="992" w:type="dxa"/>
          </w:tcPr>
          <w:p w14:paraId="5D3C4F81" w14:textId="77777777" w:rsidR="00FC4DA0" w:rsidRDefault="00FC4DA0" w:rsidP="00A32FF6">
            <w:pPr>
              <w:spacing w:before="40" w:after="40"/>
              <w:ind w:left="100" w:right="100"/>
              <w:jc w:val="center"/>
            </w:pPr>
            <w:r>
              <w:rPr>
                <w:rFonts w:ascii="Arial" w:eastAsia="Arial" w:hAnsi="Arial" w:cs="Arial"/>
                <w:color w:val="111111"/>
                <w:sz w:val="20"/>
                <w:szCs w:val="20"/>
              </w:rPr>
              <w:t>221.1</w:t>
            </w:r>
          </w:p>
        </w:tc>
        <w:tc>
          <w:tcPr>
            <w:tcW w:w="1134" w:type="dxa"/>
          </w:tcPr>
          <w:p w14:paraId="6DC2EEBD" w14:textId="77777777" w:rsidR="00FC4DA0" w:rsidRDefault="00FC4DA0" w:rsidP="00A32FF6">
            <w:pPr>
              <w:spacing w:before="40" w:after="40"/>
              <w:ind w:left="100" w:right="100"/>
              <w:jc w:val="center"/>
            </w:pPr>
            <w:r>
              <w:rPr>
                <w:rFonts w:ascii="Arial" w:eastAsia="Arial" w:hAnsi="Arial" w:cs="Arial"/>
                <w:color w:val="111111"/>
                <w:sz w:val="20"/>
                <w:szCs w:val="20"/>
              </w:rPr>
              <w:t>18</w:t>
            </w:r>
          </w:p>
        </w:tc>
        <w:tc>
          <w:tcPr>
            <w:tcW w:w="1134" w:type="dxa"/>
          </w:tcPr>
          <w:p w14:paraId="6A4DB18F" w14:textId="77777777" w:rsidR="00FC4DA0" w:rsidRDefault="00FC4DA0" w:rsidP="00A32FF6">
            <w:pPr>
              <w:spacing w:before="40" w:after="40"/>
              <w:ind w:left="100" w:right="100"/>
              <w:jc w:val="center"/>
            </w:pPr>
            <w:r>
              <w:rPr>
                <w:rFonts w:ascii="Arial" w:eastAsia="Arial" w:hAnsi="Arial" w:cs="Arial"/>
                <w:color w:val="111111"/>
                <w:sz w:val="20"/>
                <w:szCs w:val="20"/>
              </w:rPr>
              <w:t>234.1</w:t>
            </w:r>
          </w:p>
        </w:tc>
        <w:tc>
          <w:tcPr>
            <w:tcW w:w="1134" w:type="dxa"/>
          </w:tcPr>
          <w:p w14:paraId="41A1A02D" w14:textId="77777777" w:rsidR="00FC4DA0" w:rsidRDefault="00FC4DA0" w:rsidP="00A32FF6">
            <w:pPr>
              <w:spacing w:before="40" w:after="40"/>
              <w:ind w:left="100" w:right="100"/>
              <w:jc w:val="center"/>
            </w:pPr>
            <w:r>
              <w:rPr>
                <w:rFonts w:ascii="Arial" w:eastAsia="Arial" w:hAnsi="Arial" w:cs="Arial"/>
                <w:color w:val="111111"/>
                <w:sz w:val="20"/>
                <w:szCs w:val="20"/>
              </w:rPr>
              <w:t>13.0</w:t>
            </w:r>
          </w:p>
        </w:tc>
        <w:tc>
          <w:tcPr>
            <w:tcW w:w="1301" w:type="dxa"/>
          </w:tcPr>
          <w:p w14:paraId="708AC765"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394B0832" w14:textId="77777777" w:rsidTr="0042180A">
        <w:tc>
          <w:tcPr>
            <w:tcW w:w="851" w:type="dxa"/>
          </w:tcPr>
          <w:p w14:paraId="6A609270" w14:textId="77777777" w:rsidR="00FC4DA0" w:rsidRDefault="00FC4DA0" w:rsidP="00A32FF6">
            <w:pPr>
              <w:spacing w:before="40" w:after="40"/>
              <w:ind w:left="100" w:right="100"/>
              <w:jc w:val="center"/>
            </w:pPr>
            <w:r>
              <w:rPr>
                <w:rFonts w:ascii="Arial" w:eastAsia="Arial" w:hAnsi="Arial" w:cs="Arial"/>
                <w:color w:val="111111"/>
                <w:sz w:val="20"/>
                <w:szCs w:val="20"/>
              </w:rPr>
              <w:t>14</w:t>
            </w:r>
          </w:p>
        </w:tc>
        <w:tc>
          <w:tcPr>
            <w:tcW w:w="1559" w:type="dxa"/>
          </w:tcPr>
          <w:p w14:paraId="15DECD93" w14:textId="77777777" w:rsidR="00FC4DA0" w:rsidRDefault="00FC4DA0" w:rsidP="00A32FF6">
            <w:pPr>
              <w:spacing w:before="40" w:after="40"/>
              <w:ind w:left="100" w:right="100"/>
              <w:jc w:val="center"/>
            </w:pPr>
            <w:r>
              <w:rPr>
                <w:rFonts w:ascii="Arial" w:eastAsia="Arial" w:hAnsi="Arial" w:cs="Arial"/>
                <w:color w:val="111111"/>
                <w:sz w:val="20"/>
                <w:szCs w:val="20"/>
              </w:rPr>
              <w:t>Freshney</w:t>
            </w:r>
          </w:p>
        </w:tc>
        <w:tc>
          <w:tcPr>
            <w:tcW w:w="851" w:type="dxa"/>
          </w:tcPr>
          <w:p w14:paraId="1F812FAF" w14:textId="77777777" w:rsidR="00FC4DA0" w:rsidRDefault="00FC4DA0" w:rsidP="00A32FF6">
            <w:pPr>
              <w:spacing w:before="40" w:after="40"/>
              <w:ind w:left="100" w:right="100"/>
              <w:jc w:val="center"/>
            </w:pPr>
            <w:r>
              <w:rPr>
                <w:rFonts w:ascii="Arial" w:eastAsia="Arial" w:hAnsi="Arial" w:cs="Arial"/>
                <w:color w:val="111111"/>
                <w:sz w:val="20"/>
                <w:szCs w:val="20"/>
              </w:rPr>
              <w:t>151</w:t>
            </w:r>
          </w:p>
        </w:tc>
        <w:tc>
          <w:tcPr>
            <w:tcW w:w="1134" w:type="dxa"/>
          </w:tcPr>
          <w:p w14:paraId="3A0F17A7" w14:textId="77777777" w:rsidR="00FC4DA0" w:rsidRDefault="00FC4DA0" w:rsidP="00A32FF6">
            <w:pPr>
              <w:spacing w:before="40" w:after="40"/>
              <w:ind w:left="100" w:right="100"/>
              <w:jc w:val="center"/>
            </w:pPr>
            <w:r>
              <w:rPr>
                <w:rFonts w:ascii="Arial" w:eastAsia="Arial" w:hAnsi="Arial" w:cs="Arial"/>
                <w:color w:val="111111"/>
                <w:sz w:val="20"/>
                <w:szCs w:val="20"/>
              </w:rPr>
              <w:t>1597.5</w:t>
            </w:r>
          </w:p>
        </w:tc>
        <w:tc>
          <w:tcPr>
            <w:tcW w:w="992" w:type="dxa"/>
          </w:tcPr>
          <w:p w14:paraId="700B3BA7" w14:textId="77777777" w:rsidR="00FC4DA0" w:rsidRDefault="00FC4DA0" w:rsidP="00A32FF6">
            <w:pPr>
              <w:spacing w:before="40" w:after="40"/>
              <w:ind w:left="100" w:right="100"/>
              <w:jc w:val="center"/>
            </w:pPr>
            <w:r>
              <w:rPr>
                <w:rFonts w:ascii="Arial" w:eastAsia="Arial" w:hAnsi="Arial" w:cs="Arial"/>
                <w:color w:val="111111"/>
                <w:sz w:val="20"/>
                <w:szCs w:val="20"/>
              </w:rPr>
              <w:t>30</w:t>
            </w:r>
          </w:p>
        </w:tc>
        <w:tc>
          <w:tcPr>
            <w:tcW w:w="992" w:type="dxa"/>
          </w:tcPr>
          <w:p w14:paraId="79FC7BA3" w14:textId="77777777" w:rsidR="00FC4DA0" w:rsidRDefault="00FC4DA0" w:rsidP="00A32FF6">
            <w:pPr>
              <w:spacing w:before="40" w:after="40"/>
              <w:ind w:left="100" w:right="100"/>
              <w:jc w:val="center"/>
            </w:pPr>
            <w:r>
              <w:rPr>
                <w:rFonts w:ascii="Arial" w:eastAsia="Arial" w:hAnsi="Arial" w:cs="Arial"/>
                <w:color w:val="111111"/>
                <w:sz w:val="20"/>
                <w:szCs w:val="20"/>
              </w:rPr>
              <w:t>317.4</w:t>
            </w:r>
          </w:p>
        </w:tc>
        <w:tc>
          <w:tcPr>
            <w:tcW w:w="1134" w:type="dxa"/>
          </w:tcPr>
          <w:p w14:paraId="662013B9" w14:textId="77777777" w:rsidR="00FC4DA0" w:rsidRDefault="00FC4DA0" w:rsidP="00A32FF6">
            <w:pPr>
              <w:spacing w:before="40" w:after="40"/>
              <w:ind w:left="100" w:right="100"/>
              <w:jc w:val="center"/>
            </w:pPr>
            <w:r>
              <w:rPr>
                <w:rFonts w:ascii="Arial" w:eastAsia="Arial" w:hAnsi="Arial" w:cs="Arial"/>
                <w:color w:val="111111"/>
                <w:sz w:val="20"/>
                <w:szCs w:val="20"/>
              </w:rPr>
              <w:t>22</w:t>
            </w:r>
          </w:p>
        </w:tc>
        <w:tc>
          <w:tcPr>
            <w:tcW w:w="1134" w:type="dxa"/>
          </w:tcPr>
          <w:p w14:paraId="77A1959E" w14:textId="77777777" w:rsidR="00FC4DA0" w:rsidRDefault="00FC4DA0" w:rsidP="00A32FF6">
            <w:pPr>
              <w:spacing w:before="40" w:after="40"/>
              <w:ind w:left="100" w:right="100"/>
              <w:jc w:val="center"/>
            </w:pPr>
            <w:r>
              <w:rPr>
                <w:rFonts w:ascii="Arial" w:eastAsia="Arial" w:hAnsi="Arial" w:cs="Arial"/>
                <w:color w:val="111111"/>
                <w:sz w:val="20"/>
                <w:szCs w:val="20"/>
              </w:rPr>
              <w:t>232.8</w:t>
            </w:r>
          </w:p>
        </w:tc>
        <w:tc>
          <w:tcPr>
            <w:tcW w:w="1134" w:type="dxa"/>
          </w:tcPr>
          <w:p w14:paraId="0CF5C071" w14:textId="77777777" w:rsidR="00FC4DA0" w:rsidRDefault="00FC4DA0" w:rsidP="00A32FF6">
            <w:pPr>
              <w:spacing w:before="40" w:after="40"/>
              <w:ind w:left="100" w:right="100"/>
              <w:jc w:val="center"/>
            </w:pPr>
            <w:r>
              <w:rPr>
                <w:rFonts w:ascii="Arial" w:eastAsia="Arial" w:hAnsi="Arial" w:cs="Arial"/>
                <w:color w:val="111111"/>
                <w:sz w:val="20"/>
                <w:szCs w:val="20"/>
              </w:rPr>
              <w:t>-84.6</w:t>
            </w:r>
          </w:p>
        </w:tc>
        <w:tc>
          <w:tcPr>
            <w:tcW w:w="1301" w:type="dxa"/>
          </w:tcPr>
          <w:p w14:paraId="4AE47436"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41DBDB67" w14:textId="77777777" w:rsidTr="0042180A">
        <w:tc>
          <w:tcPr>
            <w:tcW w:w="851" w:type="dxa"/>
          </w:tcPr>
          <w:p w14:paraId="0E863212" w14:textId="77777777" w:rsidR="00FC4DA0" w:rsidRDefault="00FC4DA0" w:rsidP="00A32FF6">
            <w:pPr>
              <w:spacing w:before="40" w:after="40"/>
              <w:ind w:left="100" w:right="100"/>
              <w:jc w:val="center"/>
            </w:pPr>
            <w:r>
              <w:rPr>
                <w:rFonts w:ascii="Arial" w:eastAsia="Arial" w:hAnsi="Arial" w:cs="Arial"/>
                <w:color w:val="111111"/>
                <w:sz w:val="20"/>
                <w:szCs w:val="20"/>
              </w:rPr>
              <w:t>15</w:t>
            </w:r>
          </w:p>
        </w:tc>
        <w:tc>
          <w:tcPr>
            <w:tcW w:w="1559" w:type="dxa"/>
          </w:tcPr>
          <w:p w14:paraId="4D3B9017" w14:textId="77777777" w:rsidR="00FC4DA0" w:rsidRDefault="00FC4DA0" w:rsidP="00A32FF6">
            <w:pPr>
              <w:spacing w:before="40" w:after="40"/>
              <w:ind w:left="100" w:right="100"/>
              <w:jc w:val="center"/>
            </w:pPr>
            <w:r>
              <w:rPr>
                <w:rFonts w:ascii="Arial" w:eastAsia="Arial" w:hAnsi="Arial" w:cs="Arial"/>
                <w:color w:val="111111"/>
                <w:sz w:val="20"/>
                <w:szCs w:val="20"/>
              </w:rPr>
              <w:t>Immingham</w:t>
            </w:r>
          </w:p>
        </w:tc>
        <w:tc>
          <w:tcPr>
            <w:tcW w:w="851" w:type="dxa"/>
          </w:tcPr>
          <w:p w14:paraId="01139B00" w14:textId="77777777" w:rsidR="00FC4DA0" w:rsidRDefault="00FC4DA0" w:rsidP="00A32FF6">
            <w:pPr>
              <w:spacing w:before="40" w:after="40"/>
              <w:ind w:left="100" w:right="100"/>
              <w:jc w:val="center"/>
            </w:pPr>
            <w:r>
              <w:rPr>
                <w:rFonts w:ascii="Arial" w:eastAsia="Arial" w:hAnsi="Arial" w:cs="Arial"/>
                <w:color w:val="111111"/>
                <w:sz w:val="20"/>
                <w:szCs w:val="20"/>
              </w:rPr>
              <w:t>91</w:t>
            </w:r>
          </w:p>
        </w:tc>
        <w:tc>
          <w:tcPr>
            <w:tcW w:w="1134" w:type="dxa"/>
          </w:tcPr>
          <w:p w14:paraId="682DFDE7" w14:textId="77777777" w:rsidR="00FC4DA0" w:rsidRDefault="00FC4DA0" w:rsidP="00A32FF6">
            <w:pPr>
              <w:spacing w:before="40" w:after="40"/>
              <w:ind w:left="100" w:right="100"/>
              <w:jc w:val="center"/>
            </w:pPr>
            <w:r>
              <w:rPr>
                <w:rFonts w:ascii="Arial" w:eastAsia="Arial" w:hAnsi="Arial" w:cs="Arial"/>
                <w:color w:val="111111"/>
                <w:sz w:val="20"/>
                <w:szCs w:val="20"/>
              </w:rPr>
              <w:t>769.0</w:t>
            </w:r>
          </w:p>
        </w:tc>
        <w:tc>
          <w:tcPr>
            <w:tcW w:w="992" w:type="dxa"/>
          </w:tcPr>
          <w:p w14:paraId="47727BE2" w14:textId="77777777" w:rsidR="00FC4DA0" w:rsidRDefault="00FC4DA0" w:rsidP="00A32FF6">
            <w:pPr>
              <w:spacing w:before="40" w:after="40"/>
              <w:ind w:left="100" w:right="100"/>
              <w:jc w:val="center"/>
            </w:pPr>
            <w:r>
              <w:rPr>
                <w:rFonts w:ascii="Arial" w:eastAsia="Arial" w:hAnsi="Arial" w:cs="Arial"/>
                <w:color w:val="111111"/>
                <w:sz w:val="20"/>
                <w:szCs w:val="20"/>
              </w:rPr>
              <w:t>16</w:t>
            </w:r>
          </w:p>
        </w:tc>
        <w:tc>
          <w:tcPr>
            <w:tcW w:w="992" w:type="dxa"/>
          </w:tcPr>
          <w:p w14:paraId="0E0760CD" w14:textId="77777777" w:rsidR="00FC4DA0" w:rsidRDefault="00FC4DA0" w:rsidP="00A32FF6">
            <w:pPr>
              <w:spacing w:before="40" w:after="40"/>
              <w:ind w:left="100" w:right="100"/>
              <w:jc w:val="center"/>
            </w:pPr>
            <w:r>
              <w:rPr>
                <w:rFonts w:ascii="Arial" w:eastAsia="Arial" w:hAnsi="Arial" w:cs="Arial"/>
                <w:color w:val="111111"/>
                <w:sz w:val="20"/>
                <w:szCs w:val="20"/>
              </w:rPr>
              <w:t>135.2</w:t>
            </w:r>
          </w:p>
        </w:tc>
        <w:tc>
          <w:tcPr>
            <w:tcW w:w="1134" w:type="dxa"/>
          </w:tcPr>
          <w:p w14:paraId="4C1947D4" w14:textId="77777777" w:rsidR="00FC4DA0" w:rsidRDefault="00FC4DA0" w:rsidP="00A32FF6">
            <w:pPr>
              <w:spacing w:before="40" w:after="40"/>
              <w:ind w:left="100" w:right="100"/>
              <w:jc w:val="center"/>
            </w:pPr>
            <w:r>
              <w:rPr>
                <w:rFonts w:ascii="Arial" w:eastAsia="Arial" w:hAnsi="Arial" w:cs="Arial"/>
                <w:color w:val="111111"/>
                <w:sz w:val="20"/>
                <w:szCs w:val="20"/>
              </w:rPr>
              <w:t>19</w:t>
            </w:r>
          </w:p>
        </w:tc>
        <w:tc>
          <w:tcPr>
            <w:tcW w:w="1134" w:type="dxa"/>
          </w:tcPr>
          <w:p w14:paraId="00E56211" w14:textId="77777777" w:rsidR="00FC4DA0" w:rsidRDefault="00FC4DA0" w:rsidP="00A32FF6">
            <w:pPr>
              <w:spacing w:before="40" w:after="40"/>
              <w:ind w:left="100" w:right="100"/>
              <w:jc w:val="center"/>
            </w:pPr>
            <w:r>
              <w:rPr>
                <w:rFonts w:ascii="Arial" w:eastAsia="Arial" w:hAnsi="Arial" w:cs="Arial"/>
                <w:color w:val="111111"/>
                <w:sz w:val="20"/>
                <w:szCs w:val="20"/>
              </w:rPr>
              <w:t>160.6</w:t>
            </w:r>
          </w:p>
        </w:tc>
        <w:tc>
          <w:tcPr>
            <w:tcW w:w="1134" w:type="dxa"/>
          </w:tcPr>
          <w:p w14:paraId="7AEFD5AD" w14:textId="77777777" w:rsidR="00FC4DA0" w:rsidRDefault="00FC4DA0" w:rsidP="00A32FF6">
            <w:pPr>
              <w:spacing w:before="40" w:after="40"/>
              <w:ind w:left="100" w:right="100"/>
              <w:jc w:val="center"/>
            </w:pPr>
            <w:r>
              <w:rPr>
                <w:rFonts w:ascii="Arial" w:eastAsia="Arial" w:hAnsi="Arial" w:cs="Arial"/>
                <w:color w:val="111111"/>
                <w:sz w:val="20"/>
                <w:szCs w:val="20"/>
              </w:rPr>
              <w:t>25.4</w:t>
            </w:r>
          </w:p>
        </w:tc>
        <w:tc>
          <w:tcPr>
            <w:tcW w:w="1301" w:type="dxa"/>
          </w:tcPr>
          <w:p w14:paraId="5DE55432"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r w:rsidR="0042180A" w14:paraId="7DE181FE" w14:textId="77777777" w:rsidTr="0042180A">
        <w:tc>
          <w:tcPr>
            <w:tcW w:w="851" w:type="dxa"/>
          </w:tcPr>
          <w:p w14:paraId="2A7CE512" w14:textId="77777777" w:rsidR="00FC4DA0" w:rsidRDefault="00FC4DA0" w:rsidP="00A32FF6">
            <w:pPr>
              <w:spacing w:before="40" w:after="40"/>
              <w:ind w:left="100" w:right="100"/>
              <w:jc w:val="center"/>
            </w:pPr>
            <w:r>
              <w:rPr>
                <w:rFonts w:ascii="Arial" w:eastAsia="Arial" w:hAnsi="Arial" w:cs="Arial"/>
                <w:color w:val="111111"/>
                <w:sz w:val="20"/>
                <w:szCs w:val="20"/>
              </w:rPr>
              <w:t>16</w:t>
            </w:r>
          </w:p>
        </w:tc>
        <w:tc>
          <w:tcPr>
            <w:tcW w:w="1559" w:type="dxa"/>
          </w:tcPr>
          <w:p w14:paraId="146CB789" w14:textId="77777777" w:rsidR="00FC4DA0" w:rsidRDefault="00FC4DA0" w:rsidP="00A32FF6">
            <w:pPr>
              <w:spacing w:before="40" w:after="40"/>
              <w:ind w:left="100" w:right="100"/>
              <w:jc w:val="center"/>
            </w:pPr>
            <w:r>
              <w:rPr>
                <w:rFonts w:ascii="Arial" w:eastAsia="Arial" w:hAnsi="Arial" w:cs="Arial"/>
                <w:color w:val="111111"/>
                <w:sz w:val="20"/>
                <w:szCs w:val="20"/>
              </w:rPr>
              <w:t>Unknown ward</w:t>
            </w:r>
          </w:p>
        </w:tc>
        <w:tc>
          <w:tcPr>
            <w:tcW w:w="851" w:type="dxa"/>
          </w:tcPr>
          <w:p w14:paraId="29C9CE00" w14:textId="77777777" w:rsidR="00FC4DA0" w:rsidRDefault="00FC4DA0" w:rsidP="00A32FF6">
            <w:pPr>
              <w:spacing w:before="40" w:after="40"/>
              <w:ind w:left="100" w:right="100"/>
              <w:jc w:val="center"/>
            </w:pPr>
            <w:r>
              <w:rPr>
                <w:rFonts w:ascii="Arial" w:eastAsia="Arial" w:hAnsi="Arial" w:cs="Arial"/>
                <w:color w:val="111111"/>
                <w:sz w:val="20"/>
                <w:szCs w:val="20"/>
              </w:rPr>
              <w:t>2</w:t>
            </w:r>
          </w:p>
        </w:tc>
        <w:tc>
          <w:tcPr>
            <w:tcW w:w="1134" w:type="dxa"/>
          </w:tcPr>
          <w:p w14:paraId="3DF09790" w14:textId="77777777" w:rsidR="00FC4DA0" w:rsidRDefault="00FC4DA0" w:rsidP="00A32FF6">
            <w:pPr>
              <w:spacing w:before="40" w:after="40"/>
              <w:ind w:left="100" w:right="100"/>
              <w:jc w:val="center"/>
            </w:pPr>
            <w:r>
              <w:rPr>
                <w:rFonts w:ascii="Arial" w:eastAsia="Arial" w:hAnsi="Arial" w:cs="Arial"/>
                <w:color w:val="111111"/>
                <w:sz w:val="20"/>
                <w:szCs w:val="20"/>
              </w:rPr>
              <w:t>NA</w:t>
            </w:r>
          </w:p>
        </w:tc>
        <w:tc>
          <w:tcPr>
            <w:tcW w:w="992" w:type="dxa"/>
          </w:tcPr>
          <w:p w14:paraId="51F346AE" w14:textId="77777777" w:rsidR="00FC4DA0" w:rsidRDefault="00FC4DA0" w:rsidP="00A32FF6">
            <w:pPr>
              <w:spacing w:before="40" w:after="40"/>
              <w:ind w:left="100" w:right="100"/>
              <w:jc w:val="center"/>
            </w:pPr>
            <w:r>
              <w:rPr>
                <w:rFonts w:ascii="Arial" w:eastAsia="Arial" w:hAnsi="Arial" w:cs="Arial"/>
                <w:color w:val="111111"/>
                <w:sz w:val="20"/>
                <w:szCs w:val="20"/>
              </w:rPr>
              <w:t>NA</w:t>
            </w:r>
          </w:p>
        </w:tc>
        <w:tc>
          <w:tcPr>
            <w:tcW w:w="992" w:type="dxa"/>
          </w:tcPr>
          <w:p w14:paraId="7CEB531B" w14:textId="77777777" w:rsidR="00FC4DA0" w:rsidRDefault="00FC4DA0" w:rsidP="00A32FF6">
            <w:pPr>
              <w:spacing w:before="40" w:after="40"/>
              <w:ind w:left="100" w:right="100"/>
              <w:jc w:val="center"/>
            </w:pPr>
            <w:r>
              <w:rPr>
                <w:rFonts w:ascii="Arial" w:eastAsia="Arial" w:hAnsi="Arial" w:cs="Arial"/>
                <w:color w:val="111111"/>
                <w:sz w:val="20"/>
                <w:szCs w:val="20"/>
              </w:rPr>
              <w:t>NA</w:t>
            </w:r>
          </w:p>
        </w:tc>
        <w:tc>
          <w:tcPr>
            <w:tcW w:w="1134" w:type="dxa"/>
          </w:tcPr>
          <w:p w14:paraId="6AE0211A" w14:textId="77777777" w:rsidR="00FC4DA0" w:rsidRDefault="00FC4DA0" w:rsidP="00A32FF6">
            <w:pPr>
              <w:spacing w:before="40" w:after="40"/>
              <w:ind w:left="100" w:right="100"/>
              <w:jc w:val="center"/>
            </w:pPr>
            <w:r>
              <w:rPr>
                <w:rFonts w:ascii="Arial" w:eastAsia="Arial" w:hAnsi="Arial" w:cs="Arial"/>
                <w:color w:val="111111"/>
                <w:sz w:val="20"/>
                <w:szCs w:val="20"/>
              </w:rPr>
              <w:t>NA</w:t>
            </w:r>
          </w:p>
        </w:tc>
        <w:tc>
          <w:tcPr>
            <w:tcW w:w="1134" w:type="dxa"/>
          </w:tcPr>
          <w:p w14:paraId="3362CAAC" w14:textId="77777777" w:rsidR="00FC4DA0" w:rsidRDefault="00FC4DA0" w:rsidP="00A32FF6">
            <w:pPr>
              <w:spacing w:before="40" w:after="40"/>
              <w:ind w:left="100" w:right="100"/>
              <w:jc w:val="center"/>
            </w:pPr>
            <w:r>
              <w:rPr>
                <w:rFonts w:ascii="Arial" w:eastAsia="Arial" w:hAnsi="Arial" w:cs="Arial"/>
                <w:color w:val="111111"/>
                <w:sz w:val="20"/>
                <w:szCs w:val="20"/>
              </w:rPr>
              <w:t>NA</w:t>
            </w:r>
          </w:p>
        </w:tc>
        <w:tc>
          <w:tcPr>
            <w:tcW w:w="1134" w:type="dxa"/>
          </w:tcPr>
          <w:p w14:paraId="7005F56F" w14:textId="77777777" w:rsidR="00FC4DA0" w:rsidRDefault="00FC4DA0" w:rsidP="00A32FF6">
            <w:pPr>
              <w:spacing w:before="40" w:after="40"/>
              <w:ind w:left="100" w:right="100"/>
              <w:jc w:val="center"/>
            </w:pPr>
            <w:r>
              <w:rPr>
                <w:rFonts w:ascii="Arial" w:eastAsia="Arial" w:hAnsi="Arial" w:cs="Arial"/>
                <w:color w:val="111111"/>
                <w:sz w:val="20"/>
                <w:szCs w:val="20"/>
              </w:rPr>
              <w:t>NA</w:t>
            </w:r>
          </w:p>
        </w:tc>
        <w:tc>
          <w:tcPr>
            <w:tcW w:w="1301" w:type="dxa"/>
          </w:tcPr>
          <w:p w14:paraId="2FA59212" w14:textId="77777777" w:rsidR="00FC4DA0" w:rsidRDefault="00FC4DA0" w:rsidP="00A32FF6">
            <w:pPr>
              <w:spacing w:before="40" w:after="40"/>
              <w:ind w:left="100" w:right="100"/>
              <w:jc w:val="center"/>
            </w:pPr>
            <w:r>
              <w:rPr>
                <w:rFonts w:ascii="Arial" w:eastAsia="Arial" w:hAnsi="Arial" w:cs="Arial"/>
                <w:color w:val="111111"/>
                <w:sz w:val="20"/>
                <w:szCs w:val="20"/>
              </w:rPr>
              <w:t>=</w:t>
            </w:r>
          </w:p>
        </w:tc>
      </w:tr>
    </w:tbl>
    <w:p w14:paraId="43C07FA1" w14:textId="4F44FC16" w:rsidR="000B5B2A" w:rsidRDefault="000B5B2A" w:rsidP="00FC4DA0">
      <w:pPr>
        <w:pStyle w:val="BodyText"/>
        <w:rPr>
          <w:rFonts w:cstheme="minorHAnsi"/>
        </w:rPr>
      </w:pPr>
    </w:p>
    <w:p w14:paraId="1185DCEB" w14:textId="1F6FB015" w:rsidR="00187263" w:rsidRPr="00EF46A0" w:rsidRDefault="00BC6CAE" w:rsidP="00EF46A0">
      <w:pPr>
        <w:pStyle w:val="Heading2"/>
        <w:rPr>
          <w:rFonts w:asciiTheme="minorHAnsi" w:hAnsiTheme="minorHAnsi" w:cstheme="minorHAnsi"/>
          <w:b/>
          <w:bCs/>
          <w:color w:val="auto"/>
        </w:rPr>
      </w:pPr>
      <w:r w:rsidRPr="00EF46A0">
        <w:rPr>
          <w:rFonts w:asciiTheme="minorHAnsi" w:hAnsiTheme="minorHAnsi" w:cstheme="minorHAnsi"/>
          <w:b/>
          <w:bCs/>
          <w:color w:val="auto"/>
        </w:rPr>
        <w:t>National</w:t>
      </w:r>
      <w:r w:rsidR="002B1862" w:rsidRPr="00EF46A0">
        <w:rPr>
          <w:rFonts w:asciiTheme="minorHAnsi" w:hAnsiTheme="minorHAnsi" w:cstheme="minorHAnsi"/>
          <w:b/>
          <w:bCs/>
          <w:color w:val="auto"/>
        </w:rPr>
        <w:t xml:space="preserve"> </w:t>
      </w:r>
      <w:r w:rsidRPr="00EF46A0">
        <w:rPr>
          <w:rFonts w:asciiTheme="minorHAnsi" w:hAnsiTheme="minorHAnsi" w:cstheme="minorHAnsi"/>
          <w:b/>
          <w:bCs/>
          <w:color w:val="auto"/>
        </w:rPr>
        <w:t>Epidemiology</w:t>
      </w:r>
    </w:p>
    <w:p w14:paraId="019121B0" w14:textId="77777777" w:rsidR="00537304" w:rsidRPr="00856EB6" w:rsidRDefault="00537304" w:rsidP="00537304">
      <w:pPr>
        <w:spacing w:after="0"/>
        <w:rPr>
          <w:rFonts w:cstheme="minorHAnsi"/>
        </w:rPr>
      </w:pPr>
    </w:p>
    <w:p w14:paraId="23605E11" w14:textId="2471B200" w:rsidR="00425DFA" w:rsidRDefault="00D21B63" w:rsidP="00442E63">
      <w:pPr>
        <w:spacing w:after="0"/>
        <w:jc w:val="both"/>
      </w:pPr>
      <w:r w:rsidRPr="00537304">
        <w:rPr>
          <w:rFonts w:cstheme="minorHAnsi"/>
        </w:rPr>
        <w:t xml:space="preserve">As </w:t>
      </w:r>
      <w:r w:rsidR="00AC0061" w:rsidRPr="00537304">
        <w:rPr>
          <w:rFonts w:cstheme="minorHAnsi"/>
        </w:rPr>
        <w:t xml:space="preserve">of </w:t>
      </w:r>
      <w:r w:rsidR="003E6C2F">
        <w:rPr>
          <w:rFonts w:cstheme="minorHAnsi"/>
        </w:rPr>
        <w:t>2</w:t>
      </w:r>
      <w:r w:rsidR="003E6C2F" w:rsidRPr="003E6C2F">
        <w:rPr>
          <w:rFonts w:cstheme="minorHAnsi"/>
          <w:vertAlign w:val="superscript"/>
        </w:rPr>
        <w:t>nd</w:t>
      </w:r>
      <w:r w:rsidR="003E6C2F">
        <w:rPr>
          <w:rFonts w:cstheme="minorHAnsi"/>
        </w:rPr>
        <w:t xml:space="preserve"> November</w:t>
      </w:r>
      <w:r w:rsidR="00856EB6" w:rsidRPr="00537304">
        <w:rPr>
          <w:rFonts w:cstheme="minorHAnsi"/>
        </w:rPr>
        <w:t xml:space="preserve"> 2020,</w:t>
      </w:r>
      <w:r w:rsidR="00FD0D44" w:rsidRPr="00537304">
        <w:rPr>
          <w:rFonts w:cstheme="minorHAnsi"/>
        </w:rPr>
        <w:t xml:space="preserve"> </w:t>
      </w:r>
      <w:r w:rsidRPr="00537304">
        <w:rPr>
          <w:rFonts w:cstheme="minorHAnsi"/>
        </w:rPr>
        <w:t xml:space="preserve">there are </w:t>
      </w:r>
      <w:r w:rsidR="003E6C2F">
        <w:rPr>
          <w:rFonts w:cstheme="minorHAnsi"/>
        </w:rPr>
        <w:t>1,034,914</w:t>
      </w:r>
      <w:r w:rsidR="00C23BAF" w:rsidRPr="00537304">
        <w:rPr>
          <w:rFonts w:cstheme="minorHAnsi"/>
        </w:rPr>
        <w:t xml:space="preserve"> </w:t>
      </w:r>
      <w:r w:rsidRPr="00537304">
        <w:rPr>
          <w:rFonts w:cstheme="minorHAnsi"/>
        </w:rPr>
        <w:t>cases in the UK, of which</w:t>
      </w:r>
      <w:r w:rsidR="00014970" w:rsidRPr="00537304">
        <w:rPr>
          <w:rFonts w:cstheme="minorHAnsi"/>
        </w:rPr>
        <w:t xml:space="preserve"> </w:t>
      </w:r>
      <w:r w:rsidR="003E6C2F">
        <w:rPr>
          <w:rFonts w:cstheme="minorHAnsi"/>
        </w:rPr>
        <w:t>879,046</w:t>
      </w:r>
      <w:r w:rsidR="008444A1">
        <w:rPr>
          <w:rFonts w:cstheme="minorHAnsi"/>
        </w:rPr>
        <w:t xml:space="preserve"> </w:t>
      </w:r>
      <w:r w:rsidRPr="00537304">
        <w:rPr>
          <w:rFonts w:cstheme="minorHAnsi"/>
        </w:rPr>
        <w:t xml:space="preserve">are in England, and </w:t>
      </w:r>
      <w:r w:rsidR="003E6C2F">
        <w:rPr>
          <w:rFonts w:cstheme="minorHAnsi"/>
        </w:rPr>
        <w:t>133,160</w:t>
      </w:r>
      <w:r w:rsidRPr="00537304">
        <w:rPr>
          <w:rFonts w:cstheme="minorHAnsi"/>
        </w:rPr>
        <w:t xml:space="preserve"> in the Yorkshire and </w:t>
      </w:r>
      <w:r w:rsidR="00380A02">
        <w:rPr>
          <w:rFonts w:cstheme="minorHAnsi"/>
        </w:rPr>
        <w:t xml:space="preserve">the </w:t>
      </w:r>
      <w:r w:rsidRPr="00537304">
        <w:rPr>
          <w:rFonts w:cstheme="minorHAnsi"/>
        </w:rPr>
        <w:t>Humber region.</w:t>
      </w:r>
      <w:r w:rsidR="00FD0D44" w:rsidRPr="00537304">
        <w:rPr>
          <w:rFonts w:cstheme="minorHAnsi"/>
        </w:rPr>
        <w:t xml:space="preserve"> </w:t>
      </w:r>
      <w:r w:rsidRPr="00537304">
        <w:rPr>
          <w:rFonts w:cstheme="minorHAnsi"/>
        </w:rPr>
        <w:t xml:space="preserve"> </w:t>
      </w:r>
      <w:r w:rsidR="003E6C2F">
        <w:rPr>
          <w:rFonts w:cstheme="minorHAnsi"/>
        </w:rPr>
        <w:t>46,717</w:t>
      </w:r>
      <w:r w:rsidR="00AC0061" w:rsidRPr="00537304">
        <w:rPr>
          <w:rFonts w:cstheme="minorHAnsi"/>
        </w:rPr>
        <w:t xml:space="preserve"> </w:t>
      </w:r>
      <w:r w:rsidRPr="00537304">
        <w:rPr>
          <w:rFonts w:cstheme="minorHAnsi"/>
        </w:rPr>
        <w:t>people have died from their infection</w:t>
      </w:r>
      <w:r w:rsidR="00C20C6D" w:rsidRPr="00537304">
        <w:rPr>
          <w:rFonts w:cstheme="minorHAnsi"/>
        </w:rPr>
        <w:t xml:space="preserve"> in the UK</w:t>
      </w:r>
      <w:r w:rsidR="00317584" w:rsidRPr="00537304">
        <w:rPr>
          <w:rFonts w:cstheme="minorHAnsi"/>
        </w:rPr>
        <w:t xml:space="preserve"> (within 28 days of a positive test)</w:t>
      </w:r>
      <w:r w:rsidR="00AB19C8" w:rsidRPr="00537304">
        <w:rPr>
          <w:rFonts w:cstheme="minorHAnsi"/>
        </w:rPr>
        <w:t xml:space="preserve">. </w:t>
      </w:r>
      <w:r w:rsidR="00007BC9" w:rsidRPr="00537304">
        <w:rPr>
          <w:rFonts w:cstheme="minorHAnsi"/>
        </w:rPr>
        <w:t xml:space="preserve"> </w:t>
      </w:r>
      <w:r w:rsidR="00007BC9" w:rsidRPr="00537304">
        <w:t xml:space="preserve">Figure </w:t>
      </w:r>
      <w:r w:rsidR="004C7C89">
        <w:t>4</w:t>
      </w:r>
      <w:r w:rsidR="00007BC9" w:rsidRPr="00537304">
        <w:t xml:space="preserve"> </w:t>
      </w:r>
      <w:r w:rsidR="00FF78CC">
        <w:t xml:space="preserve">shows the average daily number of confirmed COVID-19 cases in the UK per week.  </w:t>
      </w:r>
      <w:r w:rsidR="00C4139E">
        <w:t xml:space="preserve">As can be seen, the average daily number of confirmed cases increased by more than one fifth this week, rising by 21% to 22,148 cases per day on average.  This is the sixteenth consecutive increase in the </w:t>
      </w:r>
      <w:r w:rsidR="00C4139E">
        <w:lastRenderedPageBreak/>
        <w:t xml:space="preserve">average number of daily confirmed COVID-19 cases per week for the UK, with the average number of new cases having previously decreased in each of the first ten weeks since the first peak in confirmed cases of 4,788 cases per day on average was reached during 15/04-21/04.  Average daily cases are now at their highest level ever, and are more than three times higher than the level at the end of September.  </w:t>
      </w:r>
    </w:p>
    <w:p w14:paraId="01B2150E" w14:textId="77777777" w:rsidR="008561A7" w:rsidRDefault="008561A7" w:rsidP="00442E63">
      <w:pPr>
        <w:spacing w:after="0"/>
        <w:jc w:val="both"/>
        <w:rPr>
          <w:b/>
          <w:bCs/>
        </w:rPr>
      </w:pPr>
    </w:p>
    <w:p w14:paraId="77795373" w14:textId="01072DE5" w:rsidR="00007BC9" w:rsidRPr="00D72B4D" w:rsidRDefault="00007BC9" w:rsidP="00537304">
      <w:pPr>
        <w:spacing w:after="0"/>
        <w:rPr>
          <w:b/>
          <w:bCs/>
        </w:rPr>
      </w:pPr>
      <w:r w:rsidRPr="00D72B4D">
        <w:rPr>
          <w:b/>
          <w:bCs/>
        </w:rPr>
        <w:t xml:space="preserve">Figure </w:t>
      </w:r>
      <w:r w:rsidR="004C7C89">
        <w:rPr>
          <w:b/>
          <w:bCs/>
        </w:rPr>
        <w:t>4</w:t>
      </w:r>
      <w:r w:rsidR="000855CC">
        <w:rPr>
          <w:b/>
          <w:bCs/>
        </w:rPr>
        <w:t>:</w:t>
      </w:r>
    </w:p>
    <w:p w14:paraId="0482BF20" w14:textId="6A7E2C50" w:rsidR="00C321BC" w:rsidRDefault="00C4139E" w:rsidP="00C321BC">
      <w:r>
        <w:rPr>
          <w:noProof/>
        </w:rPr>
        <w:drawing>
          <wp:inline distT="0" distB="0" distL="0" distR="0" wp14:anchorId="0576E783" wp14:editId="526B8EB1">
            <wp:extent cx="5767070" cy="2524125"/>
            <wp:effectExtent l="0" t="0" r="5080" b="9525"/>
            <wp:docPr id="10" name="Picture 10" descr="UK daily average confirmed COVID-19 cases per week"/>
            <wp:cNvGraphicFramePr/>
            <a:graphic xmlns:a="http://schemas.openxmlformats.org/drawingml/2006/main">
              <a:graphicData uri="http://schemas.openxmlformats.org/drawingml/2006/picture">
                <pic:pic xmlns:pic="http://schemas.openxmlformats.org/drawingml/2006/picture">
                  <pic:nvPicPr>
                    <pic:cNvPr id="10" name="Picture 10" descr="UK daily average confirmed COVID-19 cases per week"/>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070" cy="2524125"/>
                    </a:xfrm>
                    <a:prstGeom prst="rect">
                      <a:avLst/>
                    </a:prstGeom>
                    <a:noFill/>
                  </pic:spPr>
                </pic:pic>
              </a:graphicData>
            </a:graphic>
          </wp:inline>
        </w:drawing>
      </w:r>
    </w:p>
    <w:p w14:paraId="5C3B5F81" w14:textId="77777777" w:rsidR="00577014" w:rsidRPr="00537304" w:rsidRDefault="00577014" w:rsidP="00537304">
      <w:pPr>
        <w:spacing w:after="0"/>
        <w:rPr>
          <w:sz w:val="28"/>
          <w:szCs w:val="28"/>
        </w:rPr>
      </w:pPr>
    </w:p>
    <w:p w14:paraId="37AE2558" w14:textId="56D13BC4" w:rsidR="00284951" w:rsidRPr="00EF46A0" w:rsidRDefault="00284951" w:rsidP="00EF46A0">
      <w:pPr>
        <w:pStyle w:val="Heading2"/>
        <w:rPr>
          <w:rFonts w:asciiTheme="minorHAnsi" w:hAnsiTheme="minorHAnsi" w:cstheme="minorHAnsi"/>
          <w:b/>
          <w:bCs/>
          <w:color w:val="auto"/>
        </w:rPr>
      </w:pPr>
      <w:r w:rsidRPr="00EF46A0">
        <w:rPr>
          <w:rFonts w:asciiTheme="minorHAnsi" w:hAnsiTheme="minorHAnsi" w:cstheme="minorHAnsi"/>
          <w:b/>
          <w:bCs/>
          <w:color w:val="auto"/>
        </w:rPr>
        <w:t>Regional and Local Epidemiology</w:t>
      </w:r>
    </w:p>
    <w:p w14:paraId="33EEB83A" w14:textId="77777777" w:rsidR="00537304" w:rsidRPr="00380A02" w:rsidRDefault="00537304" w:rsidP="00537304">
      <w:pPr>
        <w:spacing w:after="0"/>
      </w:pPr>
    </w:p>
    <w:p w14:paraId="3077C9DE" w14:textId="747BF034" w:rsidR="006C68C3" w:rsidRPr="00856EB6" w:rsidRDefault="006C68C3" w:rsidP="00537304">
      <w:pPr>
        <w:spacing w:after="0"/>
        <w:jc w:val="both"/>
      </w:pPr>
      <w:r w:rsidRPr="00856EB6">
        <w:t xml:space="preserve">As of the </w:t>
      </w:r>
      <w:r w:rsidR="00C4139E">
        <w:t>2</w:t>
      </w:r>
      <w:r w:rsidR="00C4139E" w:rsidRPr="00C4139E">
        <w:rPr>
          <w:vertAlign w:val="superscript"/>
        </w:rPr>
        <w:t>nd</w:t>
      </w:r>
      <w:r w:rsidR="00C4139E">
        <w:t xml:space="preserve"> November</w:t>
      </w:r>
      <w:r w:rsidR="006779AF" w:rsidRPr="00856EB6">
        <w:t xml:space="preserve"> </w:t>
      </w:r>
      <w:r w:rsidR="00191386" w:rsidRPr="00856EB6">
        <w:t>2020,</w:t>
      </w:r>
      <w:r w:rsidR="00A05FA0">
        <w:t xml:space="preserve"> </w:t>
      </w:r>
      <w:r w:rsidR="00C4139E">
        <w:t>2,405</w:t>
      </w:r>
      <w:r w:rsidR="006779AF" w:rsidRPr="00856EB6">
        <w:t xml:space="preserve"> North</w:t>
      </w:r>
      <w:r w:rsidRPr="00856EB6">
        <w:t xml:space="preserve"> East Lincolnshire residents have tested positive for COVID-19 based on pillar 1 tests and pillar 2 tests</w:t>
      </w:r>
      <w:r w:rsidR="00092105">
        <w:t xml:space="preserve">, an increase of </w:t>
      </w:r>
      <w:r w:rsidR="00C4139E">
        <w:t>852</w:t>
      </w:r>
      <w:r w:rsidR="00092105">
        <w:t xml:space="preserve"> cases over the previous week</w:t>
      </w:r>
      <w:r w:rsidRPr="00856EB6">
        <w:t>.  The cumulative rate of COVID-19 infection in North East Lincolnshire is therefore</w:t>
      </w:r>
      <w:r w:rsidR="006A642F">
        <w:t xml:space="preserve"> </w:t>
      </w:r>
      <w:r w:rsidR="00C4139E">
        <w:t>1,388.2</w:t>
      </w:r>
      <w:r w:rsidR="006A642F">
        <w:t xml:space="preserve"> per 100,000, </w:t>
      </w:r>
      <w:r w:rsidR="00C4139E">
        <w:t xml:space="preserve">the rate has more than trebled </w:t>
      </w:r>
      <w:r w:rsidR="00535F37">
        <w:t xml:space="preserve">during the last </w:t>
      </w:r>
      <w:r w:rsidR="00C4139E">
        <w:t>four</w:t>
      </w:r>
      <w:r w:rsidR="00535F37">
        <w:t xml:space="preserve"> weeks</w:t>
      </w:r>
      <w:r w:rsidR="00271594">
        <w:t xml:space="preserve"> (w/c 5</w:t>
      </w:r>
      <w:r w:rsidR="00271594" w:rsidRPr="00271594">
        <w:rPr>
          <w:vertAlign w:val="superscript"/>
        </w:rPr>
        <w:t>th</w:t>
      </w:r>
      <w:r w:rsidR="00271594">
        <w:t xml:space="preserve"> October the rate was </w:t>
      </w:r>
      <w:r w:rsidR="00CE6480">
        <w:t>382.3</w:t>
      </w:r>
      <w:r w:rsidR="00E176D2" w:rsidRPr="00856EB6">
        <w:t xml:space="preserve"> per</w:t>
      </w:r>
      <w:r w:rsidRPr="00856EB6">
        <w:t xml:space="preserve"> 100,000 population</w:t>
      </w:r>
      <w:r w:rsidR="00271594">
        <w:t>)</w:t>
      </w:r>
      <w:r w:rsidRPr="00856EB6">
        <w:t xml:space="preserve">. </w:t>
      </w:r>
      <w:r w:rsidR="002A2891" w:rsidRPr="00856EB6">
        <w:t xml:space="preserve"> </w:t>
      </w:r>
      <w:r w:rsidRPr="00856EB6">
        <w:t xml:space="preserve">Figure </w:t>
      </w:r>
      <w:r w:rsidR="004C7C89">
        <w:t>5</w:t>
      </w:r>
      <w:r w:rsidRPr="00856EB6">
        <w:t xml:space="preserve"> displays the cumulative rates of COVID-19 cases for all upper tier </w:t>
      </w:r>
      <w:r w:rsidR="00380A02">
        <w:t xml:space="preserve">local </w:t>
      </w:r>
      <w:r w:rsidRPr="00856EB6">
        <w:t xml:space="preserve">authorities in </w:t>
      </w:r>
      <w:r w:rsidR="00380A02">
        <w:t xml:space="preserve">the </w:t>
      </w:r>
      <w:r w:rsidRPr="00856EB6">
        <w:t xml:space="preserve">Yorkshire </w:t>
      </w:r>
      <w:r w:rsidR="00380A02">
        <w:t>and the</w:t>
      </w:r>
      <w:r w:rsidRPr="00856EB6">
        <w:t xml:space="preserve"> Humber</w:t>
      </w:r>
      <w:r w:rsidR="009B1D2C">
        <w:t>, for the first time since the start of the pandemic, North East Lincolnshire no longer has the region’s lowest cumulative rate</w:t>
      </w:r>
      <w:r w:rsidRPr="00856EB6">
        <w:t>.</w:t>
      </w:r>
    </w:p>
    <w:p w14:paraId="70E4F4E4" w14:textId="77777777" w:rsidR="00537304" w:rsidRDefault="00537304" w:rsidP="00537304">
      <w:pPr>
        <w:spacing w:after="0"/>
        <w:jc w:val="both"/>
      </w:pPr>
    </w:p>
    <w:p w14:paraId="0AA5BFCE" w14:textId="77777777" w:rsidR="008F242A" w:rsidRDefault="008F242A">
      <w:pPr>
        <w:rPr>
          <w:rFonts w:ascii="Arial" w:hAnsi="Arial" w:cs="Arial"/>
          <w:b/>
          <w:bCs/>
          <w:color w:val="000000"/>
          <w:sz w:val="20"/>
          <w:szCs w:val="20"/>
        </w:rPr>
      </w:pPr>
      <w:r>
        <w:rPr>
          <w:b/>
          <w:bCs/>
          <w:sz w:val="20"/>
          <w:szCs w:val="20"/>
        </w:rPr>
        <w:br w:type="page"/>
      </w:r>
    </w:p>
    <w:p w14:paraId="7E882296" w14:textId="0BDF2547" w:rsidR="006C68C3" w:rsidRDefault="006C68C3" w:rsidP="00537304">
      <w:pPr>
        <w:pStyle w:val="Default"/>
        <w:spacing w:line="276" w:lineRule="auto"/>
        <w:rPr>
          <w:b/>
          <w:bCs/>
          <w:sz w:val="20"/>
          <w:szCs w:val="20"/>
        </w:rPr>
      </w:pPr>
      <w:r>
        <w:rPr>
          <w:b/>
          <w:bCs/>
          <w:sz w:val="20"/>
          <w:szCs w:val="20"/>
        </w:rPr>
        <w:lastRenderedPageBreak/>
        <w:t xml:space="preserve">Figure </w:t>
      </w:r>
      <w:r w:rsidR="004C7C89">
        <w:rPr>
          <w:b/>
          <w:bCs/>
          <w:sz w:val="20"/>
          <w:szCs w:val="20"/>
        </w:rPr>
        <w:t>5</w:t>
      </w:r>
      <w:r w:rsidRPr="00B669CF">
        <w:rPr>
          <w:b/>
          <w:bCs/>
          <w:sz w:val="20"/>
          <w:szCs w:val="20"/>
        </w:rPr>
        <w:t>: Laboratory confirmed COVID-19 cases</w:t>
      </w:r>
      <w:r>
        <w:rPr>
          <w:b/>
          <w:bCs/>
          <w:sz w:val="20"/>
          <w:szCs w:val="20"/>
        </w:rPr>
        <w:t xml:space="preserve"> (Pillar</w:t>
      </w:r>
      <w:r w:rsidR="00E176D2">
        <w:rPr>
          <w:b/>
          <w:bCs/>
          <w:sz w:val="20"/>
          <w:szCs w:val="20"/>
        </w:rPr>
        <w:t xml:space="preserve"> 1</w:t>
      </w:r>
      <w:r>
        <w:rPr>
          <w:b/>
          <w:bCs/>
          <w:sz w:val="20"/>
          <w:szCs w:val="20"/>
        </w:rPr>
        <w:t xml:space="preserve"> &amp; Pillar 2)</w:t>
      </w:r>
      <w:r w:rsidRPr="00B669CF">
        <w:rPr>
          <w:b/>
          <w:bCs/>
          <w:sz w:val="20"/>
          <w:szCs w:val="20"/>
        </w:rPr>
        <w:t xml:space="preserve"> by upper tier local authority in </w:t>
      </w:r>
      <w:r w:rsidR="00380A02">
        <w:rPr>
          <w:b/>
          <w:bCs/>
          <w:sz w:val="20"/>
          <w:szCs w:val="20"/>
        </w:rPr>
        <w:t xml:space="preserve">the </w:t>
      </w:r>
      <w:r w:rsidRPr="00B669CF">
        <w:rPr>
          <w:b/>
          <w:bCs/>
          <w:sz w:val="20"/>
          <w:szCs w:val="20"/>
        </w:rPr>
        <w:t xml:space="preserve">Yorkshire </w:t>
      </w:r>
      <w:r w:rsidR="00380A02">
        <w:rPr>
          <w:b/>
          <w:bCs/>
          <w:sz w:val="20"/>
          <w:szCs w:val="20"/>
        </w:rPr>
        <w:t>and the</w:t>
      </w:r>
      <w:r w:rsidRPr="00B669CF">
        <w:rPr>
          <w:b/>
          <w:bCs/>
          <w:sz w:val="20"/>
          <w:szCs w:val="20"/>
        </w:rPr>
        <w:t xml:space="preserve"> Humber, total cases (up to </w:t>
      </w:r>
      <w:r w:rsidR="00C4139E">
        <w:rPr>
          <w:b/>
          <w:bCs/>
          <w:sz w:val="20"/>
          <w:szCs w:val="20"/>
        </w:rPr>
        <w:t>2</w:t>
      </w:r>
      <w:r w:rsidR="00C4139E" w:rsidRPr="00C4139E">
        <w:rPr>
          <w:b/>
          <w:bCs/>
          <w:sz w:val="20"/>
          <w:szCs w:val="20"/>
          <w:vertAlign w:val="superscript"/>
        </w:rPr>
        <w:t>nd</w:t>
      </w:r>
      <w:r w:rsidR="00C4139E">
        <w:rPr>
          <w:b/>
          <w:bCs/>
          <w:sz w:val="20"/>
          <w:szCs w:val="20"/>
        </w:rPr>
        <w:t xml:space="preserve"> November</w:t>
      </w:r>
      <w:r w:rsidR="00F5454D">
        <w:rPr>
          <w:b/>
          <w:bCs/>
          <w:sz w:val="20"/>
          <w:szCs w:val="20"/>
        </w:rPr>
        <w:t xml:space="preserve"> </w:t>
      </w:r>
      <w:r w:rsidR="00E176D2">
        <w:rPr>
          <w:b/>
          <w:bCs/>
          <w:sz w:val="20"/>
          <w:szCs w:val="20"/>
        </w:rPr>
        <w:t>2020</w:t>
      </w:r>
      <w:r w:rsidRPr="00B669CF">
        <w:rPr>
          <w:b/>
          <w:bCs/>
          <w:sz w:val="20"/>
          <w:szCs w:val="20"/>
        </w:rPr>
        <w:t>)</w:t>
      </w:r>
    </w:p>
    <w:p w14:paraId="70E1BC7A" w14:textId="4F9703A8" w:rsidR="006C68C3" w:rsidRDefault="00C4139E" w:rsidP="006C68C3">
      <w:pPr>
        <w:pStyle w:val="Default"/>
        <w:rPr>
          <w:b/>
          <w:bCs/>
          <w:sz w:val="20"/>
          <w:szCs w:val="20"/>
        </w:rPr>
      </w:pPr>
      <w:r>
        <w:rPr>
          <w:noProof/>
        </w:rPr>
        <w:drawing>
          <wp:inline distT="0" distB="0" distL="0" distR="0" wp14:anchorId="6F742177" wp14:editId="0C0C3394">
            <wp:extent cx="6120130" cy="3408608"/>
            <wp:effectExtent l="0" t="0" r="0" b="1905"/>
            <wp:docPr id="1" name="Chart 1" descr="Laboratory confirmed COVID-19 cases (Pillar 1 &amp; Pillar 2) by upper tier local authority in the Yorkshire and the Humber, total cases (up to 2nd November 2020)">
              <a:extLst xmlns:a="http://schemas.openxmlformats.org/drawingml/2006/main">
                <a:ext uri="{FF2B5EF4-FFF2-40B4-BE49-F238E27FC236}">
                  <a16:creationId xmlns:a16="http://schemas.microsoft.com/office/drawing/2014/main" id="{7F79554D-2E54-4DC2-8B35-5A84A6D19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08925A" w14:textId="77777777" w:rsidR="006C68C3" w:rsidRPr="00DD7BA2" w:rsidRDefault="006C68C3" w:rsidP="006C68C3">
      <w:pPr>
        <w:spacing w:after="0" w:line="240" w:lineRule="auto"/>
        <w:rPr>
          <w:sz w:val="16"/>
          <w:szCs w:val="16"/>
        </w:rPr>
      </w:pPr>
      <w:r w:rsidRPr="00DD7BA2">
        <w:rPr>
          <w:b/>
          <w:sz w:val="16"/>
          <w:szCs w:val="16"/>
        </w:rPr>
        <w:t xml:space="preserve">Data Source: </w:t>
      </w:r>
      <w:hyperlink r:id="rId16" w:history="1">
        <w:r w:rsidRPr="00DD7BA2">
          <w:rPr>
            <w:rStyle w:val="Hyperlink"/>
            <w:sz w:val="16"/>
            <w:szCs w:val="16"/>
          </w:rPr>
          <w:t>https://coronavirus-staging.data.gov.uk/cases</w:t>
        </w:r>
      </w:hyperlink>
    </w:p>
    <w:p w14:paraId="0D53FEFC" w14:textId="77777777" w:rsidR="00353331" w:rsidRPr="00856EB6" w:rsidRDefault="00353331" w:rsidP="00537304">
      <w:pPr>
        <w:spacing w:after="0"/>
      </w:pPr>
    </w:p>
    <w:p w14:paraId="28568DD9" w14:textId="601942B2" w:rsidR="00BD00D0" w:rsidRPr="00EF46A0" w:rsidRDefault="00BD00D0" w:rsidP="00EF46A0">
      <w:pPr>
        <w:pStyle w:val="Heading2"/>
        <w:rPr>
          <w:rFonts w:asciiTheme="minorHAnsi" w:hAnsiTheme="minorHAnsi" w:cstheme="minorHAnsi"/>
          <w:b/>
          <w:bCs/>
          <w:color w:val="auto"/>
        </w:rPr>
      </w:pPr>
      <w:r w:rsidRPr="00EF46A0">
        <w:rPr>
          <w:rFonts w:asciiTheme="minorHAnsi" w:hAnsiTheme="minorHAnsi" w:cstheme="minorHAnsi"/>
          <w:b/>
          <w:bCs/>
          <w:color w:val="auto"/>
        </w:rPr>
        <w:t>Recent COVID-19 Data for North East Lincolnshire</w:t>
      </w:r>
    </w:p>
    <w:p w14:paraId="008F1885" w14:textId="77777777" w:rsidR="00537304" w:rsidRPr="00537304" w:rsidRDefault="00537304" w:rsidP="00537304">
      <w:pPr>
        <w:spacing w:after="0"/>
        <w:jc w:val="both"/>
      </w:pPr>
    </w:p>
    <w:p w14:paraId="6F0FBAA9" w14:textId="62914B4C" w:rsidR="003F618F" w:rsidRDefault="003F618F" w:rsidP="00537304">
      <w:pPr>
        <w:spacing w:after="0"/>
        <w:jc w:val="both"/>
      </w:pPr>
      <w:r w:rsidRPr="00537304">
        <w:t xml:space="preserve">Figure </w:t>
      </w:r>
      <w:r w:rsidR="004C7C89">
        <w:t>6</w:t>
      </w:r>
      <w:r w:rsidRPr="00537304">
        <w:t xml:space="preserve"> shows the </w:t>
      </w:r>
      <w:r w:rsidR="00D3105D" w:rsidRPr="00824ACF">
        <w:t>7</w:t>
      </w:r>
      <w:r w:rsidR="00380A02" w:rsidRPr="009B7C34">
        <w:t>-</w:t>
      </w:r>
      <w:r w:rsidRPr="009B7C34">
        <w:t xml:space="preserve">day rate </w:t>
      </w:r>
      <w:r w:rsidR="00824ACF" w:rsidRPr="009B7C34">
        <w:t>per 100,000</w:t>
      </w:r>
      <w:r w:rsidR="00824ACF">
        <w:t xml:space="preserve"> population </w:t>
      </w:r>
      <w:r w:rsidRPr="00824ACF">
        <w:t xml:space="preserve">of new COVID-19 cases </w:t>
      </w:r>
      <w:r w:rsidR="00824ACF" w:rsidRPr="00824ACF">
        <w:t xml:space="preserve">from </w:t>
      </w:r>
      <w:r w:rsidR="002119CF">
        <w:t>2</w:t>
      </w:r>
      <w:r w:rsidR="009B1D2C">
        <w:t>5</w:t>
      </w:r>
      <w:r w:rsidR="009B1D2C" w:rsidRPr="009B1D2C">
        <w:rPr>
          <w:vertAlign w:val="superscript"/>
        </w:rPr>
        <w:t>th</w:t>
      </w:r>
      <w:r w:rsidR="009B1D2C">
        <w:t xml:space="preserve"> </w:t>
      </w:r>
      <w:r w:rsidR="009B7C34">
        <w:t>October</w:t>
      </w:r>
      <w:r w:rsidR="00815047">
        <w:t xml:space="preserve"> to </w:t>
      </w:r>
      <w:r w:rsidR="009B1D2C">
        <w:t>31</w:t>
      </w:r>
      <w:r w:rsidR="009B1D2C" w:rsidRPr="009B1D2C">
        <w:rPr>
          <w:vertAlign w:val="superscript"/>
        </w:rPr>
        <w:t>st</w:t>
      </w:r>
      <w:r w:rsidR="009B1D2C">
        <w:t xml:space="preserve"> </w:t>
      </w:r>
      <w:r w:rsidR="000C77BE">
        <w:t xml:space="preserve"> October</w:t>
      </w:r>
      <w:r w:rsidR="00FA39EF" w:rsidRPr="00824ACF">
        <w:t xml:space="preserve"> </w:t>
      </w:r>
      <w:r w:rsidR="004E49BF" w:rsidRPr="00824ACF">
        <w:t>2020</w:t>
      </w:r>
      <w:r w:rsidR="004E49BF" w:rsidRPr="00537304">
        <w:t xml:space="preserve"> </w:t>
      </w:r>
      <w:r w:rsidR="00824ACF">
        <w:t xml:space="preserve">that have been </w:t>
      </w:r>
      <w:r w:rsidR="004E49BF" w:rsidRPr="00537304">
        <w:t>confirmed</w:t>
      </w:r>
      <w:r w:rsidRPr="00537304">
        <w:t xml:space="preserve"> for each upper tier </w:t>
      </w:r>
      <w:r w:rsidR="004E49BF" w:rsidRPr="00537304">
        <w:t xml:space="preserve">local </w:t>
      </w:r>
      <w:r w:rsidRPr="00537304">
        <w:t>authority in the Yorkshire and Humber (blue</w:t>
      </w:r>
      <w:r w:rsidR="00824ACF">
        <w:t xml:space="preserve"> bar</w:t>
      </w:r>
      <w:r w:rsidRPr="00537304">
        <w:t>)</w:t>
      </w:r>
      <w:r w:rsidR="004E49BF" w:rsidRPr="00537304">
        <w:t>,</w:t>
      </w:r>
      <w:r w:rsidRPr="00537304">
        <w:t xml:space="preserve"> and the </w:t>
      </w:r>
      <w:r w:rsidR="00824ACF">
        <w:t xml:space="preserve">overall </w:t>
      </w:r>
      <w:r w:rsidRPr="00537304">
        <w:t xml:space="preserve">cumulative </w:t>
      </w:r>
      <w:r w:rsidR="00824ACF">
        <w:t xml:space="preserve">positive test </w:t>
      </w:r>
      <w:r w:rsidRPr="00537304">
        <w:t xml:space="preserve">rate </w:t>
      </w:r>
      <w:r w:rsidR="00824ACF">
        <w:t xml:space="preserve">per 100,000 population </w:t>
      </w:r>
      <w:r w:rsidRPr="00537304">
        <w:t>since the start of the pandemic</w:t>
      </w:r>
      <w:r w:rsidR="004F598E" w:rsidRPr="00537304">
        <w:t xml:space="preserve"> </w:t>
      </w:r>
      <w:r w:rsidR="00824ACF">
        <w:t xml:space="preserve">to </w:t>
      </w:r>
      <w:r w:rsidR="009B1D2C">
        <w:t>31</w:t>
      </w:r>
      <w:r w:rsidR="009B1D2C" w:rsidRPr="009B1D2C">
        <w:rPr>
          <w:vertAlign w:val="superscript"/>
        </w:rPr>
        <w:t>st</w:t>
      </w:r>
      <w:r w:rsidR="009B1D2C">
        <w:t xml:space="preserve"> </w:t>
      </w:r>
      <w:r w:rsidR="000C77BE">
        <w:t>October</w:t>
      </w:r>
      <w:r w:rsidR="00824ACF">
        <w:t xml:space="preserve"> 2020 </w:t>
      </w:r>
      <w:r w:rsidR="004F598E" w:rsidRPr="00537304">
        <w:t>(red line)</w:t>
      </w:r>
      <w:r w:rsidR="00824ACF">
        <w:t>, both rates including both pillar 1 and pillar 2 tests.</w:t>
      </w:r>
      <w:r w:rsidRPr="00537304">
        <w:t xml:space="preserve">  With a </w:t>
      </w:r>
      <w:r w:rsidR="00380A02">
        <w:t>7</w:t>
      </w:r>
      <w:r w:rsidR="00C02E3C" w:rsidRPr="00537304">
        <w:t>-day</w:t>
      </w:r>
      <w:r w:rsidRPr="00537304">
        <w:t xml:space="preserve"> infection rate </w:t>
      </w:r>
      <w:r w:rsidR="006E1B08">
        <w:t>of</w:t>
      </w:r>
      <w:r w:rsidR="000C77BE">
        <w:t xml:space="preserve"> </w:t>
      </w:r>
      <w:r w:rsidR="003B321A">
        <w:t>377.3</w:t>
      </w:r>
      <w:r w:rsidRPr="00537304">
        <w:t xml:space="preserve"> cases per 100,000 </w:t>
      </w:r>
      <w:r w:rsidR="004E49BF" w:rsidRPr="00537304">
        <w:t xml:space="preserve">population, </w:t>
      </w:r>
      <w:r w:rsidRPr="00537304">
        <w:t xml:space="preserve">North East Lincolnshire </w:t>
      </w:r>
      <w:r w:rsidR="006C68C3" w:rsidRPr="00537304">
        <w:t>had the</w:t>
      </w:r>
      <w:r w:rsidR="00694D0D">
        <w:t xml:space="preserve"> </w:t>
      </w:r>
      <w:r w:rsidR="00316A56">
        <w:t>sixth</w:t>
      </w:r>
      <w:r w:rsidR="00BA1BC0">
        <w:t xml:space="preserve"> </w:t>
      </w:r>
      <w:r w:rsidRPr="00537304">
        <w:t>lowest rate</w:t>
      </w:r>
      <w:r w:rsidR="006E1B08">
        <w:t xml:space="preserve"> </w:t>
      </w:r>
      <w:r w:rsidRPr="00537304">
        <w:t xml:space="preserve">of new infections </w:t>
      </w:r>
      <w:r w:rsidR="00D3105D" w:rsidRPr="00537304">
        <w:t xml:space="preserve">out of the 15 local authorities </w:t>
      </w:r>
      <w:r w:rsidRPr="00537304">
        <w:t xml:space="preserve">in the Yorkshire </w:t>
      </w:r>
      <w:r w:rsidR="00380A02">
        <w:t>and the</w:t>
      </w:r>
      <w:r w:rsidRPr="00537304">
        <w:t xml:space="preserve"> Humber region</w:t>
      </w:r>
      <w:r w:rsidR="004818BA">
        <w:t xml:space="preserve">, </w:t>
      </w:r>
      <w:r w:rsidR="00316A56">
        <w:t xml:space="preserve">but has the </w:t>
      </w:r>
      <w:r w:rsidR="0048033E">
        <w:t>highest</w:t>
      </w:r>
      <w:r w:rsidR="00316A56">
        <w:t xml:space="preserve"> 7 -day</w:t>
      </w:r>
      <w:r w:rsidR="0048033E">
        <w:t xml:space="preserve"> rate of cases </w:t>
      </w:r>
      <w:r w:rsidR="00316A56">
        <w:t xml:space="preserve">of the 4 </w:t>
      </w:r>
      <w:r w:rsidR="0048033E">
        <w:t xml:space="preserve">Humber </w:t>
      </w:r>
      <w:r w:rsidR="00316A56">
        <w:t xml:space="preserve">local authority </w:t>
      </w:r>
      <w:r w:rsidR="0048033E">
        <w:t>area</w:t>
      </w:r>
      <w:r w:rsidR="00316A56">
        <w:t>s</w:t>
      </w:r>
      <w:r w:rsidR="00327E63">
        <w:t>.</w:t>
      </w:r>
      <w:r w:rsidR="00C84564">
        <w:t xml:space="preserve"> </w:t>
      </w:r>
      <w:r w:rsidR="0048033E">
        <w:t xml:space="preserve"> </w:t>
      </w:r>
      <w:r w:rsidR="00316A56">
        <w:t>Doncaster</w:t>
      </w:r>
      <w:r w:rsidR="003B321A">
        <w:t xml:space="preserve">, </w:t>
      </w:r>
      <w:proofErr w:type="gramStart"/>
      <w:r w:rsidR="003B321A">
        <w:t>Rotherham</w:t>
      </w:r>
      <w:proofErr w:type="gramEnd"/>
      <w:r w:rsidR="003B321A">
        <w:t xml:space="preserve"> and Barnsley</w:t>
      </w:r>
      <w:r w:rsidR="00316A56">
        <w:t xml:space="preserve"> </w:t>
      </w:r>
      <w:r w:rsidR="00C15C37">
        <w:t xml:space="preserve">have </w:t>
      </w:r>
      <w:r w:rsidR="00C84564">
        <w:t xml:space="preserve">the highest rate of new </w:t>
      </w:r>
      <w:r w:rsidR="00327E63">
        <w:t>infections</w:t>
      </w:r>
      <w:r w:rsidR="000860AB">
        <w:t xml:space="preserve"> in the region</w:t>
      </w:r>
      <w:r w:rsidR="00327E63">
        <w:t>.</w:t>
      </w:r>
    </w:p>
    <w:p w14:paraId="12608AF2" w14:textId="77777777" w:rsidR="00EA28ED" w:rsidRPr="00537304" w:rsidRDefault="00EA28ED" w:rsidP="00537304">
      <w:pPr>
        <w:pStyle w:val="Default"/>
        <w:spacing w:line="276" w:lineRule="auto"/>
        <w:rPr>
          <w:rFonts w:asciiTheme="minorHAnsi" w:hAnsiTheme="minorHAnsi" w:cstheme="minorHAnsi"/>
          <w:sz w:val="22"/>
          <w:szCs w:val="22"/>
        </w:rPr>
      </w:pPr>
    </w:p>
    <w:p w14:paraId="2E3FFE68" w14:textId="77777777" w:rsidR="008F242A" w:rsidRDefault="008F242A">
      <w:pPr>
        <w:rPr>
          <w:rFonts w:cstheme="minorHAnsi"/>
          <w:b/>
          <w:bCs/>
          <w:color w:val="000000"/>
        </w:rPr>
      </w:pPr>
      <w:r>
        <w:rPr>
          <w:rFonts w:cstheme="minorHAnsi"/>
          <w:b/>
          <w:bCs/>
        </w:rPr>
        <w:br w:type="page"/>
      </w:r>
    </w:p>
    <w:p w14:paraId="3A529B44" w14:textId="13BBFF5B" w:rsidR="003F618F" w:rsidRPr="006B5A3D" w:rsidRDefault="003F618F" w:rsidP="00537304">
      <w:pPr>
        <w:pStyle w:val="Default"/>
        <w:spacing w:line="276" w:lineRule="auto"/>
        <w:rPr>
          <w:rFonts w:asciiTheme="minorHAnsi" w:hAnsiTheme="minorHAnsi" w:cstheme="minorHAnsi"/>
          <w:b/>
          <w:bCs/>
          <w:sz w:val="22"/>
          <w:szCs w:val="22"/>
        </w:rPr>
      </w:pPr>
      <w:r w:rsidRPr="006B5A3D">
        <w:rPr>
          <w:rFonts w:asciiTheme="minorHAnsi" w:hAnsiTheme="minorHAnsi" w:cstheme="minorHAnsi"/>
          <w:b/>
          <w:bCs/>
          <w:sz w:val="22"/>
          <w:szCs w:val="22"/>
        </w:rPr>
        <w:lastRenderedPageBreak/>
        <w:t xml:space="preserve">Figure </w:t>
      </w:r>
      <w:r w:rsidR="004C7C89">
        <w:rPr>
          <w:rFonts w:asciiTheme="minorHAnsi" w:hAnsiTheme="minorHAnsi" w:cstheme="minorHAnsi"/>
          <w:b/>
          <w:bCs/>
          <w:sz w:val="22"/>
          <w:szCs w:val="22"/>
        </w:rPr>
        <w:t>6</w:t>
      </w:r>
      <w:r w:rsidR="006B5A3D" w:rsidRPr="006B5A3D">
        <w:rPr>
          <w:rFonts w:asciiTheme="minorHAnsi" w:hAnsiTheme="minorHAnsi" w:cstheme="minorHAnsi"/>
          <w:b/>
          <w:bCs/>
          <w:sz w:val="22"/>
          <w:szCs w:val="22"/>
        </w:rPr>
        <w:t xml:space="preserve">:  Laboratory confirmed daily cases of COVID-19 by sample date and </w:t>
      </w:r>
      <w:r w:rsidR="00980FC4">
        <w:rPr>
          <w:rFonts w:asciiTheme="minorHAnsi" w:hAnsiTheme="minorHAnsi" w:cstheme="minorHAnsi"/>
          <w:b/>
          <w:bCs/>
          <w:sz w:val="22"/>
          <w:szCs w:val="22"/>
        </w:rPr>
        <w:t>local authority</w:t>
      </w:r>
      <w:r w:rsidR="006B5A3D" w:rsidRPr="006B5A3D">
        <w:rPr>
          <w:rFonts w:asciiTheme="minorHAnsi" w:hAnsiTheme="minorHAnsi" w:cstheme="minorHAnsi"/>
          <w:b/>
          <w:bCs/>
          <w:sz w:val="22"/>
          <w:szCs w:val="22"/>
        </w:rPr>
        <w:t xml:space="preserve"> for prior week and cumulative total to date (Pillar 1 and Pillar 2)</w:t>
      </w:r>
    </w:p>
    <w:p w14:paraId="1BA31068" w14:textId="3A687ACE" w:rsidR="0095499B" w:rsidRDefault="009B1D2C" w:rsidP="00DD7BA2">
      <w:pPr>
        <w:spacing w:after="0"/>
      </w:pPr>
      <w:r>
        <w:rPr>
          <w:noProof/>
        </w:rPr>
        <w:drawing>
          <wp:inline distT="0" distB="0" distL="0" distR="0" wp14:anchorId="553BF41F" wp14:editId="0485E8A6">
            <wp:extent cx="6120130" cy="3985895"/>
            <wp:effectExtent l="0" t="0" r="0" b="0"/>
            <wp:docPr id="11" name="Chart 11" descr="Laboratory confirmed daily cases of COVID-19 by sample date and local authority for prior week and cumulative total to date (Pillar 1 and Pillar 2)">
              <a:extLst xmlns:a="http://schemas.openxmlformats.org/drawingml/2006/main">
                <a:ext uri="{FF2B5EF4-FFF2-40B4-BE49-F238E27FC236}">
                  <a16:creationId xmlns:a16="http://schemas.microsoft.com/office/drawing/2014/main" id="{717A34E0-BEAD-4503-BAA4-7351B038EB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BC7F3C" w14:textId="370C1FCC" w:rsidR="002E7766" w:rsidRDefault="002E7766" w:rsidP="00537304">
      <w:pPr>
        <w:spacing w:after="0"/>
        <w:rPr>
          <w:b/>
          <w:bCs/>
          <w:sz w:val="28"/>
          <w:szCs w:val="28"/>
        </w:rPr>
      </w:pPr>
    </w:p>
    <w:p w14:paraId="4FD6135E" w14:textId="7FBAE4B8" w:rsidR="003914A0" w:rsidRPr="00EF46A0" w:rsidRDefault="00284951" w:rsidP="00EF46A0">
      <w:pPr>
        <w:pStyle w:val="Heading2"/>
        <w:rPr>
          <w:rFonts w:asciiTheme="minorHAnsi" w:hAnsiTheme="minorHAnsi" w:cstheme="minorHAnsi"/>
          <w:b/>
          <w:bCs/>
          <w:color w:val="auto"/>
        </w:rPr>
      </w:pPr>
      <w:r w:rsidRPr="00EF46A0">
        <w:rPr>
          <w:rFonts w:asciiTheme="minorHAnsi" w:hAnsiTheme="minorHAnsi" w:cstheme="minorHAnsi"/>
          <w:b/>
          <w:bCs/>
          <w:color w:val="auto"/>
        </w:rPr>
        <w:t>Diana Princess of Wales Hospital</w:t>
      </w:r>
    </w:p>
    <w:p w14:paraId="054B58CA" w14:textId="77777777" w:rsidR="00537304" w:rsidRPr="00537304" w:rsidRDefault="00537304" w:rsidP="00537304">
      <w:pPr>
        <w:spacing w:after="0"/>
      </w:pPr>
    </w:p>
    <w:p w14:paraId="6DFD950C" w14:textId="2B61E223" w:rsidR="00BC6CAE" w:rsidRPr="00856EB6" w:rsidRDefault="003F618F" w:rsidP="00537304">
      <w:pPr>
        <w:spacing w:after="0"/>
        <w:jc w:val="both"/>
      </w:pPr>
      <w:r w:rsidRPr="00856EB6">
        <w:t xml:space="preserve">Numbers of positive COVID-19 cases being treated in Diana Princess of Wales Hospital </w:t>
      </w:r>
      <w:r w:rsidR="00B354D7">
        <w:t xml:space="preserve">(DPoW) </w:t>
      </w:r>
      <w:r w:rsidR="00AB3797">
        <w:t>increased substantially during October</w:t>
      </w:r>
      <w:r w:rsidR="00036537">
        <w:t>.  A</w:t>
      </w:r>
      <w:r w:rsidR="00A629DB" w:rsidRPr="00856EB6">
        <w:t xml:space="preserve">s of </w:t>
      </w:r>
      <w:r w:rsidR="00144EFE">
        <w:t>2</w:t>
      </w:r>
      <w:r w:rsidR="00144EFE" w:rsidRPr="00144EFE">
        <w:rPr>
          <w:vertAlign w:val="superscript"/>
        </w:rPr>
        <w:t>nd</w:t>
      </w:r>
      <w:r w:rsidR="00144EFE">
        <w:t xml:space="preserve"> November</w:t>
      </w:r>
      <w:r w:rsidR="00036537" w:rsidRPr="00856EB6">
        <w:t xml:space="preserve"> 2020,</w:t>
      </w:r>
      <w:r w:rsidR="00721157" w:rsidRPr="00856EB6">
        <w:t xml:space="preserve"> </w:t>
      </w:r>
      <w:r w:rsidR="00D97C95" w:rsidRPr="00856EB6">
        <w:t>there are</w:t>
      </w:r>
      <w:r w:rsidR="000A5828">
        <w:t xml:space="preserve"> </w:t>
      </w:r>
      <w:r w:rsidR="00144EFE">
        <w:t>4</w:t>
      </w:r>
      <w:r w:rsidR="008A250C">
        <w:t>8</w:t>
      </w:r>
      <w:r w:rsidR="00D97C95" w:rsidRPr="00856EB6">
        <w:t xml:space="preserve"> positive </w:t>
      </w:r>
      <w:r w:rsidR="008A250C">
        <w:t xml:space="preserve">inpatients </w:t>
      </w:r>
      <w:r w:rsidR="00D97C95" w:rsidRPr="00856EB6">
        <w:t>in DP</w:t>
      </w:r>
      <w:r w:rsidR="00721157" w:rsidRPr="00856EB6">
        <w:t>o</w:t>
      </w:r>
      <w:r w:rsidR="00D97C95" w:rsidRPr="00856EB6">
        <w:t>W</w:t>
      </w:r>
      <w:r w:rsidR="00DF2F79">
        <w:t xml:space="preserve">, </w:t>
      </w:r>
      <w:r w:rsidR="00144EFE">
        <w:t>8</w:t>
      </w:r>
      <w:r w:rsidR="00DF2F79">
        <w:t xml:space="preserve"> of which </w:t>
      </w:r>
      <w:r w:rsidR="008A250C">
        <w:t>are</w:t>
      </w:r>
      <w:r w:rsidR="00DF2F79">
        <w:t xml:space="preserve"> in critical care</w:t>
      </w:r>
      <w:r w:rsidR="00AB3797">
        <w:t>.  Thi</w:t>
      </w:r>
      <w:r w:rsidR="00271594">
        <w:t>s is a large increase compared to previous weeks</w:t>
      </w:r>
      <w:r w:rsidR="00145FE6">
        <w:t xml:space="preserve"> and the highest number </w:t>
      </w:r>
      <w:r w:rsidR="00F9362C">
        <w:t>at any point during the pandemic</w:t>
      </w:r>
      <w:r w:rsidR="00D97C95" w:rsidRPr="00856EB6">
        <w:t>.</w:t>
      </w:r>
      <w:r w:rsidR="00145FE6">
        <w:t xml:space="preserve">  </w:t>
      </w:r>
    </w:p>
    <w:p w14:paraId="5F72AC32" w14:textId="77777777" w:rsidR="00DD7BA2" w:rsidRPr="00537304" w:rsidRDefault="00DD7BA2" w:rsidP="00537304">
      <w:pPr>
        <w:spacing w:after="0"/>
        <w:rPr>
          <w:bCs/>
          <w:sz w:val="28"/>
          <w:szCs w:val="28"/>
        </w:rPr>
      </w:pPr>
    </w:p>
    <w:p w14:paraId="5550C1B4" w14:textId="68CD3A93" w:rsidR="00383D06" w:rsidRPr="00EF46A0" w:rsidRDefault="00DB6ABE" w:rsidP="00EF46A0">
      <w:pPr>
        <w:pStyle w:val="Heading2"/>
        <w:rPr>
          <w:rFonts w:asciiTheme="minorHAnsi" w:hAnsiTheme="minorHAnsi" w:cstheme="minorHAnsi"/>
          <w:b/>
          <w:bCs/>
          <w:color w:val="auto"/>
        </w:rPr>
      </w:pPr>
      <w:r w:rsidRPr="00EF46A0">
        <w:rPr>
          <w:rFonts w:asciiTheme="minorHAnsi" w:hAnsiTheme="minorHAnsi" w:cstheme="minorHAnsi"/>
          <w:b/>
          <w:bCs/>
          <w:color w:val="auto"/>
        </w:rPr>
        <w:t>C</w:t>
      </w:r>
      <w:r w:rsidR="00383D06" w:rsidRPr="00EF46A0">
        <w:rPr>
          <w:rFonts w:asciiTheme="minorHAnsi" w:hAnsiTheme="minorHAnsi" w:cstheme="minorHAnsi"/>
          <w:b/>
          <w:bCs/>
          <w:color w:val="auto"/>
        </w:rPr>
        <w:t>are Homes</w:t>
      </w:r>
    </w:p>
    <w:p w14:paraId="244D1111" w14:textId="77777777" w:rsidR="00537304" w:rsidRPr="00537304" w:rsidRDefault="00537304" w:rsidP="00537304">
      <w:pPr>
        <w:spacing w:after="0"/>
        <w:rPr>
          <w:bCs/>
        </w:rPr>
      </w:pPr>
    </w:p>
    <w:p w14:paraId="3D90C226" w14:textId="2FA146DE" w:rsidR="00E77917" w:rsidRDefault="0038232F" w:rsidP="00537304">
      <w:pPr>
        <w:spacing w:after="0"/>
        <w:jc w:val="both"/>
        <w:rPr>
          <w:bCs/>
        </w:rPr>
      </w:pPr>
      <w:r>
        <w:rPr>
          <w:bCs/>
        </w:rPr>
        <w:t>T</w:t>
      </w:r>
      <w:r w:rsidR="00E829B4" w:rsidRPr="00537304">
        <w:rPr>
          <w:bCs/>
        </w:rPr>
        <w:t xml:space="preserve">he </w:t>
      </w:r>
      <w:r w:rsidR="000855CC" w:rsidRPr="00537304">
        <w:rPr>
          <w:bCs/>
        </w:rPr>
        <w:t xml:space="preserve">North East Lincolnshire </w:t>
      </w:r>
      <w:r w:rsidR="00E829B4" w:rsidRPr="00537304">
        <w:rPr>
          <w:bCs/>
        </w:rPr>
        <w:t xml:space="preserve">CCG care home tracker </w:t>
      </w:r>
      <w:r>
        <w:rPr>
          <w:bCs/>
        </w:rPr>
        <w:t xml:space="preserve">currently </w:t>
      </w:r>
      <w:r w:rsidR="00E829B4" w:rsidRPr="00537304">
        <w:rPr>
          <w:bCs/>
        </w:rPr>
        <w:t xml:space="preserve">reports that </w:t>
      </w:r>
      <w:r w:rsidR="00681D6D">
        <w:rPr>
          <w:bCs/>
        </w:rPr>
        <w:t>8</w:t>
      </w:r>
      <w:r w:rsidR="00DE0254">
        <w:rPr>
          <w:bCs/>
        </w:rPr>
        <w:t xml:space="preserve"> </w:t>
      </w:r>
      <w:r w:rsidR="00E829B4" w:rsidRPr="00537304">
        <w:rPr>
          <w:bCs/>
        </w:rPr>
        <w:t>care home</w:t>
      </w:r>
      <w:r w:rsidR="00DE0254">
        <w:rPr>
          <w:bCs/>
        </w:rPr>
        <w:t>s</w:t>
      </w:r>
      <w:r w:rsidR="00E829B4" w:rsidRPr="00537304">
        <w:rPr>
          <w:bCs/>
        </w:rPr>
        <w:t xml:space="preserve"> </w:t>
      </w:r>
      <w:r w:rsidR="00FA2347" w:rsidRPr="00537304">
        <w:rPr>
          <w:bCs/>
        </w:rPr>
        <w:t>ha</w:t>
      </w:r>
      <w:r w:rsidR="00DE0254">
        <w:rPr>
          <w:bCs/>
        </w:rPr>
        <w:t>ve</w:t>
      </w:r>
      <w:r w:rsidR="00FA2347" w:rsidRPr="00537304">
        <w:rPr>
          <w:bCs/>
        </w:rPr>
        <w:t xml:space="preserve"> </w:t>
      </w:r>
      <w:r w:rsidR="005F2BF6">
        <w:rPr>
          <w:bCs/>
        </w:rPr>
        <w:t xml:space="preserve">a total of </w:t>
      </w:r>
      <w:r w:rsidR="00681D6D">
        <w:rPr>
          <w:bCs/>
        </w:rPr>
        <w:t>60</w:t>
      </w:r>
      <w:r w:rsidR="005F2BF6">
        <w:rPr>
          <w:bCs/>
        </w:rPr>
        <w:t xml:space="preserve"> cases of COVID-19 </w:t>
      </w:r>
      <w:r w:rsidR="00E829B4" w:rsidRPr="00537304">
        <w:rPr>
          <w:bCs/>
        </w:rPr>
        <w:t>among its residents</w:t>
      </w:r>
      <w:r w:rsidR="00535F37">
        <w:rPr>
          <w:bCs/>
        </w:rPr>
        <w:t xml:space="preserve"> </w:t>
      </w:r>
      <w:r w:rsidR="005F2BF6">
        <w:rPr>
          <w:bCs/>
        </w:rPr>
        <w:t xml:space="preserve">with a range of 1 to </w:t>
      </w:r>
      <w:r w:rsidR="00681D6D">
        <w:rPr>
          <w:bCs/>
        </w:rPr>
        <w:t>22</w:t>
      </w:r>
      <w:r w:rsidR="005F2BF6">
        <w:rPr>
          <w:bCs/>
        </w:rPr>
        <w:t xml:space="preserve"> residents affected.  This represents</w:t>
      </w:r>
      <w:r w:rsidR="00535F37">
        <w:rPr>
          <w:bCs/>
        </w:rPr>
        <w:t xml:space="preserve"> a big increase on last week when </w:t>
      </w:r>
      <w:r w:rsidR="00681D6D">
        <w:rPr>
          <w:bCs/>
        </w:rPr>
        <w:t>19 cases were reported</w:t>
      </w:r>
      <w:r w:rsidR="00E829B4" w:rsidRPr="00537304">
        <w:rPr>
          <w:bCs/>
        </w:rPr>
        <w:t xml:space="preserve">.  </w:t>
      </w:r>
      <w:r w:rsidR="000860AB">
        <w:rPr>
          <w:bCs/>
        </w:rPr>
        <w:t xml:space="preserve">This pattern is unfortunately being repeated in many parts of the country where infection rates have dramatically increased in recent week.  </w:t>
      </w:r>
      <w:r w:rsidR="00DD1EDB">
        <w:rPr>
          <w:bCs/>
        </w:rPr>
        <w:t>Six</w:t>
      </w:r>
      <w:r w:rsidR="000855CC" w:rsidRPr="00537304">
        <w:rPr>
          <w:bCs/>
        </w:rPr>
        <w:t xml:space="preserve"> care home</w:t>
      </w:r>
      <w:r w:rsidR="0092408F">
        <w:rPr>
          <w:bCs/>
        </w:rPr>
        <w:t>s</w:t>
      </w:r>
      <w:r w:rsidR="000855CC" w:rsidRPr="00537304">
        <w:rPr>
          <w:bCs/>
        </w:rPr>
        <w:t xml:space="preserve"> </w:t>
      </w:r>
      <w:r w:rsidR="0092408F">
        <w:rPr>
          <w:bCs/>
        </w:rPr>
        <w:t>are</w:t>
      </w:r>
      <w:r w:rsidR="000855CC" w:rsidRPr="00537304">
        <w:rPr>
          <w:bCs/>
        </w:rPr>
        <w:t xml:space="preserve"> currently closed to admissions</w:t>
      </w:r>
      <w:r w:rsidR="00681D6D">
        <w:rPr>
          <w:bCs/>
        </w:rPr>
        <w:t xml:space="preserve"> and one is partially closed</w:t>
      </w:r>
      <w:r w:rsidR="0092408F">
        <w:rPr>
          <w:bCs/>
        </w:rPr>
        <w:t>, a</w:t>
      </w:r>
      <w:r w:rsidR="00E829B4" w:rsidRPr="00537304">
        <w:rPr>
          <w:bCs/>
        </w:rPr>
        <w:t xml:space="preserve">ll </w:t>
      </w:r>
      <w:r w:rsidR="000855CC" w:rsidRPr="00537304">
        <w:rPr>
          <w:bCs/>
        </w:rPr>
        <w:t xml:space="preserve">other </w:t>
      </w:r>
      <w:r w:rsidR="00E829B4" w:rsidRPr="00537304">
        <w:rPr>
          <w:bCs/>
        </w:rPr>
        <w:t>home</w:t>
      </w:r>
      <w:r w:rsidR="00E85A84" w:rsidRPr="00537304">
        <w:rPr>
          <w:bCs/>
        </w:rPr>
        <w:t>s</w:t>
      </w:r>
      <w:r w:rsidR="00E829B4" w:rsidRPr="00537304">
        <w:rPr>
          <w:bCs/>
        </w:rPr>
        <w:t xml:space="preserve"> </w:t>
      </w:r>
      <w:r w:rsidR="00E85A84" w:rsidRPr="00537304">
        <w:rPr>
          <w:bCs/>
        </w:rPr>
        <w:t>are</w:t>
      </w:r>
      <w:r w:rsidR="00E829B4" w:rsidRPr="00537304">
        <w:rPr>
          <w:bCs/>
        </w:rPr>
        <w:t xml:space="preserve"> currently open to admissions</w:t>
      </w:r>
      <w:r w:rsidR="000855CC" w:rsidRPr="00537304">
        <w:rPr>
          <w:bCs/>
        </w:rPr>
        <w:t xml:space="preserve">.  </w:t>
      </w:r>
    </w:p>
    <w:p w14:paraId="247AA738" w14:textId="77777777" w:rsidR="00E77917" w:rsidRDefault="00E77917" w:rsidP="00537304">
      <w:pPr>
        <w:spacing w:after="0"/>
        <w:jc w:val="both"/>
        <w:rPr>
          <w:bCs/>
        </w:rPr>
      </w:pPr>
    </w:p>
    <w:p w14:paraId="1AD5D70A" w14:textId="4361AD0C" w:rsidR="003914A0" w:rsidRPr="00EF46A0" w:rsidRDefault="003914A0" w:rsidP="00EF46A0">
      <w:pPr>
        <w:pStyle w:val="Heading2"/>
        <w:rPr>
          <w:rFonts w:asciiTheme="minorHAnsi" w:hAnsiTheme="minorHAnsi" w:cstheme="minorHAnsi"/>
          <w:b/>
          <w:bCs/>
          <w:color w:val="auto"/>
        </w:rPr>
      </w:pPr>
      <w:r w:rsidRPr="00EF46A0">
        <w:rPr>
          <w:rFonts w:asciiTheme="minorHAnsi" w:hAnsiTheme="minorHAnsi" w:cstheme="minorHAnsi"/>
          <w:b/>
          <w:bCs/>
          <w:color w:val="auto"/>
        </w:rPr>
        <w:t>Deaths</w:t>
      </w:r>
    </w:p>
    <w:p w14:paraId="07FFCF2B" w14:textId="77777777" w:rsidR="00537304" w:rsidRPr="00537304" w:rsidRDefault="00537304" w:rsidP="00537304">
      <w:pPr>
        <w:spacing w:after="0"/>
        <w:rPr>
          <w:bCs/>
        </w:rPr>
      </w:pPr>
    </w:p>
    <w:p w14:paraId="3F1B2ADD" w14:textId="2D0CB063" w:rsidR="00BE0535" w:rsidRDefault="005B7EF5" w:rsidP="00537304">
      <w:pPr>
        <w:spacing w:after="0"/>
        <w:jc w:val="both"/>
      </w:pPr>
      <w:r>
        <w:t xml:space="preserve">The average daily numbers of COVID-19 deaths in the UK peaked during 08/04-14/04 at 938 deaths per day on average, and thence decreased each week until the end of August.  This week deaths from COVID-19 increased by almost half (47%) to 200 deaths per day on average, the sixth consecutive increase.  The average daily deaths from COVID-19 this week are higher than at any point since the beginning of June. </w:t>
      </w:r>
      <w:r w:rsidR="00B354D7">
        <w:t xml:space="preserve"> </w:t>
      </w:r>
      <w:r>
        <w:t xml:space="preserve">Despite this </w:t>
      </w:r>
      <w:r>
        <w:lastRenderedPageBreak/>
        <w:t xml:space="preserve">increase, the average daily number of COVID-19 related deaths remains 79% lower than at the peak, as shown in </w:t>
      </w:r>
      <w:r w:rsidR="00BE0535" w:rsidRPr="00537304">
        <w:t xml:space="preserve">Figure </w:t>
      </w:r>
      <w:r w:rsidR="000819F6">
        <w:t>9</w:t>
      </w:r>
      <w:r w:rsidR="00B57F0D">
        <w:t>.</w:t>
      </w:r>
    </w:p>
    <w:p w14:paraId="5F66DDD5" w14:textId="08590ED2" w:rsidR="0075121A" w:rsidRDefault="0075121A" w:rsidP="00537304">
      <w:pPr>
        <w:spacing w:after="0"/>
        <w:jc w:val="both"/>
      </w:pPr>
    </w:p>
    <w:p w14:paraId="48F6D2E4" w14:textId="37DD48AC" w:rsidR="00D72B4D" w:rsidRPr="00D72B4D" w:rsidRDefault="00D72B4D" w:rsidP="00537304">
      <w:pPr>
        <w:spacing w:after="0"/>
        <w:jc w:val="both"/>
        <w:rPr>
          <w:b/>
          <w:bCs/>
        </w:rPr>
      </w:pPr>
      <w:r w:rsidRPr="00D72B4D">
        <w:rPr>
          <w:b/>
          <w:bCs/>
        </w:rPr>
        <w:t>Figure</w:t>
      </w:r>
      <w:r w:rsidR="008D67ED">
        <w:rPr>
          <w:b/>
          <w:bCs/>
        </w:rPr>
        <w:t xml:space="preserve"> </w:t>
      </w:r>
      <w:r w:rsidR="000819F6">
        <w:rPr>
          <w:b/>
          <w:bCs/>
        </w:rPr>
        <w:t>9</w:t>
      </w:r>
      <w:r w:rsidR="000E7F26">
        <w:rPr>
          <w:b/>
          <w:bCs/>
        </w:rPr>
        <w:t>:</w:t>
      </w:r>
    </w:p>
    <w:p w14:paraId="3FD35950" w14:textId="2684FD51" w:rsidR="00BE0535" w:rsidRDefault="005B7EF5" w:rsidP="0054429B">
      <w:pPr>
        <w:jc w:val="both"/>
      </w:pPr>
      <w:r>
        <w:rPr>
          <w:noProof/>
        </w:rPr>
        <w:drawing>
          <wp:inline distT="0" distB="0" distL="0" distR="0" wp14:anchorId="56F6C260" wp14:editId="1D176842">
            <wp:extent cx="5767070" cy="2529840"/>
            <wp:effectExtent l="0" t="0" r="5080" b="3810"/>
            <wp:docPr id="15" name="Picture 15" descr="UK daily average COVID-19 deaths per week"/>
            <wp:cNvGraphicFramePr/>
            <a:graphic xmlns:a="http://schemas.openxmlformats.org/drawingml/2006/main">
              <a:graphicData uri="http://schemas.openxmlformats.org/drawingml/2006/picture">
                <pic:pic xmlns:pic="http://schemas.openxmlformats.org/drawingml/2006/picture">
                  <pic:nvPicPr>
                    <pic:cNvPr id="15" name="Picture 15" descr="UK daily average COVID-19 deaths per week"/>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2529840"/>
                    </a:xfrm>
                    <a:prstGeom prst="rect">
                      <a:avLst/>
                    </a:prstGeom>
                    <a:noFill/>
                  </pic:spPr>
                </pic:pic>
              </a:graphicData>
            </a:graphic>
          </wp:inline>
        </w:drawing>
      </w:r>
    </w:p>
    <w:p w14:paraId="0C4FCB0E" w14:textId="0506C913" w:rsidR="00145FE6" w:rsidRPr="00537304" w:rsidRDefault="00145FE6" w:rsidP="00145FE6">
      <w:pPr>
        <w:spacing w:after="0"/>
        <w:jc w:val="both"/>
      </w:pPr>
      <w:r w:rsidRPr="00537304">
        <w:t>There ha</w:t>
      </w:r>
      <w:r>
        <w:t>ve</w:t>
      </w:r>
      <w:r w:rsidRPr="00537304">
        <w:t xml:space="preserve"> been </w:t>
      </w:r>
      <w:r w:rsidR="004726B9">
        <w:t>17</w:t>
      </w:r>
      <w:r w:rsidRPr="00537304">
        <w:t xml:space="preserve"> death</w:t>
      </w:r>
      <w:r>
        <w:t>s</w:t>
      </w:r>
      <w:r w:rsidRPr="00537304">
        <w:t xml:space="preserve"> associated with COVID-19 in North East Lincolnshire </w:t>
      </w:r>
      <w:r>
        <w:t xml:space="preserve">in </w:t>
      </w:r>
      <w:proofErr w:type="gramStart"/>
      <w:r w:rsidR="00D610E9">
        <w:t>October</w:t>
      </w:r>
      <w:r w:rsidR="004726B9">
        <w:t>,</w:t>
      </w:r>
      <w:proofErr w:type="gramEnd"/>
      <w:r w:rsidR="004726B9">
        <w:t xml:space="preserve"> 11 were registered in the last week</w:t>
      </w:r>
      <w:r w:rsidRPr="00537304">
        <w:t xml:space="preserve">.  A total of </w:t>
      </w:r>
      <w:r w:rsidR="000819F6">
        <w:t>63</w:t>
      </w:r>
      <w:r w:rsidRPr="00537304">
        <w:t xml:space="preserve"> deaths have now been registered in North East Lincolnshire with COVID-19 identified as a cause of death, </w:t>
      </w:r>
      <w:r>
        <w:t xml:space="preserve">with </w:t>
      </w:r>
      <w:r w:rsidR="000819F6">
        <w:t>47</w:t>
      </w:r>
      <w:r w:rsidRPr="00537304">
        <w:t xml:space="preserve"> be</w:t>
      </w:r>
      <w:r>
        <w:t>ing</w:t>
      </w:r>
      <w:r w:rsidRPr="00537304">
        <w:t xml:space="preserve"> North East Lincolnshire residents and 1</w:t>
      </w:r>
      <w:r w:rsidR="000819F6">
        <w:t>6</w:t>
      </w:r>
      <w:r w:rsidRPr="00537304">
        <w:t xml:space="preserve"> be</w:t>
      </w:r>
      <w:r>
        <w:t>ing</w:t>
      </w:r>
      <w:r w:rsidRPr="00537304">
        <w:t xml:space="preserve"> residents of other local authorities.  It is believed that a further three deaths of North East Lincolnshire residents have been registered elsewhere.</w:t>
      </w:r>
    </w:p>
    <w:p w14:paraId="6C2DA15D" w14:textId="77777777" w:rsidR="00145FE6" w:rsidRPr="00537304" w:rsidRDefault="00145FE6" w:rsidP="00145FE6">
      <w:pPr>
        <w:spacing w:after="0"/>
        <w:jc w:val="both"/>
      </w:pPr>
    </w:p>
    <w:p w14:paraId="2D945F5A" w14:textId="4148407F" w:rsidR="00145FE6" w:rsidRPr="00856EB6" w:rsidRDefault="00145FE6" w:rsidP="00145FE6">
      <w:pPr>
        <w:spacing w:after="0"/>
        <w:jc w:val="both"/>
      </w:pPr>
      <w:r w:rsidRPr="00856EB6">
        <w:t>In North East Lincolnshire there have been no deaths registered in children.</w:t>
      </w:r>
      <w:r w:rsidR="00B354D7">
        <w:t xml:space="preserve"> </w:t>
      </w:r>
      <w:r w:rsidRPr="00856EB6">
        <w:t xml:space="preserve"> </w:t>
      </w:r>
      <w:r w:rsidR="00425BB2">
        <w:t>Five</w:t>
      </w:r>
      <w:r w:rsidRPr="00856EB6">
        <w:t xml:space="preserve"> deaths were of people aged under 60</w:t>
      </w:r>
      <w:r>
        <w:t xml:space="preserve"> years</w:t>
      </w:r>
      <w:r w:rsidRPr="00856EB6">
        <w:t>,</w:t>
      </w:r>
      <w:r w:rsidR="004726B9">
        <w:t xml:space="preserve"> </w:t>
      </w:r>
      <w:r w:rsidR="008F242A">
        <w:t xml:space="preserve">a third of deaths have been in people in their seventies and 54% have occurred in people </w:t>
      </w:r>
      <w:r>
        <w:t xml:space="preserve">aged </w:t>
      </w:r>
      <w:r w:rsidRPr="00856EB6">
        <w:t>over 80 years</w:t>
      </w:r>
      <w:r w:rsidR="004C7C89">
        <w:t>.</w:t>
      </w:r>
    </w:p>
    <w:p w14:paraId="301ACF32" w14:textId="77777777" w:rsidR="00145FE6" w:rsidRDefault="00145FE6" w:rsidP="00145FE6">
      <w:pPr>
        <w:spacing w:after="0"/>
        <w:jc w:val="both"/>
      </w:pPr>
    </w:p>
    <w:sectPr w:rsidR="00145FE6" w:rsidSect="00380A02">
      <w:headerReference w:type="default" r:id="rId19"/>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2A11D" w14:textId="77777777" w:rsidR="003E3B6C" w:rsidRDefault="003E3B6C" w:rsidP="00EA5E06">
      <w:pPr>
        <w:spacing w:after="0" w:line="240" w:lineRule="auto"/>
      </w:pPr>
      <w:r>
        <w:separator/>
      </w:r>
    </w:p>
  </w:endnote>
  <w:endnote w:type="continuationSeparator" w:id="0">
    <w:p w14:paraId="01D2C464" w14:textId="77777777" w:rsidR="003E3B6C" w:rsidRDefault="003E3B6C" w:rsidP="00EA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1797" w14:textId="1CF0DB20" w:rsidR="00D00DA9" w:rsidRDefault="00E40AB7" w:rsidP="004E49BF">
    <w:pPr>
      <w:pStyle w:val="Footer"/>
    </w:pPr>
    <w:r>
      <w:t>PUBLIC</w:t>
    </w:r>
    <w:r w:rsidR="004E49BF">
      <w:tab/>
    </w:r>
    <w:r w:rsidR="003D22CC">
      <w:tab/>
    </w:r>
    <w:r w:rsidR="004E49BF">
      <w:tab/>
    </w:r>
    <w:sdt>
      <w:sdtPr>
        <w:id w:val="2057739483"/>
        <w:docPartObj>
          <w:docPartGallery w:val="Page Numbers (Bottom of Page)"/>
          <w:docPartUnique/>
        </w:docPartObj>
      </w:sdtPr>
      <w:sdtEndPr>
        <w:rPr>
          <w:noProof/>
        </w:rPr>
      </w:sdtEndPr>
      <w:sdtContent>
        <w:r w:rsidR="00D00DA9">
          <w:fldChar w:fldCharType="begin"/>
        </w:r>
        <w:r w:rsidR="00D00DA9">
          <w:instrText xml:space="preserve"> PAGE   \* MERGEFORMAT </w:instrText>
        </w:r>
        <w:r w:rsidR="00D00DA9">
          <w:fldChar w:fldCharType="separate"/>
        </w:r>
        <w:r w:rsidR="00D00DA9">
          <w:rPr>
            <w:noProof/>
          </w:rPr>
          <w:t>2</w:t>
        </w:r>
        <w:r w:rsidR="00D00D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C1143" w14:textId="77777777" w:rsidR="003E3B6C" w:rsidRDefault="003E3B6C" w:rsidP="00EA5E06">
      <w:pPr>
        <w:spacing w:after="0" w:line="240" w:lineRule="auto"/>
      </w:pPr>
      <w:r>
        <w:separator/>
      </w:r>
    </w:p>
  </w:footnote>
  <w:footnote w:type="continuationSeparator" w:id="0">
    <w:p w14:paraId="5BD0396C" w14:textId="77777777" w:rsidR="003E3B6C" w:rsidRDefault="003E3B6C" w:rsidP="00EA5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2432" w14:textId="6F22281B" w:rsidR="007B6A93" w:rsidRDefault="00E40AB7">
    <w:pPr>
      <w:pStyle w:val="Header"/>
    </w:pPr>
    <w: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C6680"/>
    <w:multiLevelType w:val="hybridMultilevel"/>
    <w:tmpl w:val="2C2E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0974"/>
    <w:multiLevelType w:val="multilevel"/>
    <w:tmpl w:val="C38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3499B"/>
    <w:multiLevelType w:val="multilevel"/>
    <w:tmpl w:val="EC9E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9F587F"/>
    <w:multiLevelType w:val="hybridMultilevel"/>
    <w:tmpl w:val="B444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42E3C"/>
    <w:multiLevelType w:val="hybridMultilevel"/>
    <w:tmpl w:val="06368B78"/>
    <w:lvl w:ilvl="0" w:tplc="781085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B7607"/>
    <w:multiLevelType w:val="hybridMultilevel"/>
    <w:tmpl w:val="8A2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04971"/>
    <w:multiLevelType w:val="hybridMultilevel"/>
    <w:tmpl w:val="5F0A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01177"/>
    <w:multiLevelType w:val="hybridMultilevel"/>
    <w:tmpl w:val="87E0364E"/>
    <w:lvl w:ilvl="0" w:tplc="CAD25464">
      <w:start w:val="1"/>
      <w:numFmt w:val="bullet"/>
      <w:lvlText w:val="•"/>
      <w:lvlJc w:val="left"/>
      <w:pPr>
        <w:tabs>
          <w:tab w:val="num" w:pos="720"/>
        </w:tabs>
        <w:ind w:left="720" w:hanging="360"/>
      </w:pPr>
      <w:rPr>
        <w:rFonts w:ascii="Arial" w:hAnsi="Arial" w:hint="default"/>
      </w:rPr>
    </w:lvl>
    <w:lvl w:ilvl="1" w:tplc="D09C8D3C" w:tentative="1">
      <w:start w:val="1"/>
      <w:numFmt w:val="bullet"/>
      <w:lvlText w:val="•"/>
      <w:lvlJc w:val="left"/>
      <w:pPr>
        <w:tabs>
          <w:tab w:val="num" w:pos="1440"/>
        </w:tabs>
        <w:ind w:left="1440" w:hanging="360"/>
      </w:pPr>
      <w:rPr>
        <w:rFonts w:ascii="Arial" w:hAnsi="Arial" w:hint="default"/>
      </w:rPr>
    </w:lvl>
    <w:lvl w:ilvl="2" w:tplc="B96C1424" w:tentative="1">
      <w:start w:val="1"/>
      <w:numFmt w:val="bullet"/>
      <w:lvlText w:val="•"/>
      <w:lvlJc w:val="left"/>
      <w:pPr>
        <w:tabs>
          <w:tab w:val="num" w:pos="2160"/>
        </w:tabs>
        <w:ind w:left="2160" w:hanging="360"/>
      </w:pPr>
      <w:rPr>
        <w:rFonts w:ascii="Arial" w:hAnsi="Arial" w:hint="default"/>
      </w:rPr>
    </w:lvl>
    <w:lvl w:ilvl="3" w:tplc="2BCA55AA" w:tentative="1">
      <w:start w:val="1"/>
      <w:numFmt w:val="bullet"/>
      <w:lvlText w:val="•"/>
      <w:lvlJc w:val="left"/>
      <w:pPr>
        <w:tabs>
          <w:tab w:val="num" w:pos="2880"/>
        </w:tabs>
        <w:ind w:left="2880" w:hanging="360"/>
      </w:pPr>
      <w:rPr>
        <w:rFonts w:ascii="Arial" w:hAnsi="Arial" w:hint="default"/>
      </w:rPr>
    </w:lvl>
    <w:lvl w:ilvl="4" w:tplc="EAB8552C" w:tentative="1">
      <w:start w:val="1"/>
      <w:numFmt w:val="bullet"/>
      <w:lvlText w:val="•"/>
      <w:lvlJc w:val="left"/>
      <w:pPr>
        <w:tabs>
          <w:tab w:val="num" w:pos="3600"/>
        </w:tabs>
        <w:ind w:left="3600" w:hanging="360"/>
      </w:pPr>
      <w:rPr>
        <w:rFonts w:ascii="Arial" w:hAnsi="Arial" w:hint="default"/>
      </w:rPr>
    </w:lvl>
    <w:lvl w:ilvl="5" w:tplc="F0B03758" w:tentative="1">
      <w:start w:val="1"/>
      <w:numFmt w:val="bullet"/>
      <w:lvlText w:val="•"/>
      <w:lvlJc w:val="left"/>
      <w:pPr>
        <w:tabs>
          <w:tab w:val="num" w:pos="4320"/>
        </w:tabs>
        <w:ind w:left="4320" w:hanging="360"/>
      </w:pPr>
      <w:rPr>
        <w:rFonts w:ascii="Arial" w:hAnsi="Arial" w:hint="default"/>
      </w:rPr>
    </w:lvl>
    <w:lvl w:ilvl="6" w:tplc="7E529054" w:tentative="1">
      <w:start w:val="1"/>
      <w:numFmt w:val="bullet"/>
      <w:lvlText w:val="•"/>
      <w:lvlJc w:val="left"/>
      <w:pPr>
        <w:tabs>
          <w:tab w:val="num" w:pos="5040"/>
        </w:tabs>
        <w:ind w:left="5040" w:hanging="360"/>
      </w:pPr>
      <w:rPr>
        <w:rFonts w:ascii="Arial" w:hAnsi="Arial" w:hint="default"/>
      </w:rPr>
    </w:lvl>
    <w:lvl w:ilvl="7" w:tplc="5AE68A1C" w:tentative="1">
      <w:start w:val="1"/>
      <w:numFmt w:val="bullet"/>
      <w:lvlText w:val="•"/>
      <w:lvlJc w:val="left"/>
      <w:pPr>
        <w:tabs>
          <w:tab w:val="num" w:pos="5760"/>
        </w:tabs>
        <w:ind w:left="5760" w:hanging="360"/>
      </w:pPr>
      <w:rPr>
        <w:rFonts w:ascii="Arial" w:hAnsi="Arial" w:hint="default"/>
      </w:rPr>
    </w:lvl>
    <w:lvl w:ilvl="8" w:tplc="C5946F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A0"/>
    <w:rsid w:val="000025BC"/>
    <w:rsid w:val="0000373D"/>
    <w:rsid w:val="000070F6"/>
    <w:rsid w:val="00007BC9"/>
    <w:rsid w:val="00013E06"/>
    <w:rsid w:val="00014970"/>
    <w:rsid w:val="000166C0"/>
    <w:rsid w:val="00022714"/>
    <w:rsid w:val="00023CBC"/>
    <w:rsid w:val="00025670"/>
    <w:rsid w:val="000265D3"/>
    <w:rsid w:val="00031D2B"/>
    <w:rsid w:val="00033C32"/>
    <w:rsid w:val="00034685"/>
    <w:rsid w:val="00036537"/>
    <w:rsid w:val="00040ECB"/>
    <w:rsid w:val="00042BFB"/>
    <w:rsid w:val="0005264F"/>
    <w:rsid w:val="000549A9"/>
    <w:rsid w:val="00061D59"/>
    <w:rsid w:val="00062474"/>
    <w:rsid w:val="0007036D"/>
    <w:rsid w:val="00070D24"/>
    <w:rsid w:val="000724F7"/>
    <w:rsid w:val="00076843"/>
    <w:rsid w:val="0008115C"/>
    <w:rsid w:val="000819F6"/>
    <w:rsid w:val="000855CC"/>
    <w:rsid w:val="000860AB"/>
    <w:rsid w:val="000910D7"/>
    <w:rsid w:val="00092105"/>
    <w:rsid w:val="000927B1"/>
    <w:rsid w:val="00092A8D"/>
    <w:rsid w:val="00094015"/>
    <w:rsid w:val="00097864"/>
    <w:rsid w:val="000978FB"/>
    <w:rsid w:val="000A13C6"/>
    <w:rsid w:val="000A1574"/>
    <w:rsid w:val="000A19ED"/>
    <w:rsid w:val="000A3BE8"/>
    <w:rsid w:val="000A41EC"/>
    <w:rsid w:val="000A5828"/>
    <w:rsid w:val="000A58CE"/>
    <w:rsid w:val="000A5C1A"/>
    <w:rsid w:val="000A7D81"/>
    <w:rsid w:val="000B1199"/>
    <w:rsid w:val="000B32AB"/>
    <w:rsid w:val="000B5B2A"/>
    <w:rsid w:val="000C1470"/>
    <w:rsid w:val="000C160E"/>
    <w:rsid w:val="000C2A41"/>
    <w:rsid w:val="000C4EE4"/>
    <w:rsid w:val="000C4F98"/>
    <w:rsid w:val="000C77BE"/>
    <w:rsid w:val="000D1B38"/>
    <w:rsid w:val="000D4070"/>
    <w:rsid w:val="000D6060"/>
    <w:rsid w:val="000E1BBD"/>
    <w:rsid w:val="000E1BD5"/>
    <w:rsid w:val="000E5281"/>
    <w:rsid w:val="000E7F26"/>
    <w:rsid w:val="000F1ACA"/>
    <w:rsid w:val="000F7E2D"/>
    <w:rsid w:val="00100C00"/>
    <w:rsid w:val="00115E1B"/>
    <w:rsid w:val="00124E3E"/>
    <w:rsid w:val="00126115"/>
    <w:rsid w:val="0013561B"/>
    <w:rsid w:val="00136278"/>
    <w:rsid w:val="00137F85"/>
    <w:rsid w:val="00140A42"/>
    <w:rsid w:val="00140D22"/>
    <w:rsid w:val="00144EFE"/>
    <w:rsid w:val="00145FE6"/>
    <w:rsid w:val="00171800"/>
    <w:rsid w:val="00174D67"/>
    <w:rsid w:val="00175B3E"/>
    <w:rsid w:val="00176343"/>
    <w:rsid w:val="00176F4C"/>
    <w:rsid w:val="00183D35"/>
    <w:rsid w:val="00187263"/>
    <w:rsid w:val="001903B2"/>
    <w:rsid w:val="00191386"/>
    <w:rsid w:val="00192201"/>
    <w:rsid w:val="00192218"/>
    <w:rsid w:val="001961CE"/>
    <w:rsid w:val="001A0052"/>
    <w:rsid w:val="001A0616"/>
    <w:rsid w:val="001A2E54"/>
    <w:rsid w:val="001A4535"/>
    <w:rsid w:val="001A78E5"/>
    <w:rsid w:val="001B227A"/>
    <w:rsid w:val="001C41D9"/>
    <w:rsid w:val="001D0DAE"/>
    <w:rsid w:val="001D146B"/>
    <w:rsid w:val="001D438C"/>
    <w:rsid w:val="001E687D"/>
    <w:rsid w:val="00201FF9"/>
    <w:rsid w:val="00202325"/>
    <w:rsid w:val="00204DF5"/>
    <w:rsid w:val="002066E7"/>
    <w:rsid w:val="002119CF"/>
    <w:rsid w:val="00213C15"/>
    <w:rsid w:val="002167C8"/>
    <w:rsid w:val="00217E6B"/>
    <w:rsid w:val="002218A1"/>
    <w:rsid w:val="002265AD"/>
    <w:rsid w:val="00227ECF"/>
    <w:rsid w:val="0023142A"/>
    <w:rsid w:val="00233D07"/>
    <w:rsid w:val="002351FC"/>
    <w:rsid w:val="002428C6"/>
    <w:rsid w:val="002434C4"/>
    <w:rsid w:val="002571AC"/>
    <w:rsid w:val="00262AF2"/>
    <w:rsid w:val="0026587B"/>
    <w:rsid w:val="00266318"/>
    <w:rsid w:val="00266D40"/>
    <w:rsid w:val="00271594"/>
    <w:rsid w:val="002778BF"/>
    <w:rsid w:val="00282C3F"/>
    <w:rsid w:val="00282D4D"/>
    <w:rsid w:val="00284951"/>
    <w:rsid w:val="0028535D"/>
    <w:rsid w:val="00286B3F"/>
    <w:rsid w:val="00286FEC"/>
    <w:rsid w:val="00287878"/>
    <w:rsid w:val="00290F3D"/>
    <w:rsid w:val="00292AD1"/>
    <w:rsid w:val="002A16DD"/>
    <w:rsid w:val="002A2891"/>
    <w:rsid w:val="002A6D11"/>
    <w:rsid w:val="002A7E66"/>
    <w:rsid w:val="002B1862"/>
    <w:rsid w:val="002C18BE"/>
    <w:rsid w:val="002C2CAA"/>
    <w:rsid w:val="002C582D"/>
    <w:rsid w:val="002D19A5"/>
    <w:rsid w:val="002E09EC"/>
    <w:rsid w:val="002E7766"/>
    <w:rsid w:val="002F2074"/>
    <w:rsid w:val="002F3F30"/>
    <w:rsid w:val="002F4788"/>
    <w:rsid w:val="002F6EC3"/>
    <w:rsid w:val="00301C73"/>
    <w:rsid w:val="00306FD5"/>
    <w:rsid w:val="00313935"/>
    <w:rsid w:val="00316A56"/>
    <w:rsid w:val="00317584"/>
    <w:rsid w:val="00321C8A"/>
    <w:rsid w:val="00327C85"/>
    <w:rsid w:val="00327E63"/>
    <w:rsid w:val="003301A1"/>
    <w:rsid w:val="00337773"/>
    <w:rsid w:val="00343800"/>
    <w:rsid w:val="003442B6"/>
    <w:rsid w:val="00344EB2"/>
    <w:rsid w:val="00351E5E"/>
    <w:rsid w:val="00353331"/>
    <w:rsid w:val="003700B5"/>
    <w:rsid w:val="00380A02"/>
    <w:rsid w:val="0038232F"/>
    <w:rsid w:val="00383D06"/>
    <w:rsid w:val="0038724B"/>
    <w:rsid w:val="003876F3"/>
    <w:rsid w:val="00390BA4"/>
    <w:rsid w:val="003914A0"/>
    <w:rsid w:val="003A0337"/>
    <w:rsid w:val="003A319D"/>
    <w:rsid w:val="003A3F7F"/>
    <w:rsid w:val="003A4BC4"/>
    <w:rsid w:val="003A7E98"/>
    <w:rsid w:val="003B0789"/>
    <w:rsid w:val="003B321A"/>
    <w:rsid w:val="003C10BD"/>
    <w:rsid w:val="003D22CC"/>
    <w:rsid w:val="003E0846"/>
    <w:rsid w:val="003E1E59"/>
    <w:rsid w:val="003E3B6C"/>
    <w:rsid w:val="003E647F"/>
    <w:rsid w:val="003E6B5A"/>
    <w:rsid w:val="003E6C2F"/>
    <w:rsid w:val="003F14E7"/>
    <w:rsid w:val="003F618F"/>
    <w:rsid w:val="00411D12"/>
    <w:rsid w:val="00412A85"/>
    <w:rsid w:val="004156EA"/>
    <w:rsid w:val="0042180A"/>
    <w:rsid w:val="00424042"/>
    <w:rsid w:val="00425BB2"/>
    <w:rsid w:val="00425DFA"/>
    <w:rsid w:val="00426214"/>
    <w:rsid w:val="004302EC"/>
    <w:rsid w:val="00442E63"/>
    <w:rsid w:val="00446915"/>
    <w:rsid w:val="0044723F"/>
    <w:rsid w:val="004536FE"/>
    <w:rsid w:val="00457FA4"/>
    <w:rsid w:val="0046199D"/>
    <w:rsid w:val="00465B2A"/>
    <w:rsid w:val="004726B9"/>
    <w:rsid w:val="0048033E"/>
    <w:rsid w:val="004818BA"/>
    <w:rsid w:val="00482A5E"/>
    <w:rsid w:val="00491DA9"/>
    <w:rsid w:val="004920BD"/>
    <w:rsid w:val="004971A7"/>
    <w:rsid w:val="00497571"/>
    <w:rsid w:val="0049773A"/>
    <w:rsid w:val="00497D4C"/>
    <w:rsid w:val="004A00B0"/>
    <w:rsid w:val="004A3D02"/>
    <w:rsid w:val="004B21A3"/>
    <w:rsid w:val="004B5BD5"/>
    <w:rsid w:val="004C1C55"/>
    <w:rsid w:val="004C7C89"/>
    <w:rsid w:val="004D20B9"/>
    <w:rsid w:val="004D3B3B"/>
    <w:rsid w:val="004E23A9"/>
    <w:rsid w:val="004E49BF"/>
    <w:rsid w:val="004F1BED"/>
    <w:rsid w:val="004F598E"/>
    <w:rsid w:val="00504362"/>
    <w:rsid w:val="00510A6C"/>
    <w:rsid w:val="0051187C"/>
    <w:rsid w:val="00515362"/>
    <w:rsid w:val="005275E2"/>
    <w:rsid w:val="005313B6"/>
    <w:rsid w:val="00535F37"/>
    <w:rsid w:val="00537304"/>
    <w:rsid w:val="0054095F"/>
    <w:rsid w:val="00541FCE"/>
    <w:rsid w:val="0054429B"/>
    <w:rsid w:val="00547641"/>
    <w:rsid w:val="005579F5"/>
    <w:rsid w:val="005633AB"/>
    <w:rsid w:val="00566BAB"/>
    <w:rsid w:val="005717DD"/>
    <w:rsid w:val="005764BE"/>
    <w:rsid w:val="00577009"/>
    <w:rsid w:val="00577014"/>
    <w:rsid w:val="005775D5"/>
    <w:rsid w:val="00577965"/>
    <w:rsid w:val="0058228E"/>
    <w:rsid w:val="00584AB4"/>
    <w:rsid w:val="005864D5"/>
    <w:rsid w:val="0059302C"/>
    <w:rsid w:val="00594650"/>
    <w:rsid w:val="005A7365"/>
    <w:rsid w:val="005B7EF5"/>
    <w:rsid w:val="005C0ADA"/>
    <w:rsid w:val="005C665B"/>
    <w:rsid w:val="005D0219"/>
    <w:rsid w:val="005D0C6F"/>
    <w:rsid w:val="005D3959"/>
    <w:rsid w:val="005D4FB8"/>
    <w:rsid w:val="005D7C69"/>
    <w:rsid w:val="005E1C5E"/>
    <w:rsid w:val="005F2BF6"/>
    <w:rsid w:val="005F4A65"/>
    <w:rsid w:val="005F5DE6"/>
    <w:rsid w:val="005F6056"/>
    <w:rsid w:val="0060131F"/>
    <w:rsid w:val="00604CBE"/>
    <w:rsid w:val="00614B65"/>
    <w:rsid w:val="00616393"/>
    <w:rsid w:val="00616D14"/>
    <w:rsid w:val="00624481"/>
    <w:rsid w:val="0063064D"/>
    <w:rsid w:val="00630E59"/>
    <w:rsid w:val="00631D4E"/>
    <w:rsid w:val="00635660"/>
    <w:rsid w:val="00636DE5"/>
    <w:rsid w:val="00647B56"/>
    <w:rsid w:val="0065610E"/>
    <w:rsid w:val="00661B3C"/>
    <w:rsid w:val="00664EE1"/>
    <w:rsid w:val="006779AF"/>
    <w:rsid w:val="00677C02"/>
    <w:rsid w:val="00680060"/>
    <w:rsid w:val="00681D6D"/>
    <w:rsid w:val="00683B79"/>
    <w:rsid w:val="00691515"/>
    <w:rsid w:val="00694D0D"/>
    <w:rsid w:val="006A642F"/>
    <w:rsid w:val="006A7016"/>
    <w:rsid w:val="006B20DE"/>
    <w:rsid w:val="006B2CD8"/>
    <w:rsid w:val="006B3C59"/>
    <w:rsid w:val="006B5A3D"/>
    <w:rsid w:val="006C68C3"/>
    <w:rsid w:val="006D0427"/>
    <w:rsid w:val="006D2174"/>
    <w:rsid w:val="006E1B08"/>
    <w:rsid w:val="006E2D26"/>
    <w:rsid w:val="006E6B36"/>
    <w:rsid w:val="00705C66"/>
    <w:rsid w:val="007112B4"/>
    <w:rsid w:val="007153A4"/>
    <w:rsid w:val="00716647"/>
    <w:rsid w:val="0071706C"/>
    <w:rsid w:val="007206B4"/>
    <w:rsid w:val="00720A0A"/>
    <w:rsid w:val="00721157"/>
    <w:rsid w:val="0072122C"/>
    <w:rsid w:val="007212CD"/>
    <w:rsid w:val="00722B7B"/>
    <w:rsid w:val="007352E3"/>
    <w:rsid w:val="007414E5"/>
    <w:rsid w:val="007477FD"/>
    <w:rsid w:val="00750626"/>
    <w:rsid w:val="0075121A"/>
    <w:rsid w:val="00752C97"/>
    <w:rsid w:val="0075426B"/>
    <w:rsid w:val="00761769"/>
    <w:rsid w:val="00762508"/>
    <w:rsid w:val="0078461F"/>
    <w:rsid w:val="00785B2A"/>
    <w:rsid w:val="0079335B"/>
    <w:rsid w:val="0079429F"/>
    <w:rsid w:val="007955C7"/>
    <w:rsid w:val="00795A8C"/>
    <w:rsid w:val="007A1122"/>
    <w:rsid w:val="007A399D"/>
    <w:rsid w:val="007A70BC"/>
    <w:rsid w:val="007B1C58"/>
    <w:rsid w:val="007B3B3E"/>
    <w:rsid w:val="007B6A93"/>
    <w:rsid w:val="007C03A0"/>
    <w:rsid w:val="007D055D"/>
    <w:rsid w:val="007D6543"/>
    <w:rsid w:val="007D6D0D"/>
    <w:rsid w:val="007E4842"/>
    <w:rsid w:val="007E54A0"/>
    <w:rsid w:val="007E786D"/>
    <w:rsid w:val="007F1EC2"/>
    <w:rsid w:val="007F29BD"/>
    <w:rsid w:val="007F31FE"/>
    <w:rsid w:val="007F512F"/>
    <w:rsid w:val="007F7D38"/>
    <w:rsid w:val="00804493"/>
    <w:rsid w:val="008044CE"/>
    <w:rsid w:val="008053ED"/>
    <w:rsid w:val="00805534"/>
    <w:rsid w:val="00815047"/>
    <w:rsid w:val="0081547A"/>
    <w:rsid w:val="00824701"/>
    <w:rsid w:val="00824A13"/>
    <w:rsid w:val="00824ACF"/>
    <w:rsid w:val="00826482"/>
    <w:rsid w:val="0083183D"/>
    <w:rsid w:val="00832C21"/>
    <w:rsid w:val="00833184"/>
    <w:rsid w:val="0083631F"/>
    <w:rsid w:val="0083646A"/>
    <w:rsid w:val="0084231B"/>
    <w:rsid w:val="008428BB"/>
    <w:rsid w:val="008444A1"/>
    <w:rsid w:val="00845565"/>
    <w:rsid w:val="00850238"/>
    <w:rsid w:val="008561A7"/>
    <w:rsid w:val="00856C6C"/>
    <w:rsid w:val="00856EB6"/>
    <w:rsid w:val="008626CA"/>
    <w:rsid w:val="00862772"/>
    <w:rsid w:val="00866559"/>
    <w:rsid w:val="00871622"/>
    <w:rsid w:val="008717D4"/>
    <w:rsid w:val="0088037E"/>
    <w:rsid w:val="00880E9B"/>
    <w:rsid w:val="00884B6C"/>
    <w:rsid w:val="008864D8"/>
    <w:rsid w:val="00890870"/>
    <w:rsid w:val="00890BE8"/>
    <w:rsid w:val="008937EC"/>
    <w:rsid w:val="00894987"/>
    <w:rsid w:val="008976C6"/>
    <w:rsid w:val="008A1EF3"/>
    <w:rsid w:val="008A250C"/>
    <w:rsid w:val="008A5B2B"/>
    <w:rsid w:val="008A6689"/>
    <w:rsid w:val="008A6D2A"/>
    <w:rsid w:val="008A7778"/>
    <w:rsid w:val="008B3697"/>
    <w:rsid w:val="008B5F14"/>
    <w:rsid w:val="008C59ED"/>
    <w:rsid w:val="008D480B"/>
    <w:rsid w:val="008D67ED"/>
    <w:rsid w:val="008E57CF"/>
    <w:rsid w:val="008F123E"/>
    <w:rsid w:val="008F242A"/>
    <w:rsid w:val="009047F9"/>
    <w:rsid w:val="009149C8"/>
    <w:rsid w:val="00920659"/>
    <w:rsid w:val="0092408F"/>
    <w:rsid w:val="00925006"/>
    <w:rsid w:val="00927895"/>
    <w:rsid w:val="00934668"/>
    <w:rsid w:val="009355FD"/>
    <w:rsid w:val="009409E6"/>
    <w:rsid w:val="00952F00"/>
    <w:rsid w:val="00954565"/>
    <w:rsid w:val="0095499B"/>
    <w:rsid w:val="00957A04"/>
    <w:rsid w:val="00964F66"/>
    <w:rsid w:val="0096724F"/>
    <w:rsid w:val="00970758"/>
    <w:rsid w:val="00980FC4"/>
    <w:rsid w:val="00984A6E"/>
    <w:rsid w:val="009955C1"/>
    <w:rsid w:val="009A0A14"/>
    <w:rsid w:val="009A6A71"/>
    <w:rsid w:val="009B1D2C"/>
    <w:rsid w:val="009B44F5"/>
    <w:rsid w:val="009B59E0"/>
    <w:rsid w:val="009B68AF"/>
    <w:rsid w:val="009B7C34"/>
    <w:rsid w:val="009E30C7"/>
    <w:rsid w:val="009E3F43"/>
    <w:rsid w:val="009F4B64"/>
    <w:rsid w:val="00A05FA0"/>
    <w:rsid w:val="00A141FF"/>
    <w:rsid w:val="00A1480E"/>
    <w:rsid w:val="00A20920"/>
    <w:rsid w:val="00A24E8D"/>
    <w:rsid w:val="00A27A67"/>
    <w:rsid w:val="00A30DF1"/>
    <w:rsid w:val="00A32E08"/>
    <w:rsid w:val="00A33089"/>
    <w:rsid w:val="00A33B32"/>
    <w:rsid w:val="00A34C1A"/>
    <w:rsid w:val="00A35E61"/>
    <w:rsid w:val="00A3770B"/>
    <w:rsid w:val="00A43DFB"/>
    <w:rsid w:val="00A45C3A"/>
    <w:rsid w:val="00A50265"/>
    <w:rsid w:val="00A53F63"/>
    <w:rsid w:val="00A53F6B"/>
    <w:rsid w:val="00A6260C"/>
    <w:rsid w:val="00A629DB"/>
    <w:rsid w:val="00A6580E"/>
    <w:rsid w:val="00A74005"/>
    <w:rsid w:val="00A7577D"/>
    <w:rsid w:val="00A75819"/>
    <w:rsid w:val="00A76E46"/>
    <w:rsid w:val="00A80EA9"/>
    <w:rsid w:val="00A83AD1"/>
    <w:rsid w:val="00A84EB0"/>
    <w:rsid w:val="00AA0963"/>
    <w:rsid w:val="00AA5795"/>
    <w:rsid w:val="00AA7B5A"/>
    <w:rsid w:val="00AB19C8"/>
    <w:rsid w:val="00AB2E54"/>
    <w:rsid w:val="00AB3797"/>
    <w:rsid w:val="00AC0061"/>
    <w:rsid w:val="00AC7A2E"/>
    <w:rsid w:val="00AD00D7"/>
    <w:rsid w:val="00AD1328"/>
    <w:rsid w:val="00AD753F"/>
    <w:rsid w:val="00AE24B8"/>
    <w:rsid w:val="00AF1015"/>
    <w:rsid w:val="00AF1944"/>
    <w:rsid w:val="00AF36B9"/>
    <w:rsid w:val="00AF3F66"/>
    <w:rsid w:val="00AF591C"/>
    <w:rsid w:val="00AF59C4"/>
    <w:rsid w:val="00B00ECC"/>
    <w:rsid w:val="00B10A34"/>
    <w:rsid w:val="00B12110"/>
    <w:rsid w:val="00B13312"/>
    <w:rsid w:val="00B1594A"/>
    <w:rsid w:val="00B2528C"/>
    <w:rsid w:val="00B26D16"/>
    <w:rsid w:val="00B314BE"/>
    <w:rsid w:val="00B341FD"/>
    <w:rsid w:val="00B34D54"/>
    <w:rsid w:val="00B354D7"/>
    <w:rsid w:val="00B36B22"/>
    <w:rsid w:val="00B43657"/>
    <w:rsid w:val="00B458A6"/>
    <w:rsid w:val="00B45F11"/>
    <w:rsid w:val="00B50A9A"/>
    <w:rsid w:val="00B546FB"/>
    <w:rsid w:val="00B56E92"/>
    <w:rsid w:val="00B57F0D"/>
    <w:rsid w:val="00B64E91"/>
    <w:rsid w:val="00B665F2"/>
    <w:rsid w:val="00B669CF"/>
    <w:rsid w:val="00B676D0"/>
    <w:rsid w:val="00B75CDD"/>
    <w:rsid w:val="00B77DD2"/>
    <w:rsid w:val="00B837C5"/>
    <w:rsid w:val="00B83C5B"/>
    <w:rsid w:val="00BA1BC0"/>
    <w:rsid w:val="00BB0C45"/>
    <w:rsid w:val="00BC05D7"/>
    <w:rsid w:val="00BC6CAE"/>
    <w:rsid w:val="00BD00D0"/>
    <w:rsid w:val="00BD0800"/>
    <w:rsid w:val="00BE0535"/>
    <w:rsid w:val="00BE334D"/>
    <w:rsid w:val="00BE5EE7"/>
    <w:rsid w:val="00BE722E"/>
    <w:rsid w:val="00C001B7"/>
    <w:rsid w:val="00C02E3C"/>
    <w:rsid w:val="00C12232"/>
    <w:rsid w:val="00C12B0E"/>
    <w:rsid w:val="00C15C37"/>
    <w:rsid w:val="00C206F6"/>
    <w:rsid w:val="00C20C6D"/>
    <w:rsid w:val="00C23BAF"/>
    <w:rsid w:val="00C25368"/>
    <w:rsid w:val="00C25993"/>
    <w:rsid w:val="00C25A57"/>
    <w:rsid w:val="00C27DF0"/>
    <w:rsid w:val="00C321BC"/>
    <w:rsid w:val="00C33EBF"/>
    <w:rsid w:val="00C4139E"/>
    <w:rsid w:val="00C52699"/>
    <w:rsid w:val="00C57FED"/>
    <w:rsid w:val="00C66DC4"/>
    <w:rsid w:val="00C707B9"/>
    <w:rsid w:val="00C73FE6"/>
    <w:rsid w:val="00C7737A"/>
    <w:rsid w:val="00C82ACD"/>
    <w:rsid w:val="00C83E85"/>
    <w:rsid w:val="00C84564"/>
    <w:rsid w:val="00C91539"/>
    <w:rsid w:val="00CA23FA"/>
    <w:rsid w:val="00CA6029"/>
    <w:rsid w:val="00CB42C1"/>
    <w:rsid w:val="00CC1D09"/>
    <w:rsid w:val="00CC768D"/>
    <w:rsid w:val="00CD786F"/>
    <w:rsid w:val="00CE2034"/>
    <w:rsid w:val="00CE6480"/>
    <w:rsid w:val="00CE6DE0"/>
    <w:rsid w:val="00CE79B8"/>
    <w:rsid w:val="00CF37CA"/>
    <w:rsid w:val="00D00DA9"/>
    <w:rsid w:val="00D1248D"/>
    <w:rsid w:val="00D15863"/>
    <w:rsid w:val="00D21AFB"/>
    <w:rsid w:val="00D21B63"/>
    <w:rsid w:val="00D3105D"/>
    <w:rsid w:val="00D32C5A"/>
    <w:rsid w:val="00D366E0"/>
    <w:rsid w:val="00D409BD"/>
    <w:rsid w:val="00D44D85"/>
    <w:rsid w:val="00D47B94"/>
    <w:rsid w:val="00D53AC8"/>
    <w:rsid w:val="00D55215"/>
    <w:rsid w:val="00D56CCB"/>
    <w:rsid w:val="00D610E9"/>
    <w:rsid w:val="00D63A94"/>
    <w:rsid w:val="00D661F0"/>
    <w:rsid w:val="00D662BD"/>
    <w:rsid w:val="00D67593"/>
    <w:rsid w:val="00D72B4D"/>
    <w:rsid w:val="00D7345C"/>
    <w:rsid w:val="00D750FF"/>
    <w:rsid w:val="00D81A6E"/>
    <w:rsid w:val="00D82E61"/>
    <w:rsid w:val="00D83740"/>
    <w:rsid w:val="00D93FAB"/>
    <w:rsid w:val="00D97C95"/>
    <w:rsid w:val="00D97DA2"/>
    <w:rsid w:val="00DA08FC"/>
    <w:rsid w:val="00DA35BC"/>
    <w:rsid w:val="00DA4148"/>
    <w:rsid w:val="00DA73E4"/>
    <w:rsid w:val="00DB23AF"/>
    <w:rsid w:val="00DB4BD9"/>
    <w:rsid w:val="00DB6ABE"/>
    <w:rsid w:val="00DC79D0"/>
    <w:rsid w:val="00DD1EDB"/>
    <w:rsid w:val="00DD5546"/>
    <w:rsid w:val="00DD7BA2"/>
    <w:rsid w:val="00DD7D01"/>
    <w:rsid w:val="00DE0254"/>
    <w:rsid w:val="00DE094F"/>
    <w:rsid w:val="00DE633B"/>
    <w:rsid w:val="00DF2F79"/>
    <w:rsid w:val="00E00A82"/>
    <w:rsid w:val="00E04773"/>
    <w:rsid w:val="00E051EF"/>
    <w:rsid w:val="00E0699C"/>
    <w:rsid w:val="00E176D2"/>
    <w:rsid w:val="00E2069E"/>
    <w:rsid w:val="00E315DE"/>
    <w:rsid w:val="00E40AB7"/>
    <w:rsid w:val="00E431AA"/>
    <w:rsid w:val="00E54379"/>
    <w:rsid w:val="00E56237"/>
    <w:rsid w:val="00E60117"/>
    <w:rsid w:val="00E64AC0"/>
    <w:rsid w:val="00E71E91"/>
    <w:rsid w:val="00E73118"/>
    <w:rsid w:val="00E74CD3"/>
    <w:rsid w:val="00E762CC"/>
    <w:rsid w:val="00E77675"/>
    <w:rsid w:val="00E77917"/>
    <w:rsid w:val="00E804EB"/>
    <w:rsid w:val="00E811B0"/>
    <w:rsid w:val="00E81333"/>
    <w:rsid w:val="00E8240D"/>
    <w:rsid w:val="00E829B4"/>
    <w:rsid w:val="00E85A84"/>
    <w:rsid w:val="00E863EC"/>
    <w:rsid w:val="00E87165"/>
    <w:rsid w:val="00E93611"/>
    <w:rsid w:val="00E94784"/>
    <w:rsid w:val="00EA0768"/>
    <w:rsid w:val="00EA20BF"/>
    <w:rsid w:val="00EA28ED"/>
    <w:rsid w:val="00EA2B34"/>
    <w:rsid w:val="00EA5E06"/>
    <w:rsid w:val="00EA7371"/>
    <w:rsid w:val="00EA7490"/>
    <w:rsid w:val="00EC2CD6"/>
    <w:rsid w:val="00EC416B"/>
    <w:rsid w:val="00ED0574"/>
    <w:rsid w:val="00ED2215"/>
    <w:rsid w:val="00ED504C"/>
    <w:rsid w:val="00ED5474"/>
    <w:rsid w:val="00EE78C3"/>
    <w:rsid w:val="00EF46A0"/>
    <w:rsid w:val="00F07416"/>
    <w:rsid w:val="00F127FB"/>
    <w:rsid w:val="00F155C0"/>
    <w:rsid w:val="00F2001A"/>
    <w:rsid w:val="00F2010D"/>
    <w:rsid w:val="00F21685"/>
    <w:rsid w:val="00F21B4D"/>
    <w:rsid w:val="00F27DC6"/>
    <w:rsid w:val="00F34C3C"/>
    <w:rsid w:val="00F433B8"/>
    <w:rsid w:val="00F476C4"/>
    <w:rsid w:val="00F47F80"/>
    <w:rsid w:val="00F5454D"/>
    <w:rsid w:val="00F660B1"/>
    <w:rsid w:val="00F70745"/>
    <w:rsid w:val="00F7390B"/>
    <w:rsid w:val="00F8156E"/>
    <w:rsid w:val="00F81F73"/>
    <w:rsid w:val="00F9362C"/>
    <w:rsid w:val="00FA2347"/>
    <w:rsid w:val="00FA39EF"/>
    <w:rsid w:val="00FB17AA"/>
    <w:rsid w:val="00FB4714"/>
    <w:rsid w:val="00FC0A8D"/>
    <w:rsid w:val="00FC1827"/>
    <w:rsid w:val="00FC322E"/>
    <w:rsid w:val="00FC37B0"/>
    <w:rsid w:val="00FC4A18"/>
    <w:rsid w:val="00FC4DA0"/>
    <w:rsid w:val="00FD0D44"/>
    <w:rsid w:val="00FD141C"/>
    <w:rsid w:val="00FD3305"/>
    <w:rsid w:val="00FE1B9F"/>
    <w:rsid w:val="00FE72B5"/>
    <w:rsid w:val="00FF2CF4"/>
    <w:rsid w:val="00FF5BA9"/>
    <w:rsid w:val="00FF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5B86"/>
  <w15:docId w15:val="{897DEADC-0EF8-40F3-9A6C-CF9D532E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A0"/>
  </w:style>
  <w:style w:type="paragraph" w:styleId="Heading1">
    <w:name w:val="heading 1"/>
    <w:basedOn w:val="Normal"/>
    <w:next w:val="Normal"/>
    <w:link w:val="Heading1Char"/>
    <w:uiPriority w:val="9"/>
    <w:qFormat/>
    <w:rsid w:val="00EF46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46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A0"/>
    <w:rPr>
      <w:rFonts w:ascii="Tahoma" w:hAnsi="Tahoma" w:cs="Tahoma"/>
      <w:sz w:val="16"/>
      <w:szCs w:val="16"/>
    </w:rPr>
  </w:style>
  <w:style w:type="paragraph" w:styleId="Header">
    <w:name w:val="header"/>
    <w:basedOn w:val="Normal"/>
    <w:link w:val="HeaderChar"/>
    <w:uiPriority w:val="99"/>
    <w:unhideWhenUsed/>
    <w:rsid w:val="00EA5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E06"/>
  </w:style>
  <w:style w:type="paragraph" w:styleId="Footer">
    <w:name w:val="footer"/>
    <w:basedOn w:val="Normal"/>
    <w:link w:val="FooterChar"/>
    <w:uiPriority w:val="99"/>
    <w:unhideWhenUsed/>
    <w:rsid w:val="00EA5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E06"/>
  </w:style>
  <w:style w:type="character" w:styleId="Hyperlink">
    <w:name w:val="Hyperlink"/>
    <w:basedOn w:val="DefaultParagraphFont"/>
    <w:uiPriority w:val="99"/>
    <w:unhideWhenUsed/>
    <w:rsid w:val="003700B5"/>
    <w:rPr>
      <w:color w:val="0000FF"/>
      <w:u w:val="single"/>
    </w:rPr>
  </w:style>
  <w:style w:type="paragraph" w:styleId="FootnoteText">
    <w:name w:val="footnote text"/>
    <w:basedOn w:val="Normal"/>
    <w:link w:val="FootnoteTextChar"/>
    <w:uiPriority w:val="99"/>
    <w:semiHidden/>
    <w:unhideWhenUsed/>
    <w:rsid w:val="00231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42A"/>
    <w:rPr>
      <w:sz w:val="20"/>
      <w:szCs w:val="20"/>
    </w:rPr>
  </w:style>
  <w:style w:type="character" w:styleId="FootnoteReference">
    <w:name w:val="footnote reference"/>
    <w:basedOn w:val="DefaultParagraphFont"/>
    <w:uiPriority w:val="99"/>
    <w:semiHidden/>
    <w:unhideWhenUsed/>
    <w:rsid w:val="0023142A"/>
    <w:rPr>
      <w:vertAlign w:val="superscript"/>
    </w:rPr>
  </w:style>
  <w:style w:type="table" w:styleId="TableGrid">
    <w:name w:val="Table Grid"/>
    <w:basedOn w:val="TableNormal"/>
    <w:uiPriority w:val="59"/>
    <w:rsid w:val="00AF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F66"/>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007BC9"/>
    <w:pPr>
      <w:spacing w:after="0" w:line="240" w:lineRule="auto"/>
    </w:pPr>
    <w:rPr>
      <w:i/>
      <w:iCs/>
      <w:color w:val="000000" w:themeColor="text1"/>
      <w:szCs w:val="18"/>
    </w:rPr>
  </w:style>
  <w:style w:type="paragraph" w:styleId="NormalWeb">
    <w:name w:val="Normal (Web)"/>
    <w:basedOn w:val="Normal"/>
    <w:uiPriority w:val="99"/>
    <w:unhideWhenUsed/>
    <w:rsid w:val="00390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27DF0"/>
    <w:rPr>
      <w:color w:val="605E5C"/>
      <w:shd w:val="clear" w:color="auto" w:fill="E1DFDD"/>
    </w:rPr>
  </w:style>
  <w:style w:type="paragraph" w:styleId="BodyText">
    <w:name w:val="Body Text"/>
    <w:basedOn w:val="Normal"/>
    <w:link w:val="BodyTextChar"/>
    <w:qFormat/>
    <w:rsid w:val="000B5B2A"/>
    <w:pPr>
      <w:spacing w:before="180" w:after="180" w:line="240" w:lineRule="auto"/>
    </w:pPr>
    <w:rPr>
      <w:rFonts w:ascii="Arial" w:eastAsiaTheme="minorEastAsia" w:hAnsi="Arial" w:cs="Times New Roman"/>
      <w:szCs w:val="24"/>
      <w:lang w:val="en-US"/>
    </w:rPr>
  </w:style>
  <w:style w:type="character" w:customStyle="1" w:styleId="BodyTextChar">
    <w:name w:val="Body Text Char"/>
    <w:basedOn w:val="DefaultParagraphFont"/>
    <w:link w:val="BodyText"/>
    <w:rsid w:val="000B5B2A"/>
    <w:rPr>
      <w:rFonts w:ascii="Arial" w:eastAsiaTheme="minorEastAsia" w:hAnsi="Arial" w:cs="Times New Roman"/>
      <w:szCs w:val="24"/>
      <w:lang w:val="en-US"/>
    </w:rPr>
  </w:style>
  <w:style w:type="paragraph" w:styleId="ListParagraph">
    <w:name w:val="List Paragraph"/>
    <w:basedOn w:val="Normal"/>
    <w:uiPriority w:val="34"/>
    <w:qFormat/>
    <w:rsid w:val="00AC7A2E"/>
    <w:pPr>
      <w:spacing w:after="160" w:line="259" w:lineRule="auto"/>
      <w:ind w:left="720"/>
      <w:contextualSpacing/>
    </w:pPr>
  </w:style>
  <w:style w:type="table" w:styleId="TableGridLight">
    <w:name w:val="Grid Table Light"/>
    <w:basedOn w:val="TableNormal"/>
    <w:uiPriority w:val="40"/>
    <w:rsid w:val="00DA35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F46A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46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53002">
      <w:bodyDiv w:val="1"/>
      <w:marLeft w:val="0"/>
      <w:marRight w:val="0"/>
      <w:marTop w:val="0"/>
      <w:marBottom w:val="0"/>
      <w:divBdr>
        <w:top w:val="none" w:sz="0" w:space="0" w:color="auto"/>
        <w:left w:val="none" w:sz="0" w:space="0" w:color="auto"/>
        <w:bottom w:val="none" w:sz="0" w:space="0" w:color="auto"/>
        <w:right w:val="none" w:sz="0" w:space="0" w:color="auto"/>
      </w:divBdr>
      <w:divsChild>
        <w:div w:id="1479684657">
          <w:marLeft w:val="0"/>
          <w:marRight w:val="0"/>
          <w:marTop w:val="0"/>
          <w:marBottom w:val="0"/>
          <w:divBdr>
            <w:top w:val="none" w:sz="0" w:space="0" w:color="auto"/>
            <w:left w:val="none" w:sz="0" w:space="0" w:color="auto"/>
            <w:bottom w:val="none" w:sz="0" w:space="0" w:color="auto"/>
            <w:right w:val="none" w:sz="0" w:space="0" w:color="auto"/>
          </w:divBdr>
          <w:divsChild>
            <w:div w:id="479613756">
              <w:marLeft w:val="0"/>
              <w:marRight w:val="0"/>
              <w:marTop w:val="0"/>
              <w:marBottom w:val="0"/>
              <w:divBdr>
                <w:top w:val="none" w:sz="0" w:space="0" w:color="auto"/>
                <w:left w:val="none" w:sz="0" w:space="0" w:color="auto"/>
                <w:bottom w:val="none" w:sz="0" w:space="0" w:color="auto"/>
                <w:right w:val="none" w:sz="0" w:space="0" w:color="auto"/>
              </w:divBdr>
              <w:divsChild>
                <w:div w:id="1631588350">
                  <w:marLeft w:val="0"/>
                  <w:marRight w:val="0"/>
                  <w:marTop w:val="0"/>
                  <w:marBottom w:val="0"/>
                  <w:divBdr>
                    <w:top w:val="none" w:sz="0" w:space="0" w:color="auto"/>
                    <w:left w:val="none" w:sz="0" w:space="0" w:color="auto"/>
                    <w:bottom w:val="none" w:sz="0" w:space="0" w:color="auto"/>
                    <w:right w:val="none" w:sz="0" w:space="0" w:color="auto"/>
                  </w:divBdr>
                  <w:divsChild>
                    <w:div w:id="1762875414">
                      <w:marLeft w:val="0"/>
                      <w:marRight w:val="0"/>
                      <w:marTop w:val="0"/>
                      <w:marBottom w:val="0"/>
                      <w:divBdr>
                        <w:top w:val="none" w:sz="0" w:space="0" w:color="auto"/>
                        <w:left w:val="none" w:sz="0" w:space="0" w:color="auto"/>
                        <w:bottom w:val="none" w:sz="0" w:space="0" w:color="auto"/>
                        <w:right w:val="none" w:sz="0" w:space="0" w:color="auto"/>
                      </w:divBdr>
                      <w:divsChild>
                        <w:div w:id="378406782">
                          <w:marLeft w:val="0"/>
                          <w:marRight w:val="0"/>
                          <w:marTop w:val="0"/>
                          <w:marBottom w:val="0"/>
                          <w:divBdr>
                            <w:top w:val="none" w:sz="0" w:space="0" w:color="auto"/>
                            <w:left w:val="none" w:sz="0" w:space="0" w:color="auto"/>
                            <w:bottom w:val="none" w:sz="0" w:space="0" w:color="auto"/>
                            <w:right w:val="none" w:sz="0" w:space="0" w:color="auto"/>
                          </w:divBdr>
                          <w:divsChild>
                            <w:div w:id="92865750">
                              <w:marLeft w:val="0"/>
                              <w:marRight w:val="0"/>
                              <w:marTop w:val="0"/>
                              <w:marBottom w:val="0"/>
                              <w:divBdr>
                                <w:top w:val="none" w:sz="0" w:space="0" w:color="auto"/>
                                <w:left w:val="none" w:sz="0" w:space="0" w:color="auto"/>
                                <w:bottom w:val="none" w:sz="0" w:space="0" w:color="auto"/>
                                <w:right w:val="none" w:sz="0" w:space="0" w:color="auto"/>
                              </w:divBdr>
                              <w:divsChild>
                                <w:div w:id="870535701">
                                  <w:marLeft w:val="0"/>
                                  <w:marRight w:val="0"/>
                                  <w:marTop w:val="0"/>
                                  <w:marBottom w:val="0"/>
                                  <w:divBdr>
                                    <w:top w:val="none" w:sz="0" w:space="0" w:color="auto"/>
                                    <w:left w:val="none" w:sz="0" w:space="0" w:color="auto"/>
                                    <w:bottom w:val="none" w:sz="0" w:space="0" w:color="auto"/>
                                    <w:right w:val="none" w:sz="0" w:space="0" w:color="auto"/>
                                  </w:divBdr>
                                  <w:divsChild>
                                    <w:div w:id="19981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495779">
      <w:bodyDiv w:val="1"/>
      <w:marLeft w:val="0"/>
      <w:marRight w:val="0"/>
      <w:marTop w:val="0"/>
      <w:marBottom w:val="0"/>
      <w:divBdr>
        <w:top w:val="none" w:sz="0" w:space="0" w:color="auto"/>
        <w:left w:val="none" w:sz="0" w:space="0" w:color="auto"/>
        <w:bottom w:val="none" w:sz="0" w:space="0" w:color="auto"/>
        <w:right w:val="none" w:sz="0" w:space="0" w:color="auto"/>
      </w:divBdr>
    </w:div>
    <w:div w:id="351030262">
      <w:bodyDiv w:val="1"/>
      <w:marLeft w:val="0"/>
      <w:marRight w:val="0"/>
      <w:marTop w:val="0"/>
      <w:marBottom w:val="0"/>
      <w:divBdr>
        <w:top w:val="none" w:sz="0" w:space="0" w:color="auto"/>
        <w:left w:val="none" w:sz="0" w:space="0" w:color="auto"/>
        <w:bottom w:val="none" w:sz="0" w:space="0" w:color="auto"/>
        <w:right w:val="none" w:sz="0" w:space="0" w:color="auto"/>
      </w:divBdr>
    </w:div>
    <w:div w:id="516819348">
      <w:bodyDiv w:val="1"/>
      <w:marLeft w:val="0"/>
      <w:marRight w:val="0"/>
      <w:marTop w:val="0"/>
      <w:marBottom w:val="0"/>
      <w:divBdr>
        <w:top w:val="none" w:sz="0" w:space="0" w:color="auto"/>
        <w:left w:val="none" w:sz="0" w:space="0" w:color="auto"/>
        <w:bottom w:val="none" w:sz="0" w:space="0" w:color="auto"/>
        <w:right w:val="none" w:sz="0" w:space="0" w:color="auto"/>
      </w:divBdr>
      <w:divsChild>
        <w:div w:id="753820154">
          <w:marLeft w:val="0"/>
          <w:marRight w:val="0"/>
          <w:marTop w:val="0"/>
          <w:marBottom w:val="0"/>
          <w:divBdr>
            <w:top w:val="none" w:sz="0" w:space="0" w:color="auto"/>
            <w:left w:val="none" w:sz="0" w:space="0" w:color="auto"/>
            <w:bottom w:val="none" w:sz="0" w:space="0" w:color="auto"/>
            <w:right w:val="none" w:sz="0" w:space="0" w:color="auto"/>
          </w:divBdr>
          <w:divsChild>
            <w:div w:id="21252719">
              <w:marLeft w:val="0"/>
              <w:marRight w:val="0"/>
              <w:marTop w:val="0"/>
              <w:marBottom w:val="0"/>
              <w:divBdr>
                <w:top w:val="none" w:sz="0" w:space="0" w:color="auto"/>
                <w:left w:val="none" w:sz="0" w:space="0" w:color="auto"/>
                <w:bottom w:val="none" w:sz="0" w:space="0" w:color="auto"/>
                <w:right w:val="none" w:sz="0" w:space="0" w:color="auto"/>
              </w:divBdr>
              <w:divsChild>
                <w:div w:id="7432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1227">
          <w:marLeft w:val="0"/>
          <w:marRight w:val="0"/>
          <w:marTop w:val="0"/>
          <w:marBottom w:val="0"/>
          <w:divBdr>
            <w:top w:val="none" w:sz="0" w:space="0" w:color="auto"/>
            <w:left w:val="none" w:sz="0" w:space="0" w:color="auto"/>
            <w:bottom w:val="none" w:sz="0" w:space="0" w:color="auto"/>
            <w:right w:val="none" w:sz="0" w:space="0" w:color="auto"/>
          </w:divBdr>
          <w:divsChild>
            <w:div w:id="16406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3765">
      <w:bodyDiv w:val="1"/>
      <w:marLeft w:val="0"/>
      <w:marRight w:val="0"/>
      <w:marTop w:val="0"/>
      <w:marBottom w:val="0"/>
      <w:divBdr>
        <w:top w:val="none" w:sz="0" w:space="0" w:color="auto"/>
        <w:left w:val="none" w:sz="0" w:space="0" w:color="auto"/>
        <w:bottom w:val="none" w:sz="0" w:space="0" w:color="auto"/>
        <w:right w:val="none" w:sz="0" w:space="0" w:color="auto"/>
      </w:divBdr>
    </w:div>
    <w:div w:id="749544688">
      <w:bodyDiv w:val="1"/>
      <w:marLeft w:val="0"/>
      <w:marRight w:val="0"/>
      <w:marTop w:val="0"/>
      <w:marBottom w:val="0"/>
      <w:divBdr>
        <w:top w:val="none" w:sz="0" w:space="0" w:color="auto"/>
        <w:left w:val="none" w:sz="0" w:space="0" w:color="auto"/>
        <w:bottom w:val="none" w:sz="0" w:space="0" w:color="auto"/>
        <w:right w:val="none" w:sz="0" w:space="0" w:color="auto"/>
      </w:divBdr>
    </w:div>
    <w:div w:id="877740613">
      <w:bodyDiv w:val="1"/>
      <w:marLeft w:val="0"/>
      <w:marRight w:val="0"/>
      <w:marTop w:val="0"/>
      <w:marBottom w:val="0"/>
      <w:divBdr>
        <w:top w:val="none" w:sz="0" w:space="0" w:color="auto"/>
        <w:left w:val="none" w:sz="0" w:space="0" w:color="auto"/>
        <w:bottom w:val="none" w:sz="0" w:space="0" w:color="auto"/>
        <w:right w:val="none" w:sz="0" w:space="0" w:color="auto"/>
      </w:divBdr>
      <w:divsChild>
        <w:div w:id="1497838497">
          <w:marLeft w:val="0"/>
          <w:marRight w:val="0"/>
          <w:marTop w:val="0"/>
          <w:marBottom w:val="0"/>
          <w:divBdr>
            <w:top w:val="none" w:sz="0" w:space="0" w:color="auto"/>
            <w:left w:val="none" w:sz="0" w:space="0" w:color="auto"/>
            <w:bottom w:val="none" w:sz="0" w:space="0" w:color="auto"/>
            <w:right w:val="none" w:sz="0" w:space="0" w:color="auto"/>
          </w:divBdr>
        </w:div>
      </w:divsChild>
    </w:div>
    <w:div w:id="895049731">
      <w:bodyDiv w:val="1"/>
      <w:marLeft w:val="0"/>
      <w:marRight w:val="0"/>
      <w:marTop w:val="0"/>
      <w:marBottom w:val="0"/>
      <w:divBdr>
        <w:top w:val="none" w:sz="0" w:space="0" w:color="auto"/>
        <w:left w:val="none" w:sz="0" w:space="0" w:color="auto"/>
        <w:bottom w:val="none" w:sz="0" w:space="0" w:color="auto"/>
        <w:right w:val="none" w:sz="0" w:space="0" w:color="auto"/>
      </w:divBdr>
      <w:divsChild>
        <w:div w:id="1771924822">
          <w:marLeft w:val="0"/>
          <w:marRight w:val="0"/>
          <w:marTop w:val="0"/>
          <w:marBottom w:val="0"/>
          <w:divBdr>
            <w:top w:val="none" w:sz="0" w:space="0" w:color="auto"/>
            <w:left w:val="none" w:sz="0" w:space="0" w:color="auto"/>
            <w:bottom w:val="none" w:sz="0" w:space="0" w:color="auto"/>
            <w:right w:val="none" w:sz="0" w:space="0" w:color="auto"/>
          </w:divBdr>
        </w:div>
      </w:divsChild>
    </w:div>
    <w:div w:id="907154182">
      <w:bodyDiv w:val="1"/>
      <w:marLeft w:val="0"/>
      <w:marRight w:val="0"/>
      <w:marTop w:val="0"/>
      <w:marBottom w:val="0"/>
      <w:divBdr>
        <w:top w:val="none" w:sz="0" w:space="0" w:color="auto"/>
        <w:left w:val="none" w:sz="0" w:space="0" w:color="auto"/>
        <w:bottom w:val="none" w:sz="0" w:space="0" w:color="auto"/>
        <w:right w:val="none" w:sz="0" w:space="0" w:color="auto"/>
      </w:divBdr>
      <w:divsChild>
        <w:div w:id="16391389">
          <w:marLeft w:val="446"/>
          <w:marRight w:val="0"/>
          <w:marTop w:val="0"/>
          <w:marBottom w:val="0"/>
          <w:divBdr>
            <w:top w:val="none" w:sz="0" w:space="0" w:color="auto"/>
            <w:left w:val="none" w:sz="0" w:space="0" w:color="auto"/>
            <w:bottom w:val="none" w:sz="0" w:space="0" w:color="auto"/>
            <w:right w:val="none" w:sz="0" w:space="0" w:color="auto"/>
          </w:divBdr>
        </w:div>
        <w:div w:id="2146502275">
          <w:marLeft w:val="446"/>
          <w:marRight w:val="0"/>
          <w:marTop w:val="0"/>
          <w:marBottom w:val="0"/>
          <w:divBdr>
            <w:top w:val="none" w:sz="0" w:space="0" w:color="auto"/>
            <w:left w:val="none" w:sz="0" w:space="0" w:color="auto"/>
            <w:bottom w:val="none" w:sz="0" w:space="0" w:color="auto"/>
            <w:right w:val="none" w:sz="0" w:space="0" w:color="auto"/>
          </w:divBdr>
        </w:div>
        <w:div w:id="195626149">
          <w:marLeft w:val="446"/>
          <w:marRight w:val="0"/>
          <w:marTop w:val="0"/>
          <w:marBottom w:val="0"/>
          <w:divBdr>
            <w:top w:val="none" w:sz="0" w:space="0" w:color="auto"/>
            <w:left w:val="none" w:sz="0" w:space="0" w:color="auto"/>
            <w:bottom w:val="none" w:sz="0" w:space="0" w:color="auto"/>
            <w:right w:val="none" w:sz="0" w:space="0" w:color="auto"/>
          </w:divBdr>
        </w:div>
      </w:divsChild>
    </w:div>
    <w:div w:id="926230356">
      <w:bodyDiv w:val="1"/>
      <w:marLeft w:val="0"/>
      <w:marRight w:val="0"/>
      <w:marTop w:val="0"/>
      <w:marBottom w:val="0"/>
      <w:divBdr>
        <w:top w:val="none" w:sz="0" w:space="0" w:color="auto"/>
        <w:left w:val="none" w:sz="0" w:space="0" w:color="auto"/>
        <w:bottom w:val="none" w:sz="0" w:space="0" w:color="auto"/>
        <w:right w:val="none" w:sz="0" w:space="0" w:color="auto"/>
      </w:divBdr>
    </w:div>
    <w:div w:id="1023944565">
      <w:bodyDiv w:val="1"/>
      <w:marLeft w:val="0"/>
      <w:marRight w:val="0"/>
      <w:marTop w:val="0"/>
      <w:marBottom w:val="0"/>
      <w:divBdr>
        <w:top w:val="none" w:sz="0" w:space="0" w:color="auto"/>
        <w:left w:val="none" w:sz="0" w:space="0" w:color="auto"/>
        <w:bottom w:val="none" w:sz="0" w:space="0" w:color="auto"/>
        <w:right w:val="none" w:sz="0" w:space="0" w:color="auto"/>
      </w:divBdr>
      <w:divsChild>
        <w:div w:id="888417745">
          <w:marLeft w:val="0"/>
          <w:marRight w:val="0"/>
          <w:marTop w:val="0"/>
          <w:marBottom w:val="0"/>
          <w:divBdr>
            <w:top w:val="none" w:sz="0" w:space="0" w:color="auto"/>
            <w:left w:val="none" w:sz="0" w:space="0" w:color="auto"/>
            <w:bottom w:val="none" w:sz="0" w:space="0" w:color="auto"/>
            <w:right w:val="none" w:sz="0" w:space="0" w:color="auto"/>
          </w:divBdr>
        </w:div>
      </w:divsChild>
    </w:div>
    <w:div w:id="1128009023">
      <w:bodyDiv w:val="1"/>
      <w:marLeft w:val="0"/>
      <w:marRight w:val="0"/>
      <w:marTop w:val="0"/>
      <w:marBottom w:val="0"/>
      <w:divBdr>
        <w:top w:val="none" w:sz="0" w:space="0" w:color="auto"/>
        <w:left w:val="none" w:sz="0" w:space="0" w:color="auto"/>
        <w:bottom w:val="none" w:sz="0" w:space="0" w:color="auto"/>
        <w:right w:val="none" w:sz="0" w:space="0" w:color="auto"/>
      </w:divBdr>
    </w:div>
    <w:div w:id="1134711477">
      <w:bodyDiv w:val="1"/>
      <w:marLeft w:val="0"/>
      <w:marRight w:val="0"/>
      <w:marTop w:val="0"/>
      <w:marBottom w:val="0"/>
      <w:divBdr>
        <w:top w:val="none" w:sz="0" w:space="0" w:color="auto"/>
        <w:left w:val="none" w:sz="0" w:space="0" w:color="auto"/>
        <w:bottom w:val="none" w:sz="0" w:space="0" w:color="auto"/>
        <w:right w:val="none" w:sz="0" w:space="0" w:color="auto"/>
      </w:divBdr>
      <w:divsChild>
        <w:div w:id="1819148413">
          <w:marLeft w:val="0"/>
          <w:marRight w:val="0"/>
          <w:marTop w:val="0"/>
          <w:marBottom w:val="0"/>
          <w:divBdr>
            <w:top w:val="none" w:sz="0" w:space="0" w:color="auto"/>
            <w:left w:val="none" w:sz="0" w:space="0" w:color="auto"/>
            <w:bottom w:val="none" w:sz="0" w:space="0" w:color="auto"/>
            <w:right w:val="none" w:sz="0" w:space="0" w:color="auto"/>
          </w:divBdr>
        </w:div>
      </w:divsChild>
    </w:div>
    <w:div w:id="1138915510">
      <w:bodyDiv w:val="1"/>
      <w:marLeft w:val="0"/>
      <w:marRight w:val="0"/>
      <w:marTop w:val="0"/>
      <w:marBottom w:val="0"/>
      <w:divBdr>
        <w:top w:val="none" w:sz="0" w:space="0" w:color="auto"/>
        <w:left w:val="none" w:sz="0" w:space="0" w:color="auto"/>
        <w:bottom w:val="none" w:sz="0" w:space="0" w:color="auto"/>
        <w:right w:val="none" w:sz="0" w:space="0" w:color="auto"/>
      </w:divBdr>
      <w:divsChild>
        <w:div w:id="1638877104">
          <w:marLeft w:val="0"/>
          <w:marRight w:val="0"/>
          <w:marTop w:val="0"/>
          <w:marBottom w:val="0"/>
          <w:divBdr>
            <w:top w:val="none" w:sz="0" w:space="0" w:color="auto"/>
            <w:left w:val="none" w:sz="0" w:space="0" w:color="auto"/>
            <w:bottom w:val="none" w:sz="0" w:space="0" w:color="auto"/>
            <w:right w:val="none" w:sz="0" w:space="0" w:color="auto"/>
          </w:divBdr>
        </w:div>
      </w:divsChild>
    </w:div>
    <w:div w:id="1176387903">
      <w:bodyDiv w:val="1"/>
      <w:marLeft w:val="0"/>
      <w:marRight w:val="0"/>
      <w:marTop w:val="0"/>
      <w:marBottom w:val="0"/>
      <w:divBdr>
        <w:top w:val="none" w:sz="0" w:space="0" w:color="auto"/>
        <w:left w:val="none" w:sz="0" w:space="0" w:color="auto"/>
        <w:bottom w:val="none" w:sz="0" w:space="0" w:color="auto"/>
        <w:right w:val="none" w:sz="0" w:space="0" w:color="auto"/>
      </w:divBdr>
      <w:divsChild>
        <w:div w:id="781995829">
          <w:marLeft w:val="0"/>
          <w:marRight w:val="0"/>
          <w:marTop w:val="0"/>
          <w:marBottom w:val="0"/>
          <w:divBdr>
            <w:top w:val="none" w:sz="0" w:space="0" w:color="auto"/>
            <w:left w:val="none" w:sz="0" w:space="0" w:color="auto"/>
            <w:bottom w:val="none" w:sz="0" w:space="0" w:color="auto"/>
            <w:right w:val="none" w:sz="0" w:space="0" w:color="auto"/>
          </w:divBdr>
        </w:div>
      </w:divsChild>
    </w:div>
    <w:div w:id="1189761236">
      <w:bodyDiv w:val="1"/>
      <w:marLeft w:val="0"/>
      <w:marRight w:val="0"/>
      <w:marTop w:val="0"/>
      <w:marBottom w:val="0"/>
      <w:divBdr>
        <w:top w:val="none" w:sz="0" w:space="0" w:color="auto"/>
        <w:left w:val="none" w:sz="0" w:space="0" w:color="auto"/>
        <w:bottom w:val="none" w:sz="0" w:space="0" w:color="auto"/>
        <w:right w:val="none" w:sz="0" w:space="0" w:color="auto"/>
      </w:divBdr>
      <w:divsChild>
        <w:div w:id="36393671">
          <w:marLeft w:val="0"/>
          <w:marRight w:val="0"/>
          <w:marTop w:val="0"/>
          <w:marBottom w:val="0"/>
          <w:divBdr>
            <w:top w:val="none" w:sz="0" w:space="0" w:color="auto"/>
            <w:left w:val="none" w:sz="0" w:space="0" w:color="auto"/>
            <w:bottom w:val="none" w:sz="0" w:space="0" w:color="auto"/>
            <w:right w:val="none" w:sz="0" w:space="0" w:color="auto"/>
          </w:divBdr>
        </w:div>
      </w:divsChild>
    </w:div>
    <w:div w:id="1195659678">
      <w:bodyDiv w:val="1"/>
      <w:marLeft w:val="0"/>
      <w:marRight w:val="0"/>
      <w:marTop w:val="0"/>
      <w:marBottom w:val="0"/>
      <w:divBdr>
        <w:top w:val="none" w:sz="0" w:space="0" w:color="auto"/>
        <w:left w:val="none" w:sz="0" w:space="0" w:color="auto"/>
        <w:bottom w:val="none" w:sz="0" w:space="0" w:color="auto"/>
        <w:right w:val="none" w:sz="0" w:space="0" w:color="auto"/>
      </w:divBdr>
    </w:div>
    <w:div w:id="1241134693">
      <w:bodyDiv w:val="1"/>
      <w:marLeft w:val="0"/>
      <w:marRight w:val="0"/>
      <w:marTop w:val="0"/>
      <w:marBottom w:val="0"/>
      <w:divBdr>
        <w:top w:val="none" w:sz="0" w:space="0" w:color="auto"/>
        <w:left w:val="none" w:sz="0" w:space="0" w:color="auto"/>
        <w:bottom w:val="none" w:sz="0" w:space="0" w:color="auto"/>
        <w:right w:val="none" w:sz="0" w:space="0" w:color="auto"/>
      </w:divBdr>
    </w:div>
    <w:div w:id="1278374103">
      <w:bodyDiv w:val="1"/>
      <w:marLeft w:val="0"/>
      <w:marRight w:val="0"/>
      <w:marTop w:val="0"/>
      <w:marBottom w:val="0"/>
      <w:divBdr>
        <w:top w:val="none" w:sz="0" w:space="0" w:color="auto"/>
        <w:left w:val="none" w:sz="0" w:space="0" w:color="auto"/>
        <w:bottom w:val="none" w:sz="0" w:space="0" w:color="auto"/>
        <w:right w:val="none" w:sz="0" w:space="0" w:color="auto"/>
      </w:divBdr>
    </w:div>
    <w:div w:id="1281300494">
      <w:bodyDiv w:val="1"/>
      <w:marLeft w:val="0"/>
      <w:marRight w:val="0"/>
      <w:marTop w:val="0"/>
      <w:marBottom w:val="0"/>
      <w:divBdr>
        <w:top w:val="none" w:sz="0" w:space="0" w:color="auto"/>
        <w:left w:val="none" w:sz="0" w:space="0" w:color="auto"/>
        <w:bottom w:val="none" w:sz="0" w:space="0" w:color="auto"/>
        <w:right w:val="none" w:sz="0" w:space="0" w:color="auto"/>
      </w:divBdr>
      <w:divsChild>
        <w:div w:id="1055157921">
          <w:marLeft w:val="0"/>
          <w:marRight w:val="0"/>
          <w:marTop w:val="0"/>
          <w:marBottom w:val="0"/>
          <w:divBdr>
            <w:top w:val="none" w:sz="0" w:space="0" w:color="auto"/>
            <w:left w:val="none" w:sz="0" w:space="0" w:color="auto"/>
            <w:bottom w:val="none" w:sz="0" w:space="0" w:color="auto"/>
            <w:right w:val="none" w:sz="0" w:space="0" w:color="auto"/>
          </w:divBdr>
        </w:div>
      </w:divsChild>
    </w:div>
    <w:div w:id="1289510891">
      <w:bodyDiv w:val="1"/>
      <w:marLeft w:val="0"/>
      <w:marRight w:val="0"/>
      <w:marTop w:val="0"/>
      <w:marBottom w:val="0"/>
      <w:divBdr>
        <w:top w:val="none" w:sz="0" w:space="0" w:color="auto"/>
        <w:left w:val="none" w:sz="0" w:space="0" w:color="auto"/>
        <w:bottom w:val="none" w:sz="0" w:space="0" w:color="auto"/>
        <w:right w:val="none" w:sz="0" w:space="0" w:color="auto"/>
      </w:divBdr>
    </w:div>
    <w:div w:id="1293093635">
      <w:bodyDiv w:val="1"/>
      <w:marLeft w:val="0"/>
      <w:marRight w:val="0"/>
      <w:marTop w:val="0"/>
      <w:marBottom w:val="0"/>
      <w:divBdr>
        <w:top w:val="none" w:sz="0" w:space="0" w:color="auto"/>
        <w:left w:val="none" w:sz="0" w:space="0" w:color="auto"/>
        <w:bottom w:val="none" w:sz="0" w:space="0" w:color="auto"/>
        <w:right w:val="none" w:sz="0" w:space="0" w:color="auto"/>
      </w:divBdr>
    </w:div>
    <w:div w:id="1293755795">
      <w:bodyDiv w:val="1"/>
      <w:marLeft w:val="0"/>
      <w:marRight w:val="0"/>
      <w:marTop w:val="0"/>
      <w:marBottom w:val="0"/>
      <w:divBdr>
        <w:top w:val="none" w:sz="0" w:space="0" w:color="auto"/>
        <w:left w:val="none" w:sz="0" w:space="0" w:color="auto"/>
        <w:bottom w:val="none" w:sz="0" w:space="0" w:color="auto"/>
        <w:right w:val="none" w:sz="0" w:space="0" w:color="auto"/>
      </w:divBdr>
      <w:divsChild>
        <w:div w:id="1905870731">
          <w:marLeft w:val="0"/>
          <w:marRight w:val="0"/>
          <w:marTop w:val="0"/>
          <w:marBottom w:val="0"/>
          <w:divBdr>
            <w:top w:val="none" w:sz="0" w:space="0" w:color="auto"/>
            <w:left w:val="none" w:sz="0" w:space="0" w:color="auto"/>
            <w:bottom w:val="none" w:sz="0" w:space="0" w:color="auto"/>
            <w:right w:val="none" w:sz="0" w:space="0" w:color="auto"/>
          </w:divBdr>
        </w:div>
      </w:divsChild>
    </w:div>
    <w:div w:id="1430271478">
      <w:bodyDiv w:val="1"/>
      <w:marLeft w:val="0"/>
      <w:marRight w:val="0"/>
      <w:marTop w:val="0"/>
      <w:marBottom w:val="0"/>
      <w:divBdr>
        <w:top w:val="none" w:sz="0" w:space="0" w:color="auto"/>
        <w:left w:val="none" w:sz="0" w:space="0" w:color="auto"/>
        <w:bottom w:val="none" w:sz="0" w:space="0" w:color="auto"/>
        <w:right w:val="none" w:sz="0" w:space="0" w:color="auto"/>
      </w:divBdr>
      <w:divsChild>
        <w:div w:id="1476288914">
          <w:marLeft w:val="0"/>
          <w:marRight w:val="0"/>
          <w:marTop w:val="0"/>
          <w:marBottom w:val="0"/>
          <w:divBdr>
            <w:top w:val="none" w:sz="0" w:space="0" w:color="auto"/>
            <w:left w:val="none" w:sz="0" w:space="0" w:color="auto"/>
            <w:bottom w:val="none" w:sz="0" w:space="0" w:color="auto"/>
            <w:right w:val="none" w:sz="0" w:space="0" w:color="auto"/>
          </w:divBdr>
        </w:div>
      </w:divsChild>
    </w:div>
    <w:div w:id="1460147240">
      <w:bodyDiv w:val="1"/>
      <w:marLeft w:val="0"/>
      <w:marRight w:val="0"/>
      <w:marTop w:val="0"/>
      <w:marBottom w:val="0"/>
      <w:divBdr>
        <w:top w:val="none" w:sz="0" w:space="0" w:color="auto"/>
        <w:left w:val="none" w:sz="0" w:space="0" w:color="auto"/>
        <w:bottom w:val="none" w:sz="0" w:space="0" w:color="auto"/>
        <w:right w:val="none" w:sz="0" w:space="0" w:color="auto"/>
      </w:divBdr>
    </w:div>
    <w:div w:id="1646009633">
      <w:bodyDiv w:val="1"/>
      <w:marLeft w:val="0"/>
      <w:marRight w:val="0"/>
      <w:marTop w:val="0"/>
      <w:marBottom w:val="0"/>
      <w:divBdr>
        <w:top w:val="none" w:sz="0" w:space="0" w:color="auto"/>
        <w:left w:val="none" w:sz="0" w:space="0" w:color="auto"/>
        <w:bottom w:val="none" w:sz="0" w:space="0" w:color="auto"/>
        <w:right w:val="none" w:sz="0" w:space="0" w:color="auto"/>
      </w:divBdr>
      <w:divsChild>
        <w:div w:id="1983804924">
          <w:marLeft w:val="0"/>
          <w:marRight w:val="0"/>
          <w:marTop w:val="0"/>
          <w:marBottom w:val="0"/>
          <w:divBdr>
            <w:top w:val="none" w:sz="0" w:space="0" w:color="auto"/>
            <w:left w:val="none" w:sz="0" w:space="0" w:color="auto"/>
            <w:bottom w:val="none" w:sz="0" w:space="0" w:color="auto"/>
            <w:right w:val="none" w:sz="0" w:space="0" w:color="auto"/>
          </w:divBdr>
        </w:div>
      </w:divsChild>
    </w:div>
    <w:div w:id="1830559403">
      <w:bodyDiv w:val="1"/>
      <w:marLeft w:val="0"/>
      <w:marRight w:val="0"/>
      <w:marTop w:val="0"/>
      <w:marBottom w:val="0"/>
      <w:divBdr>
        <w:top w:val="none" w:sz="0" w:space="0" w:color="auto"/>
        <w:left w:val="none" w:sz="0" w:space="0" w:color="auto"/>
        <w:bottom w:val="none" w:sz="0" w:space="0" w:color="auto"/>
        <w:right w:val="none" w:sz="0" w:space="0" w:color="auto"/>
      </w:divBdr>
    </w:div>
    <w:div w:id="1901600209">
      <w:bodyDiv w:val="1"/>
      <w:marLeft w:val="0"/>
      <w:marRight w:val="0"/>
      <w:marTop w:val="0"/>
      <w:marBottom w:val="0"/>
      <w:divBdr>
        <w:top w:val="none" w:sz="0" w:space="0" w:color="auto"/>
        <w:left w:val="none" w:sz="0" w:space="0" w:color="auto"/>
        <w:bottom w:val="none" w:sz="0" w:space="0" w:color="auto"/>
        <w:right w:val="none" w:sz="0" w:space="0" w:color="auto"/>
      </w:divBdr>
      <w:divsChild>
        <w:div w:id="1501505004">
          <w:marLeft w:val="0"/>
          <w:marRight w:val="0"/>
          <w:marTop w:val="0"/>
          <w:marBottom w:val="0"/>
          <w:divBdr>
            <w:top w:val="none" w:sz="0" w:space="0" w:color="auto"/>
            <w:left w:val="none" w:sz="0" w:space="0" w:color="auto"/>
            <w:bottom w:val="none" w:sz="0" w:space="0" w:color="auto"/>
            <w:right w:val="none" w:sz="0" w:space="0" w:color="auto"/>
          </w:divBdr>
          <w:divsChild>
            <w:div w:id="1027827054">
              <w:marLeft w:val="0"/>
              <w:marRight w:val="0"/>
              <w:marTop w:val="0"/>
              <w:marBottom w:val="0"/>
              <w:divBdr>
                <w:top w:val="none" w:sz="0" w:space="0" w:color="auto"/>
                <w:left w:val="none" w:sz="0" w:space="0" w:color="auto"/>
                <w:bottom w:val="none" w:sz="0" w:space="0" w:color="auto"/>
                <w:right w:val="none" w:sz="0" w:space="0" w:color="auto"/>
              </w:divBdr>
              <w:divsChild>
                <w:div w:id="1671180219">
                  <w:marLeft w:val="0"/>
                  <w:marRight w:val="0"/>
                  <w:marTop w:val="0"/>
                  <w:marBottom w:val="0"/>
                  <w:divBdr>
                    <w:top w:val="none" w:sz="0" w:space="0" w:color="auto"/>
                    <w:left w:val="none" w:sz="0" w:space="0" w:color="auto"/>
                    <w:bottom w:val="none" w:sz="0" w:space="0" w:color="auto"/>
                    <w:right w:val="none" w:sz="0" w:space="0" w:color="auto"/>
                  </w:divBdr>
                  <w:divsChild>
                    <w:div w:id="1324117366">
                      <w:marLeft w:val="0"/>
                      <w:marRight w:val="0"/>
                      <w:marTop w:val="0"/>
                      <w:marBottom w:val="0"/>
                      <w:divBdr>
                        <w:top w:val="none" w:sz="0" w:space="0" w:color="auto"/>
                        <w:left w:val="none" w:sz="0" w:space="0" w:color="auto"/>
                        <w:bottom w:val="none" w:sz="0" w:space="0" w:color="auto"/>
                        <w:right w:val="none" w:sz="0" w:space="0" w:color="auto"/>
                      </w:divBdr>
                      <w:divsChild>
                        <w:div w:id="1649628912">
                          <w:marLeft w:val="0"/>
                          <w:marRight w:val="0"/>
                          <w:marTop w:val="0"/>
                          <w:marBottom w:val="0"/>
                          <w:divBdr>
                            <w:top w:val="none" w:sz="0" w:space="0" w:color="auto"/>
                            <w:left w:val="none" w:sz="0" w:space="0" w:color="auto"/>
                            <w:bottom w:val="none" w:sz="0" w:space="0" w:color="auto"/>
                            <w:right w:val="none" w:sz="0" w:space="0" w:color="auto"/>
                          </w:divBdr>
                          <w:divsChild>
                            <w:div w:id="1182742274">
                              <w:marLeft w:val="0"/>
                              <w:marRight w:val="0"/>
                              <w:marTop w:val="0"/>
                              <w:marBottom w:val="0"/>
                              <w:divBdr>
                                <w:top w:val="none" w:sz="0" w:space="0" w:color="auto"/>
                                <w:left w:val="none" w:sz="0" w:space="0" w:color="auto"/>
                                <w:bottom w:val="none" w:sz="0" w:space="0" w:color="auto"/>
                                <w:right w:val="none" w:sz="0" w:space="0" w:color="auto"/>
                              </w:divBdr>
                              <w:divsChild>
                                <w:div w:id="1653020832">
                                  <w:marLeft w:val="0"/>
                                  <w:marRight w:val="0"/>
                                  <w:marTop w:val="0"/>
                                  <w:marBottom w:val="0"/>
                                  <w:divBdr>
                                    <w:top w:val="none" w:sz="0" w:space="0" w:color="auto"/>
                                    <w:left w:val="none" w:sz="0" w:space="0" w:color="auto"/>
                                    <w:bottom w:val="none" w:sz="0" w:space="0" w:color="auto"/>
                                    <w:right w:val="none" w:sz="0" w:space="0" w:color="auto"/>
                                  </w:divBdr>
                                  <w:divsChild>
                                    <w:div w:id="3621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9981">
              <w:marLeft w:val="0"/>
              <w:marRight w:val="0"/>
              <w:marTop w:val="0"/>
              <w:marBottom w:val="0"/>
              <w:divBdr>
                <w:top w:val="none" w:sz="0" w:space="0" w:color="auto"/>
                <w:left w:val="none" w:sz="0" w:space="0" w:color="auto"/>
                <w:bottom w:val="none" w:sz="0" w:space="0" w:color="auto"/>
                <w:right w:val="none" w:sz="0" w:space="0" w:color="auto"/>
              </w:divBdr>
            </w:div>
            <w:div w:id="1345671456">
              <w:marLeft w:val="0"/>
              <w:marRight w:val="0"/>
              <w:marTop w:val="0"/>
              <w:marBottom w:val="0"/>
              <w:divBdr>
                <w:top w:val="none" w:sz="0" w:space="0" w:color="auto"/>
                <w:left w:val="none" w:sz="0" w:space="0" w:color="auto"/>
                <w:bottom w:val="none" w:sz="0" w:space="0" w:color="auto"/>
                <w:right w:val="none" w:sz="0" w:space="0" w:color="auto"/>
              </w:divBdr>
              <w:divsChild>
                <w:div w:id="767962974">
                  <w:marLeft w:val="0"/>
                  <w:marRight w:val="0"/>
                  <w:marTop w:val="0"/>
                  <w:marBottom w:val="0"/>
                  <w:divBdr>
                    <w:top w:val="none" w:sz="0" w:space="0" w:color="auto"/>
                    <w:left w:val="none" w:sz="0" w:space="0" w:color="auto"/>
                    <w:bottom w:val="none" w:sz="0" w:space="0" w:color="auto"/>
                    <w:right w:val="none" w:sz="0" w:space="0" w:color="auto"/>
                  </w:divBdr>
                  <w:divsChild>
                    <w:div w:id="1158617881">
                      <w:marLeft w:val="0"/>
                      <w:marRight w:val="0"/>
                      <w:marTop w:val="0"/>
                      <w:marBottom w:val="0"/>
                      <w:divBdr>
                        <w:top w:val="none" w:sz="0" w:space="0" w:color="auto"/>
                        <w:left w:val="none" w:sz="0" w:space="0" w:color="auto"/>
                        <w:bottom w:val="none" w:sz="0" w:space="0" w:color="auto"/>
                        <w:right w:val="none" w:sz="0" w:space="0" w:color="auto"/>
                      </w:divBdr>
                      <w:divsChild>
                        <w:div w:id="1383749193">
                          <w:marLeft w:val="0"/>
                          <w:marRight w:val="0"/>
                          <w:marTop w:val="0"/>
                          <w:marBottom w:val="0"/>
                          <w:divBdr>
                            <w:top w:val="none" w:sz="0" w:space="0" w:color="auto"/>
                            <w:left w:val="none" w:sz="0" w:space="0" w:color="auto"/>
                            <w:bottom w:val="none" w:sz="0" w:space="0" w:color="auto"/>
                            <w:right w:val="none" w:sz="0" w:space="0" w:color="auto"/>
                          </w:divBdr>
                          <w:divsChild>
                            <w:div w:id="219943946">
                              <w:marLeft w:val="0"/>
                              <w:marRight w:val="0"/>
                              <w:marTop w:val="0"/>
                              <w:marBottom w:val="0"/>
                              <w:divBdr>
                                <w:top w:val="none" w:sz="0" w:space="0" w:color="auto"/>
                                <w:left w:val="none" w:sz="0" w:space="0" w:color="auto"/>
                                <w:bottom w:val="none" w:sz="0" w:space="0" w:color="auto"/>
                                <w:right w:val="none" w:sz="0" w:space="0" w:color="auto"/>
                              </w:divBdr>
                              <w:divsChild>
                                <w:div w:id="6282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301484">
      <w:bodyDiv w:val="1"/>
      <w:marLeft w:val="0"/>
      <w:marRight w:val="0"/>
      <w:marTop w:val="0"/>
      <w:marBottom w:val="0"/>
      <w:divBdr>
        <w:top w:val="none" w:sz="0" w:space="0" w:color="auto"/>
        <w:left w:val="none" w:sz="0" w:space="0" w:color="auto"/>
        <w:bottom w:val="none" w:sz="0" w:space="0" w:color="auto"/>
        <w:right w:val="none" w:sz="0" w:space="0" w:color="auto"/>
      </w:divBdr>
    </w:div>
    <w:div w:id="2019690658">
      <w:bodyDiv w:val="1"/>
      <w:marLeft w:val="0"/>
      <w:marRight w:val="0"/>
      <w:marTop w:val="0"/>
      <w:marBottom w:val="0"/>
      <w:divBdr>
        <w:top w:val="none" w:sz="0" w:space="0" w:color="auto"/>
        <w:left w:val="none" w:sz="0" w:space="0" w:color="auto"/>
        <w:bottom w:val="none" w:sz="0" w:space="0" w:color="auto"/>
        <w:right w:val="none" w:sz="0" w:space="0" w:color="auto"/>
      </w:divBdr>
      <w:divsChild>
        <w:div w:id="1893955789">
          <w:marLeft w:val="0"/>
          <w:marRight w:val="0"/>
          <w:marTop w:val="0"/>
          <w:marBottom w:val="0"/>
          <w:divBdr>
            <w:top w:val="none" w:sz="0" w:space="0" w:color="auto"/>
            <w:left w:val="none" w:sz="0" w:space="0" w:color="auto"/>
            <w:bottom w:val="none" w:sz="0" w:space="0" w:color="auto"/>
            <w:right w:val="none" w:sz="0" w:space="0" w:color="auto"/>
          </w:divBdr>
        </w:div>
      </w:divsChild>
    </w:div>
    <w:div w:id="2053379912">
      <w:bodyDiv w:val="1"/>
      <w:marLeft w:val="0"/>
      <w:marRight w:val="0"/>
      <w:marTop w:val="0"/>
      <w:marBottom w:val="0"/>
      <w:divBdr>
        <w:top w:val="none" w:sz="0" w:space="0" w:color="auto"/>
        <w:left w:val="none" w:sz="0" w:space="0" w:color="auto"/>
        <w:bottom w:val="none" w:sz="0" w:space="0" w:color="auto"/>
        <w:right w:val="none" w:sz="0" w:space="0" w:color="auto"/>
      </w:divBdr>
    </w:div>
    <w:div w:id="2062052797">
      <w:bodyDiv w:val="1"/>
      <w:marLeft w:val="0"/>
      <w:marRight w:val="0"/>
      <w:marTop w:val="0"/>
      <w:marBottom w:val="0"/>
      <w:divBdr>
        <w:top w:val="none" w:sz="0" w:space="0" w:color="auto"/>
        <w:left w:val="none" w:sz="0" w:space="0" w:color="auto"/>
        <w:bottom w:val="none" w:sz="0" w:space="0" w:color="auto"/>
        <w:right w:val="none" w:sz="0" w:space="0" w:color="auto"/>
      </w:divBdr>
    </w:div>
    <w:div w:id="20689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hyperlink" Target="https://coronavirus-staging.data.gov.uk/ca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Confirmed%20Cases\Confirmed%20cases%2002.11.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elincs-dat0\PubHealth\New%20World\Health%20Protection\Coronavirus\Surveillance\Geoff%20Analysis\Age%20infection%20rate%20trend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Confirmed%20Cases\Confirmed%20cases%2002.11.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Epi%20report\FIGURE%202%20Gov.uk%20confirmed%20cases%202nd%20nov.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Epi%20report\FIGURE%203%20Yorkshire%20and%20Humber%20lab%20cases%2025th%20october%20to%2031st%20october.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'[Confirmed cases 02.11.20.xlsx]Sheet3'!$B$1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'[Confirmed cases 02.11.20.xlsx]Sheet3'!$A$2:$A$6</c:f>
              <c:strCache>
                <c:ptCount val="5"/>
                <c:pt idx="0">
                  <c:v>20 and under</c:v>
                </c:pt>
                <c:pt idx="1">
                  <c:v>21 to 40</c:v>
                </c:pt>
                <c:pt idx="2">
                  <c:v>41 to 60</c:v>
                </c:pt>
                <c:pt idx="3">
                  <c:v>61 to 80</c:v>
                </c:pt>
                <c:pt idx="4">
                  <c:v>Over 80</c:v>
                </c:pt>
              </c:strCache>
            </c:strRef>
          </c:cat>
          <c:val>
            <c:numRef>
              <c:f>'[Confirmed cases 02.11.20.xlsx]Sheet3'!$B$2:$B$6</c:f>
              <c:numCache>
                <c:formatCode>General</c:formatCode>
                <c:ptCount val="5"/>
                <c:pt idx="0">
                  <c:v>137</c:v>
                </c:pt>
                <c:pt idx="1">
                  <c:v>313</c:v>
                </c:pt>
                <c:pt idx="2">
                  <c:v>313</c:v>
                </c:pt>
                <c:pt idx="3">
                  <c:v>151</c:v>
                </c:pt>
                <c:pt idx="4">
                  <c:v>34</c:v>
                </c:pt>
              </c:numCache>
            </c:numRef>
          </c:val>
          <c:extLst>
            <c:ext xmlns:c16="http://schemas.microsoft.com/office/drawing/2014/chart" uri="{C3380CC4-5D6E-409C-BE32-E72D297353CC}">
              <c16:uniqueId val="{00000000-67AC-4BEC-8158-701917B2FA2D}"/>
            </c:ext>
          </c:extLst>
        </c:ser>
        <c:ser>
          <c:idx val="1"/>
          <c:order val="1"/>
          <c:tx>
            <c:strRef>
              <c:f>'[Confirmed cases 02.11.20.xlsx]Sheet3'!$C$1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'[Confirmed cases 02.11.20.xlsx]Sheet3'!$A$2:$A$6</c:f>
              <c:strCache>
                <c:ptCount val="5"/>
                <c:pt idx="0">
                  <c:v>20 and under</c:v>
                </c:pt>
                <c:pt idx="1">
                  <c:v>21 to 40</c:v>
                </c:pt>
                <c:pt idx="2">
                  <c:v>41 to 60</c:v>
                </c:pt>
                <c:pt idx="3">
                  <c:v>61 to 80</c:v>
                </c:pt>
                <c:pt idx="4">
                  <c:v>Over 80</c:v>
                </c:pt>
              </c:strCache>
            </c:strRef>
          </c:cat>
          <c:val>
            <c:numRef>
              <c:f>'[Confirmed cases 02.11.20.xlsx]Sheet3'!$C$2:$C$6</c:f>
              <c:numCache>
                <c:formatCode>General</c:formatCode>
                <c:ptCount val="5"/>
                <c:pt idx="0">
                  <c:v>142</c:v>
                </c:pt>
                <c:pt idx="1">
                  <c:v>345</c:v>
                </c:pt>
                <c:pt idx="2">
                  <c:v>362</c:v>
                </c:pt>
                <c:pt idx="3">
                  <c:v>149</c:v>
                </c:pt>
                <c:pt idx="4">
                  <c:v>48</c:v>
                </c:pt>
              </c:numCache>
            </c:numRef>
          </c:val>
          <c:extLst>
            <c:ext xmlns:c16="http://schemas.microsoft.com/office/drawing/2014/chart" uri="{C3380CC4-5D6E-409C-BE32-E72D297353CC}">
              <c16:uniqueId val="{00000001-67AC-4BEC-8158-701917B2FA2D}"/>
            </c:ext>
          </c:extLst>
        </c:ser>
        <c:dLbls>
          <c:dLblPos val="outEnd"/>
          <c:showLegendKey val="0"/>
          <c:showVal val="1"/>
          <c:showCatName val="0"/>
          <c:showSerName val="0"/>
          <c:showPercent val="0"/>
          <c:showBubbleSize val="0"/>
        </c:dLbls>
        <c:gapWidth val="219"/>
        <c:overlap val="-27"/>
        <c:axId val="429501120"/>
        <c:axId val="429507680"/>
      </c:barChart>
      <c:catAx>
        <c:axId val="429501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Age-band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507680"/>
        <c:crosses val="autoZero"/>
        <c:auto val="1"/>
        <c:lblAlgn val="ctr"/>
        <c:lblOffset val="100"/>
        <c:noMultiLvlLbl val="0"/>
      </c:catAx>
      <c:valAx>
        <c:axId val="429507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positive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50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 Specifc Case Rates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Sheet1!$A$13</c:f>
              <c:strCache>
                <c:ptCount val="1"/>
                <c:pt idx="0">
                  <c:v>65+</c:v>
                </c:pt>
              </c:strCache>
            </c:strRef>
          </c:tx>
          <c:spPr>
            <a:ln w="28575" cap="rnd">
              <a:solidFill>
                <a:schemeClr val="accent1"/>
              </a:solidFill>
              <a:round/>
            </a:ln>
            <a:effectLst/>
          </c:spPr>
          <c:marker>
            <c:symbol val="none"/>
          </c:marker>
          <c:cat>
            <c:strRef>
              <c:f>Sheet1!$B$12:$AF$12</c:f>
              <c:strCache>
                <c:ptCount val="31"/>
                <c:pt idx="0">
                  <c:v>Sep 27th</c:v>
                </c:pt>
                <c:pt idx="1">
                  <c:v>28</c:v>
                </c:pt>
                <c:pt idx="2">
                  <c:v>29</c:v>
                </c:pt>
                <c:pt idx="3">
                  <c:v>30</c:v>
                </c:pt>
                <c:pt idx="4">
                  <c:v>Oct 1st</c:v>
                </c:pt>
                <c:pt idx="5">
                  <c:v>2</c:v>
                </c:pt>
                <c:pt idx="6">
                  <c:v>3</c:v>
                </c:pt>
                <c:pt idx="7">
                  <c:v>4</c:v>
                </c:pt>
                <c:pt idx="8">
                  <c:v>5</c:v>
                </c:pt>
                <c:pt idx="9">
                  <c:v>6</c:v>
                </c:pt>
                <c:pt idx="10">
                  <c:v>7</c:v>
                </c:pt>
                <c:pt idx="11">
                  <c:v>Oct 8th</c:v>
                </c:pt>
                <c:pt idx="12">
                  <c:v>9</c:v>
                </c:pt>
                <c:pt idx="13">
                  <c:v>10</c:v>
                </c:pt>
                <c:pt idx="14">
                  <c:v>11</c:v>
                </c:pt>
                <c:pt idx="15">
                  <c:v>12</c:v>
                </c:pt>
                <c:pt idx="16">
                  <c:v>13</c:v>
                </c:pt>
                <c:pt idx="17">
                  <c:v>14</c:v>
                </c:pt>
                <c:pt idx="18">
                  <c:v>Oct 15th</c:v>
                </c:pt>
                <c:pt idx="19">
                  <c:v>16</c:v>
                </c:pt>
                <c:pt idx="20">
                  <c:v>17</c:v>
                </c:pt>
                <c:pt idx="21">
                  <c:v>18</c:v>
                </c:pt>
                <c:pt idx="22">
                  <c:v>19</c:v>
                </c:pt>
                <c:pt idx="23">
                  <c:v>Oct 20th</c:v>
                </c:pt>
                <c:pt idx="24">
                  <c:v>21</c:v>
                </c:pt>
                <c:pt idx="25">
                  <c:v>22</c:v>
                </c:pt>
                <c:pt idx="26">
                  <c:v>23</c:v>
                </c:pt>
                <c:pt idx="27">
                  <c:v>24</c:v>
                </c:pt>
                <c:pt idx="28">
                  <c:v>25</c:v>
                </c:pt>
                <c:pt idx="29">
                  <c:v>26</c:v>
                </c:pt>
                <c:pt idx="30">
                  <c:v>27</c:v>
                </c:pt>
              </c:strCache>
            </c:strRef>
          </c:cat>
          <c:val>
            <c:numRef>
              <c:f>Sheet1!$B$13:$AF$13</c:f>
              <c:numCache>
                <c:formatCode>General</c:formatCode>
                <c:ptCount val="31"/>
                <c:pt idx="0">
                  <c:v>18</c:v>
                </c:pt>
                <c:pt idx="1">
                  <c:v>12</c:v>
                </c:pt>
                <c:pt idx="2">
                  <c:v>24</c:v>
                </c:pt>
                <c:pt idx="3">
                  <c:v>24</c:v>
                </c:pt>
                <c:pt idx="4">
                  <c:v>21</c:v>
                </c:pt>
                <c:pt idx="5">
                  <c:v>21</c:v>
                </c:pt>
                <c:pt idx="6">
                  <c:v>24</c:v>
                </c:pt>
                <c:pt idx="7">
                  <c:v>36</c:v>
                </c:pt>
                <c:pt idx="8">
                  <c:v>43</c:v>
                </c:pt>
                <c:pt idx="9">
                  <c:v>40</c:v>
                </c:pt>
                <c:pt idx="10">
                  <c:v>49</c:v>
                </c:pt>
                <c:pt idx="11">
                  <c:v>64</c:v>
                </c:pt>
                <c:pt idx="12">
                  <c:v>91</c:v>
                </c:pt>
                <c:pt idx="13">
                  <c:v>88</c:v>
                </c:pt>
                <c:pt idx="14">
                  <c:v>82</c:v>
                </c:pt>
                <c:pt idx="15">
                  <c:v>88</c:v>
                </c:pt>
                <c:pt idx="16">
                  <c:v>110</c:v>
                </c:pt>
                <c:pt idx="17">
                  <c:v>122</c:v>
                </c:pt>
                <c:pt idx="18">
                  <c:v>119</c:v>
                </c:pt>
                <c:pt idx="19">
                  <c:v>103</c:v>
                </c:pt>
                <c:pt idx="20">
                  <c:v>128</c:v>
                </c:pt>
                <c:pt idx="21">
                  <c:v>137</c:v>
                </c:pt>
                <c:pt idx="22">
                  <c:v>161</c:v>
                </c:pt>
                <c:pt idx="23">
                  <c:v>170</c:v>
                </c:pt>
                <c:pt idx="24">
                  <c:v>180</c:v>
                </c:pt>
                <c:pt idx="25">
                  <c:v>195</c:v>
                </c:pt>
                <c:pt idx="26">
                  <c:v>240</c:v>
                </c:pt>
                <c:pt idx="27">
                  <c:v>252</c:v>
                </c:pt>
                <c:pt idx="28">
                  <c:v>259</c:v>
                </c:pt>
                <c:pt idx="29">
                  <c:v>344</c:v>
                </c:pt>
                <c:pt idx="30">
                  <c:v>347</c:v>
                </c:pt>
              </c:numCache>
            </c:numRef>
          </c:val>
          <c:smooth val="0"/>
          <c:extLst>
            <c:ext xmlns:c16="http://schemas.microsoft.com/office/drawing/2014/chart" uri="{C3380CC4-5D6E-409C-BE32-E72D297353CC}">
              <c16:uniqueId val="{00000000-68A6-4E6B-A831-E6C64D19B81D}"/>
            </c:ext>
          </c:extLst>
        </c:ser>
        <c:ser>
          <c:idx val="1"/>
          <c:order val="1"/>
          <c:tx>
            <c:strRef>
              <c:f>Sheet1!$A$14</c:f>
              <c:strCache>
                <c:ptCount val="1"/>
                <c:pt idx="0">
                  <c:v>45-64</c:v>
                </c:pt>
              </c:strCache>
            </c:strRef>
          </c:tx>
          <c:spPr>
            <a:ln w="28575" cap="rnd">
              <a:solidFill>
                <a:schemeClr val="accent2"/>
              </a:solidFill>
              <a:round/>
            </a:ln>
            <a:effectLst/>
          </c:spPr>
          <c:marker>
            <c:symbol val="none"/>
          </c:marker>
          <c:cat>
            <c:strRef>
              <c:f>Sheet1!$B$12:$AF$12</c:f>
              <c:strCache>
                <c:ptCount val="31"/>
                <c:pt idx="0">
                  <c:v>Sep 27th</c:v>
                </c:pt>
                <c:pt idx="1">
                  <c:v>28</c:v>
                </c:pt>
                <c:pt idx="2">
                  <c:v>29</c:v>
                </c:pt>
                <c:pt idx="3">
                  <c:v>30</c:v>
                </c:pt>
                <c:pt idx="4">
                  <c:v>Oct 1st</c:v>
                </c:pt>
                <c:pt idx="5">
                  <c:v>2</c:v>
                </c:pt>
                <c:pt idx="6">
                  <c:v>3</c:v>
                </c:pt>
                <c:pt idx="7">
                  <c:v>4</c:v>
                </c:pt>
                <c:pt idx="8">
                  <c:v>5</c:v>
                </c:pt>
                <c:pt idx="9">
                  <c:v>6</c:v>
                </c:pt>
                <c:pt idx="10">
                  <c:v>7</c:v>
                </c:pt>
                <c:pt idx="11">
                  <c:v>Oct 8th</c:v>
                </c:pt>
                <c:pt idx="12">
                  <c:v>9</c:v>
                </c:pt>
                <c:pt idx="13">
                  <c:v>10</c:v>
                </c:pt>
                <c:pt idx="14">
                  <c:v>11</c:v>
                </c:pt>
                <c:pt idx="15">
                  <c:v>12</c:v>
                </c:pt>
                <c:pt idx="16">
                  <c:v>13</c:v>
                </c:pt>
                <c:pt idx="17">
                  <c:v>14</c:v>
                </c:pt>
                <c:pt idx="18">
                  <c:v>Oct 15th</c:v>
                </c:pt>
                <c:pt idx="19">
                  <c:v>16</c:v>
                </c:pt>
                <c:pt idx="20">
                  <c:v>17</c:v>
                </c:pt>
                <c:pt idx="21">
                  <c:v>18</c:v>
                </c:pt>
                <c:pt idx="22">
                  <c:v>19</c:v>
                </c:pt>
                <c:pt idx="23">
                  <c:v>Oct 20th</c:v>
                </c:pt>
                <c:pt idx="24">
                  <c:v>21</c:v>
                </c:pt>
                <c:pt idx="25">
                  <c:v>22</c:v>
                </c:pt>
                <c:pt idx="26">
                  <c:v>23</c:v>
                </c:pt>
                <c:pt idx="27">
                  <c:v>24</c:v>
                </c:pt>
                <c:pt idx="28">
                  <c:v>25</c:v>
                </c:pt>
                <c:pt idx="29">
                  <c:v>26</c:v>
                </c:pt>
                <c:pt idx="30">
                  <c:v>27</c:v>
                </c:pt>
              </c:strCache>
            </c:strRef>
          </c:cat>
          <c:val>
            <c:numRef>
              <c:f>Sheet1!$B$14:$AF$14</c:f>
              <c:numCache>
                <c:formatCode>General</c:formatCode>
                <c:ptCount val="31"/>
                <c:pt idx="0">
                  <c:v>26</c:v>
                </c:pt>
                <c:pt idx="1">
                  <c:v>30</c:v>
                </c:pt>
                <c:pt idx="2">
                  <c:v>35</c:v>
                </c:pt>
                <c:pt idx="3">
                  <c:v>37</c:v>
                </c:pt>
                <c:pt idx="4">
                  <c:v>44</c:v>
                </c:pt>
                <c:pt idx="5">
                  <c:v>54</c:v>
                </c:pt>
                <c:pt idx="6">
                  <c:v>68</c:v>
                </c:pt>
                <c:pt idx="7">
                  <c:v>75</c:v>
                </c:pt>
                <c:pt idx="8">
                  <c:v>82</c:v>
                </c:pt>
                <c:pt idx="9">
                  <c:v>110</c:v>
                </c:pt>
                <c:pt idx="10">
                  <c:v>128</c:v>
                </c:pt>
                <c:pt idx="11">
                  <c:v>147</c:v>
                </c:pt>
                <c:pt idx="12">
                  <c:v>166</c:v>
                </c:pt>
                <c:pt idx="13">
                  <c:v>182</c:v>
                </c:pt>
                <c:pt idx="14">
                  <c:v>201</c:v>
                </c:pt>
                <c:pt idx="15">
                  <c:v>217</c:v>
                </c:pt>
                <c:pt idx="16">
                  <c:v>222</c:v>
                </c:pt>
                <c:pt idx="17">
                  <c:v>257</c:v>
                </c:pt>
                <c:pt idx="18">
                  <c:v>266</c:v>
                </c:pt>
                <c:pt idx="19">
                  <c:v>259</c:v>
                </c:pt>
                <c:pt idx="20">
                  <c:v>273</c:v>
                </c:pt>
                <c:pt idx="21">
                  <c:v>280</c:v>
                </c:pt>
                <c:pt idx="22">
                  <c:v>343</c:v>
                </c:pt>
                <c:pt idx="23">
                  <c:v>369</c:v>
                </c:pt>
                <c:pt idx="24">
                  <c:v>376</c:v>
                </c:pt>
                <c:pt idx="25">
                  <c:v>422</c:v>
                </c:pt>
                <c:pt idx="26">
                  <c:v>474</c:v>
                </c:pt>
                <c:pt idx="27">
                  <c:v>476</c:v>
                </c:pt>
                <c:pt idx="28">
                  <c:v>478</c:v>
                </c:pt>
                <c:pt idx="29">
                  <c:v>481</c:v>
                </c:pt>
                <c:pt idx="30">
                  <c:v>481</c:v>
                </c:pt>
              </c:numCache>
            </c:numRef>
          </c:val>
          <c:smooth val="0"/>
          <c:extLst>
            <c:ext xmlns:c16="http://schemas.microsoft.com/office/drawing/2014/chart" uri="{C3380CC4-5D6E-409C-BE32-E72D297353CC}">
              <c16:uniqueId val="{00000001-68A6-4E6B-A831-E6C64D19B81D}"/>
            </c:ext>
          </c:extLst>
        </c:ser>
        <c:ser>
          <c:idx val="2"/>
          <c:order val="2"/>
          <c:tx>
            <c:strRef>
              <c:f>Sheet1!$A$15</c:f>
              <c:strCache>
                <c:ptCount val="1"/>
                <c:pt idx="0">
                  <c:v>30-44</c:v>
                </c:pt>
              </c:strCache>
            </c:strRef>
          </c:tx>
          <c:spPr>
            <a:ln w="28575" cap="rnd">
              <a:solidFill>
                <a:schemeClr val="accent3"/>
              </a:solidFill>
              <a:round/>
            </a:ln>
            <a:effectLst/>
          </c:spPr>
          <c:marker>
            <c:symbol val="none"/>
          </c:marker>
          <c:cat>
            <c:strRef>
              <c:f>Sheet1!$B$12:$AF$12</c:f>
              <c:strCache>
                <c:ptCount val="31"/>
                <c:pt idx="0">
                  <c:v>Sep 27th</c:v>
                </c:pt>
                <c:pt idx="1">
                  <c:v>28</c:v>
                </c:pt>
                <c:pt idx="2">
                  <c:v>29</c:v>
                </c:pt>
                <c:pt idx="3">
                  <c:v>30</c:v>
                </c:pt>
                <c:pt idx="4">
                  <c:v>Oct 1st</c:v>
                </c:pt>
                <c:pt idx="5">
                  <c:v>2</c:v>
                </c:pt>
                <c:pt idx="6">
                  <c:v>3</c:v>
                </c:pt>
                <c:pt idx="7">
                  <c:v>4</c:v>
                </c:pt>
                <c:pt idx="8">
                  <c:v>5</c:v>
                </c:pt>
                <c:pt idx="9">
                  <c:v>6</c:v>
                </c:pt>
                <c:pt idx="10">
                  <c:v>7</c:v>
                </c:pt>
                <c:pt idx="11">
                  <c:v>Oct 8th</c:v>
                </c:pt>
                <c:pt idx="12">
                  <c:v>9</c:v>
                </c:pt>
                <c:pt idx="13">
                  <c:v>10</c:v>
                </c:pt>
                <c:pt idx="14">
                  <c:v>11</c:v>
                </c:pt>
                <c:pt idx="15">
                  <c:v>12</c:v>
                </c:pt>
                <c:pt idx="16">
                  <c:v>13</c:v>
                </c:pt>
                <c:pt idx="17">
                  <c:v>14</c:v>
                </c:pt>
                <c:pt idx="18">
                  <c:v>Oct 15th</c:v>
                </c:pt>
                <c:pt idx="19">
                  <c:v>16</c:v>
                </c:pt>
                <c:pt idx="20">
                  <c:v>17</c:v>
                </c:pt>
                <c:pt idx="21">
                  <c:v>18</c:v>
                </c:pt>
                <c:pt idx="22">
                  <c:v>19</c:v>
                </c:pt>
                <c:pt idx="23">
                  <c:v>Oct 20th</c:v>
                </c:pt>
                <c:pt idx="24">
                  <c:v>21</c:v>
                </c:pt>
                <c:pt idx="25">
                  <c:v>22</c:v>
                </c:pt>
                <c:pt idx="26">
                  <c:v>23</c:v>
                </c:pt>
                <c:pt idx="27">
                  <c:v>24</c:v>
                </c:pt>
                <c:pt idx="28">
                  <c:v>25</c:v>
                </c:pt>
                <c:pt idx="29">
                  <c:v>26</c:v>
                </c:pt>
                <c:pt idx="30">
                  <c:v>27</c:v>
                </c:pt>
              </c:strCache>
            </c:strRef>
          </c:cat>
          <c:val>
            <c:numRef>
              <c:f>Sheet1!$B$15:$AF$15</c:f>
              <c:numCache>
                <c:formatCode>General</c:formatCode>
                <c:ptCount val="31"/>
                <c:pt idx="0">
                  <c:v>35</c:v>
                </c:pt>
                <c:pt idx="1">
                  <c:v>32</c:v>
                </c:pt>
                <c:pt idx="2">
                  <c:v>50</c:v>
                </c:pt>
                <c:pt idx="3">
                  <c:v>42</c:v>
                </c:pt>
                <c:pt idx="4">
                  <c:v>57</c:v>
                </c:pt>
                <c:pt idx="5">
                  <c:v>81</c:v>
                </c:pt>
                <c:pt idx="6">
                  <c:v>85</c:v>
                </c:pt>
                <c:pt idx="7">
                  <c:v>85</c:v>
                </c:pt>
                <c:pt idx="8">
                  <c:v>113</c:v>
                </c:pt>
                <c:pt idx="9">
                  <c:v>134</c:v>
                </c:pt>
                <c:pt idx="10">
                  <c:v>170</c:v>
                </c:pt>
                <c:pt idx="11">
                  <c:v>188</c:v>
                </c:pt>
                <c:pt idx="12">
                  <c:v>174</c:v>
                </c:pt>
                <c:pt idx="13">
                  <c:v>216</c:v>
                </c:pt>
                <c:pt idx="14">
                  <c:v>227</c:v>
                </c:pt>
                <c:pt idx="15">
                  <c:v>237</c:v>
                </c:pt>
                <c:pt idx="16">
                  <c:v>266</c:v>
                </c:pt>
                <c:pt idx="17">
                  <c:v>294</c:v>
                </c:pt>
                <c:pt idx="18">
                  <c:v>304</c:v>
                </c:pt>
                <c:pt idx="19">
                  <c:v>340</c:v>
                </c:pt>
                <c:pt idx="20">
                  <c:v>322</c:v>
                </c:pt>
                <c:pt idx="21">
                  <c:v>333</c:v>
                </c:pt>
                <c:pt idx="22">
                  <c:v>396</c:v>
                </c:pt>
                <c:pt idx="23">
                  <c:v>382</c:v>
                </c:pt>
                <c:pt idx="24">
                  <c:v>404</c:v>
                </c:pt>
                <c:pt idx="25">
                  <c:v>439</c:v>
                </c:pt>
                <c:pt idx="26">
                  <c:v>457</c:v>
                </c:pt>
                <c:pt idx="27">
                  <c:v>442</c:v>
                </c:pt>
                <c:pt idx="28">
                  <c:v>446</c:v>
                </c:pt>
                <c:pt idx="29">
                  <c:v>446</c:v>
                </c:pt>
                <c:pt idx="30">
                  <c:v>442</c:v>
                </c:pt>
              </c:numCache>
            </c:numRef>
          </c:val>
          <c:smooth val="0"/>
          <c:extLst>
            <c:ext xmlns:c16="http://schemas.microsoft.com/office/drawing/2014/chart" uri="{C3380CC4-5D6E-409C-BE32-E72D297353CC}">
              <c16:uniqueId val="{00000002-68A6-4E6B-A831-E6C64D19B81D}"/>
            </c:ext>
          </c:extLst>
        </c:ser>
        <c:ser>
          <c:idx val="3"/>
          <c:order val="3"/>
          <c:tx>
            <c:strRef>
              <c:f>Sheet1!$A$16</c:f>
              <c:strCache>
                <c:ptCount val="1"/>
                <c:pt idx="0">
                  <c:v>16-29</c:v>
                </c:pt>
              </c:strCache>
            </c:strRef>
          </c:tx>
          <c:spPr>
            <a:ln w="28575" cap="rnd">
              <a:solidFill>
                <a:schemeClr val="accent4"/>
              </a:solidFill>
              <a:round/>
            </a:ln>
            <a:effectLst/>
          </c:spPr>
          <c:marker>
            <c:symbol val="none"/>
          </c:marker>
          <c:cat>
            <c:strRef>
              <c:f>Sheet1!$B$12:$AF$12</c:f>
              <c:strCache>
                <c:ptCount val="31"/>
                <c:pt idx="0">
                  <c:v>Sep 27th</c:v>
                </c:pt>
                <c:pt idx="1">
                  <c:v>28</c:v>
                </c:pt>
                <c:pt idx="2">
                  <c:v>29</c:v>
                </c:pt>
                <c:pt idx="3">
                  <c:v>30</c:v>
                </c:pt>
                <c:pt idx="4">
                  <c:v>Oct 1st</c:v>
                </c:pt>
                <c:pt idx="5">
                  <c:v>2</c:v>
                </c:pt>
                <c:pt idx="6">
                  <c:v>3</c:v>
                </c:pt>
                <c:pt idx="7">
                  <c:v>4</c:v>
                </c:pt>
                <c:pt idx="8">
                  <c:v>5</c:v>
                </c:pt>
                <c:pt idx="9">
                  <c:v>6</c:v>
                </c:pt>
                <c:pt idx="10">
                  <c:v>7</c:v>
                </c:pt>
                <c:pt idx="11">
                  <c:v>Oct 8th</c:v>
                </c:pt>
                <c:pt idx="12">
                  <c:v>9</c:v>
                </c:pt>
                <c:pt idx="13">
                  <c:v>10</c:v>
                </c:pt>
                <c:pt idx="14">
                  <c:v>11</c:v>
                </c:pt>
                <c:pt idx="15">
                  <c:v>12</c:v>
                </c:pt>
                <c:pt idx="16">
                  <c:v>13</c:v>
                </c:pt>
                <c:pt idx="17">
                  <c:v>14</c:v>
                </c:pt>
                <c:pt idx="18">
                  <c:v>Oct 15th</c:v>
                </c:pt>
                <c:pt idx="19">
                  <c:v>16</c:v>
                </c:pt>
                <c:pt idx="20">
                  <c:v>17</c:v>
                </c:pt>
                <c:pt idx="21">
                  <c:v>18</c:v>
                </c:pt>
                <c:pt idx="22">
                  <c:v>19</c:v>
                </c:pt>
                <c:pt idx="23">
                  <c:v>Oct 20th</c:v>
                </c:pt>
                <c:pt idx="24">
                  <c:v>21</c:v>
                </c:pt>
                <c:pt idx="25">
                  <c:v>22</c:v>
                </c:pt>
                <c:pt idx="26">
                  <c:v>23</c:v>
                </c:pt>
                <c:pt idx="27">
                  <c:v>24</c:v>
                </c:pt>
                <c:pt idx="28">
                  <c:v>25</c:v>
                </c:pt>
                <c:pt idx="29">
                  <c:v>26</c:v>
                </c:pt>
                <c:pt idx="30">
                  <c:v>27</c:v>
                </c:pt>
              </c:strCache>
            </c:strRef>
          </c:cat>
          <c:val>
            <c:numRef>
              <c:f>Sheet1!$B$16:$AF$16</c:f>
              <c:numCache>
                <c:formatCode>General</c:formatCode>
                <c:ptCount val="31"/>
                <c:pt idx="0">
                  <c:v>118</c:v>
                </c:pt>
                <c:pt idx="1">
                  <c:v>151</c:v>
                </c:pt>
                <c:pt idx="2">
                  <c:v>147</c:v>
                </c:pt>
                <c:pt idx="3">
                  <c:v>138</c:v>
                </c:pt>
                <c:pt idx="4">
                  <c:v>138</c:v>
                </c:pt>
                <c:pt idx="5">
                  <c:v>175</c:v>
                </c:pt>
                <c:pt idx="6">
                  <c:v>187</c:v>
                </c:pt>
                <c:pt idx="7">
                  <c:v>204</c:v>
                </c:pt>
                <c:pt idx="8">
                  <c:v>200</c:v>
                </c:pt>
                <c:pt idx="9">
                  <c:v>220</c:v>
                </c:pt>
                <c:pt idx="10">
                  <c:v>240</c:v>
                </c:pt>
                <c:pt idx="11">
                  <c:v>256</c:v>
                </c:pt>
                <c:pt idx="12">
                  <c:v>244</c:v>
                </c:pt>
                <c:pt idx="13">
                  <c:v>236</c:v>
                </c:pt>
                <c:pt idx="14">
                  <c:v>220</c:v>
                </c:pt>
                <c:pt idx="15">
                  <c:v>265</c:v>
                </c:pt>
                <c:pt idx="16">
                  <c:v>281</c:v>
                </c:pt>
                <c:pt idx="17">
                  <c:v>289</c:v>
                </c:pt>
                <c:pt idx="18">
                  <c:v>301</c:v>
                </c:pt>
                <c:pt idx="19">
                  <c:v>293</c:v>
                </c:pt>
                <c:pt idx="20">
                  <c:v>322</c:v>
                </c:pt>
                <c:pt idx="21">
                  <c:v>338</c:v>
                </c:pt>
                <c:pt idx="22">
                  <c:v>334</c:v>
                </c:pt>
                <c:pt idx="23">
                  <c:v>370</c:v>
                </c:pt>
                <c:pt idx="24">
                  <c:v>403</c:v>
                </c:pt>
                <c:pt idx="25">
                  <c:v>444</c:v>
                </c:pt>
                <c:pt idx="26">
                  <c:v>484</c:v>
                </c:pt>
                <c:pt idx="27">
                  <c:v>501</c:v>
                </c:pt>
                <c:pt idx="28">
                  <c:v>501</c:v>
                </c:pt>
                <c:pt idx="29">
                  <c:v>517</c:v>
                </c:pt>
                <c:pt idx="30">
                  <c:v>480</c:v>
                </c:pt>
              </c:numCache>
            </c:numRef>
          </c:val>
          <c:smooth val="0"/>
          <c:extLst>
            <c:ext xmlns:c16="http://schemas.microsoft.com/office/drawing/2014/chart" uri="{C3380CC4-5D6E-409C-BE32-E72D297353CC}">
              <c16:uniqueId val="{00000003-68A6-4E6B-A831-E6C64D19B81D}"/>
            </c:ext>
          </c:extLst>
        </c:ser>
        <c:ser>
          <c:idx val="4"/>
          <c:order val="4"/>
          <c:tx>
            <c:strRef>
              <c:f>Sheet1!$A$17</c:f>
              <c:strCache>
                <c:ptCount val="1"/>
                <c:pt idx="0">
                  <c:v>0-15</c:v>
                </c:pt>
              </c:strCache>
            </c:strRef>
          </c:tx>
          <c:spPr>
            <a:ln w="28575" cap="rnd">
              <a:solidFill>
                <a:schemeClr val="accent5"/>
              </a:solidFill>
              <a:round/>
            </a:ln>
            <a:effectLst/>
          </c:spPr>
          <c:marker>
            <c:symbol val="none"/>
          </c:marker>
          <c:cat>
            <c:strRef>
              <c:f>Sheet1!$B$12:$AF$12</c:f>
              <c:strCache>
                <c:ptCount val="31"/>
                <c:pt idx="0">
                  <c:v>Sep 27th</c:v>
                </c:pt>
                <c:pt idx="1">
                  <c:v>28</c:v>
                </c:pt>
                <c:pt idx="2">
                  <c:v>29</c:v>
                </c:pt>
                <c:pt idx="3">
                  <c:v>30</c:v>
                </c:pt>
                <c:pt idx="4">
                  <c:v>Oct 1st</c:v>
                </c:pt>
                <c:pt idx="5">
                  <c:v>2</c:v>
                </c:pt>
                <c:pt idx="6">
                  <c:v>3</c:v>
                </c:pt>
                <c:pt idx="7">
                  <c:v>4</c:v>
                </c:pt>
                <c:pt idx="8">
                  <c:v>5</c:v>
                </c:pt>
                <c:pt idx="9">
                  <c:v>6</c:v>
                </c:pt>
                <c:pt idx="10">
                  <c:v>7</c:v>
                </c:pt>
                <c:pt idx="11">
                  <c:v>Oct 8th</c:v>
                </c:pt>
                <c:pt idx="12">
                  <c:v>9</c:v>
                </c:pt>
                <c:pt idx="13">
                  <c:v>10</c:v>
                </c:pt>
                <c:pt idx="14">
                  <c:v>11</c:v>
                </c:pt>
                <c:pt idx="15">
                  <c:v>12</c:v>
                </c:pt>
                <c:pt idx="16">
                  <c:v>13</c:v>
                </c:pt>
                <c:pt idx="17">
                  <c:v>14</c:v>
                </c:pt>
                <c:pt idx="18">
                  <c:v>Oct 15th</c:v>
                </c:pt>
                <c:pt idx="19">
                  <c:v>16</c:v>
                </c:pt>
                <c:pt idx="20">
                  <c:v>17</c:v>
                </c:pt>
                <c:pt idx="21">
                  <c:v>18</c:v>
                </c:pt>
                <c:pt idx="22">
                  <c:v>19</c:v>
                </c:pt>
                <c:pt idx="23">
                  <c:v>Oct 20th</c:v>
                </c:pt>
                <c:pt idx="24">
                  <c:v>21</c:v>
                </c:pt>
                <c:pt idx="25">
                  <c:v>22</c:v>
                </c:pt>
                <c:pt idx="26">
                  <c:v>23</c:v>
                </c:pt>
                <c:pt idx="27">
                  <c:v>24</c:v>
                </c:pt>
                <c:pt idx="28">
                  <c:v>25</c:v>
                </c:pt>
                <c:pt idx="29">
                  <c:v>26</c:v>
                </c:pt>
                <c:pt idx="30">
                  <c:v>27</c:v>
                </c:pt>
              </c:strCache>
            </c:strRef>
          </c:cat>
          <c:val>
            <c:numRef>
              <c:f>Sheet1!$B$17:$AF$17</c:f>
              <c:numCache>
                <c:formatCode>General</c:formatCode>
                <c:ptCount val="31"/>
                <c:pt idx="0">
                  <c:v>0</c:v>
                </c:pt>
                <c:pt idx="1">
                  <c:v>0</c:v>
                </c:pt>
                <c:pt idx="2">
                  <c:v>0</c:v>
                </c:pt>
                <c:pt idx="3">
                  <c:v>3</c:v>
                </c:pt>
                <c:pt idx="4">
                  <c:v>6</c:v>
                </c:pt>
                <c:pt idx="5">
                  <c:v>10</c:v>
                </c:pt>
                <c:pt idx="6">
                  <c:v>10</c:v>
                </c:pt>
                <c:pt idx="7">
                  <c:v>13</c:v>
                </c:pt>
                <c:pt idx="8">
                  <c:v>19</c:v>
                </c:pt>
                <c:pt idx="9">
                  <c:v>39</c:v>
                </c:pt>
                <c:pt idx="10">
                  <c:v>39</c:v>
                </c:pt>
                <c:pt idx="11">
                  <c:v>68</c:v>
                </c:pt>
                <c:pt idx="12">
                  <c:v>68</c:v>
                </c:pt>
                <c:pt idx="13">
                  <c:v>87</c:v>
                </c:pt>
                <c:pt idx="14">
                  <c:v>90</c:v>
                </c:pt>
                <c:pt idx="15">
                  <c:v>100</c:v>
                </c:pt>
                <c:pt idx="16">
                  <c:v>106</c:v>
                </c:pt>
                <c:pt idx="17">
                  <c:v>129</c:v>
                </c:pt>
                <c:pt idx="18">
                  <c:v>116</c:v>
                </c:pt>
                <c:pt idx="19">
                  <c:v>129</c:v>
                </c:pt>
                <c:pt idx="20">
                  <c:v>119</c:v>
                </c:pt>
                <c:pt idx="21">
                  <c:v>119</c:v>
                </c:pt>
                <c:pt idx="22">
                  <c:v>126</c:v>
                </c:pt>
                <c:pt idx="23">
                  <c:v>119</c:v>
                </c:pt>
                <c:pt idx="24">
                  <c:v>106</c:v>
                </c:pt>
                <c:pt idx="25">
                  <c:v>110</c:v>
                </c:pt>
                <c:pt idx="26">
                  <c:v>119</c:v>
                </c:pt>
                <c:pt idx="27">
                  <c:v>122</c:v>
                </c:pt>
                <c:pt idx="28">
                  <c:v>126</c:v>
                </c:pt>
                <c:pt idx="29">
                  <c:v>116</c:v>
                </c:pt>
                <c:pt idx="30">
                  <c:v>116</c:v>
                </c:pt>
              </c:numCache>
            </c:numRef>
          </c:val>
          <c:smooth val="0"/>
          <c:extLst>
            <c:ext xmlns:c16="http://schemas.microsoft.com/office/drawing/2014/chart" uri="{C3380CC4-5D6E-409C-BE32-E72D297353CC}">
              <c16:uniqueId val="{00000004-68A6-4E6B-A831-E6C64D19B81D}"/>
            </c:ext>
          </c:extLst>
        </c:ser>
        <c:dLbls>
          <c:showLegendKey val="0"/>
          <c:showVal val="0"/>
          <c:showCatName val="0"/>
          <c:showSerName val="0"/>
          <c:showPercent val="0"/>
          <c:showBubbleSize val="0"/>
        </c:dLbls>
        <c:smooth val="0"/>
        <c:axId val="626097408"/>
        <c:axId val="626097736"/>
      </c:lineChart>
      <c:catAx>
        <c:axId val="62609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097736"/>
        <c:crosses val="autoZero"/>
        <c:auto val="1"/>
        <c:lblAlgn val="ctr"/>
        <c:lblOffset val="100"/>
        <c:noMultiLvlLbl val="0"/>
      </c:catAx>
      <c:valAx>
        <c:axId val="626097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09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'[Confirmed cases 02.11.20.xlsx]Sheet3'!$A$14:$A$28</c:f>
              <c:strCache>
                <c:ptCount val="15"/>
                <c:pt idx="0">
                  <c:v>South</c:v>
                </c:pt>
                <c:pt idx="1">
                  <c:v>Park</c:v>
                </c:pt>
                <c:pt idx="2">
                  <c:v>Heneage</c:v>
                </c:pt>
                <c:pt idx="3">
                  <c:v>Humberston &amp; New Waltham</c:v>
                </c:pt>
                <c:pt idx="4">
                  <c:v>Yarborough</c:v>
                </c:pt>
                <c:pt idx="5">
                  <c:v>Scartho</c:v>
                </c:pt>
                <c:pt idx="6">
                  <c:v>Freshney</c:v>
                </c:pt>
                <c:pt idx="7">
                  <c:v>Croft Baker</c:v>
                </c:pt>
                <c:pt idx="8">
                  <c:v>Haverstoe</c:v>
                </c:pt>
                <c:pt idx="9">
                  <c:v>Sidney Sussex</c:v>
                </c:pt>
                <c:pt idx="10">
                  <c:v>East Marsh</c:v>
                </c:pt>
                <c:pt idx="11">
                  <c:v>Waltham</c:v>
                </c:pt>
                <c:pt idx="12">
                  <c:v>Immingham</c:v>
                </c:pt>
                <c:pt idx="13">
                  <c:v>Wolds</c:v>
                </c:pt>
                <c:pt idx="14">
                  <c:v>West Marsh</c:v>
                </c:pt>
              </c:strCache>
            </c:strRef>
          </c:cat>
          <c:val>
            <c:numRef>
              <c:f>'[Confirmed cases 02.11.20.xlsx]Sheet3'!$B$14:$B$28</c:f>
              <c:numCache>
                <c:formatCode>General</c:formatCode>
                <c:ptCount val="15"/>
                <c:pt idx="0">
                  <c:v>178</c:v>
                </c:pt>
                <c:pt idx="1">
                  <c:v>170</c:v>
                </c:pt>
                <c:pt idx="2">
                  <c:v>167</c:v>
                </c:pt>
                <c:pt idx="3">
                  <c:v>167</c:v>
                </c:pt>
                <c:pt idx="4">
                  <c:v>161</c:v>
                </c:pt>
                <c:pt idx="5">
                  <c:v>152</c:v>
                </c:pt>
                <c:pt idx="6">
                  <c:v>145</c:v>
                </c:pt>
                <c:pt idx="7">
                  <c:v>139</c:v>
                </c:pt>
                <c:pt idx="8">
                  <c:v>125</c:v>
                </c:pt>
                <c:pt idx="9">
                  <c:v>122</c:v>
                </c:pt>
                <c:pt idx="10">
                  <c:v>114</c:v>
                </c:pt>
                <c:pt idx="11">
                  <c:v>86</c:v>
                </c:pt>
                <c:pt idx="12">
                  <c:v>79</c:v>
                </c:pt>
                <c:pt idx="13">
                  <c:v>75</c:v>
                </c:pt>
                <c:pt idx="14">
                  <c:v>69</c:v>
                </c:pt>
              </c:numCache>
            </c:numRef>
          </c:val>
          <c:extLst>
            <c:ext xmlns:c16="http://schemas.microsoft.com/office/drawing/2014/chart" uri="{C3380CC4-5D6E-409C-BE32-E72D297353CC}">
              <c16:uniqueId val="{00000000-D3CA-4C15-954E-11F8FB2A1158}"/>
            </c:ext>
          </c:extLst>
        </c:ser>
        <c:dLbls>
          <c:dLblPos val="outEnd"/>
          <c:showLegendKey val="0"/>
          <c:showVal val="1"/>
          <c:showCatName val="0"/>
          <c:showSerName val="0"/>
          <c:showPercent val="0"/>
          <c:showBubbleSize val="0"/>
        </c:dLbls>
        <c:gapWidth val="30"/>
        <c:overlap val="-27"/>
        <c:axId val="639851544"/>
        <c:axId val="639848264"/>
      </c:barChart>
      <c:catAx>
        <c:axId val="63985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848264"/>
        <c:crosses val="autoZero"/>
        <c:auto val="1"/>
        <c:lblAlgn val="ctr"/>
        <c:lblOffset val="100"/>
        <c:noMultiLvlLbl val="0"/>
      </c:catAx>
      <c:valAx>
        <c:axId val="6398482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cases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851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'[FIGURE 2 Gov.uk confirmed cases 2nd nov.xlsx]Sheet1'!$B$1</c:f>
              <c:strCache>
                <c:ptCount val="1"/>
                <c:pt idx="0">
                  <c:v>Cumulative rate</c:v>
                </c:pt>
              </c:strCache>
            </c:strRef>
          </c:tx>
          <c:spPr>
            <a:solidFill>
              <a:srgbClr val="0070C0"/>
            </a:solidFill>
            <a:ln>
              <a:noFill/>
            </a:ln>
            <a:effectLst/>
          </c:spPr>
          <c:invertIfNegative val="0"/>
          <c:dPt>
            <c:idx val="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7598-4154-93ED-CBE92DB80DC8}"/>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7598-4154-93ED-CBE92DB80DC8}"/>
              </c:ext>
            </c:extLst>
          </c:dPt>
          <c:dPt>
            <c:idx val="3"/>
            <c:invertIfNegative val="0"/>
            <c:bubble3D val="0"/>
            <c:spPr>
              <a:solidFill>
                <a:srgbClr val="0070C0"/>
              </a:solidFill>
              <a:ln>
                <a:noFill/>
              </a:ln>
              <a:effectLst/>
            </c:spPr>
            <c:extLst>
              <c:ext xmlns:c16="http://schemas.microsoft.com/office/drawing/2014/chart" uri="{C3380CC4-5D6E-409C-BE32-E72D297353CC}">
                <c16:uniqueId val="{00000005-7598-4154-93ED-CBE92DB80DC8}"/>
              </c:ext>
            </c:extLst>
          </c:dPt>
          <c:dPt>
            <c:idx val="5"/>
            <c:invertIfNegative val="0"/>
            <c:bubble3D val="0"/>
            <c:spPr>
              <a:solidFill>
                <a:srgbClr val="002060"/>
              </a:solidFill>
              <a:ln>
                <a:noFill/>
              </a:ln>
              <a:effectLst/>
            </c:spPr>
            <c:extLst>
              <c:ext xmlns:c16="http://schemas.microsoft.com/office/drawing/2014/chart" uri="{C3380CC4-5D6E-409C-BE32-E72D297353CC}">
                <c16:uniqueId val="{00000007-7598-4154-93ED-CBE92DB80DC8}"/>
              </c:ext>
            </c:extLst>
          </c:dPt>
          <c:dPt>
            <c:idx val="6"/>
            <c:invertIfNegative val="0"/>
            <c:bubble3D val="0"/>
            <c:spPr>
              <a:solidFill>
                <a:srgbClr val="0070C0"/>
              </a:solidFill>
              <a:ln>
                <a:noFill/>
              </a:ln>
              <a:effectLst/>
            </c:spPr>
            <c:extLst>
              <c:ext xmlns:c16="http://schemas.microsoft.com/office/drawing/2014/chart" uri="{C3380CC4-5D6E-409C-BE32-E72D297353CC}">
                <c16:uniqueId val="{00000009-7598-4154-93ED-CBE92DB80DC8}"/>
              </c:ext>
            </c:extLst>
          </c:dPt>
          <c:dPt>
            <c:idx val="7"/>
            <c:invertIfNegative val="0"/>
            <c:bubble3D val="0"/>
            <c:spPr>
              <a:solidFill>
                <a:srgbClr val="0070C0"/>
              </a:solidFill>
              <a:ln>
                <a:noFill/>
              </a:ln>
              <a:effectLst/>
            </c:spPr>
            <c:extLst>
              <c:ext xmlns:c16="http://schemas.microsoft.com/office/drawing/2014/chart" uri="{C3380CC4-5D6E-409C-BE32-E72D297353CC}">
                <c16:uniqueId val="{0000000B-7598-4154-93ED-CBE92DB80DC8}"/>
              </c:ext>
            </c:extLst>
          </c:dPt>
          <c:dPt>
            <c:idx val="10"/>
            <c:invertIfNegative val="0"/>
            <c:bubble3D val="0"/>
            <c:spPr>
              <a:solidFill>
                <a:srgbClr val="0070C0"/>
              </a:solidFill>
              <a:ln>
                <a:noFill/>
              </a:ln>
              <a:effectLst/>
            </c:spPr>
            <c:extLst>
              <c:ext xmlns:c16="http://schemas.microsoft.com/office/drawing/2014/chart" uri="{C3380CC4-5D6E-409C-BE32-E72D297353CC}">
                <c16:uniqueId val="{0000000D-7598-4154-93ED-CBE92DB80DC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Gov.uk confirmed cases 2nd nov.xlsx]Sheet1'!$A$2:$A$19</c:f>
              <c:strCache>
                <c:ptCount val="18"/>
                <c:pt idx="0">
                  <c:v>Yorkshire and Humber</c:v>
                </c:pt>
                <c:pt idx="1">
                  <c:v>England</c:v>
                </c:pt>
                <c:pt idx="3">
                  <c:v>North Yorkshire</c:v>
                </c:pt>
                <c:pt idx="4">
                  <c:v>North Lincolnshire</c:v>
                </c:pt>
                <c:pt idx="5">
                  <c:v>North East Lincolnshire</c:v>
                </c:pt>
                <c:pt idx="6">
                  <c:v>East Riding</c:v>
                </c:pt>
                <c:pt idx="7">
                  <c:v>Hull</c:v>
                </c:pt>
                <c:pt idx="8">
                  <c:v>York</c:v>
                </c:pt>
                <c:pt idx="9">
                  <c:v>Calderdale</c:v>
                </c:pt>
                <c:pt idx="10">
                  <c:v>Wakefield</c:v>
                </c:pt>
                <c:pt idx="11">
                  <c:v>Doncaster</c:v>
                </c:pt>
                <c:pt idx="12">
                  <c:v>Kirklees</c:v>
                </c:pt>
                <c:pt idx="13">
                  <c:v>Barnsley</c:v>
                </c:pt>
                <c:pt idx="14">
                  <c:v>Rotherham</c:v>
                </c:pt>
                <c:pt idx="15">
                  <c:v>Leeds</c:v>
                </c:pt>
                <c:pt idx="16">
                  <c:v>Sheffield</c:v>
                </c:pt>
                <c:pt idx="17">
                  <c:v>Bradford</c:v>
                </c:pt>
              </c:strCache>
            </c:strRef>
          </c:cat>
          <c:val>
            <c:numRef>
              <c:f>'[FIGURE 2 Gov.uk confirmed cases 2nd nov.xlsx]Sheet1'!$B$2:$B$19</c:f>
              <c:numCache>
                <c:formatCode>#,##0.0</c:formatCode>
                <c:ptCount val="18"/>
                <c:pt idx="0">
                  <c:v>2419.8000000000002</c:v>
                </c:pt>
                <c:pt idx="1">
                  <c:v>1561.7</c:v>
                </c:pt>
                <c:pt idx="3">
                  <c:v>1331.3</c:v>
                </c:pt>
                <c:pt idx="4">
                  <c:v>1359.3</c:v>
                </c:pt>
                <c:pt idx="5">
                  <c:v>1388.2</c:v>
                </c:pt>
                <c:pt idx="6">
                  <c:v>1511.5</c:v>
                </c:pt>
                <c:pt idx="7">
                  <c:v>1654.9</c:v>
                </c:pt>
                <c:pt idx="8">
                  <c:v>1709</c:v>
                </c:pt>
                <c:pt idx="9">
                  <c:v>2291.6999999999998</c:v>
                </c:pt>
                <c:pt idx="10">
                  <c:v>2308</c:v>
                </c:pt>
                <c:pt idx="11">
                  <c:v>2486.5</c:v>
                </c:pt>
                <c:pt idx="12">
                  <c:v>2535.5</c:v>
                </c:pt>
                <c:pt idx="13">
                  <c:v>2841.2</c:v>
                </c:pt>
                <c:pt idx="14">
                  <c:v>2849.9</c:v>
                </c:pt>
                <c:pt idx="15">
                  <c:v>2914.7</c:v>
                </c:pt>
                <c:pt idx="16">
                  <c:v>3109.5</c:v>
                </c:pt>
                <c:pt idx="17">
                  <c:v>3608.2</c:v>
                </c:pt>
              </c:numCache>
            </c:numRef>
          </c:val>
          <c:extLst>
            <c:ext xmlns:c16="http://schemas.microsoft.com/office/drawing/2014/chart" uri="{C3380CC4-5D6E-409C-BE32-E72D297353CC}">
              <c16:uniqueId val="{0000000E-7598-4154-93ED-CBE92DB80DC8}"/>
            </c:ext>
          </c:extLst>
        </c:ser>
        <c:dLbls>
          <c:dLblPos val="outEnd"/>
          <c:showLegendKey val="0"/>
          <c:showVal val="1"/>
          <c:showCatName val="0"/>
          <c:showSerName val="0"/>
          <c:showPercent val="0"/>
          <c:showBubbleSize val="0"/>
        </c:dLbls>
        <c:gapWidth val="30"/>
        <c:axId val="421715000"/>
        <c:axId val="421715656"/>
      </c:barChart>
      <c:catAx>
        <c:axId val="421715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715656"/>
        <c:crosses val="autoZero"/>
        <c:auto val="1"/>
        <c:lblAlgn val="ctr"/>
        <c:lblOffset val="100"/>
        <c:noMultiLvlLbl val="0"/>
      </c:catAx>
      <c:valAx>
        <c:axId val="421715656"/>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715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 Yorkshire and Humber lab cases 25th october to 31st october.xlsx]Tables'!$B$20</c:f>
              <c:strCache>
                <c:ptCount val="1"/>
                <c:pt idx="0">
                  <c:v>Seven day rate per 100,000</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Yorkshire and Humber lab cases 25th october to 31st october.xlsx]Tables'!$A$21:$A$35</c:f>
              <c:strCache>
                <c:ptCount val="15"/>
                <c:pt idx="0">
                  <c:v>Doncaster</c:v>
                </c:pt>
                <c:pt idx="1">
                  <c:v>Rotherham</c:v>
                </c:pt>
                <c:pt idx="2">
                  <c:v>Barnsley</c:v>
                </c:pt>
                <c:pt idx="3">
                  <c:v>Bradford</c:v>
                </c:pt>
                <c:pt idx="4">
                  <c:v>Wakefield</c:v>
                </c:pt>
                <c:pt idx="5">
                  <c:v>Sheffield</c:v>
                </c:pt>
                <c:pt idx="6">
                  <c:v>Kirklees</c:v>
                </c:pt>
                <c:pt idx="7">
                  <c:v>Leeds</c:v>
                </c:pt>
                <c:pt idx="8">
                  <c:v>Calderdale</c:v>
                </c:pt>
                <c:pt idx="9">
                  <c:v>North East Lincolnshire</c:v>
                </c:pt>
                <c:pt idx="10">
                  <c:v>Kingston upon Hull</c:v>
                </c:pt>
                <c:pt idx="11">
                  <c:v>East Riding of Yorkshire</c:v>
                </c:pt>
                <c:pt idx="12">
                  <c:v>York</c:v>
                </c:pt>
                <c:pt idx="13">
                  <c:v>North Lincolnshire</c:v>
                </c:pt>
                <c:pt idx="14">
                  <c:v>North Yorkshire</c:v>
                </c:pt>
              </c:strCache>
            </c:strRef>
          </c:cat>
          <c:val>
            <c:numRef>
              <c:f>'[FIGURE 3 Yorkshire and Humber lab cases 25th october to 31st october.xlsx]Tables'!$B$21:$B$35</c:f>
              <c:numCache>
                <c:formatCode>General</c:formatCode>
                <c:ptCount val="15"/>
                <c:pt idx="0">
                  <c:v>568.1</c:v>
                </c:pt>
                <c:pt idx="1">
                  <c:v>521.1</c:v>
                </c:pt>
                <c:pt idx="2">
                  <c:v>502.7</c:v>
                </c:pt>
                <c:pt idx="3">
                  <c:v>495.6</c:v>
                </c:pt>
                <c:pt idx="4">
                  <c:v>434.7</c:v>
                </c:pt>
                <c:pt idx="5">
                  <c:v>426.9</c:v>
                </c:pt>
                <c:pt idx="6">
                  <c:v>422</c:v>
                </c:pt>
                <c:pt idx="7">
                  <c:v>413.4</c:v>
                </c:pt>
                <c:pt idx="8">
                  <c:v>395.4</c:v>
                </c:pt>
                <c:pt idx="9">
                  <c:v>377.3</c:v>
                </c:pt>
                <c:pt idx="10">
                  <c:v>334.9</c:v>
                </c:pt>
                <c:pt idx="11">
                  <c:v>274.60000000000002</c:v>
                </c:pt>
                <c:pt idx="12">
                  <c:v>222.2</c:v>
                </c:pt>
                <c:pt idx="13">
                  <c:v>209.5</c:v>
                </c:pt>
                <c:pt idx="14">
                  <c:v>185.9</c:v>
                </c:pt>
              </c:numCache>
            </c:numRef>
          </c:val>
          <c:extLst>
            <c:ext xmlns:c16="http://schemas.microsoft.com/office/drawing/2014/chart" uri="{C3380CC4-5D6E-409C-BE32-E72D297353CC}">
              <c16:uniqueId val="{00000000-6B10-4378-97CE-6872CD2CAE19}"/>
            </c:ext>
          </c:extLst>
        </c:ser>
        <c:dLbls>
          <c:showLegendKey val="0"/>
          <c:showVal val="0"/>
          <c:showCatName val="0"/>
          <c:showSerName val="0"/>
          <c:showPercent val="0"/>
          <c:showBubbleSize val="0"/>
        </c:dLbls>
        <c:gapWidth val="100"/>
        <c:axId val="575496080"/>
        <c:axId val="575496408"/>
      </c:barChart>
      <c:lineChart>
        <c:grouping val="standard"/>
        <c:varyColors val="0"/>
        <c:ser>
          <c:idx val="1"/>
          <c:order val="1"/>
          <c:tx>
            <c:strRef>
              <c:f>'[FIGURE 3 Yorkshire and Humber lab cases 25th october to 31st october.xlsx]Tables'!$C$20</c:f>
              <c:strCache>
                <c:ptCount val="1"/>
                <c:pt idx="0">
                  <c:v>Cumulative rate per 100,000</c:v>
                </c:pt>
              </c:strCache>
            </c:strRef>
          </c:tx>
          <c:spPr>
            <a:ln w="28575" cap="rnd">
              <a:solidFill>
                <a:schemeClr val="accent2"/>
              </a:solidFill>
              <a:round/>
            </a:ln>
            <a:effectLst/>
          </c:spPr>
          <c:marker>
            <c:symbol val="none"/>
          </c:marker>
          <c:cat>
            <c:strRef>
              <c:f>'[FIGURE 3 Yorkshire and Humber lab cases 25th october to 31st october.xlsx]Tables'!$A$21:$A$35</c:f>
              <c:strCache>
                <c:ptCount val="15"/>
                <c:pt idx="0">
                  <c:v>Doncaster</c:v>
                </c:pt>
                <c:pt idx="1">
                  <c:v>Rotherham</c:v>
                </c:pt>
                <c:pt idx="2">
                  <c:v>Barnsley</c:v>
                </c:pt>
                <c:pt idx="3">
                  <c:v>Bradford</c:v>
                </c:pt>
                <c:pt idx="4">
                  <c:v>Wakefield</c:v>
                </c:pt>
                <c:pt idx="5">
                  <c:v>Sheffield</c:v>
                </c:pt>
                <c:pt idx="6">
                  <c:v>Kirklees</c:v>
                </c:pt>
                <c:pt idx="7">
                  <c:v>Leeds</c:v>
                </c:pt>
                <c:pt idx="8">
                  <c:v>Calderdale</c:v>
                </c:pt>
                <c:pt idx="9">
                  <c:v>North East Lincolnshire</c:v>
                </c:pt>
                <c:pt idx="10">
                  <c:v>Kingston upon Hull</c:v>
                </c:pt>
                <c:pt idx="11">
                  <c:v>East Riding of Yorkshire</c:v>
                </c:pt>
                <c:pt idx="12">
                  <c:v>York</c:v>
                </c:pt>
                <c:pt idx="13">
                  <c:v>North Lincolnshire</c:v>
                </c:pt>
                <c:pt idx="14">
                  <c:v>North Yorkshire</c:v>
                </c:pt>
              </c:strCache>
            </c:strRef>
          </c:cat>
          <c:val>
            <c:numRef>
              <c:f>'[FIGURE 3 Yorkshire and Humber lab cases 25th october to 31st october.xlsx]Tables'!$C$21:$C$35</c:f>
              <c:numCache>
                <c:formatCode>General</c:formatCode>
                <c:ptCount val="15"/>
                <c:pt idx="0">
                  <c:v>2486.5</c:v>
                </c:pt>
                <c:pt idx="1">
                  <c:v>2849.9</c:v>
                </c:pt>
                <c:pt idx="2">
                  <c:v>2841.2</c:v>
                </c:pt>
                <c:pt idx="3">
                  <c:v>3608.2</c:v>
                </c:pt>
                <c:pt idx="4">
                  <c:v>2308</c:v>
                </c:pt>
                <c:pt idx="5">
                  <c:v>3109.5</c:v>
                </c:pt>
                <c:pt idx="6">
                  <c:v>2535.5</c:v>
                </c:pt>
                <c:pt idx="7">
                  <c:v>2914.7</c:v>
                </c:pt>
                <c:pt idx="8">
                  <c:v>2291.6999999999998</c:v>
                </c:pt>
                <c:pt idx="9">
                  <c:v>1388.2</c:v>
                </c:pt>
                <c:pt idx="10">
                  <c:v>1654.9</c:v>
                </c:pt>
                <c:pt idx="11">
                  <c:v>1511.5</c:v>
                </c:pt>
                <c:pt idx="12">
                  <c:v>1790</c:v>
                </c:pt>
                <c:pt idx="13">
                  <c:v>1359.3</c:v>
                </c:pt>
                <c:pt idx="14">
                  <c:v>1331.3</c:v>
                </c:pt>
              </c:numCache>
            </c:numRef>
          </c:val>
          <c:smooth val="0"/>
          <c:extLst>
            <c:ext xmlns:c16="http://schemas.microsoft.com/office/drawing/2014/chart" uri="{C3380CC4-5D6E-409C-BE32-E72D297353CC}">
              <c16:uniqueId val="{00000001-6B10-4378-97CE-6872CD2CAE19}"/>
            </c:ext>
          </c:extLst>
        </c:ser>
        <c:dLbls>
          <c:showLegendKey val="0"/>
          <c:showVal val="0"/>
          <c:showCatName val="0"/>
          <c:showSerName val="0"/>
          <c:showPercent val="0"/>
          <c:showBubbleSize val="0"/>
        </c:dLbls>
        <c:marker val="1"/>
        <c:smooth val="0"/>
        <c:axId val="585006392"/>
        <c:axId val="585006720"/>
      </c:lineChart>
      <c:catAx>
        <c:axId val="57549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5496408"/>
        <c:crosses val="autoZero"/>
        <c:auto val="1"/>
        <c:lblAlgn val="ctr"/>
        <c:lblOffset val="100"/>
        <c:noMultiLvlLbl val="0"/>
      </c:catAx>
      <c:valAx>
        <c:axId val="57549640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Seven day 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5496080"/>
        <c:crosses val="autoZero"/>
        <c:crossBetween val="between"/>
      </c:valAx>
      <c:valAx>
        <c:axId val="58500672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Cumulative 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5006392"/>
        <c:crosses val="max"/>
        <c:crossBetween val="between"/>
      </c:valAx>
      <c:catAx>
        <c:axId val="585006392"/>
        <c:scaling>
          <c:orientation val="minMax"/>
        </c:scaling>
        <c:delete val="1"/>
        <c:axPos val="b"/>
        <c:numFmt formatCode="General" sourceLinked="1"/>
        <c:majorTickMark val="out"/>
        <c:minorTickMark val="none"/>
        <c:tickLblPos val="nextTo"/>
        <c:crossAx val="5850067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24A5FBBE1E4B4180D986C431BFCFDA" ma:contentTypeVersion="4" ma:contentTypeDescription="Create a new document." ma:contentTypeScope="" ma:versionID="89011aa5b6bf268500590732c156e26f">
  <xsd:schema xmlns:xsd="http://www.w3.org/2001/XMLSchema" xmlns:xs="http://www.w3.org/2001/XMLSchema" xmlns:p="http://schemas.microsoft.com/office/2006/metadata/properties" xmlns:ns3="cbb4137b-26f1-4776-ab0f-b6a6bf5e8b30" targetNamespace="http://schemas.microsoft.com/office/2006/metadata/properties" ma:root="true" ma:fieldsID="2939fb30c682ccadc4432efd93539579" ns3:_="">
    <xsd:import namespace="cbb4137b-26f1-4776-ab0f-b6a6bf5e8b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4137b-26f1-4776-ab0f-b6a6bf5e8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93C1A-CB82-403A-8A23-E4AD09879B20}">
  <ds:schemaRefs>
    <ds:schemaRef ds:uri="http://schemas.microsoft.com/sharepoint/v3/contenttype/forms"/>
  </ds:schemaRefs>
</ds:datastoreItem>
</file>

<file path=customXml/itemProps2.xml><?xml version="1.0" encoding="utf-8"?>
<ds:datastoreItem xmlns:ds="http://schemas.openxmlformats.org/officeDocument/2006/customXml" ds:itemID="{623041B0-3436-4DE1-8062-6EEE5FE6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4137b-26f1-4776-ab0f-b6a6bf5e8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D8828-11A9-4FA4-9923-8687FB11BCF3}">
  <ds:schemaRefs>
    <ds:schemaRef ds:uri="http://schemas.openxmlformats.org/officeDocument/2006/bibliography"/>
  </ds:schemaRefs>
</ds:datastoreItem>
</file>

<file path=customXml/itemProps4.xml><?xml version="1.0" encoding="utf-8"?>
<ds:datastoreItem xmlns:ds="http://schemas.openxmlformats.org/officeDocument/2006/customXml" ds:itemID="{315C6B6C-C82E-42D7-A873-1F4DE86AFF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Barnes (NELC)</dc:creator>
  <cp:lastModifiedBy>Lee Dimberline (NELC)</cp:lastModifiedBy>
  <cp:revision>5</cp:revision>
  <cp:lastPrinted>2020-10-06T09:04:00Z</cp:lastPrinted>
  <dcterms:created xsi:type="dcterms:W3CDTF">2020-11-03T13:45:00Z</dcterms:created>
  <dcterms:modified xsi:type="dcterms:W3CDTF">2020-11-03T14:01:00Z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0x0101006724A5FBBE1E4B4180D986C431BFCFDA</vt:lpwstr>
  </property>
</Properties>
</file>