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3EDC" w14:textId="3F05C712" w:rsidR="002354DC" w:rsidRPr="006F6EFC" w:rsidRDefault="00825C7D" w:rsidP="002354DC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F6EFC">
        <w:rPr>
          <w:rFonts w:ascii="Arial" w:eastAsia="Calibri" w:hAnsi="Arial" w:cs="Arial"/>
          <w:b/>
          <w:sz w:val="24"/>
          <w:szCs w:val="24"/>
          <w:u w:val="single"/>
        </w:rPr>
        <w:t>S</w:t>
      </w:r>
      <w:r w:rsidR="002354DC" w:rsidRPr="006F6EFC">
        <w:rPr>
          <w:rFonts w:ascii="Arial" w:eastAsia="Calibri" w:hAnsi="Arial" w:cs="Arial"/>
          <w:b/>
          <w:sz w:val="24"/>
          <w:szCs w:val="24"/>
          <w:u w:val="single"/>
        </w:rPr>
        <w:t xml:space="preserve">CHOOLS FORUM – </w:t>
      </w:r>
      <w:r w:rsidR="00B86C14" w:rsidRPr="006F6EF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2641BB" w:rsidRPr="006F6EFC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="002354DC" w:rsidRPr="006F6EFC">
        <w:rPr>
          <w:rFonts w:ascii="Arial" w:eastAsia="Calibri" w:hAnsi="Arial" w:cs="Arial"/>
          <w:b/>
          <w:sz w:val="24"/>
          <w:szCs w:val="24"/>
          <w:u w:val="single"/>
          <w:vertAlign w:val="superscript"/>
        </w:rPr>
        <w:t>TH</w:t>
      </w:r>
      <w:r w:rsidR="002354DC" w:rsidRPr="006F6EFC">
        <w:rPr>
          <w:rFonts w:ascii="Arial" w:eastAsia="Calibri" w:hAnsi="Arial" w:cs="Arial"/>
          <w:b/>
          <w:sz w:val="24"/>
          <w:szCs w:val="24"/>
          <w:u w:val="single"/>
        </w:rPr>
        <w:t xml:space="preserve"> MARCH 20</w:t>
      </w:r>
      <w:r w:rsidR="002641BB" w:rsidRPr="006F6EFC">
        <w:rPr>
          <w:rFonts w:ascii="Arial" w:eastAsia="Calibri" w:hAnsi="Arial" w:cs="Arial"/>
          <w:b/>
          <w:sz w:val="24"/>
          <w:szCs w:val="24"/>
          <w:u w:val="single"/>
        </w:rPr>
        <w:t>21</w:t>
      </w:r>
    </w:p>
    <w:p w14:paraId="03334B40" w14:textId="6C84F219" w:rsidR="002354DC" w:rsidRPr="004D266E" w:rsidRDefault="004D266E" w:rsidP="002354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4D266E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ARLY YEARS HOURL</w:t>
      </w:r>
      <w:r w:rsidR="007F3492">
        <w:rPr>
          <w:rFonts w:ascii="Arial" w:hAnsi="Arial" w:cs="Arial"/>
          <w:b/>
          <w:sz w:val="24"/>
          <w:szCs w:val="24"/>
          <w:u w:val="single"/>
        </w:rPr>
        <w:t>Y RATES</w:t>
      </w:r>
      <w:r w:rsidRPr="004D266E">
        <w:rPr>
          <w:rFonts w:ascii="Arial" w:hAnsi="Arial" w:cs="Arial"/>
          <w:b/>
          <w:sz w:val="24"/>
          <w:szCs w:val="24"/>
          <w:u w:val="single"/>
        </w:rPr>
        <w:t xml:space="preserve"> 2021-22</w:t>
      </w:r>
    </w:p>
    <w:p w14:paraId="61DA9B1B" w14:textId="77777777" w:rsidR="002354DC" w:rsidRPr="006F6EFC" w:rsidRDefault="002354DC" w:rsidP="00E511F3">
      <w:pPr>
        <w:pStyle w:val="ListParagraph"/>
        <w:ind w:left="0"/>
      </w:pPr>
    </w:p>
    <w:p w14:paraId="1A7D583E" w14:textId="77777777" w:rsidR="00F16BA0" w:rsidRPr="006F6EFC" w:rsidRDefault="00F16BA0" w:rsidP="00E511F3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144CE539" w14:textId="6D695F37" w:rsidR="008C182E" w:rsidRDefault="00F16BA0" w:rsidP="00E511F3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F6EF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7E76BF02" w14:textId="77777777" w:rsidR="00544C0F" w:rsidRPr="006F6EFC" w:rsidRDefault="00544C0F" w:rsidP="00E511F3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96EDEBE" w14:textId="3FFF0EB8" w:rsidR="00105C1F" w:rsidRDefault="002D7EEE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F6EFC">
        <w:rPr>
          <w:rFonts w:ascii="Arial" w:hAnsi="Arial" w:cs="Arial"/>
          <w:sz w:val="24"/>
          <w:szCs w:val="24"/>
        </w:rPr>
        <w:t xml:space="preserve">The purpose of this paper is to advise Schools Forum members of the </w:t>
      </w:r>
      <w:r w:rsidR="007F3492">
        <w:rPr>
          <w:rFonts w:ascii="Arial" w:hAnsi="Arial" w:cs="Arial"/>
          <w:sz w:val="24"/>
          <w:szCs w:val="24"/>
        </w:rPr>
        <w:t xml:space="preserve">uplift </w:t>
      </w:r>
      <w:proofErr w:type="gramStart"/>
      <w:r w:rsidR="007F3492">
        <w:rPr>
          <w:rFonts w:ascii="Arial" w:hAnsi="Arial" w:cs="Arial"/>
          <w:sz w:val="24"/>
          <w:szCs w:val="24"/>
        </w:rPr>
        <w:t xml:space="preserve">in </w:t>
      </w:r>
      <w:r w:rsidR="001871CC">
        <w:rPr>
          <w:rFonts w:ascii="Arial" w:hAnsi="Arial" w:cs="Arial"/>
          <w:sz w:val="24"/>
          <w:szCs w:val="24"/>
        </w:rPr>
        <w:t xml:space="preserve"> hourly</w:t>
      </w:r>
      <w:proofErr w:type="gramEnd"/>
      <w:r w:rsidR="001871CC">
        <w:rPr>
          <w:rFonts w:ascii="Arial" w:hAnsi="Arial" w:cs="Arial"/>
          <w:sz w:val="24"/>
          <w:szCs w:val="24"/>
        </w:rPr>
        <w:t xml:space="preserve"> rates </w:t>
      </w:r>
      <w:r w:rsidR="00A55A29">
        <w:rPr>
          <w:rFonts w:ascii="Arial" w:hAnsi="Arial" w:cs="Arial"/>
          <w:sz w:val="24"/>
          <w:szCs w:val="24"/>
        </w:rPr>
        <w:t xml:space="preserve">to be </w:t>
      </w:r>
      <w:r w:rsidR="001871CC">
        <w:rPr>
          <w:rFonts w:ascii="Arial" w:hAnsi="Arial" w:cs="Arial"/>
          <w:sz w:val="24"/>
          <w:szCs w:val="24"/>
        </w:rPr>
        <w:t xml:space="preserve">paid to </w:t>
      </w:r>
      <w:r w:rsidR="00CC0E1C">
        <w:rPr>
          <w:rFonts w:ascii="Arial" w:hAnsi="Arial" w:cs="Arial"/>
          <w:sz w:val="24"/>
          <w:szCs w:val="24"/>
        </w:rPr>
        <w:t xml:space="preserve">Early Years </w:t>
      </w:r>
      <w:r w:rsidR="001871CC">
        <w:rPr>
          <w:rFonts w:ascii="Arial" w:hAnsi="Arial" w:cs="Arial"/>
          <w:sz w:val="24"/>
          <w:szCs w:val="24"/>
        </w:rPr>
        <w:t>providers</w:t>
      </w:r>
      <w:r w:rsidR="00A55A29">
        <w:rPr>
          <w:rFonts w:ascii="Arial" w:hAnsi="Arial" w:cs="Arial"/>
          <w:sz w:val="24"/>
          <w:szCs w:val="24"/>
        </w:rPr>
        <w:t xml:space="preserve"> in 2021-22</w:t>
      </w:r>
      <w:r w:rsidR="001871CC">
        <w:rPr>
          <w:rFonts w:ascii="Arial" w:hAnsi="Arial" w:cs="Arial"/>
          <w:sz w:val="24"/>
          <w:szCs w:val="24"/>
        </w:rPr>
        <w:t xml:space="preserve"> in respect of </w:t>
      </w:r>
      <w:r w:rsidR="001C1667">
        <w:rPr>
          <w:rFonts w:ascii="Arial" w:hAnsi="Arial" w:cs="Arial"/>
          <w:sz w:val="24"/>
          <w:szCs w:val="24"/>
        </w:rPr>
        <w:t xml:space="preserve">two-year-olds </w:t>
      </w:r>
      <w:r w:rsidR="00CC0E1C">
        <w:rPr>
          <w:rFonts w:ascii="Arial" w:hAnsi="Arial" w:cs="Arial"/>
          <w:sz w:val="24"/>
          <w:szCs w:val="24"/>
        </w:rPr>
        <w:t xml:space="preserve">and </w:t>
      </w:r>
      <w:r w:rsidR="001C1667">
        <w:rPr>
          <w:rFonts w:ascii="Arial" w:hAnsi="Arial" w:cs="Arial"/>
          <w:sz w:val="24"/>
          <w:szCs w:val="24"/>
        </w:rPr>
        <w:t>three-and-four</w:t>
      </w:r>
      <w:r w:rsidR="00CC0E1C">
        <w:rPr>
          <w:rFonts w:ascii="Arial" w:hAnsi="Arial" w:cs="Arial"/>
          <w:sz w:val="24"/>
          <w:szCs w:val="24"/>
        </w:rPr>
        <w:t xml:space="preserve"> year old</w:t>
      </w:r>
      <w:r w:rsidR="00D11650">
        <w:rPr>
          <w:rFonts w:ascii="Arial" w:hAnsi="Arial" w:cs="Arial"/>
          <w:sz w:val="24"/>
          <w:szCs w:val="24"/>
        </w:rPr>
        <w:t xml:space="preserve">s. </w:t>
      </w:r>
    </w:p>
    <w:p w14:paraId="45693680" w14:textId="77777777" w:rsidR="00D11650" w:rsidRPr="006F6EFC" w:rsidRDefault="00D11650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1B4C66D" w14:textId="1D302BCA" w:rsidR="008F167A" w:rsidRDefault="00A55A29" w:rsidP="008F167A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5C0CAD83" w14:textId="77777777" w:rsidR="00544C0F" w:rsidRDefault="00544C0F" w:rsidP="008F167A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7A65C36A" w14:textId="36E4745F" w:rsidR="00040C97" w:rsidRDefault="001076D2" w:rsidP="008F167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C182E">
        <w:rPr>
          <w:rFonts w:ascii="Arial" w:hAnsi="Arial" w:cs="Arial"/>
          <w:sz w:val="24"/>
          <w:szCs w:val="24"/>
        </w:rPr>
        <w:t xml:space="preserve">In </w:t>
      </w:r>
      <w:r w:rsidR="008C182E">
        <w:rPr>
          <w:rFonts w:ascii="Arial" w:hAnsi="Arial" w:cs="Arial"/>
          <w:sz w:val="24"/>
          <w:szCs w:val="24"/>
        </w:rPr>
        <w:t xml:space="preserve">the </w:t>
      </w:r>
      <w:r w:rsidRPr="008C182E">
        <w:rPr>
          <w:rFonts w:ascii="Arial" w:hAnsi="Arial" w:cs="Arial"/>
          <w:sz w:val="24"/>
          <w:szCs w:val="24"/>
        </w:rPr>
        <w:t>November</w:t>
      </w:r>
      <w:r w:rsidR="008C182E">
        <w:rPr>
          <w:rFonts w:ascii="Arial" w:hAnsi="Arial" w:cs="Arial"/>
          <w:sz w:val="24"/>
          <w:szCs w:val="24"/>
        </w:rPr>
        <w:t xml:space="preserve"> 2020 </w:t>
      </w:r>
      <w:r w:rsidRPr="008C182E">
        <w:rPr>
          <w:rFonts w:ascii="Arial" w:hAnsi="Arial" w:cs="Arial"/>
          <w:sz w:val="24"/>
          <w:szCs w:val="24"/>
        </w:rPr>
        <w:t>Spending Review the Chancellor announced a</w:t>
      </w:r>
      <w:r w:rsidR="008C182E" w:rsidRPr="008C182E">
        <w:rPr>
          <w:rFonts w:ascii="Arial" w:hAnsi="Arial" w:cs="Arial"/>
          <w:sz w:val="24"/>
          <w:szCs w:val="24"/>
        </w:rPr>
        <w:t xml:space="preserve">n </w:t>
      </w:r>
      <w:r w:rsidR="005A1803" w:rsidRPr="008C182E">
        <w:rPr>
          <w:rFonts w:ascii="Arial" w:hAnsi="Arial" w:cs="Arial"/>
          <w:sz w:val="24"/>
          <w:szCs w:val="24"/>
        </w:rPr>
        <w:t>additional £</w:t>
      </w:r>
      <w:r w:rsidRPr="008C182E">
        <w:rPr>
          <w:rFonts w:ascii="Arial" w:hAnsi="Arial" w:cs="Arial"/>
          <w:sz w:val="24"/>
          <w:szCs w:val="24"/>
        </w:rPr>
        <w:t>44</w:t>
      </w:r>
      <w:r w:rsidR="00753686">
        <w:rPr>
          <w:rFonts w:ascii="Arial" w:hAnsi="Arial" w:cs="Arial"/>
          <w:sz w:val="24"/>
          <w:szCs w:val="24"/>
        </w:rPr>
        <w:t xml:space="preserve">m </w:t>
      </w:r>
      <w:r w:rsidRPr="008C182E">
        <w:rPr>
          <w:rFonts w:ascii="Arial" w:hAnsi="Arial" w:cs="Arial"/>
          <w:sz w:val="24"/>
          <w:szCs w:val="24"/>
        </w:rPr>
        <w:t>investment in 2021-22 for local authorities to increase hourly funding rates paid to childcare providers for the government’s free childcare entitlements. </w:t>
      </w:r>
    </w:p>
    <w:p w14:paraId="6D79593F" w14:textId="3EF7E3DF" w:rsidR="001076D2" w:rsidRDefault="00040C97" w:rsidP="001076D2">
      <w:pPr>
        <w:pStyle w:val="xmsonormal"/>
        <w:jc w:val="both"/>
      </w:pPr>
      <w:r>
        <w:rPr>
          <w:rFonts w:ascii="Arial" w:hAnsi="Arial" w:cs="Arial"/>
          <w:sz w:val="24"/>
          <w:szCs w:val="24"/>
        </w:rPr>
        <w:t xml:space="preserve">On </w:t>
      </w:r>
      <w:r w:rsidR="008C182E" w:rsidRPr="008C182E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8C182E" w:rsidRPr="008C182E">
        <w:rPr>
          <w:rFonts w:ascii="Arial" w:hAnsi="Arial" w:cs="Arial"/>
          <w:sz w:val="24"/>
          <w:szCs w:val="24"/>
        </w:rPr>
        <w:t>17</w:t>
      </w:r>
      <w:r w:rsidR="008C182E" w:rsidRPr="008C182E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8C182E" w:rsidRPr="008C182E">
        <w:rPr>
          <w:rFonts w:ascii="Arial" w:hAnsi="Arial" w:cs="Arial"/>
          <w:sz w:val="24"/>
          <w:szCs w:val="24"/>
        </w:rPr>
        <w:t xml:space="preserve"> December 2020</w:t>
      </w:r>
      <w:r>
        <w:rPr>
          <w:rFonts w:ascii="Arial" w:hAnsi="Arial" w:cs="Arial"/>
          <w:sz w:val="24"/>
          <w:szCs w:val="24"/>
        </w:rPr>
        <w:t xml:space="preserve"> it was confirmed that in </w:t>
      </w:r>
      <w:r w:rsidR="001076D2" w:rsidRPr="002B7258">
        <w:rPr>
          <w:rFonts w:ascii="Arial" w:hAnsi="Arial" w:cs="Arial"/>
          <w:sz w:val="24"/>
          <w:szCs w:val="24"/>
        </w:rPr>
        <w:t xml:space="preserve">2021-22 the hourly funding rates </w:t>
      </w:r>
      <w:r w:rsidR="00544C0F">
        <w:rPr>
          <w:rFonts w:ascii="Arial" w:hAnsi="Arial" w:cs="Arial"/>
          <w:sz w:val="24"/>
          <w:szCs w:val="24"/>
        </w:rPr>
        <w:t xml:space="preserve">paid to </w:t>
      </w:r>
      <w:r w:rsidR="001076D2" w:rsidRPr="002B7258">
        <w:rPr>
          <w:rFonts w:ascii="Arial" w:hAnsi="Arial" w:cs="Arial"/>
          <w:sz w:val="24"/>
          <w:szCs w:val="24"/>
        </w:rPr>
        <w:t xml:space="preserve">all local authorities </w:t>
      </w:r>
      <w:r w:rsidRPr="002B7258">
        <w:rPr>
          <w:rFonts w:ascii="Arial" w:hAnsi="Arial" w:cs="Arial"/>
          <w:sz w:val="24"/>
          <w:szCs w:val="24"/>
        </w:rPr>
        <w:t xml:space="preserve">would increase by </w:t>
      </w:r>
      <w:r w:rsidR="001076D2" w:rsidRPr="002B7258">
        <w:rPr>
          <w:rFonts w:ascii="Arial" w:hAnsi="Arial" w:cs="Arial"/>
          <w:sz w:val="24"/>
          <w:szCs w:val="24"/>
        </w:rPr>
        <w:t>8p an hour for the two-year-old entitlement and, for the vast majority of areas, by 6p an hour for the three-and four-year-old entitlements.</w:t>
      </w:r>
      <w:r w:rsidR="001076D2">
        <w:t xml:space="preserve"> </w:t>
      </w:r>
    </w:p>
    <w:p w14:paraId="5F28C68A" w14:textId="77777777" w:rsidR="00A55A29" w:rsidRPr="006F6EFC" w:rsidRDefault="00A55A29" w:rsidP="00E511F3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722A2218" w14:textId="40204132" w:rsidR="008F167A" w:rsidRDefault="002B7258" w:rsidP="00E511F3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3D4997">
        <w:rPr>
          <w:rFonts w:ascii="Arial" w:hAnsi="Arial" w:cs="Arial"/>
          <w:b/>
          <w:bCs/>
          <w:sz w:val="24"/>
          <w:szCs w:val="24"/>
          <w:u w:val="single"/>
        </w:rPr>
        <w:t>Current position</w:t>
      </w:r>
    </w:p>
    <w:p w14:paraId="3071EA24" w14:textId="77777777" w:rsidR="00544C0F" w:rsidRDefault="00544C0F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DEA001C" w14:textId="4EC623A6" w:rsidR="002B7258" w:rsidRDefault="002B7258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has been undertaken to determine how much of the rate increase to be received by the Local Authority can be passed on</w:t>
      </w:r>
      <w:r w:rsidR="009E7946">
        <w:rPr>
          <w:rFonts w:ascii="Arial" w:hAnsi="Arial" w:cs="Arial"/>
          <w:sz w:val="24"/>
          <w:szCs w:val="24"/>
        </w:rPr>
        <w:t>. The projected funding position</w:t>
      </w:r>
      <w:r w:rsidR="006C6513">
        <w:rPr>
          <w:rFonts w:ascii="Arial" w:hAnsi="Arial" w:cs="Arial"/>
          <w:sz w:val="24"/>
          <w:szCs w:val="24"/>
        </w:rPr>
        <w:t xml:space="preserve"> working on the passporting of the full increase </w:t>
      </w:r>
      <w:r w:rsidR="009E7946">
        <w:rPr>
          <w:rFonts w:ascii="Arial" w:hAnsi="Arial" w:cs="Arial"/>
          <w:sz w:val="24"/>
          <w:szCs w:val="24"/>
        </w:rPr>
        <w:t>is demonstrated in the table below</w:t>
      </w:r>
      <w:r w:rsidR="003D4997">
        <w:rPr>
          <w:rFonts w:ascii="Arial" w:hAnsi="Arial" w:cs="Arial"/>
          <w:sz w:val="24"/>
          <w:szCs w:val="24"/>
        </w:rPr>
        <w:t>:</w:t>
      </w: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300"/>
        <w:gridCol w:w="1720"/>
        <w:gridCol w:w="1720"/>
        <w:gridCol w:w="1380"/>
      </w:tblGrid>
      <w:tr w:rsidR="00A75CF0" w14:paraId="46DBCCAC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407B8" w14:textId="77777777" w:rsidR="00A75CF0" w:rsidRDefault="00A75CF0" w:rsidP="00182EFA">
            <w:pPr>
              <w:jc w:val="center"/>
            </w:pP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9033A" w14:textId="6FF8DFC0" w:rsidR="00A75CF0" w:rsidRPr="00182EFA" w:rsidRDefault="00A75CF0" w:rsidP="00182EF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182EFA">
              <w:rPr>
                <w:b/>
                <w:bCs/>
                <w:color w:val="000000"/>
                <w:lang w:eastAsia="en-GB"/>
              </w:rPr>
              <w:t>2 year olds</w:t>
            </w:r>
            <w:proofErr w:type="gramEnd"/>
            <w:r w:rsidR="00182EFA" w:rsidRPr="00182EFA">
              <w:rPr>
                <w:b/>
                <w:bCs/>
                <w:color w:val="000000"/>
                <w:lang w:eastAsia="en-GB"/>
              </w:rPr>
              <w:t xml:space="preserve"> £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D7269" w14:textId="3227E719" w:rsidR="00A75CF0" w:rsidRPr="00182EFA" w:rsidRDefault="00A75CF0" w:rsidP="00182EFA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182EFA">
              <w:rPr>
                <w:b/>
                <w:bCs/>
                <w:color w:val="000000"/>
                <w:lang w:eastAsia="en-GB"/>
              </w:rPr>
              <w:t xml:space="preserve">3 and 4 </w:t>
            </w:r>
            <w:proofErr w:type="gramStart"/>
            <w:r w:rsidRPr="00182EFA">
              <w:rPr>
                <w:b/>
                <w:bCs/>
                <w:color w:val="000000"/>
                <w:lang w:eastAsia="en-GB"/>
              </w:rPr>
              <w:t>universal</w:t>
            </w:r>
            <w:proofErr w:type="gramEnd"/>
            <w:r w:rsidR="00182EFA" w:rsidRPr="00182EFA">
              <w:rPr>
                <w:b/>
                <w:bCs/>
                <w:color w:val="000000"/>
                <w:lang w:eastAsia="en-GB"/>
              </w:rPr>
              <w:t xml:space="preserve"> £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ACB4E" w14:textId="16C0A53F" w:rsidR="00A75CF0" w:rsidRPr="00182EFA" w:rsidRDefault="00A75CF0" w:rsidP="00182EFA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182EFA">
              <w:rPr>
                <w:b/>
                <w:bCs/>
                <w:color w:val="000000"/>
                <w:lang w:eastAsia="en-GB"/>
              </w:rPr>
              <w:t>3 and 4 extended</w:t>
            </w:r>
            <w:r w:rsidR="00182EFA" w:rsidRPr="00182EFA">
              <w:rPr>
                <w:b/>
                <w:bCs/>
                <w:color w:val="000000"/>
                <w:lang w:eastAsia="en-GB"/>
              </w:rPr>
              <w:t xml:space="preserve"> £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67322" w14:textId="6DB00108" w:rsidR="00A75CF0" w:rsidRPr="00182EFA" w:rsidRDefault="00A75CF0" w:rsidP="00182EFA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182EFA">
              <w:rPr>
                <w:b/>
                <w:bCs/>
                <w:color w:val="000000"/>
                <w:lang w:eastAsia="en-GB"/>
              </w:rPr>
              <w:t>Total</w:t>
            </w:r>
            <w:r w:rsidR="00182EFA" w:rsidRPr="00182EFA">
              <w:rPr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A75CF0" w14:paraId="3046F994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7BCEB" w14:textId="77777777" w:rsidR="00A75CF0" w:rsidRDefault="00A75C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Allocation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78CCA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1,735,965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10052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6,090,902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60295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2,061,565 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E0232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9,888,432 </w:t>
            </w:r>
          </w:p>
        </w:tc>
      </w:tr>
      <w:tr w:rsidR="00A75CF0" w14:paraId="0B7FC7DD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16C32" w14:textId="6A1902F1" w:rsidR="00A75CF0" w:rsidRDefault="00CB2A2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</w:t>
            </w:r>
            <w:r w:rsidR="00A75CF0">
              <w:rPr>
                <w:color w:val="000000"/>
                <w:lang w:eastAsia="en-GB"/>
              </w:rPr>
              <w:t>ess</w:t>
            </w:r>
            <w:r>
              <w:rPr>
                <w:color w:val="000000"/>
                <w:lang w:eastAsia="en-GB"/>
              </w:rPr>
              <w:t>:</w:t>
            </w:r>
            <w:r w:rsidR="00A75CF0">
              <w:rPr>
                <w:color w:val="000000"/>
                <w:lang w:eastAsia="en-GB"/>
              </w:rPr>
              <w:t xml:space="preserve"> 5% central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0944E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-86,798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63B84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-304,545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6263A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-103,078 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52882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-494,422 </w:t>
            </w:r>
          </w:p>
        </w:tc>
      </w:tr>
      <w:tr w:rsidR="00A75CF0" w14:paraId="09EA0C89" w14:textId="77777777" w:rsidTr="007B68BD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165B7" w14:textId="43A79312" w:rsidR="00A75CF0" w:rsidRDefault="00544C0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</w:t>
            </w:r>
            <w:r w:rsidR="00A75CF0">
              <w:rPr>
                <w:color w:val="000000"/>
                <w:lang w:eastAsia="en-GB"/>
              </w:rPr>
              <w:t>stimated reduction for Jan 21 headcount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7DB13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-81,024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C2738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-151,367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9557B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-69,268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103C3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FF0000"/>
                <w:lang w:eastAsia="en-GB"/>
              </w:rPr>
              <w:t xml:space="preserve">-301,659 </w:t>
            </w:r>
          </w:p>
        </w:tc>
      </w:tr>
      <w:tr w:rsidR="00A75CF0" w14:paraId="1CB5C7EB" w14:textId="77777777" w:rsidTr="007B68BD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F9C30" w14:textId="77777777" w:rsidR="00A75CF0" w:rsidRDefault="00A75CF0">
            <w:pPr>
              <w:rPr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7D505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41D1F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E154A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3886F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CF0" w14:paraId="33CFCE34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341B1" w14:textId="4131F7B0" w:rsidR="00A75CF0" w:rsidRPr="007B68BD" w:rsidRDefault="007B68BD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</w:t>
            </w:r>
            <w:r w:rsidR="00A75CF0" w:rsidRPr="007B68BD">
              <w:rPr>
                <w:b/>
                <w:bCs/>
                <w:color w:val="000000"/>
                <w:lang w:eastAsia="en-GB"/>
              </w:rPr>
              <w:t>unding available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CE92" w14:textId="77777777" w:rsidR="00A75CF0" w:rsidRPr="007B68BD" w:rsidRDefault="00A75CF0">
            <w:pPr>
              <w:jc w:val="right"/>
              <w:rPr>
                <w:b/>
                <w:bCs/>
                <w:color w:val="000000"/>
                <w:lang w:eastAsia="en-GB"/>
              </w:rPr>
            </w:pPr>
            <w:r w:rsidRPr="007B68BD">
              <w:rPr>
                <w:b/>
                <w:bCs/>
                <w:color w:val="000000"/>
                <w:lang w:eastAsia="en-GB"/>
              </w:rPr>
              <w:t xml:space="preserve">1,568,143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0A021" w14:textId="46EDC4D8" w:rsidR="00A75CF0" w:rsidRPr="007B68BD" w:rsidRDefault="00A75CF0">
            <w:pPr>
              <w:jc w:val="right"/>
              <w:rPr>
                <w:b/>
                <w:bCs/>
                <w:color w:val="000000"/>
                <w:lang w:eastAsia="en-GB"/>
              </w:rPr>
            </w:pPr>
            <w:r w:rsidRPr="007B68BD">
              <w:rPr>
                <w:b/>
                <w:bCs/>
                <w:color w:val="000000"/>
                <w:lang w:eastAsia="en-GB"/>
              </w:rPr>
              <w:t>5,</w:t>
            </w:r>
            <w:r w:rsidR="001C1667">
              <w:rPr>
                <w:b/>
                <w:bCs/>
                <w:color w:val="000000"/>
                <w:lang w:eastAsia="en-GB"/>
              </w:rPr>
              <w:t>634,990</w:t>
            </w:r>
            <w:r w:rsidRPr="007B68BD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CF22" w14:textId="77777777" w:rsidR="00A75CF0" w:rsidRPr="007B68BD" w:rsidRDefault="00A75CF0">
            <w:pPr>
              <w:jc w:val="right"/>
              <w:rPr>
                <w:b/>
                <w:bCs/>
                <w:color w:val="000000"/>
                <w:lang w:eastAsia="en-GB"/>
              </w:rPr>
            </w:pPr>
            <w:r w:rsidRPr="007B68BD">
              <w:rPr>
                <w:b/>
                <w:bCs/>
                <w:color w:val="000000"/>
                <w:lang w:eastAsia="en-GB"/>
              </w:rPr>
              <w:t xml:space="preserve">1,889,219 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60738" w14:textId="24D49FEB" w:rsidR="00A75CF0" w:rsidRPr="007B68BD" w:rsidRDefault="00A75CF0">
            <w:pPr>
              <w:jc w:val="right"/>
              <w:rPr>
                <w:b/>
                <w:bCs/>
                <w:color w:val="000000"/>
                <w:lang w:eastAsia="en-GB"/>
              </w:rPr>
            </w:pPr>
            <w:r w:rsidRPr="007B68BD">
              <w:rPr>
                <w:b/>
                <w:bCs/>
                <w:color w:val="000000"/>
                <w:lang w:eastAsia="en-GB"/>
              </w:rPr>
              <w:t>9,</w:t>
            </w:r>
            <w:r w:rsidR="001C1667">
              <w:rPr>
                <w:b/>
                <w:bCs/>
                <w:color w:val="000000"/>
                <w:lang w:eastAsia="en-GB"/>
              </w:rPr>
              <w:t>092</w:t>
            </w:r>
            <w:r w:rsidRPr="007B68BD">
              <w:rPr>
                <w:b/>
                <w:bCs/>
                <w:color w:val="000000"/>
                <w:lang w:eastAsia="en-GB"/>
              </w:rPr>
              <w:t>,</w:t>
            </w:r>
            <w:r w:rsidR="001C1667">
              <w:rPr>
                <w:b/>
                <w:bCs/>
                <w:color w:val="000000"/>
                <w:lang w:eastAsia="en-GB"/>
              </w:rPr>
              <w:t>351</w:t>
            </w:r>
            <w:r w:rsidR="001C1667" w:rsidRPr="007B68BD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A75CF0" w14:paraId="3E6D282F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67915" w14:textId="77777777" w:rsidR="00A75CF0" w:rsidRDefault="00A75CF0">
            <w:pPr>
              <w:rPr>
                <w:color w:val="000000"/>
                <w:lang w:eastAsia="en-GB"/>
              </w:rPr>
            </w:pP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FEC73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DF1B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1D4CA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D3C40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CF0" w14:paraId="7A0EE4CD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B711B" w14:textId="6D7C2F5B" w:rsidR="00A75CF0" w:rsidRDefault="007B68BD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  <w:r w:rsidR="00A75CF0">
              <w:rPr>
                <w:color w:val="000000"/>
                <w:lang w:eastAsia="en-GB"/>
              </w:rPr>
              <w:t xml:space="preserve">ull 8p </w:t>
            </w:r>
            <w:proofErr w:type="gramStart"/>
            <w:r w:rsidR="00A75CF0">
              <w:rPr>
                <w:color w:val="000000"/>
                <w:lang w:eastAsia="en-GB"/>
              </w:rPr>
              <w:t>2 year old</w:t>
            </w:r>
            <w:proofErr w:type="gramEnd"/>
            <w:r w:rsidR="00A75CF0">
              <w:rPr>
                <w:color w:val="000000"/>
                <w:lang w:eastAsia="en-GB"/>
              </w:rPr>
              <w:t xml:space="preserve"> £5.16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F1770" w14:textId="77777777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1,593,201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2FCA1" w14:textId="77777777" w:rsidR="00A75CF0" w:rsidRDefault="00A75CF0">
            <w:pPr>
              <w:rPr>
                <w:color w:val="00000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27745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6502F" w14:textId="77777777" w:rsidR="00A75CF0" w:rsidRDefault="00A75CF0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1,593,201 </w:t>
            </w:r>
          </w:p>
        </w:tc>
      </w:tr>
      <w:tr w:rsidR="00A75CF0" w14:paraId="1C0F6922" w14:textId="77777777" w:rsidTr="00A75CF0">
        <w:trPr>
          <w:trHeight w:val="29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C827D" w14:textId="1C135225" w:rsidR="00A75CF0" w:rsidRDefault="007B68B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  <w:r w:rsidR="00A75CF0">
              <w:rPr>
                <w:color w:val="000000"/>
                <w:lang w:eastAsia="en-GB"/>
              </w:rPr>
              <w:t xml:space="preserve">ull 6p </w:t>
            </w:r>
            <w:proofErr w:type="gramStart"/>
            <w:r w:rsidR="00A75CF0">
              <w:rPr>
                <w:color w:val="000000"/>
                <w:lang w:eastAsia="en-GB"/>
              </w:rPr>
              <w:t>3 and 4 year olds</w:t>
            </w:r>
            <w:proofErr w:type="gramEnd"/>
            <w:r w:rsidR="00A75CF0">
              <w:rPr>
                <w:color w:val="000000"/>
                <w:lang w:eastAsia="en-GB"/>
              </w:rPr>
              <w:t xml:space="preserve"> £ 4.14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6AC2E" w14:textId="77777777" w:rsidR="00A75CF0" w:rsidRDefault="00A75CF0">
            <w:pPr>
              <w:rPr>
                <w:color w:val="00000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85871" w14:textId="200F6774" w:rsidR="00A75CF0" w:rsidRDefault="00463BD4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5,607,737</w:t>
            </w:r>
            <w:r w:rsidR="00A75CF0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5F14C" w14:textId="24F1A4DB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1,87</w:t>
            </w:r>
            <w:r w:rsidR="00D93C1A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,</w:t>
            </w:r>
            <w:r w:rsidR="00D93C1A">
              <w:rPr>
                <w:color w:val="000000"/>
                <w:lang w:eastAsia="en-GB"/>
              </w:rPr>
              <w:t>747</w:t>
            </w:r>
            <w:r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6A907" w14:textId="0AE23FDC" w:rsidR="00A75CF0" w:rsidRDefault="00A75C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7,</w:t>
            </w:r>
            <w:r w:rsidR="00D93C1A">
              <w:rPr>
                <w:color w:val="000000"/>
                <w:lang w:eastAsia="en-GB"/>
              </w:rPr>
              <w:t>480,484</w:t>
            </w:r>
            <w:r>
              <w:rPr>
                <w:color w:val="000000"/>
                <w:lang w:eastAsia="en-GB"/>
              </w:rPr>
              <w:t xml:space="preserve"> </w:t>
            </w:r>
          </w:p>
        </w:tc>
      </w:tr>
      <w:tr w:rsidR="00A75CF0" w14:paraId="77A90222" w14:textId="77777777" w:rsidTr="00A75CF0">
        <w:trPr>
          <w:trHeight w:val="300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ECEF" w14:textId="77777777" w:rsidR="00A75CF0" w:rsidRDefault="00A75CF0">
            <w:pPr>
              <w:rPr>
                <w:color w:val="000000"/>
                <w:lang w:eastAsia="en-GB"/>
              </w:rPr>
            </w:pP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E4D69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CA504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34532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27896" w14:textId="77777777" w:rsidR="00A75CF0" w:rsidRDefault="00A75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CF0" w14:paraId="1F83F6AD" w14:textId="77777777" w:rsidTr="00A75CF0">
        <w:trPr>
          <w:trHeight w:val="30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3C512" w14:textId="77777777" w:rsidR="00A75CF0" w:rsidRDefault="00A75CF0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(over)/under allocated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BFA9C" w14:textId="77777777" w:rsidR="00A75CF0" w:rsidRDefault="00A75CF0">
            <w:pPr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FF0000"/>
                <w:lang w:eastAsia="en-GB"/>
              </w:rPr>
              <w:t xml:space="preserve">-25,058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A1FEC" w14:textId="61194AF9" w:rsidR="00A75CF0" w:rsidRDefault="00463BD4">
            <w:pPr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27,253</w:t>
            </w:r>
            <w:r w:rsidR="00A75CF0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74DC3" w14:textId="22F56525" w:rsidR="00A75CF0" w:rsidRDefault="00D93C1A">
            <w:pPr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16,472</w:t>
            </w:r>
            <w:r w:rsidR="00A75CF0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F3869" w14:textId="6FE1FCB0" w:rsidR="00A75CF0" w:rsidRDefault="00D93C1A">
            <w:pPr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18,666</w:t>
            </w:r>
            <w:r w:rsidR="00A75CF0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5479EA4E" w14:textId="22526EC0" w:rsidR="003D4997" w:rsidRDefault="003D4997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F6F6E40" w14:textId="00E5776D" w:rsidR="006C6513" w:rsidRDefault="006C6513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2352D5" w14:textId="28F07567" w:rsidR="006C6513" w:rsidRDefault="007547D4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table shows that based on current knowledge and projections the passporting of the full increase will</w:t>
      </w:r>
      <w:r w:rsidR="00401AFF">
        <w:rPr>
          <w:rFonts w:ascii="Arial" w:hAnsi="Arial" w:cs="Arial"/>
          <w:sz w:val="24"/>
          <w:szCs w:val="24"/>
        </w:rPr>
        <w:t xml:space="preserve"> leave a small surplus of</w:t>
      </w:r>
      <w:r w:rsidR="008F167A">
        <w:rPr>
          <w:rFonts w:ascii="Arial" w:hAnsi="Arial" w:cs="Arial"/>
          <w:sz w:val="24"/>
          <w:szCs w:val="24"/>
        </w:rPr>
        <w:t xml:space="preserve"> £</w:t>
      </w:r>
      <w:r w:rsidR="00D93C1A">
        <w:rPr>
          <w:rFonts w:ascii="Arial" w:hAnsi="Arial" w:cs="Arial"/>
          <w:sz w:val="24"/>
          <w:szCs w:val="24"/>
        </w:rPr>
        <w:t>19</w:t>
      </w:r>
      <w:r w:rsidR="001C1667">
        <w:rPr>
          <w:rFonts w:ascii="Arial" w:hAnsi="Arial" w:cs="Arial"/>
          <w:sz w:val="24"/>
          <w:szCs w:val="24"/>
        </w:rPr>
        <w:t>k</w:t>
      </w:r>
      <w:r w:rsidR="008F167A">
        <w:rPr>
          <w:rFonts w:ascii="Arial" w:hAnsi="Arial" w:cs="Arial"/>
          <w:sz w:val="24"/>
          <w:szCs w:val="24"/>
        </w:rPr>
        <w:t>.</w:t>
      </w:r>
    </w:p>
    <w:p w14:paraId="5CCEAEC3" w14:textId="77777777" w:rsidR="00544C0F" w:rsidRDefault="00544C0F" w:rsidP="00E511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48C511" w14:textId="11E84B94" w:rsidR="00EB6CE7" w:rsidRPr="00FD04C6" w:rsidRDefault="00544C0F" w:rsidP="00EB6C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EB6CE7" w:rsidRPr="00FD04C6">
        <w:rPr>
          <w:rFonts w:ascii="Arial" w:hAnsi="Arial" w:cs="Arial"/>
          <w:b/>
          <w:sz w:val="24"/>
          <w:szCs w:val="24"/>
          <w:u w:val="single"/>
        </w:rPr>
        <w:t>ecommendation</w:t>
      </w:r>
    </w:p>
    <w:p w14:paraId="78BD1F79" w14:textId="21E0977C" w:rsidR="00386BBE" w:rsidRPr="00FD04C6" w:rsidRDefault="00DF746F" w:rsidP="00386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86BBE" w:rsidRPr="00FD04C6">
        <w:rPr>
          <w:rFonts w:ascii="Arial" w:hAnsi="Arial" w:cs="Arial"/>
          <w:sz w:val="24"/>
          <w:szCs w:val="24"/>
        </w:rPr>
        <w:t xml:space="preserve">setting of the </w:t>
      </w:r>
      <w:r>
        <w:rPr>
          <w:rFonts w:ascii="Arial" w:hAnsi="Arial" w:cs="Arial"/>
          <w:sz w:val="24"/>
          <w:szCs w:val="24"/>
        </w:rPr>
        <w:t xml:space="preserve">Early Years hourly rates </w:t>
      </w:r>
      <w:r w:rsidR="00386BBE" w:rsidRPr="00FD04C6">
        <w:rPr>
          <w:rFonts w:ascii="Arial" w:hAnsi="Arial" w:cs="Arial"/>
          <w:sz w:val="24"/>
          <w:szCs w:val="24"/>
        </w:rPr>
        <w:t xml:space="preserve">does not require a </w:t>
      </w:r>
      <w:r w:rsidR="000462A2" w:rsidRPr="00FD04C6">
        <w:rPr>
          <w:rFonts w:ascii="Arial" w:hAnsi="Arial" w:cs="Arial"/>
          <w:sz w:val="24"/>
          <w:szCs w:val="24"/>
        </w:rPr>
        <w:t xml:space="preserve">formal </w:t>
      </w:r>
      <w:r w:rsidR="00386BBE" w:rsidRPr="00FD04C6">
        <w:rPr>
          <w:rFonts w:ascii="Arial" w:hAnsi="Arial" w:cs="Arial"/>
          <w:sz w:val="24"/>
          <w:szCs w:val="24"/>
        </w:rPr>
        <w:t>decision from the Schools Forum and the report is for information</w:t>
      </w:r>
      <w:r w:rsidR="00544C0F">
        <w:rPr>
          <w:rFonts w:ascii="Arial" w:hAnsi="Arial" w:cs="Arial"/>
          <w:sz w:val="24"/>
          <w:szCs w:val="24"/>
        </w:rPr>
        <w:t xml:space="preserve"> only.</w:t>
      </w:r>
    </w:p>
    <w:p w14:paraId="2353CA0F" w14:textId="77777777" w:rsidR="000D5B37" w:rsidRPr="00FD04C6" w:rsidRDefault="000D5B37" w:rsidP="0021361C">
      <w:pPr>
        <w:rPr>
          <w:rFonts w:ascii="Arial" w:hAnsi="Arial" w:cs="Arial"/>
          <w:sz w:val="24"/>
          <w:szCs w:val="24"/>
        </w:rPr>
      </w:pPr>
    </w:p>
    <w:p w14:paraId="2116AFEC" w14:textId="15A62E88" w:rsidR="003161A9" w:rsidRPr="00FD04C6" w:rsidRDefault="00EB6CE7" w:rsidP="0021361C">
      <w:pPr>
        <w:rPr>
          <w:rFonts w:ascii="Arial" w:eastAsia="Calibri" w:hAnsi="Arial" w:cs="Arial"/>
          <w:sz w:val="24"/>
          <w:szCs w:val="24"/>
        </w:rPr>
      </w:pPr>
      <w:r w:rsidRPr="00FD04C6">
        <w:rPr>
          <w:rFonts w:ascii="Arial" w:hAnsi="Arial" w:cs="Arial"/>
          <w:sz w:val="24"/>
          <w:szCs w:val="24"/>
        </w:rPr>
        <w:t xml:space="preserve">Contact Officer:  </w:t>
      </w:r>
      <w:r w:rsidRPr="00FD04C6">
        <w:rPr>
          <w:rFonts w:ascii="Arial" w:eastAsia="Calibri" w:hAnsi="Arial" w:cs="Arial"/>
          <w:sz w:val="24"/>
          <w:szCs w:val="24"/>
        </w:rPr>
        <w:t xml:space="preserve">David </w:t>
      </w:r>
      <w:r w:rsidR="006D4E0E" w:rsidRPr="00FD04C6">
        <w:rPr>
          <w:rFonts w:ascii="Arial" w:eastAsia="Calibri" w:hAnsi="Arial" w:cs="Arial"/>
          <w:sz w:val="24"/>
          <w:szCs w:val="24"/>
        </w:rPr>
        <w:t>Kirven -</w:t>
      </w:r>
      <w:r w:rsidRPr="00FD04C6">
        <w:rPr>
          <w:rFonts w:ascii="Arial" w:eastAsia="Calibri" w:hAnsi="Arial" w:cs="Arial"/>
          <w:sz w:val="24"/>
          <w:szCs w:val="24"/>
        </w:rPr>
        <w:t xml:space="preserve"> S</w:t>
      </w:r>
      <w:r w:rsidR="00DA44D3" w:rsidRPr="00FD04C6">
        <w:rPr>
          <w:rFonts w:ascii="Arial" w:eastAsia="Calibri" w:hAnsi="Arial" w:cs="Arial"/>
          <w:sz w:val="24"/>
          <w:szCs w:val="24"/>
        </w:rPr>
        <w:t>trategic Lead – Business Partnering</w:t>
      </w:r>
    </w:p>
    <w:p w14:paraId="7E67A5EE" w14:textId="79B0A299" w:rsidR="003161A9" w:rsidRPr="000462A2" w:rsidRDefault="002B17BB" w:rsidP="00D43A1D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FD04C6">
        <w:rPr>
          <w:rFonts w:ascii="Arial" w:eastAsia="Calibri" w:hAnsi="Arial" w:cs="Arial"/>
          <w:sz w:val="24"/>
          <w:szCs w:val="24"/>
        </w:rPr>
        <w:t>17</w:t>
      </w:r>
      <w:r w:rsidR="005258AD" w:rsidRPr="00FD04C6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456671" w:rsidRPr="00FD04C6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456671" w:rsidRPr="00FD04C6">
        <w:rPr>
          <w:rFonts w:ascii="Arial" w:eastAsia="Calibri" w:hAnsi="Arial" w:cs="Arial"/>
          <w:sz w:val="24"/>
          <w:szCs w:val="24"/>
        </w:rPr>
        <w:t>March 2021</w:t>
      </w:r>
    </w:p>
    <w:sectPr w:rsidR="003161A9" w:rsidRPr="000462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EAEC" w14:textId="77777777" w:rsidR="00DF34B0" w:rsidRDefault="00DF34B0" w:rsidP="00130D9B">
      <w:pPr>
        <w:spacing w:after="0" w:line="240" w:lineRule="auto"/>
      </w:pPr>
      <w:r>
        <w:separator/>
      </w:r>
    </w:p>
  </w:endnote>
  <w:endnote w:type="continuationSeparator" w:id="0">
    <w:p w14:paraId="39D849AE" w14:textId="77777777" w:rsidR="00DF34B0" w:rsidRDefault="00DF34B0" w:rsidP="0013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97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01F24" w14:textId="77777777" w:rsidR="009F2FDB" w:rsidRDefault="009F2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6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0775ED" w14:textId="77777777" w:rsidR="009F2FDB" w:rsidRDefault="009F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DB24" w14:textId="77777777" w:rsidR="00DF34B0" w:rsidRDefault="00DF34B0" w:rsidP="00130D9B">
      <w:pPr>
        <w:spacing w:after="0" w:line="240" w:lineRule="auto"/>
      </w:pPr>
      <w:r>
        <w:separator/>
      </w:r>
    </w:p>
  </w:footnote>
  <w:footnote w:type="continuationSeparator" w:id="0">
    <w:p w14:paraId="5ECEF3F6" w14:textId="77777777" w:rsidR="00DF34B0" w:rsidRDefault="00DF34B0" w:rsidP="0013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7645" w14:textId="44BD8C45" w:rsidR="009F2FDB" w:rsidRPr="00130D9B" w:rsidRDefault="009F2FDB" w:rsidP="00130D9B">
    <w:pPr>
      <w:pStyle w:val="Header"/>
      <w:jc w:val="right"/>
      <w:rPr>
        <w:rFonts w:ascii="Arial" w:hAnsi="Arial" w:cs="Arial"/>
        <w:sz w:val="28"/>
        <w:szCs w:val="28"/>
      </w:rPr>
    </w:pPr>
    <w:r w:rsidRPr="00130D9B">
      <w:rPr>
        <w:rFonts w:ascii="Arial" w:hAnsi="Arial" w:cs="Arial"/>
        <w:sz w:val="28"/>
        <w:szCs w:val="28"/>
      </w:rPr>
      <w:t xml:space="preserve">ITEM </w:t>
    </w:r>
    <w:r w:rsidR="008F167A">
      <w:rPr>
        <w:rFonts w:ascii="Arial" w:hAnsi="Arial" w:cs="Arial"/>
        <w:sz w:val="28"/>
        <w:szCs w:val="28"/>
      </w:rPr>
      <w:t>10</w:t>
    </w:r>
    <w:r w:rsidRPr="00130D9B">
      <w:rPr>
        <w:rFonts w:ascii="Arial" w:hAnsi="Arial" w:cs="Arial"/>
        <w:sz w:val="28"/>
        <w:szCs w:val="28"/>
      </w:rPr>
      <w:t>/</w:t>
    </w:r>
    <w:r w:rsidR="00B86C14">
      <w:rPr>
        <w:rFonts w:ascii="Arial" w:hAnsi="Arial" w:cs="Arial"/>
        <w:sz w:val="28"/>
        <w:szCs w:val="28"/>
      </w:rPr>
      <w:t>2</w:t>
    </w:r>
    <w:r w:rsidR="004B0088">
      <w:rPr>
        <w:rFonts w:ascii="Arial" w:hAnsi="Arial" w:cs="Arial"/>
        <w:sz w:val="28"/>
        <w:szCs w:val="28"/>
      </w:rPr>
      <w:t>1</w:t>
    </w:r>
  </w:p>
  <w:p w14:paraId="16750ED5" w14:textId="77777777" w:rsidR="009F2FDB" w:rsidRDefault="009F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B04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0051"/>
    <w:multiLevelType w:val="hybridMultilevel"/>
    <w:tmpl w:val="8BD87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C5761"/>
    <w:multiLevelType w:val="hybridMultilevel"/>
    <w:tmpl w:val="E57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DCA"/>
    <w:multiLevelType w:val="hybridMultilevel"/>
    <w:tmpl w:val="745C8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93C3A"/>
    <w:multiLevelType w:val="hybridMultilevel"/>
    <w:tmpl w:val="5A4A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4F3C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1F1E"/>
    <w:multiLevelType w:val="hybridMultilevel"/>
    <w:tmpl w:val="D6A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70D"/>
    <w:multiLevelType w:val="hybridMultilevel"/>
    <w:tmpl w:val="628E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74EE3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D08"/>
    <w:multiLevelType w:val="hybridMultilevel"/>
    <w:tmpl w:val="E3EEA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9B6"/>
    <w:multiLevelType w:val="hybridMultilevel"/>
    <w:tmpl w:val="1A687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6030B"/>
    <w:multiLevelType w:val="hybridMultilevel"/>
    <w:tmpl w:val="49AA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6867"/>
    <w:multiLevelType w:val="hybridMultilevel"/>
    <w:tmpl w:val="10FA8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4CD"/>
    <w:multiLevelType w:val="hybridMultilevel"/>
    <w:tmpl w:val="4E8A7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7541EF"/>
    <w:multiLevelType w:val="hybridMultilevel"/>
    <w:tmpl w:val="D24A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C7E73"/>
    <w:multiLevelType w:val="hybridMultilevel"/>
    <w:tmpl w:val="BAAC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2825"/>
    <w:multiLevelType w:val="hybridMultilevel"/>
    <w:tmpl w:val="BFFA8F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D23720E"/>
    <w:multiLevelType w:val="hybridMultilevel"/>
    <w:tmpl w:val="8E68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03AB8"/>
    <w:multiLevelType w:val="multilevel"/>
    <w:tmpl w:val="AC72226C"/>
    <w:styleLink w:val="LFO12"/>
    <w:lvl w:ilvl="0">
      <w:numFmt w:val="bullet"/>
      <w:pStyle w:val="DfES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D630E0"/>
    <w:multiLevelType w:val="hybridMultilevel"/>
    <w:tmpl w:val="7FA8F69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7306510"/>
    <w:multiLevelType w:val="hybridMultilevel"/>
    <w:tmpl w:val="66FC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A1F01"/>
    <w:multiLevelType w:val="hybridMultilevel"/>
    <w:tmpl w:val="1AFC7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D7231"/>
    <w:multiLevelType w:val="hybridMultilevel"/>
    <w:tmpl w:val="56BE4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440C6"/>
    <w:multiLevelType w:val="hybridMultilevel"/>
    <w:tmpl w:val="79623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E9377B"/>
    <w:multiLevelType w:val="hybridMultilevel"/>
    <w:tmpl w:val="66042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20"/>
  </w:num>
  <w:num w:numId="5">
    <w:abstractNumId w:val="8"/>
  </w:num>
  <w:num w:numId="6">
    <w:abstractNumId w:val="6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5"/>
  </w:num>
  <w:num w:numId="12">
    <w:abstractNumId w:val="16"/>
  </w:num>
  <w:num w:numId="13">
    <w:abstractNumId w:val="23"/>
  </w:num>
  <w:num w:numId="14">
    <w:abstractNumId w:val="15"/>
  </w:num>
  <w:num w:numId="15">
    <w:abstractNumId w:val="10"/>
  </w:num>
  <w:num w:numId="16">
    <w:abstractNumId w:val="19"/>
  </w:num>
  <w:num w:numId="17">
    <w:abstractNumId w:val="22"/>
  </w:num>
  <w:num w:numId="18">
    <w:abstractNumId w:val="21"/>
  </w:num>
  <w:num w:numId="19">
    <w:abstractNumId w:val="13"/>
  </w:num>
  <w:num w:numId="20">
    <w:abstractNumId w:val="3"/>
  </w:num>
  <w:num w:numId="21">
    <w:abstractNumId w:val="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  <w:num w:numId="25">
    <w:abstractNumId w:val="18"/>
  </w:num>
  <w:num w:numId="26">
    <w:abstractNumId w:val="11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D6"/>
    <w:rsid w:val="00000F78"/>
    <w:rsid w:val="0000719D"/>
    <w:rsid w:val="00023F70"/>
    <w:rsid w:val="00030EB6"/>
    <w:rsid w:val="00036554"/>
    <w:rsid w:val="00040C97"/>
    <w:rsid w:val="00040EC7"/>
    <w:rsid w:val="00045A64"/>
    <w:rsid w:val="00045C56"/>
    <w:rsid w:val="000462A2"/>
    <w:rsid w:val="0006549C"/>
    <w:rsid w:val="0006751D"/>
    <w:rsid w:val="0007310A"/>
    <w:rsid w:val="00076778"/>
    <w:rsid w:val="00080000"/>
    <w:rsid w:val="000874DD"/>
    <w:rsid w:val="00090DAB"/>
    <w:rsid w:val="000A2A64"/>
    <w:rsid w:val="000A5702"/>
    <w:rsid w:val="000A66EC"/>
    <w:rsid w:val="000B31FA"/>
    <w:rsid w:val="000C23DA"/>
    <w:rsid w:val="000D34E9"/>
    <w:rsid w:val="000D5B37"/>
    <w:rsid w:val="000E0E0D"/>
    <w:rsid w:val="000E54EA"/>
    <w:rsid w:val="000F1952"/>
    <w:rsid w:val="00105C1F"/>
    <w:rsid w:val="001076D2"/>
    <w:rsid w:val="00111560"/>
    <w:rsid w:val="00120A31"/>
    <w:rsid w:val="00130D9B"/>
    <w:rsid w:val="001542F8"/>
    <w:rsid w:val="001669BB"/>
    <w:rsid w:val="00167D89"/>
    <w:rsid w:val="00173551"/>
    <w:rsid w:val="00177828"/>
    <w:rsid w:val="00182EFA"/>
    <w:rsid w:val="001871CC"/>
    <w:rsid w:val="00194755"/>
    <w:rsid w:val="001B3A21"/>
    <w:rsid w:val="001B73F1"/>
    <w:rsid w:val="001B78FA"/>
    <w:rsid w:val="001C1667"/>
    <w:rsid w:val="001C1B04"/>
    <w:rsid w:val="001C3F02"/>
    <w:rsid w:val="001D2DE6"/>
    <w:rsid w:val="001D7DC4"/>
    <w:rsid w:val="001E1A5B"/>
    <w:rsid w:val="001E6E14"/>
    <w:rsid w:val="001F5D8C"/>
    <w:rsid w:val="001F6712"/>
    <w:rsid w:val="002038A5"/>
    <w:rsid w:val="00204091"/>
    <w:rsid w:val="0021361C"/>
    <w:rsid w:val="00217C6B"/>
    <w:rsid w:val="0022137D"/>
    <w:rsid w:val="002236A5"/>
    <w:rsid w:val="00224016"/>
    <w:rsid w:val="0023233C"/>
    <w:rsid w:val="002354DC"/>
    <w:rsid w:val="00250770"/>
    <w:rsid w:val="00250889"/>
    <w:rsid w:val="0025381F"/>
    <w:rsid w:val="00255D30"/>
    <w:rsid w:val="0025622E"/>
    <w:rsid w:val="002641BB"/>
    <w:rsid w:val="00265521"/>
    <w:rsid w:val="00271B45"/>
    <w:rsid w:val="00277504"/>
    <w:rsid w:val="00286E36"/>
    <w:rsid w:val="00291D67"/>
    <w:rsid w:val="00291F70"/>
    <w:rsid w:val="002A63CF"/>
    <w:rsid w:val="002B17BB"/>
    <w:rsid w:val="002B501E"/>
    <w:rsid w:val="002B7258"/>
    <w:rsid w:val="002D7EEE"/>
    <w:rsid w:val="002E28CD"/>
    <w:rsid w:val="002E4B43"/>
    <w:rsid w:val="002E6793"/>
    <w:rsid w:val="002E7C37"/>
    <w:rsid w:val="002F0940"/>
    <w:rsid w:val="002F51A7"/>
    <w:rsid w:val="00303F2F"/>
    <w:rsid w:val="00306402"/>
    <w:rsid w:val="0030683B"/>
    <w:rsid w:val="003161A9"/>
    <w:rsid w:val="00317FFA"/>
    <w:rsid w:val="0032397A"/>
    <w:rsid w:val="00331CCE"/>
    <w:rsid w:val="00342C91"/>
    <w:rsid w:val="0035369F"/>
    <w:rsid w:val="00356883"/>
    <w:rsid w:val="0036156F"/>
    <w:rsid w:val="00365661"/>
    <w:rsid w:val="00365FEF"/>
    <w:rsid w:val="00380ACF"/>
    <w:rsid w:val="00386BBE"/>
    <w:rsid w:val="00387FB4"/>
    <w:rsid w:val="00391BD3"/>
    <w:rsid w:val="00396D10"/>
    <w:rsid w:val="003A36ED"/>
    <w:rsid w:val="003A691D"/>
    <w:rsid w:val="003C1334"/>
    <w:rsid w:val="003C3FA7"/>
    <w:rsid w:val="003D26E8"/>
    <w:rsid w:val="003D4612"/>
    <w:rsid w:val="003D4997"/>
    <w:rsid w:val="003F61B3"/>
    <w:rsid w:val="00401AFF"/>
    <w:rsid w:val="00401BE4"/>
    <w:rsid w:val="0040596C"/>
    <w:rsid w:val="00407BF3"/>
    <w:rsid w:val="00415080"/>
    <w:rsid w:val="00415A7F"/>
    <w:rsid w:val="004215E9"/>
    <w:rsid w:val="00422D4C"/>
    <w:rsid w:val="004276B8"/>
    <w:rsid w:val="004318E4"/>
    <w:rsid w:val="0043450C"/>
    <w:rsid w:val="00437D5B"/>
    <w:rsid w:val="004412DA"/>
    <w:rsid w:val="00446FA3"/>
    <w:rsid w:val="00450416"/>
    <w:rsid w:val="004506DF"/>
    <w:rsid w:val="004542A5"/>
    <w:rsid w:val="00455B20"/>
    <w:rsid w:val="00456671"/>
    <w:rsid w:val="004575A4"/>
    <w:rsid w:val="00463BD4"/>
    <w:rsid w:val="00471C15"/>
    <w:rsid w:val="004725D2"/>
    <w:rsid w:val="00474B3C"/>
    <w:rsid w:val="00475C64"/>
    <w:rsid w:val="004857CE"/>
    <w:rsid w:val="004866F2"/>
    <w:rsid w:val="00493E6A"/>
    <w:rsid w:val="00495B3C"/>
    <w:rsid w:val="004A2ABA"/>
    <w:rsid w:val="004A54B9"/>
    <w:rsid w:val="004B0088"/>
    <w:rsid w:val="004B27A0"/>
    <w:rsid w:val="004C351E"/>
    <w:rsid w:val="004C46A9"/>
    <w:rsid w:val="004C497B"/>
    <w:rsid w:val="004C7955"/>
    <w:rsid w:val="004D1DE2"/>
    <w:rsid w:val="004D266E"/>
    <w:rsid w:val="004D3A7A"/>
    <w:rsid w:val="004D4DEA"/>
    <w:rsid w:val="004E7D32"/>
    <w:rsid w:val="004F0E4D"/>
    <w:rsid w:val="004F36EB"/>
    <w:rsid w:val="00505CBD"/>
    <w:rsid w:val="0052285B"/>
    <w:rsid w:val="00523C4F"/>
    <w:rsid w:val="005258AD"/>
    <w:rsid w:val="005262B1"/>
    <w:rsid w:val="005363F5"/>
    <w:rsid w:val="00536B43"/>
    <w:rsid w:val="00537222"/>
    <w:rsid w:val="00537305"/>
    <w:rsid w:val="00537F63"/>
    <w:rsid w:val="00540D0F"/>
    <w:rsid w:val="0054282F"/>
    <w:rsid w:val="00544C0F"/>
    <w:rsid w:val="005520B6"/>
    <w:rsid w:val="00553ED7"/>
    <w:rsid w:val="00553FD6"/>
    <w:rsid w:val="00556634"/>
    <w:rsid w:val="00557C5B"/>
    <w:rsid w:val="00562724"/>
    <w:rsid w:val="00566679"/>
    <w:rsid w:val="00573437"/>
    <w:rsid w:val="005738B4"/>
    <w:rsid w:val="005800E7"/>
    <w:rsid w:val="00584A32"/>
    <w:rsid w:val="00587378"/>
    <w:rsid w:val="005A1803"/>
    <w:rsid w:val="005A349B"/>
    <w:rsid w:val="005A4013"/>
    <w:rsid w:val="005B56B4"/>
    <w:rsid w:val="005B71B7"/>
    <w:rsid w:val="005C16A9"/>
    <w:rsid w:val="005C21D4"/>
    <w:rsid w:val="005C4DEF"/>
    <w:rsid w:val="005D3121"/>
    <w:rsid w:val="005D36EA"/>
    <w:rsid w:val="005D4717"/>
    <w:rsid w:val="005E01D6"/>
    <w:rsid w:val="005E2A73"/>
    <w:rsid w:val="005E6B87"/>
    <w:rsid w:val="005E7619"/>
    <w:rsid w:val="005F4A4B"/>
    <w:rsid w:val="00600B41"/>
    <w:rsid w:val="00617055"/>
    <w:rsid w:val="00631C25"/>
    <w:rsid w:val="0063234F"/>
    <w:rsid w:val="0063240D"/>
    <w:rsid w:val="00635EA4"/>
    <w:rsid w:val="006459EE"/>
    <w:rsid w:val="0064628F"/>
    <w:rsid w:val="00647A63"/>
    <w:rsid w:val="0066080F"/>
    <w:rsid w:val="006617F9"/>
    <w:rsid w:val="006620FC"/>
    <w:rsid w:val="0066653A"/>
    <w:rsid w:val="0067098B"/>
    <w:rsid w:val="00671B02"/>
    <w:rsid w:val="00681345"/>
    <w:rsid w:val="00683ECB"/>
    <w:rsid w:val="00687EA9"/>
    <w:rsid w:val="00692BC8"/>
    <w:rsid w:val="006976C3"/>
    <w:rsid w:val="006B0A22"/>
    <w:rsid w:val="006B18AF"/>
    <w:rsid w:val="006C03EB"/>
    <w:rsid w:val="006C1E34"/>
    <w:rsid w:val="006C2A51"/>
    <w:rsid w:val="006C6513"/>
    <w:rsid w:val="006D1A3D"/>
    <w:rsid w:val="006D244D"/>
    <w:rsid w:val="006D3D71"/>
    <w:rsid w:val="006D4E0E"/>
    <w:rsid w:val="006E0F48"/>
    <w:rsid w:val="006E7FCE"/>
    <w:rsid w:val="006F64D9"/>
    <w:rsid w:val="006F698B"/>
    <w:rsid w:val="006F6EFC"/>
    <w:rsid w:val="006F7B71"/>
    <w:rsid w:val="007068C5"/>
    <w:rsid w:val="00712BE3"/>
    <w:rsid w:val="00712D06"/>
    <w:rsid w:val="00712D69"/>
    <w:rsid w:val="007239E3"/>
    <w:rsid w:val="007266FF"/>
    <w:rsid w:val="0073370D"/>
    <w:rsid w:val="00736DB0"/>
    <w:rsid w:val="00753686"/>
    <w:rsid w:val="007547D4"/>
    <w:rsid w:val="0077016B"/>
    <w:rsid w:val="00774C18"/>
    <w:rsid w:val="007751E8"/>
    <w:rsid w:val="0079773A"/>
    <w:rsid w:val="007B68BD"/>
    <w:rsid w:val="007C75EF"/>
    <w:rsid w:val="007C7DFA"/>
    <w:rsid w:val="007E37E0"/>
    <w:rsid w:val="007E523F"/>
    <w:rsid w:val="007E79E5"/>
    <w:rsid w:val="007F3492"/>
    <w:rsid w:val="00813620"/>
    <w:rsid w:val="00817E85"/>
    <w:rsid w:val="00825C7D"/>
    <w:rsid w:val="00857826"/>
    <w:rsid w:val="00860048"/>
    <w:rsid w:val="00866A57"/>
    <w:rsid w:val="0087058C"/>
    <w:rsid w:val="00881587"/>
    <w:rsid w:val="008823D4"/>
    <w:rsid w:val="008929A3"/>
    <w:rsid w:val="00896FA7"/>
    <w:rsid w:val="00897187"/>
    <w:rsid w:val="008A496A"/>
    <w:rsid w:val="008A6243"/>
    <w:rsid w:val="008A7D8F"/>
    <w:rsid w:val="008B1AC8"/>
    <w:rsid w:val="008B36CC"/>
    <w:rsid w:val="008B7049"/>
    <w:rsid w:val="008B7F11"/>
    <w:rsid w:val="008C182E"/>
    <w:rsid w:val="008C1A42"/>
    <w:rsid w:val="008C2B4B"/>
    <w:rsid w:val="008C345F"/>
    <w:rsid w:val="008E6976"/>
    <w:rsid w:val="008E6CD6"/>
    <w:rsid w:val="008F11AE"/>
    <w:rsid w:val="008F167A"/>
    <w:rsid w:val="008F3BC3"/>
    <w:rsid w:val="008F6074"/>
    <w:rsid w:val="0090261F"/>
    <w:rsid w:val="00923724"/>
    <w:rsid w:val="00924BBE"/>
    <w:rsid w:val="00925909"/>
    <w:rsid w:val="00934002"/>
    <w:rsid w:val="00941435"/>
    <w:rsid w:val="00944984"/>
    <w:rsid w:val="0095760D"/>
    <w:rsid w:val="00961828"/>
    <w:rsid w:val="0097055B"/>
    <w:rsid w:val="00987993"/>
    <w:rsid w:val="009A1010"/>
    <w:rsid w:val="009A2F70"/>
    <w:rsid w:val="009A789D"/>
    <w:rsid w:val="009B33BF"/>
    <w:rsid w:val="009C3DEB"/>
    <w:rsid w:val="009C79FA"/>
    <w:rsid w:val="009D2AFF"/>
    <w:rsid w:val="009E3B60"/>
    <w:rsid w:val="009E7946"/>
    <w:rsid w:val="009F2FDB"/>
    <w:rsid w:val="00A00E8B"/>
    <w:rsid w:val="00A049B6"/>
    <w:rsid w:val="00A05A1F"/>
    <w:rsid w:val="00A07C3D"/>
    <w:rsid w:val="00A3342E"/>
    <w:rsid w:val="00A422D0"/>
    <w:rsid w:val="00A55A29"/>
    <w:rsid w:val="00A5617B"/>
    <w:rsid w:val="00A57C58"/>
    <w:rsid w:val="00A626CF"/>
    <w:rsid w:val="00A65567"/>
    <w:rsid w:val="00A738A9"/>
    <w:rsid w:val="00A73E70"/>
    <w:rsid w:val="00A75CF0"/>
    <w:rsid w:val="00A81788"/>
    <w:rsid w:val="00A976FC"/>
    <w:rsid w:val="00AA1FD9"/>
    <w:rsid w:val="00AA27E7"/>
    <w:rsid w:val="00AA56C4"/>
    <w:rsid w:val="00AB6DDE"/>
    <w:rsid w:val="00AB6EEA"/>
    <w:rsid w:val="00AB72F3"/>
    <w:rsid w:val="00AC1A36"/>
    <w:rsid w:val="00AC5927"/>
    <w:rsid w:val="00AC7FBC"/>
    <w:rsid w:val="00AD02BA"/>
    <w:rsid w:val="00AD2284"/>
    <w:rsid w:val="00AD2D52"/>
    <w:rsid w:val="00AD666D"/>
    <w:rsid w:val="00AE33F2"/>
    <w:rsid w:val="00AE53FE"/>
    <w:rsid w:val="00AF11FE"/>
    <w:rsid w:val="00AF13AD"/>
    <w:rsid w:val="00AF27C0"/>
    <w:rsid w:val="00B0053A"/>
    <w:rsid w:val="00B11CD4"/>
    <w:rsid w:val="00B13207"/>
    <w:rsid w:val="00B25092"/>
    <w:rsid w:val="00B31B7C"/>
    <w:rsid w:val="00B32498"/>
    <w:rsid w:val="00B41F97"/>
    <w:rsid w:val="00B47A5C"/>
    <w:rsid w:val="00B64246"/>
    <w:rsid w:val="00B70088"/>
    <w:rsid w:val="00B75C85"/>
    <w:rsid w:val="00B82206"/>
    <w:rsid w:val="00B86C14"/>
    <w:rsid w:val="00B95581"/>
    <w:rsid w:val="00BA1575"/>
    <w:rsid w:val="00BB15B0"/>
    <w:rsid w:val="00BB3ACE"/>
    <w:rsid w:val="00BB6B9D"/>
    <w:rsid w:val="00BC6A8F"/>
    <w:rsid w:val="00BD0DFE"/>
    <w:rsid w:val="00BD33E6"/>
    <w:rsid w:val="00BD7CE6"/>
    <w:rsid w:val="00BE3BAD"/>
    <w:rsid w:val="00BF0228"/>
    <w:rsid w:val="00BF1093"/>
    <w:rsid w:val="00C10A1B"/>
    <w:rsid w:val="00C54700"/>
    <w:rsid w:val="00C5620A"/>
    <w:rsid w:val="00C57EDC"/>
    <w:rsid w:val="00C639AA"/>
    <w:rsid w:val="00C67339"/>
    <w:rsid w:val="00C748DB"/>
    <w:rsid w:val="00C83DC0"/>
    <w:rsid w:val="00C858F0"/>
    <w:rsid w:val="00C8594C"/>
    <w:rsid w:val="00C9030F"/>
    <w:rsid w:val="00C90EB3"/>
    <w:rsid w:val="00C94417"/>
    <w:rsid w:val="00C9543B"/>
    <w:rsid w:val="00CB1DF2"/>
    <w:rsid w:val="00CB2A2F"/>
    <w:rsid w:val="00CC0716"/>
    <w:rsid w:val="00CC0E1C"/>
    <w:rsid w:val="00CC42BD"/>
    <w:rsid w:val="00CD594C"/>
    <w:rsid w:val="00CD6494"/>
    <w:rsid w:val="00CD6B7A"/>
    <w:rsid w:val="00CF1E56"/>
    <w:rsid w:val="00CF7FCF"/>
    <w:rsid w:val="00D018E7"/>
    <w:rsid w:val="00D01963"/>
    <w:rsid w:val="00D045BC"/>
    <w:rsid w:val="00D101F8"/>
    <w:rsid w:val="00D11650"/>
    <w:rsid w:val="00D15735"/>
    <w:rsid w:val="00D20BF2"/>
    <w:rsid w:val="00D21B61"/>
    <w:rsid w:val="00D25333"/>
    <w:rsid w:val="00D318AB"/>
    <w:rsid w:val="00D35944"/>
    <w:rsid w:val="00D40B4E"/>
    <w:rsid w:val="00D413BB"/>
    <w:rsid w:val="00D43082"/>
    <w:rsid w:val="00D43A1D"/>
    <w:rsid w:val="00D55FB9"/>
    <w:rsid w:val="00D56345"/>
    <w:rsid w:val="00D626C4"/>
    <w:rsid w:val="00D637B7"/>
    <w:rsid w:val="00D65A3B"/>
    <w:rsid w:val="00D75146"/>
    <w:rsid w:val="00D776ED"/>
    <w:rsid w:val="00D81450"/>
    <w:rsid w:val="00D81667"/>
    <w:rsid w:val="00D852FA"/>
    <w:rsid w:val="00D87219"/>
    <w:rsid w:val="00D91826"/>
    <w:rsid w:val="00D91958"/>
    <w:rsid w:val="00D93C1A"/>
    <w:rsid w:val="00D96BFF"/>
    <w:rsid w:val="00DA16A3"/>
    <w:rsid w:val="00DA44D3"/>
    <w:rsid w:val="00DA5C4D"/>
    <w:rsid w:val="00DA6F99"/>
    <w:rsid w:val="00DA79DF"/>
    <w:rsid w:val="00DB074C"/>
    <w:rsid w:val="00DB7F45"/>
    <w:rsid w:val="00DE2FF0"/>
    <w:rsid w:val="00DE47B3"/>
    <w:rsid w:val="00DF34B0"/>
    <w:rsid w:val="00DF4A2F"/>
    <w:rsid w:val="00DF746F"/>
    <w:rsid w:val="00E03B04"/>
    <w:rsid w:val="00E10D63"/>
    <w:rsid w:val="00E15192"/>
    <w:rsid w:val="00E365BB"/>
    <w:rsid w:val="00E511F3"/>
    <w:rsid w:val="00E62B4C"/>
    <w:rsid w:val="00E87556"/>
    <w:rsid w:val="00E8796A"/>
    <w:rsid w:val="00E91A76"/>
    <w:rsid w:val="00E9294D"/>
    <w:rsid w:val="00E94D9F"/>
    <w:rsid w:val="00E97F3A"/>
    <w:rsid w:val="00EA04A4"/>
    <w:rsid w:val="00EA316D"/>
    <w:rsid w:val="00EA4515"/>
    <w:rsid w:val="00EB0B54"/>
    <w:rsid w:val="00EB2A03"/>
    <w:rsid w:val="00EB64EB"/>
    <w:rsid w:val="00EB6CE7"/>
    <w:rsid w:val="00EC17D5"/>
    <w:rsid w:val="00EC2FC6"/>
    <w:rsid w:val="00EC2FE0"/>
    <w:rsid w:val="00ED019A"/>
    <w:rsid w:val="00ED3FFC"/>
    <w:rsid w:val="00ED6BD0"/>
    <w:rsid w:val="00EE7630"/>
    <w:rsid w:val="00EF1E43"/>
    <w:rsid w:val="00F102D8"/>
    <w:rsid w:val="00F13C7D"/>
    <w:rsid w:val="00F16BA0"/>
    <w:rsid w:val="00F218A0"/>
    <w:rsid w:val="00F25AE0"/>
    <w:rsid w:val="00F35238"/>
    <w:rsid w:val="00F35C50"/>
    <w:rsid w:val="00F4047A"/>
    <w:rsid w:val="00F42917"/>
    <w:rsid w:val="00F507A5"/>
    <w:rsid w:val="00F5577E"/>
    <w:rsid w:val="00F648AD"/>
    <w:rsid w:val="00F65246"/>
    <w:rsid w:val="00F66F26"/>
    <w:rsid w:val="00F96AFF"/>
    <w:rsid w:val="00FA32FF"/>
    <w:rsid w:val="00FA38BF"/>
    <w:rsid w:val="00FA5F04"/>
    <w:rsid w:val="00FD04C6"/>
    <w:rsid w:val="00FD2AF2"/>
    <w:rsid w:val="00FE5B10"/>
    <w:rsid w:val="00FF2606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45184"/>
  <w15:docId w15:val="{C6024BEA-3BF8-44D5-82BF-4E02B10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6"/>
    <w:pPr>
      <w:ind w:left="720"/>
      <w:contextualSpacing/>
    </w:pPr>
  </w:style>
  <w:style w:type="table" w:styleId="TableGrid">
    <w:name w:val="Table Grid"/>
    <w:basedOn w:val="TableNormal"/>
    <w:uiPriority w:val="59"/>
    <w:rsid w:val="0052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3342E"/>
    <w:rPr>
      <w:color w:val="0000FF"/>
      <w:u w:val="single"/>
    </w:rPr>
  </w:style>
  <w:style w:type="paragraph" w:customStyle="1" w:styleId="DfESBullets">
    <w:name w:val="DfESBullets"/>
    <w:basedOn w:val="Normal"/>
    <w:rsid w:val="00AF13AD"/>
    <w:pPr>
      <w:widowControl w:val="0"/>
      <w:numPr>
        <w:numId w:val="25"/>
      </w:numPr>
      <w:suppressAutoHyphens/>
      <w:overflowPunct w:val="0"/>
      <w:autoSpaceDE w:val="0"/>
      <w:autoSpaceDN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numbering" w:customStyle="1" w:styleId="LFO12">
    <w:name w:val="LFO12"/>
    <w:basedOn w:val="NoList"/>
    <w:rsid w:val="00AF13AD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13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B"/>
  </w:style>
  <w:style w:type="paragraph" w:styleId="Footer">
    <w:name w:val="footer"/>
    <w:basedOn w:val="Normal"/>
    <w:link w:val="FooterChar"/>
    <w:uiPriority w:val="99"/>
    <w:unhideWhenUsed/>
    <w:rsid w:val="0013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B"/>
  </w:style>
  <w:style w:type="paragraph" w:customStyle="1" w:styleId="xmsonormal">
    <w:name w:val="x_msonormal"/>
    <w:basedOn w:val="Normal"/>
    <w:rsid w:val="001076D2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0A2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747D-43EE-41E6-84B4-CC4DC56B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Kirven, Dave</dc:creator>
  <cp:lastModifiedBy>Dave Kirven (NELC)</cp:lastModifiedBy>
  <cp:revision>2</cp:revision>
  <cp:lastPrinted>2018-03-06T16:24:00Z</cp:lastPrinted>
  <dcterms:created xsi:type="dcterms:W3CDTF">2021-03-08T14:13:00Z</dcterms:created>
  <dcterms:modified xsi:type="dcterms:W3CDTF">2021-03-08T14:13:00Z</dcterms:modified>
</cp:coreProperties>
</file>