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dxa"/>
        <w:tblLook w:val="04A0" w:firstRow="1" w:lastRow="0" w:firstColumn="1" w:lastColumn="0" w:noHBand="0" w:noVBand="1"/>
      </w:tblPr>
      <w:tblGrid>
        <w:gridCol w:w="1575"/>
        <w:gridCol w:w="1560"/>
        <w:gridCol w:w="3345"/>
        <w:gridCol w:w="2505"/>
      </w:tblGrid>
      <w:tr w:rsidR="004403F0" w:rsidRPr="004403F0" w:rsidTr="00DA4549">
        <w:trPr>
          <w:trHeight w:val="300"/>
        </w:trPr>
        <w:tc>
          <w:tcPr>
            <w:tcW w:w="1575" w:type="dxa"/>
            <w:hideMark/>
          </w:tcPr>
          <w:p w:rsidR="004403F0" w:rsidRPr="004403F0" w:rsidRDefault="004403F0" w:rsidP="004403F0">
            <w:pPr>
              <w:jc w:val="cente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   </w:t>
            </w:r>
          </w:p>
          <w:p w:rsidR="004403F0" w:rsidRPr="004403F0" w:rsidRDefault="004403F0" w:rsidP="004403F0">
            <w:pPr>
              <w:jc w:val="cente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   </w:t>
            </w:r>
          </w:p>
          <w:p w:rsidR="004403F0" w:rsidRPr="004403F0" w:rsidRDefault="004403F0" w:rsidP="004403F0">
            <w:pPr>
              <w:jc w:val="cente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   </w:t>
            </w:r>
          </w:p>
          <w:p w:rsidR="004403F0" w:rsidRPr="004403F0" w:rsidRDefault="004403F0" w:rsidP="004403F0">
            <w:pPr>
              <w:jc w:val="cente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   </w:t>
            </w:r>
          </w:p>
          <w:p w:rsidR="004403F0" w:rsidRPr="004403F0" w:rsidRDefault="004403F0" w:rsidP="004403F0">
            <w:pPr>
              <w:jc w:val="cente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Date   </w:t>
            </w:r>
          </w:p>
          <w:p w:rsidR="004403F0" w:rsidRPr="004403F0" w:rsidRDefault="004403F0" w:rsidP="004403F0">
            <w:pPr>
              <w:jc w:val="cente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Version No.   </w:t>
            </w:r>
          </w:p>
        </w:tc>
        <w:tc>
          <w:tcPr>
            <w:tcW w:w="1560" w:type="dxa"/>
            <w:hideMark/>
          </w:tcPr>
          <w:p w:rsidR="004403F0" w:rsidRPr="004403F0" w:rsidRDefault="004403F0" w:rsidP="004403F0">
            <w:pP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     </w:t>
            </w:r>
          </w:p>
          <w:p w:rsidR="004403F0" w:rsidRPr="004403F0" w:rsidRDefault="004403F0" w:rsidP="004403F0">
            <w:pP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   </w:t>
            </w:r>
          </w:p>
          <w:p w:rsidR="004403F0" w:rsidRPr="004403F0" w:rsidRDefault="004403F0" w:rsidP="004403F0">
            <w:pP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   </w:t>
            </w:r>
          </w:p>
          <w:p w:rsidR="004403F0" w:rsidRPr="004403F0" w:rsidRDefault="004403F0" w:rsidP="004403F0">
            <w:pP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   </w:t>
            </w:r>
          </w:p>
          <w:p w:rsidR="004403F0" w:rsidRPr="004403F0" w:rsidRDefault="004403F0" w:rsidP="004403F0">
            <w:pPr>
              <w:jc w:val="cente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March 2021   </w:t>
            </w:r>
          </w:p>
          <w:p w:rsidR="004403F0" w:rsidRPr="004403F0" w:rsidRDefault="004403F0" w:rsidP="004403F0">
            <w:pPr>
              <w:jc w:val="center"/>
              <w:textAlignment w:val="baseline"/>
              <w:rPr>
                <w:rFonts w:ascii="Segoe UI" w:eastAsia="Times New Roman" w:hAnsi="Segoe UI" w:cs="Segoe UI"/>
                <w:sz w:val="18"/>
                <w:szCs w:val="18"/>
                <w:lang w:eastAsia="en-GB"/>
              </w:rPr>
            </w:pPr>
            <w:r w:rsidRPr="004403F0">
              <w:rPr>
                <w:rFonts w:ascii="Arial" w:eastAsia="Times New Roman" w:hAnsi="Arial" w:cs="Arial"/>
                <w:sz w:val="20"/>
                <w:szCs w:val="20"/>
                <w:lang w:eastAsia="en-GB"/>
              </w:rPr>
              <w:t>V</w:t>
            </w:r>
            <w:r>
              <w:rPr>
                <w:rFonts w:ascii="Arial" w:eastAsia="Times New Roman" w:hAnsi="Arial" w:cs="Arial"/>
                <w:sz w:val="20"/>
                <w:szCs w:val="20"/>
                <w:lang w:eastAsia="en-GB"/>
              </w:rPr>
              <w:t>1</w:t>
            </w:r>
            <w:r w:rsidRPr="004403F0">
              <w:rPr>
                <w:rFonts w:ascii="Arial" w:eastAsia="Times New Roman" w:hAnsi="Arial" w:cs="Arial"/>
                <w:sz w:val="20"/>
                <w:szCs w:val="20"/>
                <w:lang w:eastAsia="en-GB"/>
              </w:rPr>
              <w:t>.0   </w:t>
            </w:r>
          </w:p>
        </w:tc>
        <w:tc>
          <w:tcPr>
            <w:tcW w:w="3345" w:type="dxa"/>
            <w:hideMark/>
          </w:tcPr>
          <w:p w:rsidR="004403F0" w:rsidRPr="004403F0" w:rsidRDefault="004403F0" w:rsidP="004403F0">
            <w:pPr>
              <w:textAlignment w:val="baseline"/>
              <w:rPr>
                <w:rFonts w:ascii="Segoe UI" w:eastAsia="Times New Roman" w:hAnsi="Segoe UI" w:cs="Segoe UI"/>
                <w:sz w:val="18"/>
                <w:szCs w:val="18"/>
                <w:lang w:eastAsia="en-GB"/>
              </w:rPr>
            </w:pPr>
            <w:r w:rsidRPr="004403F0">
              <w:rPr>
                <w:rFonts w:cstheme="minorHAnsi"/>
                <w:noProof/>
              </w:rPr>
              <w:drawing>
                <wp:inline distT="0" distB="0" distL="0" distR="0" wp14:anchorId="5A497461" wp14:editId="4D442945">
                  <wp:extent cx="1962150" cy="1118235"/>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118235"/>
                          </a:xfrm>
                          <a:prstGeom prst="rect">
                            <a:avLst/>
                          </a:prstGeom>
                          <a:noFill/>
                          <a:ln>
                            <a:noFill/>
                          </a:ln>
                        </pic:spPr>
                      </pic:pic>
                    </a:graphicData>
                  </a:graphic>
                </wp:inline>
              </w:drawing>
            </w:r>
            <w:r w:rsidRPr="004403F0">
              <w:rPr>
                <w:rFonts w:ascii="Arial" w:eastAsia="Times New Roman" w:hAnsi="Arial" w:cs="Arial"/>
                <w:sz w:val="20"/>
                <w:szCs w:val="20"/>
                <w:lang w:eastAsia="en-GB"/>
              </w:rPr>
              <w:t>   </w:t>
            </w:r>
          </w:p>
        </w:tc>
        <w:tc>
          <w:tcPr>
            <w:tcW w:w="2505" w:type="dxa"/>
            <w:hideMark/>
          </w:tcPr>
          <w:p w:rsidR="004403F0" w:rsidRPr="004403F0" w:rsidRDefault="004403F0" w:rsidP="004403F0">
            <w:pPr>
              <w:textAlignment w:val="baseline"/>
              <w:rPr>
                <w:rFonts w:ascii="Segoe UI" w:eastAsia="Times New Roman" w:hAnsi="Segoe UI" w:cs="Segoe UI"/>
                <w:sz w:val="18"/>
                <w:szCs w:val="18"/>
                <w:lang w:eastAsia="en-GB"/>
              </w:rPr>
            </w:pPr>
            <w:r w:rsidRPr="004403F0">
              <w:rPr>
                <w:rFonts w:cstheme="minorHAnsi"/>
                <w:noProof/>
              </w:rPr>
              <w:drawing>
                <wp:inline distT="0" distB="0" distL="0" distR="0" wp14:anchorId="4F0290D1" wp14:editId="4AF013BB">
                  <wp:extent cx="1174750" cy="1174750"/>
                  <wp:effectExtent l="0" t="0" r="635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r w:rsidRPr="004403F0">
              <w:rPr>
                <w:rFonts w:ascii="Arial" w:eastAsia="Times New Roman" w:hAnsi="Arial" w:cs="Arial"/>
                <w:sz w:val="20"/>
                <w:szCs w:val="20"/>
                <w:lang w:eastAsia="en-GB"/>
              </w:rPr>
              <w:t>   </w:t>
            </w:r>
          </w:p>
        </w:tc>
      </w:tr>
    </w:tbl>
    <w:p w:rsidR="00D37474" w:rsidRPr="003B5265" w:rsidRDefault="00D37474" w:rsidP="00D37474">
      <w:pPr>
        <w:jc w:val="center"/>
        <w:rPr>
          <w:rFonts w:cstheme="minorHAnsi"/>
        </w:rPr>
      </w:pPr>
    </w:p>
    <w:p w:rsidR="00A52464" w:rsidRDefault="00CA1203" w:rsidP="00A52464">
      <w:pPr>
        <w:autoSpaceDE w:val="0"/>
        <w:autoSpaceDN w:val="0"/>
        <w:adjustRightInd w:val="0"/>
        <w:spacing w:after="0"/>
        <w:jc w:val="center"/>
        <w:rPr>
          <w:rFonts w:ascii="Arial" w:hAnsi="Arial" w:cs="Arial"/>
          <w:b/>
          <w:sz w:val="22"/>
          <w:szCs w:val="22"/>
          <w:u w:val="single"/>
        </w:rPr>
      </w:pPr>
      <w:r>
        <w:rPr>
          <w:rFonts w:ascii="Arial" w:hAnsi="Arial" w:cs="Arial"/>
          <w:b/>
          <w:sz w:val="22"/>
          <w:szCs w:val="22"/>
          <w:u w:val="single"/>
        </w:rPr>
        <w:t>LEGAL GATEWAY PANEL</w:t>
      </w:r>
    </w:p>
    <w:p w:rsidR="00CA1203" w:rsidRDefault="00CA1203" w:rsidP="00A52464">
      <w:pPr>
        <w:autoSpaceDE w:val="0"/>
        <w:autoSpaceDN w:val="0"/>
        <w:adjustRightInd w:val="0"/>
        <w:spacing w:after="0"/>
        <w:jc w:val="center"/>
        <w:rPr>
          <w:rFonts w:ascii="Arial" w:hAnsi="Arial" w:cs="Arial"/>
          <w:b/>
          <w:sz w:val="22"/>
          <w:szCs w:val="22"/>
          <w:u w:val="single"/>
        </w:rPr>
      </w:pPr>
    </w:p>
    <w:p w:rsidR="00A52464" w:rsidRDefault="00A52464" w:rsidP="00A52464">
      <w:pPr>
        <w:autoSpaceDE w:val="0"/>
        <w:autoSpaceDN w:val="0"/>
        <w:adjustRightInd w:val="0"/>
        <w:spacing w:after="0"/>
        <w:jc w:val="center"/>
        <w:rPr>
          <w:rFonts w:ascii="Arial" w:hAnsi="Arial" w:cs="Arial"/>
          <w:b/>
          <w:sz w:val="22"/>
          <w:szCs w:val="22"/>
          <w:u w:val="single"/>
        </w:rPr>
      </w:pPr>
      <w:r>
        <w:rPr>
          <w:rFonts w:ascii="Arial" w:hAnsi="Arial" w:cs="Arial"/>
          <w:b/>
          <w:sz w:val="22"/>
          <w:szCs w:val="22"/>
          <w:u w:val="single"/>
        </w:rPr>
        <w:t>TERMS OF REFERENCE</w:t>
      </w:r>
    </w:p>
    <w:p w:rsidR="00757A52" w:rsidRDefault="00757A52" w:rsidP="00A52464">
      <w:pPr>
        <w:autoSpaceDE w:val="0"/>
        <w:autoSpaceDN w:val="0"/>
        <w:adjustRightInd w:val="0"/>
        <w:spacing w:after="0"/>
        <w:jc w:val="center"/>
        <w:rPr>
          <w:rFonts w:ascii="Arial" w:hAnsi="Arial" w:cs="Arial"/>
          <w:b/>
          <w:sz w:val="22"/>
          <w:szCs w:val="22"/>
          <w:u w:val="single"/>
        </w:rPr>
      </w:pPr>
    </w:p>
    <w:p w:rsidR="00757A52" w:rsidRPr="00A52464" w:rsidRDefault="00CA1203" w:rsidP="00A52464">
      <w:pPr>
        <w:autoSpaceDE w:val="0"/>
        <w:autoSpaceDN w:val="0"/>
        <w:adjustRightInd w:val="0"/>
        <w:spacing w:after="0"/>
        <w:jc w:val="center"/>
        <w:rPr>
          <w:rFonts w:ascii="Arial" w:hAnsi="Arial" w:cs="Arial"/>
          <w:b/>
          <w:sz w:val="22"/>
          <w:szCs w:val="22"/>
          <w:u w:val="single"/>
        </w:rPr>
      </w:pPr>
      <w:r>
        <w:rPr>
          <w:rFonts w:ascii="Arial" w:hAnsi="Arial" w:cs="Arial"/>
          <w:b/>
          <w:sz w:val="22"/>
          <w:szCs w:val="22"/>
          <w:u w:val="single"/>
        </w:rPr>
        <w:t>March</w:t>
      </w:r>
      <w:r w:rsidR="00B85D8E">
        <w:rPr>
          <w:rFonts w:ascii="Arial" w:hAnsi="Arial" w:cs="Arial"/>
          <w:b/>
          <w:sz w:val="22"/>
          <w:szCs w:val="22"/>
          <w:u w:val="single"/>
        </w:rPr>
        <w:t xml:space="preserve"> 20</w:t>
      </w:r>
      <w:r w:rsidR="005C63DB">
        <w:rPr>
          <w:rFonts w:ascii="Arial" w:hAnsi="Arial" w:cs="Arial"/>
          <w:b/>
          <w:sz w:val="22"/>
          <w:szCs w:val="22"/>
          <w:u w:val="single"/>
        </w:rPr>
        <w:t>2</w:t>
      </w:r>
      <w:r>
        <w:rPr>
          <w:rFonts w:ascii="Arial" w:hAnsi="Arial" w:cs="Arial"/>
          <w:b/>
          <w:sz w:val="22"/>
          <w:szCs w:val="22"/>
          <w:u w:val="single"/>
        </w:rPr>
        <w:t>1</w:t>
      </w:r>
    </w:p>
    <w:p w:rsidR="00A52464" w:rsidRDefault="00A52464" w:rsidP="00D23D8D">
      <w:pPr>
        <w:autoSpaceDE w:val="0"/>
        <w:autoSpaceDN w:val="0"/>
        <w:adjustRightInd w:val="0"/>
        <w:spacing w:after="0"/>
        <w:jc w:val="both"/>
        <w:rPr>
          <w:rFonts w:ascii="Arial" w:hAnsi="Arial" w:cs="Arial"/>
          <w:sz w:val="22"/>
          <w:szCs w:val="22"/>
        </w:rPr>
      </w:pPr>
    </w:p>
    <w:p w:rsidR="00CA1203" w:rsidRPr="005844E5" w:rsidRDefault="00CA1203" w:rsidP="002213A1">
      <w:pPr>
        <w:spacing w:after="0"/>
        <w:jc w:val="both"/>
        <w:rPr>
          <w:rFonts w:cstheme="minorHAnsi"/>
          <w:b/>
          <w:color w:val="000000"/>
          <w:sz w:val="22"/>
          <w:szCs w:val="22"/>
          <w:u w:val="single"/>
        </w:rPr>
      </w:pPr>
    </w:p>
    <w:p w:rsidR="0048098E" w:rsidRPr="005844E5" w:rsidRDefault="0048098E" w:rsidP="00CA1203">
      <w:pPr>
        <w:jc w:val="both"/>
        <w:rPr>
          <w:rFonts w:ascii="Arial" w:eastAsia="Arial" w:hAnsi="Arial" w:cs="Arial"/>
          <w:b/>
          <w:bCs/>
          <w:u w:val="single"/>
        </w:rPr>
      </w:pPr>
      <w:r w:rsidRPr="005844E5">
        <w:rPr>
          <w:rFonts w:ascii="Arial" w:eastAsia="Arial" w:hAnsi="Arial" w:cs="Arial"/>
          <w:b/>
          <w:bCs/>
          <w:u w:val="single"/>
        </w:rPr>
        <w:t xml:space="preserve">Purpose of the </w:t>
      </w:r>
      <w:r w:rsidR="005844E5">
        <w:rPr>
          <w:rFonts w:ascii="Arial" w:eastAsia="Arial" w:hAnsi="Arial" w:cs="Arial"/>
          <w:b/>
          <w:bCs/>
          <w:u w:val="single"/>
        </w:rPr>
        <w:t>P</w:t>
      </w:r>
      <w:r w:rsidRPr="005844E5">
        <w:rPr>
          <w:rFonts w:ascii="Arial" w:eastAsia="Arial" w:hAnsi="Arial" w:cs="Arial"/>
          <w:b/>
          <w:bCs/>
          <w:u w:val="single"/>
        </w:rPr>
        <w:t>anel</w:t>
      </w:r>
    </w:p>
    <w:p w:rsidR="00CA1203" w:rsidRPr="005C3860" w:rsidRDefault="00CA1203" w:rsidP="00CA1203">
      <w:pPr>
        <w:jc w:val="both"/>
        <w:rPr>
          <w:rFonts w:ascii="Arial" w:eastAsia="Arial" w:hAnsi="Arial" w:cs="Arial"/>
        </w:rPr>
      </w:pPr>
      <w:r w:rsidRPr="4ED98622">
        <w:rPr>
          <w:rFonts w:ascii="Arial" w:eastAsia="Arial" w:hAnsi="Arial" w:cs="Arial"/>
        </w:rPr>
        <w:t>The Purpose of the Legal Gateway Panel is to provide robust management and legal oversight of any Public Law proceedings relating to children. The panel will ensure that children’s cases are considered through a robust case management structure designed to prevent drift and delay and to ensure that the best possible outcomes for children are achieved. Where safeguarding concerns have reached the threshold criteria under section 31 of the Children Act 1989 cases should be presented to the Legal Gateway Panel for discussion.</w:t>
      </w:r>
    </w:p>
    <w:p w:rsidR="00CA1203" w:rsidRPr="0048098E" w:rsidRDefault="00CA1203" w:rsidP="00CA1203">
      <w:pPr>
        <w:jc w:val="both"/>
        <w:rPr>
          <w:rFonts w:ascii="Arial" w:eastAsia="Arial" w:hAnsi="Arial" w:cs="Arial"/>
        </w:rPr>
      </w:pPr>
      <w:r w:rsidRPr="0048098E">
        <w:rPr>
          <w:rFonts w:ascii="Arial" w:eastAsia="Arial" w:hAnsi="Arial" w:cs="Arial"/>
        </w:rPr>
        <w:t>In addition to deciding whether to enter a period of pre proceedings or to issue proceedings, legal gateway panel also:-</w:t>
      </w:r>
    </w:p>
    <w:p w:rsidR="00CA1203" w:rsidRPr="002564A1" w:rsidRDefault="00CA1203" w:rsidP="00CA1203">
      <w:pPr>
        <w:pStyle w:val="ListParagraph"/>
        <w:numPr>
          <w:ilvl w:val="0"/>
          <w:numId w:val="19"/>
        </w:numPr>
        <w:jc w:val="both"/>
        <w:rPr>
          <w:rFonts w:ascii="Arial" w:eastAsia="Arial" w:hAnsi="Arial" w:cs="Arial"/>
        </w:rPr>
      </w:pPr>
      <w:r w:rsidRPr="68F02292">
        <w:rPr>
          <w:rFonts w:ascii="Arial" w:eastAsia="Arial" w:hAnsi="Arial" w:cs="Arial"/>
        </w:rPr>
        <w:t>Sets timescales and reviews all cases in the Public Law Process.</w:t>
      </w:r>
    </w:p>
    <w:p w:rsidR="00CA1203" w:rsidRPr="002564A1" w:rsidRDefault="00CA1203" w:rsidP="00CA1203">
      <w:pPr>
        <w:pStyle w:val="ListParagraph"/>
        <w:numPr>
          <w:ilvl w:val="0"/>
          <w:numId w:val="19"/>
        </w:numPr>
        <w:jc w:val="both"/>
        <w:rPr>
          <w:rFonts w:ascii="Arial" w:eastAsia="Arial" w:hAnsi="Arial" w:cs="Arial"/>
        </w:rPr>
      </w:pPr>
      <w:r w:rsidRPr="4ED98622">
        <w:rPr>
          <w:rFonts w:ascii="Arial" w:eastAsia="Arial" w:hAnsi="Arial" w:cs="Arial"/>
        </w:rPr>
        <w:t>Ratifies any emergency decisions made regarding children becoming accommodated (including out of hours): Senior Management and legal to be notified immediately when Children removed by the Police using their Protective Powers.</w:t>
      </w:r>
    </w:p>
    <w:p w:rsidR="00CA1203" w:rsidRDefault="00CA1203" w:rsidP="00CA1203">
      <w:pPr>
        <w:pStyle w:val="ListParagraph"/>
        <w:numPr>
          <w:ilvl w:val="0"/>
          <w:numId w:val="19"/>
        </w:numPr>
        <w:jc w:val="both"/>
        <w:rPr>
          <w:rFonts w:ascii="Arial" w:eastAsia="Arial" w:hAnsi="Arial" w:cs="Arial"/>
        </w:rPr>
      </w:pPr>
      <w:r w:rsidRPr="68F02292">
        <w:rPr>
          <w:rFonts w:ascii="Arial" w:eastAsia="Arial" w:hAnsi="Arial" w:cs="Arial"/>
        </w:rPr>
        <w:t>The Legal Gateway Panel has a role in ensuring that a ‘vison for permanency’ is established at the earliest stage for all children. Permanency Panel holds responsibility for monitoring the actual permanency planning for Children in Care. However, a cross-over of membership between the two Panels will provide continuity of decision making and approach across the two Panels.</w:t>
      </w:r>
    </w:p>
    <w:p w:rsidR="0048098E" w:rsidRDefault="0048098E" w:rsidP="0048098E">
      <w:pPr>
        <w:pStyle w:val="ListParagraph"/>
        <w:numPr>
          <w:ilvl w:val="0"/>
          <w:numId w:val="19"/>
        </w:numPr>
        <w:jc w:val="both"/>
        <w:rPr>
          <w:rFonts w:ascii="Arial" w:eastAsia="Arial" w:hAnsi="Arial" w:cs="Arial"/>
        </w:rPr>
      </w:pPr>
      <w:r>
        <w:rPr>
          <w:rFonts w:ascii="Arial" w:eastAsia="Arial" w:hAnsi="Arial" w:cs="Arial"/>
        </w:rPr>
        <w:t xml:space="preserve">Review the legal tracker to consider timeliness and progress of cases within care proceedings, pre proceedings, private proceedings and any cases waiting to be issued. </w:t>
      </w:r>
    </w:p>
    <w:p w:rsidR="0048098E" w:rsidRPr="0048098E" w:rsidRDefault="0048098E" w:rsidP="0048098E">
      <w:pPr>
        <w:pStyle w:val="ListParagraph"/>
        <w:numPr>
          <w:ilvl w:val="0"/>
          <w:numId w:val="19"/>
        </w:numPr>
        <w:jc w:val="both"/>
        <w:rPr>
          <w:rFonts w:ascii="Arial" w:eastAsia="Arial" w:hAnsi="Arial" w:cs="Arial"/>
        </w:rPr>
      </w:pPr>
      <w:r w:rsidRPr="0048098E">
        <w:rPr>
          <w:rFonts w:ascii="Arial" w:eastAsia="Arial" w:hAnsi="Arial" w:cs="Arial"/>
          <w:color w:val="000000" w:themeColor="text1"/>
        </w:rPr>
        <w:t>Where the Court has made a Supervision Order the case will be reviewed by the Legal Gateway Panel 3 months before the order is due to expire.</w:t>
      </w:r>
    </w:p>
    <w:p w:rsidR="0048098E" w:rsidRPr="00423CDE" w:rsidRDefault="0048098E" w:rsidP="0048098E">
      <w:pPr>
        <w:pStyle w:val="ListParagraph"/>
        <w:ind w:left="862"/>
        <w:jc w:val="both"/>
        <w:rPr>
          <w:rFonts w:ascii="Arial" w:eastAsia="Arial" w:hAnsi="Arial" w:cs="Arial"/>
        </w:rPr>
      </w:pPr>
    </w:p>
    <w:p w:rsidR="00CA1203" w:rsidRPr="00CA1203" w:rsidRDefault="00CA1203" w:rsidP="00CA1203">
      <w:pPr>
        <w:jc w:val="both"/>
        <w:rPr>
          <w:rFonts w:ascii="Arial" w:eastAsia="Arial" w:hAnsi="Arial" w:cs="Arial"/>
        </w:rPr>
      </w:pPr>
      <w:r w:rsidRPr="00CA1203">
        <w:rPr>
          <w:rFonts w:ascii="Arial" w:eastAsia="Arial" w:hAnsi="Arial" w:cs="Arial"/>
        </w:rPr>
        <w:t xml:space="preserve">Where the Panel </w:t>
      </w:r>
      <w:proofErr w:type="gramStart"/>
      <w:r w:rsidRPr="00CA1203">
        <w:rPr>
          <w:rFonts w:ascii="Arial" w:eastAsia="Arial" w:hAnsi="Arial" w:cs="Arial"/>
        </w:rPr>
        <w:t>makes a decision</w:t>
      </w:r>
      <w:proofErr w:type="gramEnd"/>
      <w:r w:rsidRPr="00CA1203">
        <w:rPr>
          <w:rFonts w:ascii="Arial" w:eastAsia="Arial" w:hAnsi="Arial" w:cs="Arial"/>
        </w:rPr>
        <w:t xml:space="preserve"> which has resource implications, the Chair has the authority to agree these to avoid additional discussion at resource panel. This should ensure that work can be commissioned with a minimum of delay to further support timely outcomes.</w:t>
      </w:r>
    </w:p>
    <w:p w:rsidR="00CA1203" w:rsidRPr="002564A1" w:rsidRDefault="00CA1203" w:rsidP="00CA1203">
      <w:pPr>
        <w:jc w:val="both"/>
        <w:rPr>
          <w:rFonts w:ascii="Arial" w:eastAsia="Arial" w:hAnsi="Arial" w:cs="Arial"/>
          <w:color w:val="000000" w:themeColor="text1"/>
        </w:rPr>
      </w:pPr>
      <w:r w:rsidRPr="4ED98622">
        <w:rPr>
          <w:rFonts w:ascii="Arial" w:eastAsia="Arial" w:hAnsi="Arial" w:cs="Arial"/>
          <w:color w:val="000000" w:themeColor="text1"/>
        </w:rPr>
        <w:t>The Legal Gateway Panel is chaired by a senior manager in Children Services who will be supported and given advice by a solicitor from the local authority.</w:t>
      </w:r>
      <w:r w:rsidR="0048098E">
        <w:rPr>
          <w:rFonts w:ascii="Arial" w:eastAsia="Arial" w:hAnsi="Arial" w:cs="Arial"/>
          <w:color w:val="000000" w:themeColor="text1"/>
        </w:rPr>
        <w:t xml:space="preserve"> </w:t>
      </w:r>
      <w:r w:rsidRPr="4ED98622">
        <w:rPr>
          <w:rFonts w:ascii="Arial" w:eastAsia="Arial" w:hAnsi="Arial" w:cs="Arial"/>
          <w:color w:val="000000" w:themeColor="text1"/>
        </w:rPr>
        <w:t>The Panel discussion will be formally recorded by the panel administrator and notes shared with the attending Social Workers, Team Managers, and the legal representative.</w:t>
      </w:r>
    </w:p>
    <w:p w:rsidR="00CA1203" w:rsidRPr="002564A1" w:rsidRDefault="00CA1203" w:rsidP="00CA1203">
      <w:pPr>
        <w:jc w:val="both"/>
        <w:rPr>
          <w:rFonts w:ascii="Arial" w:eastAsia="Arial" w:hAnsi="Arial" w:cs="Arial"/>
          <w:color w:val="000000" w:themeColor="text1"/>
        </w:rPr>
      </w:pPr>
      <w:r w:rsidRPr="4ED98622">
        <w:rPr>
          <w:rFonts w:ascii="Arial" w:eastAsia="Arial" w:hAnsi="Arial" w:cs="Arial"/>
          <w:b/>
          <w:bCs/>
          <w:color w:val="000000" w:themeColor="text1"/>
          <w:u w:val="single"/>
        </w:rPr>
        <w:t>Legal Gateway Panel Discussion</w:t>
      </w:r>
    </w:p>
    <w:p w:rsidR="00CA1203" w:rsidRPr="002564A1" w:rsidRDefault="00CA1203" w:rsidP="00CA1203">
      <w:pPr>
        <w:jc w:val="both"/>
        <w:rPr>
          <w:rFonts w:ascii="Arial" w:eastAsia="Arial" w:hAnsi="Arial" w:cs="Arial"/>
          <w:color w:val="000000" w:themeColor="text1"/>
        </w:rPr>
      </w:pPr>
      <w:r w:rsidRPr="4ED98622">
        <w:rPr>
          <w:rFonts w:ascii="Arial" w:eastAsia="Arial" w:hAnsi="Arial" w:cs="Arial"/>
          <w:color w:val="000000" w:themeColor="text1"/>
        </w:rPr>
        <w:t>The Legal Gateway Panel will consider the plan proposed by the child’s Social Worker and the responsible Team Manager and may ask questions to clarify the details of the case.</w:t>
      </w:r>
    </w:p>
    <w:p w:rsidR="00CA1203" w:rsidRPr="002564A1" w:rsidRDefault="00CA1203" w:rsidP="00CA1203">
      <w:pPr>
        <w:jc w:val="both"/>
        <w:rPr>
          <w:rFonts w:ascii="Arial" w:eastAsia="Arial" w:hAnsi="Arial" w:cs="Arial"/>
          <w:color w:val="000000" w:themeColor="text1"/>
        </w:rPr>
      </w:pPr>
      <w:r w:rsidRPr="6E63C0C7">
        <w:rPr>
          <w:rFonts w:ascii="Arial" w:eastAsia="Arial" w:hAnsi="Arial" w:cs="Arial"/>
          <w:color w:val="000000" w:themeColor="text1"/>
        </w:rPr>
        <w:t>The Social Worker and Team Manager must provide a clear rationale for the plan they are presenting. Children’s cases should not be presented at Panel simply for legal advice or case management advice – this is not the role of the panel.</w:t>
      </w:r>
    </w:p>
    <w:p w:rsidR="0048098E" w:rsidRDefault="00CA1203" w:rsidP="00CA1203">
      <w:pPr>
        <w:autoSpaceDE w:val="0"/>
        <w:autoSpaceDN w:val="0"/>
        <w:jc w:val="both"/>
        <w:rPr>
          <w:rFonts w:ascii="Arial" w:eastAsia="Arial" w:hAnsi="Arial" w:cs="Arial"/>
        </w:rPr>
      </w:pPr>
      <w:r w:rsidRPr="4ED98622">
        <w:rPr>
          <w:rFonts w:ascii="Arial" w:eastAsia="Arial" w:hAnsi="Arial" w:cs="Arial"/>
        </w:rPr>
        <w:t>The Legal Gateway Panel has a role in ensuring that a ‘vison for permanency’ is established at the earliest stage for all children. Permanency Panel holds responsibility for monitoring the actual permanency planning for Children in Care. However, a cross-over of m</w:t>
      </w:r>
      <w:r>
        <w:rPr>
          <w:rFonts w:ascii="Arial" w:eastAsia="Arial" w:hAnsi="Arial" w:cs="Arial"/>
        </w:rPr>
        <w:t>e</w:t>
      </w:r>
      <w:r w:rsidRPr="4ED98622">
        <w:rPr>
          <w:rFonts w:ascii="Arial" w:eastAsia="Arial" w:hAnsi="Arial" w:cs="Arial"/>
        </w:rPr>
        <w:t>mbership between the two Panels will provide continuity of decision making and approach across the two Panels.</w:t>
      </w:r>
    </w:p>
    <w:p w:rsidR="0048098E" w:rsidRPr="002564A1" w:rsidRDefault="005844E5" w:rsidP="0048098E">
      <w:pPr>
        <w:jc w:val="both"/>
        <w:rPr>
          <w:rFonts w:ascii="Arial" w:eastAsia="Arial" w:hAnsi="Arial" w:cs="Arial"/>
          <w:b/>
          <w:bCs/>
        </w:rPr>
      </w:pPr>
      <w:r>
        <w:rPr>
          <w:rFonts w:ascii="Arial" w:eastAsia="Arial" w:hAnsi="Arial" w:cs="Arial"/>
          <w:b/>
          <w:bCs/>
        </w:rPr>
        <w:t>If a decision is made that threshold is met t</w:t>
      </w:r>
      <w:r w:rsidR="0048098E" w:rsidRPr="2A5F3E30">
        <w:rPr>
          <w:rFonts w:ascii="Arial" w:eastAsia="Arial" w:hAnsi="Arial" w:cs="Arial"/>
          <w:b/>
          <w:bCs/>
        </w:rPr>
        <w:t xml:space="preserve">he </w:t>
      </w:r>
      <w:r>
        <w:rPr>
          <w:rFonts w:ascii="Arial" w:eastAsia="Arial" w:hAnsi="Arial" w:cs="Arial"/>
          <w:b/>
          <w:bCs/>
        </w:rPr>
        <w:t>o</w:t>
      </w:r>
      <w:r w:rsidR="0048098E" w:rsidRPr="2A5F3E30">
        <w:rPr>
          <w:rFonts w:ascii="Arial" w:eastAsia="Arial" w:hAnsi="Arial" w:cs="Arial"/>
          <w:b/>
          <w:bCs/>
        </w:rPr>
        <w:t>ptions at the Legal Gateway Panel are:-</w:t>
      </w:r>
    </w:p>
    <w:p w:rsidR="0048098E" w:rsidRDefault="0048098E" w:rsidP="0048098E">
      <w:pPr>
        <w:jc w:val="both"/>
      </w:pPr>
      <w:r w:rsidRPr="4ED98622">
        <w:rPr>
          <w:rFonts w:ascii="Arial" w:eastAsia="Arial" w:hAnsi="Arial" w:cs="Arial"/>
          <w:b/>
          <w:bCs/>
          <w:u w:val="single"/>
        </w:rPr>
        <w:t>OPTION ONE</w:t>
      </w:r>
    </w:p>
    <w:p w:rsidR="0048098E" w:rsidRPr="002564A1" w:rsidRDefault="0048098E" w:rsidP="0048098E">
      <w:pPr>
        <w:jc w:val="both"/>
        <w:rPr>
          <w:rFonts w:ascii="Arial" w:eastAsia="Arial" w:hAnsi="Arial" w:cs="Arial"/>
          <w:u w:val="single"/>
        </w:rPr>
      </w:pPr>
      <w:r w:rsidRPr="4ED98622">
        <w:rPr>
          <w:rFonts w:ascii="Arial" w:eastAsia="Arial" w:hAnsi="Arial" w:cs="Arial"/>
          <w:b/>
          <w:bCs/>
        </w:rPr>
        <w:t xml:space="preserve">Pre-Proceedings </w:t>
      </w:r>
    </w:p>
    <w:p w:rsidR="0048098E" w:rsidRPr="002564A1" w:rsidRDefault="0048098E" w:rsidP="0048098E">
      <w:pPr>
        <w:jc w:val="both"/>
        <w:rPr>
          <w:rFonts w:ascii="Arial" w:eastAsia="Arial" w:hAnsi="Arial" w:cs="Arial"/>
        </w:rPr>
      </w:pPr>
      <w:r w:rsidRPr="0048098E">
        <w:rPr>
          <w:rFonts w:ascii="Arial" w:eastAsia="Arial" w:hAnsi="Arial" w:cs="Arial"/>
        </w:rPr>
        <w:t>“The pre-proceedings period should be resurrected as the key point of hope at which local authorities can work with families to develop long term, sustainable plans for the children of concern. Particularly in circumstances where the decision to go to court would be crossing the thin red line, every effort should be made to avoid the truly burdensome and costly action of initiating court proceedings”</w:t>
      </w:r>
      <w:r w:rsidRPr="2A5F3E30">
        <w:rPr>
          <w:rFonts w:ascii="Arial" w:eastAsia="Arial" w:hAnsi="Arial" w:cs="Arial"/>
        </w:rPr>
        <w:t xml:space="preserve"> (Isabelle </w:t>
      </w:r>
      <w:proofErr w:type="spellStart"/>
      <w:r w:rsidRPr="2A5F3E30">
        <w:rPr>
          <w:rFonts w:ascii="Arial" w:eastAsia="Arial" w:hAnsi="Arial" w:cs="Arial"/>
        </w:rPr>
        <w:t>Trowler</w:t>
      </w:r>
      <w:proofErr w:type="spellEnd"/>
      <w:r w:rsidRPr="2A5F3E30">
        <w:rPr>
          <w:rFonts w:ascii="Arial" w:eastAsia="Arial" w:hAnsi="Arial" w:cs="Arial"/>
        </w:rPr>
        <w:t xml:space="preserve"> Chief Social Worker (2018)</w:t>
      </w:r>
    </w:p>
    <w:p w:rsidR="0048098E" w:rsidRDefault="0048098E" w:rsidP="0048098E">
      <w:pPr>
        <w:jc w:val="both"/>
        <w:rPr>
          <w:rFonts w:ascii="Arial" w:eastAsia="Arial" w:hAnsi="Arial" w:cs="Arial"/>
        </w:rPr>
      </w:pPr>
      <w:r w:rsidRPr="68F02292">
        <w:rPr>
          <w:rFonts w:ascii="Arial" w:eastAsia="Arial" w:hAnsi="Arial" w:cs="Arial"/>
        </w:rPr>
        <w:t xml:space="preserve"> The Pre- Proceedings period should be a time of intense planning and support. This period should include effective interventions with families to help them make the changes necessary to keep children safe. It is not a stepping- stone in the process to issuing proceedings. </w:t>
      </w:r>
    </w:p>
    <w:p w:rsidR="0048098E" w:rsidRPr="002564A1" w:rsidRDefault="0048098E" w:rsidP="0048098E">
      <w:pPr>
        <w:jc w:val="both"/>
        <w:rPr>
          <w:rFonts w:ascii="Arial" w:eastAsia="Arial" w:hAnsi="Arial" w:cs="Arial"/>
        </w:rPr>
      </w:pPr>
      <w:r w:rsidRPr="4ED98622">
        <w:rPr>
          <w:rFonts w:ascii="Arial" w:eastAsia="Arial" w:hAnsi="Arial" w:cs="Arial"/>
        </w:rPr>
        <w:t xml:space="preserve">Pre-Proceedings starts with a robust presentation to Legal Gateway Panel / PLO Panel which should be done by the social worker and their team manager. It must be based on evidence and threshold being met-ideally using SOS case mapping. A Primary Permanence Plan for the child must be presented at panel alongside the other documents. Legal Gateway is an opportunity to get support and advice from Legal Services on threshold, points of law, case law etc. If a decision is made that a case will enter the PLO process this will trigger the social worker and their manager to begin preparing and gathering the necessary assessments and evidence needed if proceedings are commenced. This “frontloading” enables good quality, timely social </w:t>
      </w:r>
      <w:proofErr w:type="gramStart"/>
      <w:r w:rsidRPr="4ED98622">
        <w:rPr>
          <w:rFonts w:ascii="Arial" w:eastAsia="Arial" w:hAnsi="Arial" w:cs="Arial"/>
        </w:rPr>
        <w:t>work.(</w:t>
      </w:r>
      <w:proofErr w:type="gramEnd"/>
      <w:r w:rsidRPr="4ED98622">
        <w:rPr>
          <w:rFonts w:ascii="Arial" w:eastAsia="Arial" w:hAnsi="Arial" w:cs="Arial"/>
        </w:rPr>
        <w:t xml:space="preserve"> NELC aim for  assessments and case work to be completed in a timely manner so as to avoid drift and delay and ensure that, should it become necessary to make an application to the Court under s.31 of the Children Act 1989, the Court can determine such proceedings swiftly (wherever possible within the 26 week timetable).</w:t>
      </w:r>
      <w:bookmarkStart w:id="0" w:name="_Hlk42069946"/>
      <w:bookmarkEnd w:id="0"/>
    </w:p>
    <w:p w:rsidR="0048098E" w:rsidRPr="002564A1" w:rsidRDefault="0048098E" w:rsidP="0048098E">
      <w:pPr>
        <w:rPr>
          <w:rFonts w:ascii="Arial" w:eastAsia="Arial" w:hAnsi="Arial" w:cs="Arial"/>
        </w:rPr>
      </w:pPr>
      <w:r w:rsidRPr="6288DF21">
        <w:rPr>
          <w:rFonts w:ascii="Arial" w:eastAsia="Arial" w:hAnsi="Arial" w:cs="Arial"/>
        </w:rPr>
        <w:t>Progress will be closely monitored by managers and any drift and delay for children will be addressed. This pre-action period allows The Local Authority to be clear with children, parents and carers about the extent and immediacy of any safeguarding risks. It also provides the opportunity for parents to have free support and advice from a legal representative.</w:t>
      </w:r>
    </w:p>
    <w:p w:rsidR="0048098E" w:rsidRPr="002564A1" w:rsidRDefault="0048098E" w:rsidP="0048098E">
      <w:pPr>
        <w:jc w:val="both"/>
        <w:rPr>
          <w:rFonts w:ascii="Arial" w:eastAsia="Arial" w:hAnsi="Arial" w:cs="Arial"/>
        </w:rPr>
      </w:pPr>
      <w:r w:rsidRPr="4ED98622">
        <w:rPr>
          <w:rFonts w:ascii="Arial" w:eastAsia="Arial" w:hAnsi="Arial" w:cs="Arial"/>
        </w:rPr>
        <w:t>Following a decision at legal gateway that a period of pre- proceedings is needed to help progress planning and avoid drift for a child, a letter will be  hand delivered to birth parents/ all those with PR  within 2 working days to advise them of our  concerns and invite them to a meeting with their legal representatives.</w:t>
      </w:r>
    </w:p>
    <w:p w:rsidR="0048098E" w:rsidRDefault="0048098E" w:rsidP="0048098E">
      <w:pPr>
        <w:spacing w:after="0" w:line="240" w:lineRule="auto"/>
        <w:rPr>
          <w:rFonts w:ascii="Arial" w:eastAsia="Arial" w:hAnsi="Arial" w:cs="Arial"/>
          <w:b/>
          <w:bCs/>
          <w:u w:val="single"/>
        </w:rPr>
      </w:pPr>
      <w:r w:rsidRPr="005844E5">
        <w:rPr>
          <w:rFonts w:ascii="Arial" w:eastAsia="Arial" w:hAnsi="Arial" w:cs="Arial"/>
          <w:b/>
          <w:bCs/>
          <w:u w:val="single"/>
        </w:rPr>
        <w:t>OPTION TWO</w:t>
      </w:r>
    </w:p>
    <w:p w:rsidR="005844E5" w:rsidRPr="005844E5" w:rsidRDefault="005844E5" w:rsidP="0048098E">
      <w:pPr>
        <w:spacing w:after="0" w:line="240" w:lineRule="auto"/>
        <w:rPr>
          <w:u w:val="single"/>
        </w:rPr>
      </w:pPr>
    </w:p>
    <w:p w:rsidR="0048098E" w:rsidRPr="002564A1" w:rsidRDefault="0048098E" w:rsidP="0048098E">
      <w:pPr>
        <w:spacing w:after="0" w:line="240" w:lineRule="auto"/>
        <w:jc w:val="both"/>
        <w:rPr>
          <w:rFonts w:ascii="Arial" w:eastAsia="Arial" w:hAnsi="Arial" w:cs="Arial"/>
          <w:b/>
          <w:bCs/>
        </w:rPr>
      </w:pPr>
      <w:r w:rsidRPr="4ED98622">
        <w:rPr>
          <w:rFonts w:ascii="Arial" w:eastAsia="Arial" w:hAnsi="Arial" w:cs="Arial"/>
          <w:b/>
          <w:bCs/>
        </w:rPr>
        <w:t>To Issue Proceedings</w:t>
      </w:r>
    </w:p>
    <w:p w:rsidR="0048098E" w:rsidRPr="002564A1" w:rsidRDefault="0048098E" w:rsidP="0048098E">
      <w:pPr>
        <w:spacing w:after="0" w:line="240" w:lineRule="auto"/>
        <w:jc w:val="both"/>
        <w:rPr>
          <w:rFonts w:ascii="Arial" w:eastAsia="Arial" w:hAnsi="Arial" w:cs="Arial"/>
        </w:rPr>
      </w:pPr>
    </w:p>
    <w:p w:rsidR="0048098E" w:rsidRPr="002564A1" w:rsidRDefault="0048098E" w:rsidP="0048098E">
      <w:pPr>
        <w:spacing w:after="0" w:line="240" w:lineRule="auto"/>
        <w:jc w:val="both"/>
        <w:rPr>
          <w:rFonts w:ascii="Arial" w:eastAsia="Arial" w:hAnsi="Arial" w:cs="Arial"/>
        </w:rPr>
      </w:pPr>
      <w:r w:rsidRPr="4ED98622">
        <w:rPr>
          <w:rFonts w:ascii="Arial" w:eastAsia="Arial" w:hAnsi="Arial" w:cs="Arial"/>
        </w:rPr>
        <w:t>The Panel may after hearing the facts of a matter form a view Pre Proceedings is not appropriate and indicate the Commencement of Proceedings then the social worker and their team manager shall prepare the initial paperwork for the commencement of the Proceedings with  Court Liaison Officer to have oversight to ensure consistent quality within 5 working days and to have papers with Legal Services within a further 2 days and for Legal Services to issues within 5 working days</w:t>
      </w:r>
    </w:p>
    <w:p w:rsidR="0048098E" w:rsidRPr="002564A1" w:rsidRDefault="0048098E" w:rsidP="0048098E">
      <w:pPr>
        <w:spacing w:after="0" w:line="240" w:lineRule="auto"/>
        <w:jc w:val="both"/>
        <w:rPr>
          <w:rFonts w:ascii="Arial" w:eastAsia="Arial" w:hAnsi="Arial" w:cs="Arial"/>
        </w:rPr>
      </w:pPr>
    </w:p>
    <w:p w:rsidR="0048098E" w:rsidRPr="002564A1" w:rsidRDefault="0048098E" w:rsidP="0048098E">
      <w:pPr>
        <w:spacing w:after="0" w:line="240" w:lineRule="auto"/>
        <w:jc w:val="both"/>
        <w:rPr>
          <w:rFonts w:ascii="Arial" w:eastAsia="Arial" w:hAnsi="Arial" w:cs="Arial"/>
        </w:rPr>
      </w:pPr>
      <w:r w:rsidRPr="4ED98622">
        <w:rPr>
          <w:rFonts w:ascii="Arial" w:eastAsia="Arial" w:hAnsi="Arial" w:cs="Arial"/>
        </w:rPr>
        <w:t>If the Legal Gateway panel decides that immediate safeguarding measures need to be taken to safeguard a child, the social worker and their team manager will prepare the initial paperwork for the commencement of the Proceedings and have the papers with Legal Services within 2 days. The Proceedings will be issued as soon as practicable but no longer than 4 working days from receipt into Legal Services</w:t>
      </w:r>
      <w:bookmarkStart w:id="1" w:name="_Hlk42070621"/>
      <w:bookmarkStart w:id="2" w:name="_Hlk42070725"/>
      <w:bookmarkEnd w:id="1"/>
      <w:bookmarkEnd w:id="2"/>
      <w:r>
        <w:rPr>
          <w:rFonts w:ascii="Arial" w:eastAsia="Arial" w:hAnsi="Arial" w:cs="Arial"/>
        </w:rPr>
        <w:t>.</w:t>
      </w:r>
    </w:p>
    <w:p w:rsidR="0048098E" w:rsidRPr="002564A1" w:rsidRDefault="0048098E" w:rsidP="0048098E">
      <w:pPr>
        <w:spacing w:after="0" w:line="240" w:lineRule="auto"/>
        <w:jc w:val="both"/>
        <w:rPr>
          <w:rFonts w:ascii="Arial" w:eastAsia="Arial" w:hAnsi="Arial" w:cs="Arial"/>
        </w:rPr>
      </w:pPr>
    </w:p>
    <w:p w:rsidR="0048098E" w:rsidRPr="002564A1" w:rsidRDefault="0048098E" w:rsidP="0048098E">
      <w:pPr>
        <w:spacing w:after="0" w:line="240" w:lineRule="auto"/>
        <w:jc w:val="both"/>
        <w:rPr>
          <w:rFonts w:ascii="Arial" w:eastAsia="Arial" w:hAnsi="Arial" w:cs="Arial"/>
        </w:rPr>
      </w:pPr>
      <w:r w:rsidRPr="4ED98622">
        <w:rPr>
          <w:rFonts w:ascii="Arial" w:eastAsia="Arial" w:hAnsi="Arial" w:cs="Arial"/>
        </w:rPr>
        <w:t>There may be cases where the immediate risk to a child is so great that a decision is needed outside of panel arrangements that proceedings need to commence. This decision can be made by the Head of Safeguarding. In these circumstances, the case must be discussed, and all documents considered retrospectively at the next available Legal Gateway Panel.</w:t>
      </w:r>
    </w:p>
    <w:p w:rsidR="0048098E" w:rsidRPr="002564A1" w:rsidRDefault="0048098E" w:rsidP="0048098E">
      <w:pPr>
        <w:spacing w:after="0" w:line="240" w:lineRule="auto"/>
        <w:jc w:val="both"/>
        <w:rPr>
          <w:rFonts w:ascii="Arial" w:eastAsia="Arial" w:hAnsi="Arial" w:cs="Arial"/>
        </w:rPr>
      </w:pPr>
    </w:p>
    <w:p w:rsidR="0048098E" w:rsidRPr="005844E5" w:rsidRDefault="0048098E" w:rsidP="0048098E">
      <w:pPr>
        <w:spacing w:after="0" w:line="240" w:lineRule="auto"/>
        <w:jc w:val="both"/>
        <w:rPr>
          <w:rFonts w:ascii="Arial" w:eastAsia="Arial" w:hAnsi="Arial" w:cs="Arial"/>
          <w:b/>
          <w:bCs/>
          <w:u w:val="single"/>
        </w:rPr>
      </w:pPr>
      <w:r w:rsidRPr="005844E5">
        <w:rPr>
          <w:rFonts w:ascii="Arial" w:eastAsia="Arial" w:hAnsi="Arial" w:cs="Arial"/>
          <w:b/>
          <w:bCs/>
          <w:u w:val="single"/>
        </w:rPr>
        <w:t>Public Law Proceedings</w:t>
      </w:r>
    </w:p>
    <w:p w:rsidR="0048098E" w:rsidRPr="002564A1" w:rsidRDefault="0048098E" w:rsidP="0048098E">
      <w:pPr>
        <w:spacing w:after="0" w:line="240" w:lineRule="auto"/>
        <w:jc w:val="both"/>
        <w:rPr>
          <w:rFonts w:ascii="Arial" w:eastAsia="Arial" w:hAnsi="Arial" w:cs="Arial"/>
        </w:rPr>
      </w:pPr>
    </w:p>
    <w:p w:rsidR="0048098E" w:rsidRPr="002564A1" w:rsidRDefault="0048098E" w:rsidP="0048098E">
      <w:pPr>
        <w:spacing w:after="0" w:line="240" w:lineRule="auto"/>
        <w:jc w:val="both"/>
        <w:rPr>
          <w:rFonts w:ascii="Arial" w:eastAsia="Arial" w:hAnsi="Arial" w:cs="Arial"/>
        </w:rPr>
      </w:pPr>
      <w:r w:rsidRPr="4ED98622">
        <w:rPr>
          <w:rFonts w:ascii="Arial" w:eastAsia="Arial" w:hAnsi="Arial" w:cs="Arial"/>
        </w:rPr>
        <w:t>The decision to issue proceedings is a serious matter. managers must be assured that all efforts have been made to safely divert children from becoming the subject of proceedings. Once the option has been taken, and children are subject to court proceedings, a fully informed decision about their future lives must be fairly and swiftly made.</w:t>
      </w:r>
    </w:p>
    <w:p w:rsidR="0048098E" w:rsidRDefault="0048098E" w:rsidP="0048098E">
      <w:pPr>
        <w:spacing w:after="0" w:line="240" w:lineRule="auto"/>
        <w:jc w:val="both"/>
        <w:rPr>
          <w:rFonts w:ascii="Arial" w:eastAsia="Arial" w:hAnsi="Arial" w:cs="Arial"/>
        </w:rPr>
      </w:pPr>
    </w:p>
    <w:p w:rsidR="0048098E" w:rsidRPr="00CA1203" w:rsidRDefault="0048098E" w:rsidP="0048098E">
      <w:pPr>
        <w:jc w:val="both"/>
        <w:rPr>
          <w:rFonts w:ascii="Arial" w:eastAsia="Arial" w:hAnsi="Arial" w:cs="Arial"/>
        </w:rPr>
      </w:pPr>
      <w:r w:rsidRPr="6288DF21">
        <w:rPr>
          <w:rFonts w:ascii="Arial" w:eastAsia="Arial" w:hAnsi="Arial" w:cs="Arial"/>
        </w:rPr>
        <w:t xml:space="preserve">Senior leaders need to have a clear overview of Public Law activity within the service. It is important that they track those cases that come to legal gateway and move into PLO. They must ensure that decision making for children is robust, consistent, and accurately recorded. </w:t>
      </w:r>
    </w:p>
    <w:p w:rsidR="00CA1203" w:rsidRPr="00CA1203" w:rsidRDefault="00CA1203" w:rsidP="00CA1203">
      <w:pPr>
        <w:spacing w:after="0"/>
        <w:jc w:val="both"/>
        <w:rPr>
          <w:rFonts w:ascii="Arial" w:hAnsi="Arial" w:cs="Arial"/>
          <w:b/>
          <w:bCs/>
          <w:color w:val="000000"/>
          <w:u w:val="single"/>
        </w:rPr>
      </w:pPr>
      <w:r w:rsidRPr="00CA1203">
        <w:rPr>
          <w:rFonts w:ascii="Arial" w:hAnsi="Arial" w:cs="Arial"/>
          <w:b/>
          <w:bCs/>
          <w:color w:val="000000"/>
          <w:u w:val="single"/>
        </w:rPr>
        <w:t>Membership and Meeting Details</w:t>
      </w:r>
    </w:p>
    <w:p w:rsidR="00CA1203" w:rsidRPr="00CA1203" w:rsidRDefault="00CA1203" w:rsidP="00CA1203">
      <w:pPr>
        <w:spacing w:after="0"/>
        <w:jc w:val="both"/>
        <w:rPr>
          <w:rStyle w:val="Strong"/>
          <w:rFonts w:ascii="Arial" w:hAnsi="Arial" w:cs="Arial"/>
          <w:color w:val="000000"/>
        </w:rPr>
      </w:pPr>
    </w:p>
    <w:p w:rsidR="00CA1203" w:rsidRPr="00CA1203" w:rsidRDefault="00CA1203" w:rsidP="00CA1203">
      <w:pPr>
        <w:spacing w:after="0"/>
        <w:jc w:val="both"/>
        <w:rPr>
          <w:rFonts w:ascii="Arial" w:hAnsi="Arial" w:cs="Arial"/>
          <w:color w:val="000000"/>
        </w:rPr>
      </w:pPr>
      <w:r w:rsidRPr="00CA1203">
        <w:rPr>
          <w:rFonts w:ascii="Arial" w:hAnsi="Arial" w:cs="Arial"/>
          <w:color w:val="000000"/>
        </w:rPr>
        <w:t>The panel consists of:</w:t>
      </w:r>
    </w:p>
    <w:p w:rsidR="00CA1203" w:rsidRPr="00CA1203" w:rsidRDefault="00CA1203" w:rsidP="00CA1203">
      <w:pPr>
        <w:pStyle w:val="ListParagraph"/>
        <w:spacing w:after="0"/>
        <w:jc w:val="both"/>
        <w:rPr>
          <w:rFonts w:ascii="Arial" w:hAnsi="Arial" w:cs="Arial"/>
        </w:rPr>
      </w:pPr>
    </w:p>
    <w:p w:rsidR="00CA1203" w:rsidRDefault="00CA1203" w:rsidP="00CA1203">
      <w:pPr>
        <w:pStyle w:val="ListParagraph"/>
        <w:numPr>
          <w:ilvl w:val="0"/>
          <w:numId w:val="17"/>
        </w:numPr>
        <w:spacing w:after="0"/>
        <w:jc w:val="both"/>
        <w:rPr>
          <w:rFonts w:ascii="Arial" w:hAnsi="Arial" w:cs="Arial"/>
        </w:rPr>
      </w:pPr>
      <w:r>
        <w:rPr>
          <w:rFonts w:ascii="Arial" w:hAnsi="Arial" w:cs="Arial"/>
        </w:rPr>
        <w:t xml:space="preserve">Head of Safeguarding and Assessment – Chair </w:t>
      </w:r>
    </w:p>
    <w:p w:rsidR="00CA1203" w:rsidRPr="00CA1203" w:rsidRDefault="00CA1203" w:rsidP="00CA1203">
      <w:pPr>
        <w:pStyle w:val="ListParagraph"/>
        <w:numPr>
          <w:ilvl w:val="0"/>
          <w:numId w:val="17"/>
        </w:numPr>
        <w:spacing w:after="0"/>
        <w:jc w:val="both"/>
        <w:rPr>
          <w:rFonts w:ascii="Arial" w:hAnsi="Arial" w:cs="Arial"/>
        </w:rPr>
      </w:pPr>
      <w:r>
        <w:rPr>
          <w:rFonts w:ascii="Arial" w:hAnsi="Arial" w:cs="Arial"/>
        </w:rPr>
        <w:t xml:space="preserve">Head of Child Protection and Court – Co-chair </w:t>
      </w:r>
    </w:p>
    <w:p w:rsidR="00CA1203" w:rsidRDefault="0048098E" w:rsidP="00CA1203">
      <w:pPr>
        <w:pStyle w:val="ListParagraph"/>
        <w:numPr>
          <w:ilvl w:val="0"/>
          <w:numId w:val="17"/>
        </w:numPr>
        <w:spacing w:after="0"/>
        <w:jc w:val="both"/>
        <w:rPr>
          <w:rFonts w:ascii="Arial" w:hAnsi="Arial" w:cs="Arial"/>
        </w:rPr>
      </w:pPr>
      <w:r>
        <w:rPr>
          <w:rFonts w:ascii="Arial" w:hAnsi="Arial" w:cs="Arial"/>
        </w:rPr>
        <w:t xml:space="preserve">Local Authority </w:t>
      </w:r>
      <w:r w:rsidR="00CA1203">
        <w:rPr>
          <w:rFonts w:ascii="Arial" w:hAnsi="Arial" w:cs="Arial"/>
        </w:rPr>
        <w:t xml:space="preserve">Legal </w:t>
      </w:r>
      <w:r>
        <w:rPr>
          <w:rFonts w:ascii="Arial" w:hAnsi="Arial" w:cs="Arial"/>
        </w:rPr>
        <w:t>representative</w:t>
      </w:r>
    </w:p>
    <w:p w:rsidR="00CA1203" w:rsidRDefault="00CA1203" w:rsidP="00CA1203">
      <w:pPr>
        <w:pStyle w:val="ListParagraph"/>
        <w:numPr>
          <w:ilvl w:val="0"/>
          <w:numId w:val="17"/>
        </w:numPr>
        <w:spacing w:after="0"/>
        <w:jc w:val="both"/>
        <w:rPr>
          <w:rFonts w:ascii="Arial" w:hAnsi="Arial" w:cs="Arial"/>
        </w:rPr>
      </w:pPr>
      <w:r>
        <w:rPr>
          <w:rFonts w:ascii="Arial" w:hAnsi="Arial" w:cs="Arial"/>
        </w:rPr>
        <w:t xml:space="preserve">A Service Manager from CSC </w:t>
      </w:r>
    </w:p>
    <w:p w:rsidR="00CA1203" w:rsidRDefault="00CA1203" w:rsidP="00CA1203">
      <w:pPr>
        <w:pStyle w:val="ListParagraph"/>
        <w:numPr>
          <w:ilvl w:val="0"/>
          <w:numId w:val="17"/>
        </w:numPr>
        <w:spacing w:after="0"/>
        <w:jc w:val="both"/>
        <w:rPr>
          <w:rFonts w:ascii="Arial" w:hAnsi="Arial" w:cs="Arial"/>
        </w:rPr>
      </w:pPr>
      <w:r>
        <w:rPr>
          <w:rFonts w:ascii="Arial" w:hAnsi="Arial" w:cs="Arial"/>
        </w:rPr>
        <w:t xml:space="preserve">Court Liaison Officer </w:t>
      </w:r>
    </w:p>
    <w:p w:rsidR="00CA1203" w:rsidRDefault="00CA1203" w:rsidP="00CA1203">
      <w:pPr>
        <w:pStyle w:val="ListParagraph"/>
        <w:numPr>
          <w:ilvl w:val="0"/>
          <w:numId w:val="17"/>
        </w:numPr>
        <w:spacing w:after="0"/>
        <w:jc w:val="both"/>
        <w:rPr>
          <w:rFonts w:ascii="Arial" w:hAnsi="Arial" w:cs="Arial"/>
        </w:rPr>
      </w:pPr>
      <w:r w:rsidRPr="00CA1203">
        <w:rPr>
          <w:rFonts w:ascii="Arial" w:hAnsi="Arial" w:cs="Arial"/>
        </w:rPr>
        <w:t xml:space="preserve">Locality Lead </w:t>
      </w:r>
    </w:p>
    <w:p w:rsidR="00CA1203" w:rsidRDefault="00CA1203" w:rsidP="00CA1203">
      <w:pPr>
        <w:pStyle w:val="ListParagraph"/>
        <w:numPr>
          <w:ilvl w:val="0"/>
          <w:numId w:val="17"/>
        </w:numPr>
        <w:spacing w:after="0"/>
        <w:jc w:val="both"/>
        <w:rPr>
          <w:rFonts w:ascii="Arial" w:hAnsi="Arial" w:cs="Arial"/>
        </w:rPr>
      </w:pPr>
      <w:r>
        <w:rPr>
          <w:rFonts w:ascii="Arial" w:hAnsi="Arial" w:cs="Arial"/>
        </w:rPr>
        <w:t xml:space="preserve">Service Manager - Adoption Team </w:t>
      </w:r>
    </w:p>
    <w:p w:rsidR="00CA1203" w:rsidRDefault="00CA1203" w:rsidP="00CA1203">
      <w:pPr>
        <w:pStyle w:val="ListParagraph"/>
        <w:numPr>
          <w:ilvl w:val="0"/>
          <w:numId w:val="17"/>
        </w:numPr>
        <w:spacing w:after="0"/>
        <w:jc w:val="both"/>
        <w:rPr>
          <w:rFonts w:ascii="Arial" w:hAnsi="Arial" w:cs="Arial"/>
        </w:rPr>
      </w:pPr>
      <w:r>
        <w:rPr>
          <w:rFonts w:ascii="Arial" w:hAnsi="Arial" w:cs="Arial"/>
        </w:rPr>
        <w:t>Service Manager - Fostering Team</w:t>
      </w:r>
    </w:p>
    <w:p w:rsidR="00CA1203" w:rsidRDefault="00CA1203" w:rsidP="00CA1203">
      <w:pPr>
        <w:pStyle w:val="ListParagraph"/>
        <w:numPr>
          <w:ilvl w:val="0"/>
          <w:numId w:val="17"/>
        </w:numPr>
        <w:spacing w:after="0"/>
        <w:jc w:val="both"/>
        <w:rPr>
          <w:rFonts w:ascii="Arial" w:hAnsi="Arial" w:cs="Arial"/>
        </w:rPr>
      </w:pPr>
      <w:r>
        <w:rPr>
          <w:rFonts w:ascii="Arial" w:hAnsi="Arial" w:cs="Arial"/>
        </w:rPr>
        <w:t xml:space="preserve"> Family Group Conferencing Coordinator  </w:t>
      </w:r>
    </w:p>
    <w:p w:rsidR="00CA1203" w:rsidRPr="00CA1203" w:rsidRDefault="00CA1203" w:rsidP="00CA1203">
      <w:pPr>
        <w:pStyle w:val="ListParagraph"/>
        <w:numPr>
          <w:ilvl w:val="0"/>
          <w:numId w:val="17"/>
        </w:numPr>
        <w:spacing w:after="0"/>
        <w:jc w:val="both"/>
        <w:rPr>
          <w:rFonts w:ascii="Arial" w:hAnsi="Arial" w:cs="Arial"/>
        </w:rPr>
      </w:pPr>
      <w:r>
        <w:rPr>
          <w:rFonts w:ascii="Arial" w:hAnsi="Arial" w:cs="Arial"/>
        </w:rPr>
        <w:t>Legal gateway panel administrator</w:t>
      </w:r>
    </w:p>
    <w:p w:rsidR="00CA1203" w:rsidRPr="00CA1203" w:rsidRDefault="00CA1203" w:rsidP="00CA1203">
      <w:pPr>
        <w:autoSpaceDE w:val="0"/>
        <w:autoSpaceDN w:val="0"/>
        <w:adjustRightInd w:val="0"/>
        <w:spacing w:after="0"/>
        <w:jc w:val="both"/>
        <w:rPr>
          <w:rFonts w:ascii="Arial" w:hAnsi="Arial" w:cs="Arial"/>
          <w:b/>
        </w:rPr>
      </w:pPr>
    </w:p>
    <w:p w:rsidR="00CA1203" w:rsidRPr="002564A1" w:rsidRDefault="00CA1203" w:rsidP="00CA1203">
      <w:pPr>
        <w:rPr>
          <w:rFonts w:ascii="Arial" w:eastAsia="Arial" w:hAnsi="Arial" w:cs="Arial"/>
          <w:b/>
          <w:bCs/>
          <w:u w:val="single"/>
        </w:rPr>
      </w:pPr>
      <w:r w:rsidRPr="6288DF21">
        <w:rPr>
          <w:rFonts w:ascii="Arial" w:eastAsia="Arial" w:hAnsi="Arial" w:cs="Arial"/>
          <w:b/>
          <w:bCs/>
          <w:u w:val="single"/>
        </w:rPr>
        <w:t>The Administrative Arrangements for the Legal Gateway Panel</w:t>
      </w:r>
    </w:p>
    <w:p w:rsidR="00CA1203" w:rsidRPr="00CA1203" w:rsidRDefault="00CA1203" w:rsidP="00CA1203">
      <w:pPr>
        <w:pStyle w:val="ListParagraph"/>
        <w:spacing w:after="0"/>
        <w:jc w:val="both"/>
        <w:rPr>
          <w:rFonts w:cstheme="minorHAnsi"/>
        </w:rPr>
      </w:pPr>
    </w:p>
    <w:p w:rsidR="00CA1203" w:rsidRPr="00CA1203" w:rsidRDefault="00CA1203" w:rsidP="00CA1203">
      <w:pPr>
        <w:pStyle w:val="ListParagraph"/>
        <w:numPr>
          <w:ilvl w:val="0"/>
          <w:numId w:val="20"/>
        </w:numPr>
        <w:spacing w:after="0"/>
        <w:jc w:val="both"/>
        <w:rPr>
          <w:rFonts w:cstheme="minorHAnsi"/>
        </w:rPr>
      </w:pPr>
      <w:r>
        <w:rPr>
          <w:rFonts w:cstheme="minorHAnsi"/>
        </w:rPr>
        <w:t>The panel takes place on a w</w:t>
      </w:r>
      <w:r w:rsidRPr="00CA1203">
        <w:rPr>
          <w:rFonts w:cstheme="minorHAnsi"/>
        </w:rPr>
        <w:t>eekly</w:t>
      </w:r>
      <w:r>
        <w:rPr>
          <w:rFonts w:cstheme="minorHAnsi"/>
        </w:rPr>
        <w:t xml:space="preserve"> basis</w:t>
      </w:r>
      <w:r w:rsidRPr="00CA1203">
        <w:rPr>
          <w:rFonts w:cstheme="minorHAnsi"/>
        </w:rPr>
        <w:t xml:space="preserve"> – Every Wednesday 9am – 12pm. </w:t>
      </w:r>
    </w:p>
    <w:p w:rsidR="00CA1203" w:rsidRPr="002564A1" w:rsidRDefault="00CA1203" w:rsidP="00CA1203">
      <w:pPr>
        <w:pStyle w:val="ListParagraph"/>
        <w:numPr>
          <w:ilvl w:val="0"/>
          <w:numId w:val="20"/>
        </w:numPr>
        <w:jc w:val="both"/>
        <w:rPr>
          <w:rFonts w:ascii="Arial" w:eastAsia="Arial" w:hAnsi="Arial" w:cs="Arial"/>
          <w:color w:val="000000" w:themeColor="text1"/>
        </w:rPr>
      </w:pPr>
      <w:r w:rsidRPr="4ED98622">
        <w:rPr>
          <w:rFonts w:ascii="Arial" w:eastAsia="Arial" w:hAnsi="Arial" w:cs="Arial"/>
          <w:color w:val="000000" w:themeColor="text1"/>
        </w:rPr>
        <w:t>Emergency Panels can be convened if necessary.</w:t>
      </w:r>
    </w:p>
    <w:p w:rsidR="00CA1203" w:rsidRPr="002564A1" w:rsidRDefault="00CA1203" w:rsidP="00CA1203">
      <w:pPr>
        <w:pStyle w:val="ListParagraph"/>
        <w:numPr>
          <w:ilvl w:val="0"/>
          <w:numId w:val="20"/>
        </w:numPr>
        <w:jc w:val="both"/>
        <w:rPr>
          <w:rFonts w:ascii="Arial" w:eastAsia="Arial" w:hAnsi="Arial" w:cs="Arial"/>
          <w:color w:val="000000" w:themeColor="text1"/>
        </w:rPr>
      </w:pPr>
      <w:r w:rsidRPr="4ED98622">
        <w:rPr>
          <w:rFonts w:ascii="Arial" w:eastAsia="Arial" w:hAnsi="Arial" w:cs="Arial"/>
          <w:color w:val="000000" w:themeColor="text1"/>
        </w:rPr>
        <w:t>The agenda is sent out weekly and Social Workers should attend Panel as requested.</w:t>
      </w:r>
    </w:p>
    <w:p w:rsidR="00CA1203" w:rsidRPr="002564A1" w:rsidRDefault="00CA1203" w:rsidP="00CA1203">
      <w:pPr>
        <w:pStyle w:val="ListParagraph"/>
        <w:numPr>
          <w:ilvl w:val="0"/>
          <w:numId w:val="20"/>
        </w:numPr>
        <w:jc w:val="both"/>
        <w:rPr>
          <w:rFonts w:ascii="Arial" w:eastAsia="Arial" w:hAnsi="Arial" w:cs="Arial"/>
          <w:color w:val="000000" w:themeColor="text1"/>
        </w:rPr>
      </w:pPr>
      <w:r w:rsidRPr="4ED98622">
        <w:rPr>
          <w:rFonts w:ascii="Arial" w:eastAsia="Arial" w:hAnsi="Arial" w:cs="Arial"/>
          <w:color w:val="000000" w:themeColor="text1"/>
        </w:rPr>
        <w:t>The responsible manager with overall supervision of the Social Worker is expected to attend the Panel with the Social Worker when a case is heard for the first time.</w:t>
      </w:r>
    </w:p>
    <w:p w:rsidR="00CA1203" w:rsidRPr="002564A1" w:rsidRDefault="00CA1203" w:rsidP="00CA1203">
      <w:pPr>
        <w:pStyle w:val="ListParagraph"/>
        <w:numPr>
          <w:ilvl w:val="0"/>
          <w:numId w:val="20"/>
        </w:numPr>
        <w:jc w:val="both"/>
        <w:rPr>
          <w:rFonts w:ascii="Arial" w:eastAsia="Arial" w:hAnsi="Arial" w:cs="Arial"/>
          <w:color w:val="000000" w:themeColor="text1"/>
        </w:rPr>
      </w:pPr>
      <w:r w:rsidRPr="4ED98622">
        <w:rPr>
          <w:rFonts w:ascii="Arial" w:eastAsia="Arial" w:hAnsi="Arial" w:cs="Arial"/>
          <w:color w:val="000000" w:themeColor="text1"/>
        </w:rPr>
        <w:t>A Panel Administrator will service the Panel in respect of:</w:t>
      </w:r>
    </w:p>
    <w:p w:rsidR="0048098E" w:rsidRDefault="0048098E" w:rsidP="0048098E">
      <w:pPr>
        <w:pStyle w:val="ListParagraph"/>
        <w:numPr>
          <w:ilvl w:val="0"/>
          <w:numId w:val="21"/>
        </w:numPr>
        <w:jc w:val="both"/>
        <w:rPr>
          <w:rFonts w:ascii="Arial" w:eastAsia="Arial" w:hAnsi="Arial" w:cs="Arial"/>
          <w:color w:val="000000" w:themeColor="text1"/>
        </w:rPr>
      </w:pPr>
      <w:r>
        <w:rPr>
          <w:rFonts w:ascii="Arial" w:eastAsia="Arial" w:hAnsi="Arial" w:cs="Arial"/>
          <w:color w:val="000000" w:themeColor="text1"/>
        </w:rPr>
        <w:t>A</w:t>
      </w:r>
      <w:r w:rsidR="00CA1203" w:rsidRPr="4ED98622">
        <w:rPr>
          <w:rFonts w:ascii="Arial" w:eastAsia="Arial" w:hAnsi="Arial" w:cs="Arial"/>
          <w:color w:val="000000" w:themeColor="text1"/>
        </w:rPr>
        <w:t>rranging the agenda, including dates for reviews</w:t>
      </w:r>
    </w:p>
    <w:p w:rsidR="00CA1203" w:rsidRPr="0048098E" w:rsidRDefault="0048098E" w:rsidP="0048098E">
      <w:pPr>
        <w:pStyle w:val="ListParagraph"/>
        <w:numPr>
          <w:ilvl w:val="0"/>
          <w:numId w:val="21"/>
        </w:numPr>
        <w:jc w:val="both"/>
        <w:rPr>
          <w:rFonts w:ascii="Arial" w:eastAsia="Arial" w:hAnsi="Arial" w:cs="Arial"/>
          <w:color w:val="000000" w:themeColor="text1"/>
        </w:rPr>
      </w:pPr>
      <w:r>
        <w:rPr>
          <w:rFonts w:ascii="Arial" w:eastAsia="Arial" w:hAnsi="Arial" w:cs="Arial"/>
          <w:color w:val="000000" w:themeColor="text1"/>
        </w:rPr>
        <w:t>C</w:t>
      </w:r>
      <w:r w:rsidR="00CA1203" w:rsidRPr="0048098E">
        <w:rPr>
          <w:rFonts w:ascii="Arial" w:eastAsia="Arial" w:hAnsi="Arial" w:cs="Arial"/>
          <w:color w:val="000000" w:themeColor="text1"/>
        </w:rPr>
        <w:t>ollating the relevant paperwork for the Panel</w:t>
      </w:r>
    </w:p>
    <w:p w:rsidR="00CA1203" w:rsidRDefault="0048098E" w:rsidP="00CA1203">
      <w:pPr>
        <w:pStyle w:val="ListParagraph"/>
        <w:numPr>
          <w:ilvl w:val="0"/>
          <w:numId w:val="21"/>
        </w:numPr>
        <w:jc w:val="both"/>
        <w:rPr>
          <w:rFonts w:ascii="Arial" w:eastAsia="Arial" w:hAnsi="Arial" w:cs="Arial"/>
          <w:color w:val="000000" w:themeColor="text1"/>
        </w:rPr>
      </w:pPr>
      <w:r>
        <w:rPr>
          <w:rFonts w:ascii="Arial" w:eastAsia="Arial" w:hAnsi="Arial" w:cs="Arial"/>
          <w:color w:val="000000" w:themeColor="text1"/>
        </w:rPr>
        <w:t>T</w:t>
      </w:r>
      <w:r w:rsidR="00CA1203" w:rsidRPr="4ED98622">
        <w:rPr>
          <w:rFonts w:ascii="Arial" w:eastAsia="Arial" w:hAnsi="Arial" w:cs="Arial"/>
          <w:color w:val="000000" w:themeColor="text1"/>
        </w:rPr>
        <w:t>aking Panel minutes and arranging their subsequent circulation.</w:t>
      </w:r>
    </w:p>
    <w:p w:rsidR="0048098E" w:rsidRPr="002564A1" w:rsidRDefault="0048098E" w:rsidP="00CA1203">
      <w:pPr>
        <w:pStyle w:val="ListParagraph"/>
        <w:numPr>
          <w:ilvl w:val="0"/>
          <w:numId w:val="21"/>
        </w:numPr>
        <w:jc w:val="both"/>
        <w:rPr>
          <w:rFonts w:ascii="Arial" w:eastAsia="Arial" w:hAnsi="Arial" w:cs="Arial"/>
          <w:color w:val="000000" w:themeColor="text1"/>
        </w:rPr>
      </w:pPr>
      <w:r>
        <w:rPr>
          <w:rFonts w:ascii="Arial" w:eastAsia="Arial" w:hAnsi="Arial" w:cs="Arial"/>
          <w:color w:val="000000" w:themeColor="text1"/>
        </w:rPr>
        <w:t xml:space="preserve">Record the minutes onto the child file within LL. </w:t>
      </w:r>
    </w:p>
    <w:p w:rsidR="00CA1203" w:rsidRPr="002564A1" w:rsidRDefault="00CA1203" w:rsidP="00CA1203">
      <w:pPr>
        <w:pStyle w:val="ListParagraph"/>
        <w:numPr>
          <w:ilvl w:val="0"/>
          <w:numId w:val="20"/>
        </w:numPr>
        <w:jc w:val="both"/>
        <w:rPr>
          <w:rFonts w:ascii="Arial" w:eastAsia="Arial" w:hAnsi="Arial" w:cs="Arial"/>
          <w:color w:val="000000" w:themeColor="text1"/>
        </w:rPr>
      </w:pPr>
      <w:r w:rsidRPr="4ED98622">
        <w:rPr>
          <w:rFonts w:ascii="Arial" w:eastAsia="Arial" w:hAnsi="Arial" w:cs="Arial"/>
          <w:color w:val="000000" w:themeColor="text1"/>
        </w:rPr>
        <w:t>All paperwork for the panel must be submitted by 12:00 two days before the Panel takes place. This allows Panel members time to read the papers prior to the Panel taking place. Paperwork submitted after this date will not be considered until the subsequent Panel</w:t>
      </w:r>
      <w:r>
        <w:rPr>
          <w:rFonts w:ascii="Arial" w:eastAsia="Arial" w:hAnsi="Arial" w:cs="Arial"/>
          <w:color w:val="000000" w:themeColor="text1"/>
        </w:rPr>
        <w:t>.</w:t>
      </w:r>
    </w:p>
    <w:p w:rsidR="00CA1203" w:rsidRDefault="00CA1203" w:rsidP="00CA1203">
      <w:pPr>
        <w:spacing w:after="0" w:line="240" w:lineRule="auto"/>
        <w:jc w:val="both"/>
        <w:rPr>
          <w:rFonts w:ascii="Arial" w:hAnsi="Arial" w:cs="Arial"/>
          <w:b/>
        </w:rPr>
      </w:pPr>
    </w:p>
    <w:p w:rsidR="002E2883" w:rsidRPr="005844E5" w:rsidRDefault="002E2883" w:rsidP="002E2883">
      <w:pPr>
        <w:spacing w:after="0"/>
        <w:jc w:val="both"/>
        <w:rPr>
          <w:rFonts w:cstheme="minorHAnsi"/>
          <w:b/>
          <w:bCs/>
          <w:u w:val="single"/>
        </w:rPr>
      </w:pPr>
      <w:r w:rsidRPr="005844E5">
        <w:rPr>
          <w:rFonts w:cstheme="minorHAnsi"/>
          <w:b/>
          <w:bCs/>
          <w:u w:val="single"/>
        </w:rPr>
        <w:t>Decision Making</w:t>
      </w:r>
    </w:p>
    <w:p w:rsidR="005844E5" w:rsidRDefault="005844E5" w:rsidP="002E2883">
      <w:pPr>
        <w:jc w:val="both"/>
        <w:rPr>
          <w:rFonts w:cstheme="minorHAnsi"/>
          <w:sz w:val="22"/>
          <w:szCs w:val="22"/>
        </w:rPr>
      </w:pPr>
    </w:p>
    <w:p w:rsidR="005844E5" w:rsidRPr="002564A1" w:rsidRDefault="002E2883" w:rsidP="005844E5">
      <w:pPr>
        <w:jc w:val="both"/>
        <w:rPr>
          <w:rFonts w:ascii="Arial" w:eastAsia="Arial" w:hAnsi="Arial" w:cs="Arial"/>
        </w:rPr>
      </w:pPr>
      <w:r w:rsidRPr="005844E5">
        <w:rPr>
          <w:rFonts w:cstheme="minorHAnsi"/>
        </w:rPr>
        <w:t>Where possible, the decision to which threshold it met will be achieved via consensus within the panel.</w:t>
      </w:r>
      <w:r w:rsidRPr="002E2883">
        <w:rPr>
          <w:rFonts w:cstheme="minorHAnsi"/>
          <w:sz w:val="22"/>
          <w:szCs w:val="22"/>
        </w:rPr>
        <w:t xml:space="preserve"> </w:t>
      </w:r>
      <w:r w:rsidR="005844E5" w:rsidRPr="4ED98622">
        <w:rPr>
          <w:rFonts w:ascii="Arial" w:eastAsia="Arial" w:hAnsi="Arial" w:cs="Arial"/>
        </w:rPr>
        <w:t>In the event of disagreement around a Panel recommendation or decision, the Chair’s decision is final, subject to any challenge being brought by either the Service Manager or Senior Solicitor within 2 (3) working days. In the event of a challenge, the final decision will rest with the Chief Officer for Social Care.</w:t>
      </w:r>
    </w:p>
    <w:p w:rsidR="00767491" w:rsidRDefault="00767491" w:rsidP="005844E5">
      <w:pPr>
        <w:jc w:val="both"/>
        <w:rPr>
          <w:rFonts w:cstheme="minorHAnsi"/>
          <w:sz w:val="22"/>
          <w:szCs w:val="22"/>
        </w:rPr>
      </w:pPr>
    </w:p>
    <w:sectPr w:rsidR="00767491" w:rsidSect="00D37474">
      <w:headerReference w:type="default" r:id="rId13"/>
      <w:footerReference w:type="default" r:id="rId14"/>
      <w:pgSz w:w="11906" w:h="16838"/>
      <w:pgMar w:top="67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915" w:rsidRDefault="00347915" w:rsidP="00F37AED">
      <w:pPr>
        <w:spacing w:after="0" w:line="240" w:lineRule="auto"/>
      </w:pPr>
      <w:r>
        <w:separator/>
      </w:r>
    </w:p>
  </w:endnote>
  <w:endnote w:type="continuationSeparator" w:id="0">
    <w:p w:rsidR="00347915" w:rsidRDefault="00347915" w:rsidP="00F3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391480"/>
      <w:docPartObj>
        <w:docPartGallery w:val="Page Numbers (Bottom of Page)"/>
        <w:docPartUnique/>
      </w:docPartObj>
    </w:sdtPr>
    <w:sdtEndPr>
      <w:rPr>
        <w:noProof/>
      </w:rPr>
    </w:sdtEndPr>
    <w:sdtContent>
      <w:p w:rsidR="0048098E" w:rsidRDefault="004809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37AED" w:rsidRDefault="00F37AED" w:rsidP="00D3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915" w:rsidRDefault="00347915" w:rsidP="00F37AED">
      <w:pPr>
        <w:spacing w:after="0" w:line="240" w:lineRule="auto"/>
      </w:pPr>
      <w:r>
        <w:separator/>
      </w:r>
    </w:p>
  </w:footnote>
  <w:footnote w:type="continuationSeparator" w:id="0">
    <w:p w:rsidR="00347915" w:rsidRDefault="00347915" w:rsidP="00F37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7AED" w:rsidRDefault="00F37AED">
    <w:pPr>
      <w:pStyle w:val="Header"/>
    </w:pPr>
  </w:p>
  <w:p w:rsidR="00EC37A2" w:rsidRDefault="00EC3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6EE"/>
    <w:multiLevelType w:val="hybridMultilevel"/>
    <w:tmpl w:val="C94C0CEE"/>
    <w:lvl w:ilvl="0" w:tplc="1422A15C">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F12F2"/>
    <w:multiLevelType w:val="hybridMultilevel"/>
    <w:tmpl w:val="7480D0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A6EBC"/>
    <w:multiLevelType w:val="hybridMultilevel"/>
    <w:tmpl w:val="C0065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4530E2"/>
    <w:multiLevelType w:val="hybridMultilevel"/>
    <w:tmpl w:val="823E2A50"/>
    <w:lvl w:ilvl="0" w:tplc="63EEF81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9486A75"/>
    <w:multiLevelType w:val="hybridMultilevel"/>
    <w:tmpl w:val="C5002B1A"/>
    <w:lvl w:ilvl="0" w:tplc="3514B1EE">
      <w:start w:val="1"/>
      <w:numFmt w:val="bullet"/>
      <w:lvlText w:val="•"/>
      <w:lvlJc w:val="left"/>
      <w:pPr>
        <w:ind w:left="780" w:hanging="360"/>
      </w:pPr>
      <w:rPr>
        <w:rFonts w:ascii="Times New Roman"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2F6211F4"/>
    <w:multiLevelType w:val="hybridMultilevel"/>
    <w:tmpl w:val="C46293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73DEB"/>
    <w:multiLevelType w:val="hybridMultilevel"/>
    <w:tmpl w:val="5442B8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B47B1"/>
    <w:multiLevelType w:val="hybridMultilevel"/>
    <w:tmpl w:val="3C2479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8356D"/>
    <w:multiLevelType w:val="multilevel"/>
    <w:tmpl w:val="89F0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501FB"/>
    <w:multiLevelType w:val="hybridMultilevel"/>
    <w:tmpl w:val="47D8BE22"/>
    <w:lvl w:ilvl="0" w:tplc="3514B1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347D1"/>
    <w:multiLevelType w:val="hybridMultilevel"/>
    <w:tmpl w:val="9CF6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40B39"/>
    <w:multiLevelType w:val="multilevel"/>
    <w:tmpl w:val="6D10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43CAF"/>
    <w:multiLevelType w:val="hybridMultilevel"/>
    <w:tmpl w:val="3B3493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F4EF4"/>
    <w:multiLevelType w:val="hybridMultilevel"/>
    <w:tmpl w:val="7DEA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64864"/>
    <w:multiLevelType w:val="hybridMultilevel"/>
    <w:tmpl w:val="D6FC05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17715"/>
    <w:multiLevelType w:val="hybridMultilevel"/>
    <w:tmpl w:val="71703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40515A"/>
    <w:multiLevelType w:val="hybridMultilevel"/>
    <w:tmpl w:val="6A5248A0"/>
    <w:lvl w:ilvl="0" w:tplc="3514B1E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B4297"/>
    <w:multiLevelType w:val="hybridMultilevel"/>
    <w:tmpl w:val="EA2C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021DB"/>
    <w:multiLevelType w:val="hybridMultilevel"/>
    <w:tmpl w:val="1B725C96"/>
    <w:lvl w:ilvl="0" w:tplc="6D2208BA">
      <w:start w:val="1"/>
      <w:numFmt w:val="bullet"/>
      <w:lvlText w:val="•"/>
      <w:lvlJc w:val="left"/>
      <w:pPr>
        <w:tabs>
          <w:tab w:val="num" w:pos="720"/>
        </w:tabs>
        <w:ind w:left="720" w:hanging="360"/>
      </w:pPr>
      <w:rPr>
        <w:rFonts w:ascii="Arial" w:hAnsi="Arial" w:hint="default"/>
      </w:rPr>
    </w:lvl>
    <w:lvl w:ilvl="1" w:tplc="03B4739A" w:tentative="1">
      <w:start w:val="1"/>
      <w:numFmt w:val="bullet"/>
      <w:lvlText w:val="•"/>
      <w:lvlJc w:val="left"/>
      <w:pPr>
        <w:tabs>
          <w:tab w:val="num" w:pos="1440"/>
        </w:tabs>
        <w:ind w:left="1440" w:hanging="360"/>
      </w:pPr>
      <w:rPr>
        <w:rFonts w:ascii="Arial" w:hAnsi="Arial" w:hint="default"/>
      </w:rPr>
    </w:lvl>
    <w:lvl w:ilvl="2" w:tplc="7AE2C306" w:tentative="1">
      <w:start w:val="1"/>
      <w:numFmt w:val="bullet"/>
      <w:lvlText w:val="•"/>
      <w:lvlJc w:val="left"/>
      <w:pPr>
        <w:tabs>
          <w:tab w:val="num" w:pos="2160"/>
        </w:tabs>
        <w:ind w:left="2160" w:hanging="360"/>
      </w:pPr>
      <w:rPr>
        <w:rFonts w:ascii="Arial" w:hAnsi="Arial" w:hint="default"/>
      </w:rPr>
    </w:lvl>
    <w:lvl w:ilvl="3" w:tplc="6AA8153E" w:tentative="1">
      <w:start w:val="1"/>
      <w:numFmt w:val="bullet"/>
      <w:lvlText w:val="•"/>
      <w:lvlJc w:val="left"/>
      <w:pPr>
        <w:tabs>
          <w:tab w:val="num" w:pos="2880"/>
        </w:tabs>
        <w:ind w:left="2880" w:hanging="360"/>
      </w:pPr>
      <w:rPr>
        <w:rFonts w:ascii="Arial" w:hAnsi="Arial" w:hint="default"/>
      </w:rPr>
    </w:lvl>
    <w:lvl w:ilvl="4" w:tplc="30C09960" w:tentative="1">
      <w:start w:val="1"/>
      <w:numFmt w:val="bullet"/>
      <w:lvlText w:val="•"/>
      <w:lvlJc w:val="left"/>
      <w:pPr>
        <w:tabs>
          <w:tab w:val="num" w:pos="3600"/>
        </w:tabs>
        <w:ind w:left="3600" w:hanging="360"/>
      </w:pPr>
      <w:rPr>
        <w:rFonts w:ascii="Arial" w:hAnsi="Arial" w:hint="default"/>
      </w:rPr>
    </w:lvl>
    <w:lvl w:ilvl="5" w:tplc="62AA8772" w:tentative="1">
      <w:start w:val="1"/>
      <w:numFmt w:val="bullet"/>
      <w:lvlText w:val="•"/>
      <w:lvlJc w:val="left"/>
      <w:pPr>
        <w:tabs>
          <w:tab w:val="num" w:pos="4320"/>
        </w:tabs>
        <w:ind w:left="4320" w:hanging="360"/>
      </w:pPr>
      <w:rPr>
        <w:rFonts w:ascii="Arial" w:hAnsi="Arial" w:hint="default"/>
      </w:rPr>
    </w:lvl>
    <w:lvl w:ilvl="6" w:tplc="C8D07E50" w:tentative="1">
      <w:start w:val="1"/>
      <w:numFmt w:val="bullet"/>
      <w:lvlText w:val="•"/>
      <w:lvlJc w:val="left"/>
      <w:pPr>
        <w:tabs>
          <w:tab w:val="num" w:pos="5040"/>
        </w:tabs>
        <w:ind w:left="5040" w:hanging="360"/>
      </w:pPr>
      <w:rPr>
        <w:rFonts w:ascii="Arial" w:hAnsi="Arial" w:hint="default"/>
      </w:rPr>
    </w:lvl>
    <w:lvl w:ilvl="7" w:tplc="36B64B7C" w:tentative="1">
      <w:start w:val="1"/>
      <w:numFmt w:val="bullet"/>
      <w:lvlText w:val="•"/>
      <w:lvlJc w:val="left"/>
      <w:pPr>
        <w:tabs>
          <w:tab w:val="num" w:pos="5760"/>
        </w:tabs>
        <w:ind w:left="5760" w:hanging="360"/>
      </w:pPr>
      <w:rPr>
        <w:rFonts w:ascii="Arial" w:hAnsi="Arial" w:hint="default"/>
      </w:rPr>
    </w:lvl>
    <w:lvl w:ilvl="8" w:tplc="55FAC9C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026962"/>
    <w:multiLevelType w:val="hybridMultilevel"/>
    <w:tmpl w:val="A4EED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E5942"/>
    <w:multiLevelType w:val="hybridMultilevel"/>
    <w:tmpl w:val="AC72FB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F317E"/>
    <w:multiLevelType w:val="hybridMultilevel"/>
    <w:tmpl w:val="8C82EB26"/>
    <w:lvl w:ilvl="0" w:tplc="FFFFFFFF">
      <w:numFmt w:val="bullet"/>
      <w:lvlText w:val="•"/>
      <w:lvlJc w:val="left"/>
      <w:pPr>
        <w:ind w:left="862" w:hanging="360"/>
      </w:pPr>
      <w:rPr>
        <w:rFonts w:ascii="Arial" w:hAnsi="Aria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num w:numId="1">
    <w:abstractNumId w:val="1"/>
  </w:num>
  <w:num w:numId="2">
    <w:abstractNumId w:val="7"/>
  </w:num>
  <w:num w:numId="3">
    <w:abstractNumId w:val="14"/>
  </w:num>
  <w:num w:numId="4">
    <w:abstractNumId w:val="6"/>
  </w:num>
  <w:num w:numId="5">
    <w:abstractNumId w:val="5"/>
  </w:num>
  <w:num w:numId="6">
    <w:abstractNumId w:val="20"/>
  </w:num>
  <w:num w:numId="7">
    <w:abstractNumId w:val="12"/>
  </w:num>
  <w:num w:numId="8">
    <w:abstractNumId w:val="17"/>
  </w:num>
  <w:num w:numId="9">
    <w:abstractNumId w:val="10"/>
  </w:num>
  <w:num w:numId="10">
    <w:abstractNumId w:val="13"/>
  </w:num>
  <w:num w:numId="11">
    <w:abstractNumId w:val="19"/>
  </w:num>
  <w:num w:numId="12">
    <w:abstractNumId w:val="8"/>
  </w:num>
  <w:num w:numId="13">
    <w:abstractNumId w:val="18"/>
  </w:num>
  <w:num w:numId="14">
    <w:abstractNumId w:val="4"/>
  </w:num>
  <w:num w:numId="15">
    <w:abstractNumId w:val="9"/>
  </w:num>
  <w:num w:numId="16">
    <w:abstractNumId w:val="11"/>
  </w:num>
  <w:num w:numId="17">
    <w:abstractNumId w:val="0"/>
  </w:num>
  <w:num w:numId="18">
    <w:abstractNumId w:val="16"/>
  </w:num>
  <w:num w:numId="19">
    <w:abstractNumId w:val="21"/>
  </w:num>
  <w:num w:numId="20">
    <w:abstractNumId w:val="15"/>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74"/>
    <w:rsid w:val="000604D7"/>
    <w:rsid w:val="000B390F"/>
    <w:rsid w:val="000C0CBF"/>
    <w:rsid w:val="000C78CE"/>
    <w:rsid w:val="000E116F"/>
    <w:rsid w:val="001075EB"/>
    <w:rsid w:val="00113AFF"/>
    <w:rsid w:val="0017500A"/>
    <w:rsid w:val="0018482E"/>
    <w:rsid w:val="001D59E4"/>
    <w:rsid w:val="001E1698"/>
    <w:rsid w:val="002173EA"/>
    <w:rsid w:val="002178A3"/>
    <w:rsid w:val="002213A1"/>
    <w:rsid w:val="00221C50"/>
    <w:rsid w:val="00226A03"/>
    <w:rsid w:val="002735E9"/>
    <w:rsid w:val="00283B6E"/>
    <w:rsid w:val="002E2883"/>
    <w:rsid w:val="00305DD9"/>
    <w:rsid w:val="00347915"/>
    <w:rsid w:val="00361D10"/>
    <w:rsid w:val="0038266A"/>
    <w:rsid w:val="003A79C1"/>
    <w:rsid w:val="003B2C79"/>
    <w:rsid w:val="003B334F"/>
    <w:rsid w:val="003B5265"/>
    <w:rsid w:val="003B6A0A"/>
    <w:rsid w:val="00432AFD"/>
    <w:rsid w:val="004403F0"/>
    <w:rsid w:val="0048098E"/>
    <w:rsid w:val="00497132"/>
    <w:rsid w:val="004C2BCD"/>
    <w:rsid w:val="004E4455"/>
    <w:rsid w:val="005059FD"/>
    <w:rsid w:val="00513EF1"/>
    <w:rsid w:val="00524C95"/>
    <w:rsid w:val="00525D62"/>
    <w:rsid w:val="005844E5"/>
    <w:rsid w:val="00585532"/>
    <w:rsid w:val="005A1BCC"/>
    <w:rsid w:val="005A28FF"/>
    <w:rsid w:val="005C63DB"/>
    <w:rsid w:val="005F0DE9"/>
    <w:rsid w:val="005F25F6"/>
    <w:rsid w:val="00604E4A"/>
    <w:rsid w:val="0061483F"/>
    <w:rsid w:val="00633DE7"/>
    <w:rsid w:val="00670A00"/>
    <w:rsid w:val="006C7122"/>
    <w:rsid w:val="006F7963"/>
    <w:rsid w:val="007130B5"/>
    <w:rsid w:val="0073523F"/>
    <w:rsid w:val="00757A52"/>
    <w:rsid w:val="00767491"/>
    <w:rsid w:val="00770A40"/>
    <w:rsid w:val="0077345C"/>
    <w:rsid w:val="00794931"/>
    <w:rsid w:val="0082356C"/>
    <w:rsid w:val="008238A0"/>
    <w:rsid w:val="0085183A"/>
    <w:rsid w:val="00860E2F"/>
    <w:rsid w:val="00887A8F"/>
    <w:rsid w:val="008B5484"/>
    <w:rsid w:val="008C5CB9"/>
    <w:rsid w:val="008D3FE6"/>
    <w:rsid w:val="008D6DFF"/>
    <w:rsid w:val="0095512C"/>
    <w:rsid w:val="009A0A8C"/>
    <w:rsid w:val="009A4001"/>
    <w:rsid w:val="009A5E26"/>
    <w:rsid w:val="009B3241"/>
    <w:rsid w:val="009E76C7"/>
    <w:rsid w:val="00A00F10"/>
    <w:rsid w:val="00A0351E"/>
    <w:rsid w:val="00A10A29"/>
    <w:rsid w:val="00A14398"/>
    <w:rsid w:val="00A25D96"/>
    <w:rsid w:val="00A52464"/>
    <w:rsid w:val="00A67472"/>
    <w:rsid w:val="00A80E5D"/>
    <w:rsid w:val="00AB5898"/>
    <w:rsid w:val="00AF31A2"/>
    <w:rsid w:val="00B85D8E"/>
    <w:rsid w:val="00B9464B"/>
    <w:rsid w:val="00BC4E06"/>
    <w:rsid w:val="00BC7CA5"/>
    <w:rsid w:val="00BF4399"/>
    <w:rsid w:val="00C13FA6"/>
    <w:rsid w:val="00C1673B"/>
    <w:rsid w:val="00C27FC9"/>
    <w:rsid w:val="00C64E26"/>
    <w:rsid w:val="00C85A22"/>
    <w:rsid w:val="00CA1203"/>
    <w:rsid w:val="00CB2F48"/>
    <w:rsid w:val="00CC5B06"/>
    <w:rsid w:val="00D23D8D"/>
    <w:rsid w:val="00D37474"/>
    <w:rsid w:val="00D507F7"/>
    <w:rsid w:val="00D63499"/>
    <w:rsid w:val="00D665E0"/>
    <w:rsid w:val="00D851A4"/>
    <w:rsid w:val="00D970A1"/>
    <w:rsid w:val="00DA447F"/>
    <w:rsid w:val="00DA4549"/>
    <w:rsid w:val="00DC5A09"/>
    <w:rsid w:val="00DD4825"/>
    <w:rsid w:val="00DE7BAA"/>
    <w:rsid w:val="00E11D7B"/>
    <w:rsid w:val="00E22622"/>
    <w:rsid w:val="00E26355"/>
    <w:rsid w:val="00E46E3A"/>
    <w:rsid w:val="00E5135D"/>
    <w:rsid w:val="00E51819"/>
    <w:rsid w:val="00E73612"/>
    <w:rsid w:val="00E75808"/>
    <w:rsid w:val="00E75B90"/>
    <w:rsid w:val="00E91574"/>
    <w:rsid w:val="00EA1F95"/>
    <w:rsid w:val="00EC37A2"/>
    <w:rsid w:val="00F37AED"/>
    <w:rsid w:val="00F70C7F"/>
    <w:rsid w:val="00FA1C54"/>
    <w:rsid w:val="00FC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01BE6"/>
  <w15:docId w15:val="{E6202C2B-3691-4898-A717-CD5F8353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91574"/>
    <w:pPr>
      <w:ind w:left="720"/>
      <w:contextualSpacing/>
    </w:pPr>
  </w:style>
  <w:style w:type="paragraph" w:styleId="Header">
    <w:name w:val="header"/>
    <w:basedOn w:val="Normal"/>
    <w:link w:val="HeaderChar"/>
    <w:uiPriority w:val="99"/>
    <w:unhideWhenUsed/>
    <w:rsid w:val="00F37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AED"/>
  </w:style>
  <w:style w:type="paragraph" w:styleId="Footer">
    <w:name w:val="footer"/>
    <w:basedOn w:val="Normal"/>
    <w:link w:val="FooterChar"/>
    <w:uiPriority w:val="99"/>
    <w:unhideWhenUsed/>
    <w:rsid w:val="00F37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AED"/>
  </w:style>
  <w:style w:type="paragraph" w:styleId="BalloonText">
    <w:name w:val="Balloon Text"/>
    <w:basedOn w:val="Normal"/>
    <w:link w:val="BalloonTextChar"/>
    <w:uiPriority w:val="99"/>
    <w:semiHidden/>
    <w:unhideWhenUsed/>
    <w:rsid w:val="00F37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ED"/>
    <w:rPr>
      <w:rFonts w:ascii="Tahoma" w:hAnsi="Tahoma" w:cs="Tahoma"/>
      <w:sz w:val="16"/>
      <w:szCs w:val="16"/>
    </w:rPr>
  </w:style>
  <w:style w:type="character" w:styleId="Strong">
    <w:name w:val="Strong"/>
    <w:qFormat/>
    <w:rsid w:val="00A52464"/>
    <w:rPr>
      <w:b/>
      <w:bCs/>
    </w:rPr>
  </w:style>
  <w:style w:type="paragraph" w:customStyle="1" w:styleId="paragraph">
    <w:name w:val="paragraph"/>
    <w:basedOn w:val="Normal"/>
    <w:rsid w:val="004403F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4403F0"/>
  </w:style>
  <w:style w:type="character" w:customStyle="1" w:styleId="eop">
    <w:name w:val="eop"/>
    <w:basedOn w:val="DefaultParagraphFont"/>
    <w:rsid w:val="004403F0"/>
  </w:style>
  <w:style w:type="table" w:styleId="TableGrid">
    <w:name w:val="Table Grid"/>
    <w:basedOn w:val="TableNormal"/>
    <w:uiPriority w:val="59"/>
    <w:rsid w:val="00DA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A45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25177">
      <w:bodyDiv w:val="1"/>
      <w:marLeft w:val="0"/>
      <w:marRight w:val="0"/>
      <w:marTop w:val="0"/>
      <w:marBottom w:val="0"/>
      <w:divBdr>
        <w:top w:val="none" w:sz="0" w:space="0" w:color="auto"/>
        <w:left w:val="none" w:sz="0" w:space="0" w:color="auto"/>
        <w:bottom w:val="none" w:sz="0" w:space="0" w:color="auto"/>
        <w:right w:val="none" w:sz="0" w:space="0" w:color="auto"/>
      </w:divBdr>
      <w:divsChild>
        <w:div w:id="1928541215">
          <w:marLeft w:val="0"/>
          <w:marRight w:val="0"/>
          <w:marTop w:val="0"/>
          <w:marBottom w:val="0"/>
          <w:divBdr>
            <w:top w:val="none" w:sz="0" w:space="0" w:color="auto"/>
            <w:left w:val="none" w:sz="0" w:space="0" w:color="auto"/>
            <w:bottom w:val="none" w:sz="0" w:space="0" w:color="auto"/>
            <w:right w:val="none" w:sz="0" w:space="0" w:color="auto"/>
          </w:divBdr>
          <w:divsChild>
            <w:div w:id="2094937292">
              <w:marLeft w:val="0"/>
              <w:marRight w:val="0"/>
              <w:marTop w:val="0"/>
              <w:marBottom w:val="0"/>
              <w:divBdr>
                <w:top w:val="none" w:sz="0" w:space="0" w:color="auto"/>
                <w:left w:val="none" w:sz="0" w:space="0" w:color="auto"/>
                <w:bottom w:val="none" w:sz="0" w:space="0" w:color="auto"/>
                <w:right w:val="none" w:sz="0" w:space="0" w:color="auto"/>
              </w:divBdr>
            </w:div>
            <w:div w:id="302465249">
              <w:marLeft w:val="0"/>
              <w:marRight w:val="0"/>
              <w:marTop w:val="0"/>
              <w:marBottom w:val="0"/>
              <w:divBdr>
                <w:top w:val="none" w:sz="0" w:space="0" w:color="auto"/>
                <w:left w:val="none" w:sz="0" w:space="0" w:color="auto"/>
                <w:bottom w:val="none" w:sz="0" w:space="0" w:color="auto"/>
                <w:right w:val="none" w:sz="0" w:space="0" w:color="auto"/>
              </w:divBdr>
            </w:div>
            <w:div w:id="478807956">
              <w:marLeft w:val="0"/>
              <w:marRight w:val="0"/>
              <w:marTop w:val="0"/>
              <w:marBottom w:val="0"/>
              <w:divBdr>
                <w:top w:val="none" w:sz="0" w:space="0" w:color="auto"/>
                <w:left w:val="none" w:sz="0" w:space="0" w:color="auto"/>
                <w:bottom w:val="none" w:sz="0" w:space="0" w:color="auto"/>
                <w:right w:val="none" w:sz="0" w:space="0" w:color="auto"/>
              </w:divBdr>
            </w:div>
            <w:div w:id="1374648803">
              <w:marLeft w:val="0"/>
              <w:marRight w:val="0"/>
              <w:marTop w:val="0"/>
              <w:marBottom w:val="0"/>
              <w:divBdr>
                <w:top w:val="none" w:sz="0" w:space="0" w:color="auto"/>
                <w:left w:val="none" w:sz="0" w:space="0" w:color="auto"/>
                <w:bottom w:val="none" w:sz="0" w:space="0" w:color="auto"/>
                <w:right w:val="none" w:sz="0" w:space="0" w:color="auto"/>
              </w:divBdr>
            </w:div>
            <w:div w:id="381100646">
              <w:marLeft w:val="0"/>
              <w:marRight w:val="0"/>
              <w:marTop w:val="0"/>
              <w:marBottom w:val="0"/>
              <w:divBdr>
                <w:top w:val="none" w:sz="0" w:space="0" w:color="auto"/>
                <w:left w:val="none" w:sz="0" w:space="0" w:color="auto"/>
                <w:bottom w:val="none" w:sz="0" w:space="0" w:color="auto"/>
                <w:right w:val="none" w:sz="0" w:space="0" w:color="auto"/>
              </w:divBdr>
            </w:div>
            <w:div w:id="610166864">
              <w:marLeft w:val="0"/>
              <w:marRight w:val="0"/>
              <w:marTop w:val="0"/>
              <w:marBottom w:val="0"/>
              <w:divBdr>
                <w:top w:val="none" w:sz="0" w:space="0" w:color="auto"/>
                <w:left w:val="none" w:sz="0" w:space="0" w:color="auto"/>
                <w:bottom w:val="none" w:sz="0" w:space="0" w:color="auto"/>
                <w:right w:val="none" w:sz="0" w:space="0" w:color="auto"/>
              </w:divBdr>
            </w:div>
          </w:divsChild>
        </w:div>
        <w:div w:id="2054382279">
          <w:marLeft w:val="0"/>
          <w:marRight w:val="0"/>
          <w:marTop w:val="0"/>
          <w:marBottom w:val="0"/>
          <w:divBdr>
            <w:top w:val="none" w:sz="0" w:space="0" w:color="auto"/>
            <w:left w:val="none" w:sz="0" w:space="0" w:color="auto"/>
            <w:bottom w:val="none" w:sz="0" w:space="0" w:color="auto"/>
            <w:right w:val="none" w:sz="0" w:space="0" w:color="auto"/>
          </w:divBdr>
          <w:divsChild>
            <w:div w:id="862328935">
              <w:marLeft w:val="0"/>
              <w:marRight w:val="0"/>
              <w:marTop w:val="0"/>
              <w:marBottom w:val="0"/>
              <w:divBdr>
                <w:top w:val="none" w:sz="0" w:space="0" w:color="auto"/>
                <w:left w:val="none" w:sz="0" w:space="0" w:color="auto"/>
                <w:bottom w:val="none" w:sz="0" w:space="0" w:color="auto"/>
                <w:right w:val="none" w:sz="0" w:space="0" w:color="auto"/>
              </w:divBdr>
            </w:div>
            <w:div w:id="1135099262">
              <w:marLeft w:val="0"/>
              <w:marRight w:val="0"/>
              <w:marTop w:val="0"/>
              <w:marBottom w:val="0"/>
              <w:divBdr>
                <w:top w:val="none" w:sz="0" w:space="0" w:color="auto"/>
                <w:left w:val="none" w:sz="0" w:space="0" w:color="auto"/>
                <w:bottom w:val="none" w:sz="0" w:space="0" w:color="auto"/>
                <w:right w:val="none" w:sz="0" w:space="0" w:color="auto"/>
              </w:divBdr>
            </w:div>
            <w:div w:id="339898193">
              <w:marLeft w:val="0"/>
              <w:marRight w:val="0"/>
              <w:marTop w:val="0"/>
              <w:marBottom w:val="0"/>
              <w:divBdr>
                <w:top w:val="none" w:sz="0" w:space="0" w:color="auto"/>
                <w:left w:val="none" w:sz="0" w:space="0" w:color="auto"/>
                <w:bottom w:val="none" w:sz="0" w:space="0" w:color="auto"/>
                <w:right w:val="none" w:sz="0" w:space="0" w:color="auto"/>
              </w:divBdr>
            </w:div>
            <w:div w:id="403375812">
              <w:marLeft w:val="0"/>
              <w:marRight w:val="0"/>
              <w:marTop w:val="0"/>
              <w:marBottom w:val="0"/>
              <w:divBdr>
                <w:top w:val="none" w:sz="0" w:space="0" w:color="auto"/>
                <w:left w:val="none" w:sz="0" w:space="0" w:color="auto"/>
                <w:bottom w:val="none" w:sz="0" w:space="0" w:color="auto"/>
                <w:right w:val="none" w:sz="0" w:space="0" w:color="auto"/>
              </w:divBdr>
            </w:div>
            <w:div w:id="94789260">
              <w:marLeft w:val="0"/>
              <w:marRight w:val="0"/>
              <w:marTop w:val="0"/>
              <w:marBottom w:val="0"/>
              <w:divBdr>
                <w:top w:val="none" w:sz="0" w:space="0" w:color="auto"/>
                <w:left w:val="none" w:sz="0" w:space="0" w:color="auto"/>
                <w:bottom w:val="none" w:sz="0" w:space="0" w:color="auto"/>
                <w:right w:val="none" w:sz="0" w:space="0" w:color="auto"/>
              </w:divBdr>
            </w:div>
            <w:div w:id="1012730844">
              <w:marLeft w:val="0"/>
              <w:marRight w:val="0"/>
              <w:marTop w:val="0"/>
              <w:marBottom w:val="0"/>
              <w:divBdr>
                <w:top w:val="none" w:sz="0" w:space="0" w:color="auto"/>
                <w:left w:val="none" w:sz="0" w:space="0" w:color="auto"/>
                <w:bottom w:val="none" w:sz="0" w:space="0" w:color="auto"/>
                <w:right w:val="none" w:sz="0" w:space="0" w:color="auto"/>
              </w:divBdr>
            </w:div>
          </w:divsChild>
        </w:div>
        <w:div w:id="1636642903">
          <w:marLeft w:val="0"/>
          <w:marRight w:val="0"/>
          <w:marTop w:val="0"/>
          <w:marBottom w:val="0"/>
          <w:divBdr>
            <w:top w:val="none" w:sz="0" w:space="0" w:color="auto"/>
            <w:left w:val="none" w:sz="0" w:space="0" w:color="auto"/>
            <w:bottom w:val="none" w:sz="0" w:space="0" w:color="auto"/>
            <w:right w:val="none" w:sz="0" w:space="0" w:color="auto"/>
          </w:divBdr>
          <w:divsChild>
            <w:div w:id="171145310">
              <w:marLeft w:val="0"/>
              <w:marRight w:val="0"/>
              <w:marTop w:val="0"/>
              <w:marBottom w:val="0"/>
              <w:divBdr>
                <w:top w:val="none" w:sz="0" w:space="0" w:color="auto"/>
                <w:left w:val="none" w:sz="0" w:space="0" w:color="auto"/>
                <w:bottom w:val="none" w:sz="0" w:space="0" w:color="auto"/>
                <w:right w:val="none" w:sz="0" w:space="0" w:color="auto"/>
              </w:divBdr>
            </w:div>
          </w:divsChild>
        </w:div>
        <w:div w:id="1325432037">
          <w:marLeft w:val="0"/>
          <w:marRight w:val="0"/>
          <w:marTop w:val="0"/>
          <w:marBottom w:val="0"/>
          <w:divBdr>
            <w:top w:val="none" w:sz="0" w:space="0" w:color="auto"/>
            <w:left w:val="none" w:sz="0" w:space="0" w:color="auto"/>
            <w:bottom w:val="none" w:sz="0" w:space="0" w:color="auto"/>
            <w:right w:val="none" w:sz="0" w:space="0" w:color="auto"/>
          </w:divBdr>
          <w:divsChild>
            <w:div w:id="2055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F9AD842871AB459956B80F62F43118" ma:contentTypeVersion="4" ma:contentTypeDescription="Create a new document." ma:contentTypeScope="" ma:versionID="3151437fe9b8456dc0c5be9d53d6c0cf">
  <xsd:schema xmlns:xsd="http://www.w3.org/2001/XMLSchema" xmlns:xs="http://www.w3.org/2001/XMLSchema" xmlns:p="http://schemas.microsoft.com/office/2006/metadata/properties" xmlns:ns2="4d9c3934-e76e-4407-ae2e-ca2b97342845" targetNamespace="http://schemas.microsoft.com/office/2006/metadata/properties" ma:root="true" ma:fieldsID="860ac708a7c9b8286d7471df1c840393" ns2:_="">
    <xsd:import namespace="4d9c3934-e76e-4407-ae2e-ca2b97342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c3934-e76e-4407-ae2e-ca2b97342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2D20C-CE77-47CB-A155-69AE5B6DC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676FA-B816-41A1-8B09-8161FB8436BE}">
  <ds:schemaRefs>
    <ds:schemaRef ds:uri="http://schemas.openxmlformats.org/officeDocument/2006/bibliography"/>
  </ds:schemaRefs>
</ds:datastoreItem>
</file>

<file path=customXml/itemProps3.xml><?xml version="1.0" encoding="utf-8"?>
<ds:datastoreItem xmlns:ds="http://schemas.openxmlformats.org/officeDocument/2006/customXml" ds:itemID="{FD2398B3-9CF4-4E2F-B65F-B1D55DEF7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c3934-e76e-4407-ae2e-ca2b97342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300D9-215C-4FAC-8450-7D5D7E9C7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Herkes</dc:creator>
  <cp:lastModifiedBy>Lee Dimberline (NELC)</cp:lastModifiedBy>
  <cp:revision>1</cp:revision>
  <dcterms:created xsi:type="dcterms:W3CDTF">2021-06-07T12:38:00Z</dcterms:created>
  <dcterms:modified xsi:type="dcterms:W3CDTF">2021-06-07T12:38:00Z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0x010100ACF9AD842871AB459956B80F62F43118</vt:lpwstr>
  </property>
</Properties>
</file>