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724" w:rsidRDefault="00FE0724" w:rsidP="00503BE1">
      <w:pPr>
        <w:pStyle w:val="ListParagraph"/>
        <w:ind w:left="0"/>
        <w:rPr>
          <w:rFonts w:ascii="Arial" w:hAnsi="Arial" w:cs="Arial"/>
          <w:sz w:val="24"/>
          <w:szCs w:val="24"/>
        </w:rPr>
      </w:pPr>
      <w:bookmarkStart w:id="0" w:name="_GoBack"/>
      <w:bookmarkEnd w:id="0"/>
    </w:p>
    <w:p w:rsidR="00FE0724" w:rsidRDefault="00FE0724" w:rsidP="00503BE1">
      <w:pPr>
        <w:pStyle w:val="ListParagraph"/>
        <w:ind w:left="0"/>
        <w:rPr>
          <w:rFonts w:ascii="Arial" w:hAnsi="Arial" w:cs="Arial"/>
          <w:sz w:val="24"/>
          <w:szCs w:val="24"/>
        </w:rPr>
      </w:pPr>
    </w:p>
    <w:p w:rsidR="00FE0724" w:rsidRDefault="00FE0724" w:rsidP="00FE0724">
      <w:pPr>
        <w:jc w:val="center"/>
        <w:rPr>
          <w:rFonts w:ascii="Arial" w:hAnsi="Arial" w:cs="Arial"/>
          <w:b/>
          <w:sz w:val="24"/>
          <w:szCs w:val="24"/>
          <w:u w:val="single"/>
        </w:rPr>
      </w:pPr>
      <w:r w:rsidRPr="003B60A9">
        <w:rPr>
          <w:rFonts w:ascii="Arial" w:hAnsi="Arial" w:cs="Arial"/>
          <w:b/>
          <w:sz w:val="24"/>
          <w:szCs w:val="24"/>
          <w:u w:val="single"/>
        </w:rPr>
        <w:t xml:space="preserve">SCHOOLS FORUM MEETING – </w:t>
      </w:r>
      <w:r>
        <w:rPr>
          <w:rFonts w:ascii="Arial" w:hAnsi="Arial" w:cs="Arial"/>
          <w:b/>
          <w:sz w:val="24"/>
          <w:szCs w:val="24"/>
          <w:u w:val="single"/>
        </w:rPr>
        <w:t>17</w:t>
      </w:r>
      <w:r w:rsidRPr="00F40511">
        <w:rPr>
          <w:rFonts w:ascii="Arial" w:hAnsi="Arial" w:cs="Arial"/>
          <w:b/>
          <w:sz w:val="24"/>
          <w:szCs w:val="24"/>
          <w:u w:val="single"/>
          <w:vertAlign w:val="superscript"/>
        </w:rPr>
        <w:t>th</w:t>
      </w:r>
      <w:r>
        <w:rPr>
          <w:rFonts w:ascii="Arial" w:hAnsi="Arial" w:cs="Arial"/>
          <w:b/>
          <w:sz w:val="24"/>
          <w:szCs w:val="24"/>
          <w:u w:val="single"/>
        </w:rPr>
        <w:t xml:space="preserve"> SEPTEMBER </w:t>
      </w:r>
      <w:r w:rsidRPr="003B60A9">
        <w:rPr>
          <w:rFonts w:ascii="Arial" w:hAnsi="Arial" w:cs="Arial"/>
          <w:b/>
          <w:sz w:val="24"/>
          <w:szCs w:val="24"/>
          <w:u w:val="single"/>
        </w:rPr>
        <w:t>201</w:t>
      </w:r>
      <w:r>
        <w:rPr>
          <w:rFonts w:ascii="Arial" w:hAnsi="Arial" w:cs="Arial"/>
          <w:b/>
          <w:sz w:val="24"/>
          <w:szCs w:val="24"/>
          <w:u w:val="single"/>
        </w:rPr>
        <w:t>4</w:t>
      </w:r>
    </w:p>
    <w:p w:rsidR="00D427B5" w:rsidRDefault="00D427B5" w:rsidP="00D427B5">
      <w:pPr>
        <w:jc w:val="center"/>
        <w:rPr>
          <w:rFonts w:ascii="Arial" w:hAnsi="Arial" w:cs="Arial"/>
          <w:b/>
          <w:sz w:val="24"/>
          <w:szCs w:val="24"/>
          <w:u w:val="single"/>
        </w:rPr>
      </w:pPr>
      <w:r>
        <w:rPr>
          <w:rFonts w:ascii="Arial" w:hAnsi="Arial" w:cs="Arial"/>
          <w:b/>
          <w:sz w:val="24"/>
          <w:szCs w:val="24"/>
          <w:u w:val="single"/>
        </w:rPr>
        <w:t>2015-16 Schools Funding arrangements</w:t>
      </w:r>
    </w:p>
    <w:p w:rsidR="00D427B5" w:rsidRDefault="00D427B5" w:rsidP="00D427B5">
      <w:pPr>
        <w:rPr>
          <w:rFonts w:ascii="Arial" w:hAnsi="Arial" w:cs="Arial"/>
          <w:b/>
          <w:sz w:val="24"/>
          <w:szCs w:val="24"/>
          <w:u w:val="single"/>
        </w:rPr>
      </w:pPr>
    </w:p>
    <w:p w:rsidR="00D427B5" w:rsidRDefault="00D427B5" w:rsidP="00D427B5">
      <w:pPr>
        <w:rPr>
          <w:rFonts w:ascii="Arial" w:hAnsi="Arial" w:cs="Arial"/>
          <w:b/>
          <w:sz w:val="24"/>
          <w:szCs w:val="24"/>
          <w:u w:val="single"/>
        </w:rPr>
      </w:pPr>
      <w:r>
        <w:rPr>
          <w:rFonts w:ascii="Arial" w:hAnsi="Arial" w:cs="Arial"/>
          <w:b/>
          <w:sz w:val="24"/>
          <w:szCs w:val="24"/>
          <w:u w:val="single"/>
        </w:rPr>
        <w:t>Introduction</w:t>
      </w:r>
    </w:p>
    <w:p w:rsidR="00D427B5" w:rsidRDefault="00D427B5" w:rsidP="00D427B5">
      <w:pPr>
        <w:rPr>
          <w:rFonts w:ascii="Arial" w:hAnsi="Arial" w:cs="Arial"/>
          <w:sz w:val="24"/>
          <w:szCs w:val="24"/>
        </w:rPr>
      </w:pPr>
      <w:r>
        <w:rPr>
          <w:rFonts w:ascii="Arial" w:hAnsi="Arial" w:cs="Arial"/>
          <w:sz w:val="24"/>
          <w:szCs w:val="24"/>
        </w:rPr>
        <w:t xml:space="preserve">The purpose of this report is to provide members of the Schools Forum with information in respect of the </w:t>
      </w:r>
      <w:r w:rsidRPr="00D427B5">
        <w:rPr>
          <w:rFonts w:ascii="Arial" w:hAnsi="Arial" w:cs="Arial"/>
          <w:sz w:val="24"/>
          <w:szCs w:val="24"/>
        </w:rPr>
        <w:t>2015-16 Schools Funding arrangements</w:t>
      </w:r>
      <w:r>
        <w:rPr>
          <w:rFonts w:ascii="Arial" w:hAnsi="Arial" w:cs="Arial"/>
          <w:sz w:val="24"/>
          <w:szCs w:val="24"/>
        </w:rPr>
        <w:t>.</w:t>
      </w:r>
    </w:p>
    <w:p w:rsidR="00D427B5" w:rsidRPr="00C63DB5" w:rsidRDefault="00D427B5" w:rsidP="00D427B5">
      <w:pPr>
        <w:rPr>
          <w:rFonts w:ascii="Arial" w:hAnsi="Arial" w:cs="Arial"/>
          <w:b/>
          <w:sz w:val="24"/>
          <w:szCs w:val="24"/>
          <w:u w:val="single"/>
        </w:rPr>
      </w:pPr>
      <w:r w:rsidRPr="00C63DB5">
        <w:rPr>
          <w:rFonts w:ascii="Arial" w:hAnsi="Arial" w:cs="Arial"/>
          <w:b/>
          <w:sz w:val="24"/>
          <w:szCs w:val="24"/>
          <w:u w:val="single"/>
        </w:rPr>
        <w:t>Background</w:t>
      </w:r>
    </w:p>
    <w:p w:rsidR="00D427B5" w:rsidRDefault="00D427B5" w:rsidP="00D427B5">
      <w:pPr>
        <w:rPr>
          <w:rFonts w:ascii="Arial" w:hAnsi="Arial" w:cs="Arial"/>
          <w:sz w:val="24"/>
          <w:szCs w:val="24"/>
        </w:rPr>
      </w:pPr>
      <w:r>
        <w:rPr>
          <w:rFonts w:ascii="Arial" w:hAnsi="Arial" w:cs="Arial"/>
          <w:sz w:val="24"/>
          <w:szCs w:val="24"/>
        </w:rPr>
        <w:t>The “School Funding Reform: Next Steps towards a Fairer system“ consultation paper significantly altered the way schools were funded in 2013 -14 and beyond. All Local Authorities were required to use formula funding factors or elements from a pre-defined range. The purpose of these proposals was to move towards a more consistent, simple, transparent and fairer funding system which was understood by all stakeholders. It was also to assist with moving towards the national funding formula which is still the intention.</w:t>
      </w:r>
    </w:p>
    <w:p w:rsidR="00D427B5" w:rsidRDefault="00D427B5" w:rsidP="00D427B5">
      <w:pPr>
        <w:rPr>
          <w:rFonts w:ascii="Arial" w:hAnsi="Arial" w:cs="Arial"/>
          <w:sz w:val="24"/>
          <w:szCs w:val="24"/>
        </w:rPr>
      </w:pPr>
      <w:r>
        <w:rPr>
          <w:rFonts w:ascii="Arial" w:hAnsi="Arial" w:cs="Arial"/>
          <w:sz w:val="24"/>
          <w:szCs w:val="24"/>
        </w:rPr>
        <w:t>Given the significant changes introduced it was always going to be the case that there were some unintended consequences and practical examples whereby the implementation of the proposals produced unexpected results. The Education Funding Agency (EFA) stated at the time that they would review the implementation of the fairer funding principles and refine these where this was felt necessary. Changes were made as part of the 2014 -15 funding and this refinement process has again been undertaken in 2015 -16.</w:t>
      </w:r>
    </w:p>
    <w:p w:rsidR="00D772C7" w:rsidRDefault="00D427B5" w:rsidP="00D427B5">
      <w:pPr>
        <w:rPr>
          <w:rFonts w:ascii="Arial" w:hAnsi="Arial" w:cs="Arial"/>
          <w:sz w:val="24"/>
          <w:szCs w:val="24"/>
        </w:rPr>
      </w:pPr>
      <w:r>
        <w:rPr>
          <w:rFonts w:ascii="Arial" w:hAnsi="Arial" w:cs="Arial"/>
          <w:sz w:val="24"/>
          <w:szCs w:val="24"/>
        </w:rPr>
        <w:t>That said changes for 2015 -16 are</w:t>
      </w:r>
      <w:r w:rsidR="00B528C2">
        <w:rPr>
          <w:rFonts w:ascii="Arial" w:hAnsi="Arial" w:cs="Arial"/>
          <w:sz w:val="24"/>
          <w:szCs w:val="24"/>
        </w:rPr>
        <w:t>,</w:t>
      </w:r>
      <w:r>
        <w:rPr>
          <w:rFonts w:ascii="Arial" w:hAnsi="Arial" w:cs="Arial"/>
          <w:sz w:val="24"/>
          <w:szCs w:val="24"/>
        </w:rPr>
        <w:t xml:space="preserve"> </w:t>
      </w:r>
      <w:r w:rsidR="00D772C7">
        <w:rPr>
          <w:rFonts w:ascii="Arial" w:hAnsi="Arial" w:cs="Arial"/>
          <w:sz w:val="24"/>
          <w:szCs w:val="24"/>
        </w:rPr>
        <w:t>in effect</w:t>
      </w:r>
      <w:r w:rsidR="00B528C2">
        <w:rPr>
          <w:rFonts w:ascii="Arial" w:hAnsi="Arial" w:cs="Arial"/>
          <w:sz w:val="24"/>
          <w:szCs w:val="24"/>
        </w:rPr>
        <w:t>,</w:t>
      </w:r>
      <w:r w:rsidR="00D772C7">
        <w:rPr>
          <w:rFonts w:ascii="Arial" w:hAnsi="Arial" w:cs="Arial"/>
          <w:sz w:val="24"/>
          <w:szCs w:val="24"/>
        </w:rPr>
        <w:t xml:space="preserve"> </w:t>
      </w:r>
      <w:r>
        <w:rPr>
          <w:rFonts w:ascii="Arial" w:hAnsi="Arial" w:cs="Arial"/>
          <w:sz w:val="24"/>
          <w:szCs w:val="24"/>
        </w:rPr>
        <w:t>minimal</w:t>
      </w:r>
      <w:r w:rsidR="00D772C7">
        <w:rPr>
          <w:rFonts w:ascii="Arial" w:hAnsi="Arial" w:cs="Arial"/>
          <w:sz w:val="24"/>
          <w:szCs w:val="24"/>
        </w:rPr>
        <w:t xml:space="preserve"> and this is reflected in the approach we are proposing to adopt.</w:t>
      </w:r>
    </w:p>
    <w:p w:rsidR="00D427B5" w:rsidRPr="00C63DB5" w:rsidRDefault="00D427B5" w:rsidP="00D427B5">
      <w:pPr>
        <w:rPr>
          <w:rFonts w:ascii="Arial" w:hAnsi="Arial" w:cs="Arial"/>
          <w:b/>
          <w:sz w:val="24"/>
          <w:szCs w:val="24"/>
          <w:u w:val="single"/>
        </w:rPr>
      </w:pPr>
      <w:r w:rsidRPr="00C63DB5">
        <w:rPr>
          <w:rFonts w:ascii="Arial" w:hAnsi="Arial" w:cs="Arial"/>
          <w:b/>
          <w:sz w:val="24"/>
          <w:szCs w:val="24"/>
          <w:u w:val="single"/>
        </w:rPr>
        <w:t xml:space="preserve">Main </w:t>
      </w:r>
      <w:r w:rsidR="00B528C2">
        <w:rPr>
          <w:rFonts w:ascii="Arial" w:hAnsi="Arial" w:cs="Arial"/>
          <w:b/>
          <w:sz w:val="24"/>
          <w:szCs w:val="24"/>
          <w:u w:val="single"/>
        </w:rPr>
        <w:t xml:space="preserve">points arising from </w:t>
      </w:r>
      <w:r w:rsidRPr="00C63DB5">
        <w:rPr>
          <w:rFonts w:ascii="Arial" w:hAnsi="Arial" w:cs="Arial"/>
          <w:b/>
          <w:sz w:val="24"/>
          <w:szCs w:val="24"/>
          <w:u w:val="single"/>
        </w:rPr>
        <w:t>the 201</w:t>
      </w:r>
      <w:r w:rsidR="00D772C7">
        <w:rPr>
          <w:rFonts w:ascii="Arial" w:hAnsi="Arial" w:cs="Arial"/>
          <w:b/>
          <w:sz w:val="24"/>
          <w:szCs w:val="24"/>
          <w:u w:val="single"/>
        </w:rPr>
        <w:t xml:space="preserve">5 – </w:t>
      </w:r>
      <w:r w:rsidRPr="00C63DB5">
        <w:rPr>
          <w:rFonts w:ascii="Arial" w:hAnsi="Arial" w:cs="Arial"/>
          <w:b/>
          <w:sz w:val="24"/>
          <w:szCs w:val="24"/>
          <w:u w:val="single"/>
        </w:rPr>
        <w:t>1</w:t>
      </w:r>
      <w:r w:rsidR="00D772C7">
        <w:rPr>
          <w:rFonts w:ascii="Arial" w:hAnsi="Arial" w:cs="Arial"/>
          <w:b/>
          <w:sz w:val="24"/>
          <w:szCs w:val="24"/>
          <w:u w:val="single"/>
        </w:rPr>
        <w:t xml:space="preserve">6 </w:t>
      </w:r>
      <w:r w:rsidRPr="00C63DB5">
        <w:rPr>
          <w:rFonts w:ascii="Arial" w:hAnsi="Arial" w:cs="Arial"/>
          <w:b/>
          <w:sz w:val="24"/>
          <w:szCs w:val="24"/>
          <w:u w:val="single"/>
        </w:rPr>
        <w:t>schools funding formula</w:t>
      </w:r>
      <w:r w:rsidR="00B528C2">
        <w:rPr>
          <w:rFonts w:ascii="Arial" w:hAnsi="Arial" w:cs="Arial"/>
          <w:b/>
          <w:sz w:val="24"/>
          <w:szCs w:val="24"/>
          <w:u w:val="single"/>
        </w:rPr>
        <w:t xml:space="preserve"> operational guidance</w:t>
      </w:r>
      <w:r w:rsidRPr="00C63DB5">
        <w:rPr>
          <w:rFonts w:ascii="Arial" w:hAnsi="Arial" w:cs="Arial"/>
          <w:b/>
          <w:sz w:val="24"/>
          <w:szCs w:val="24"/>
          <w:u w:val="single"/>
        </w:rPr>
        <w:t>.</w:t>
      </w:r>
    </w:p>
    <w:p w:rsidR="00D427B5" w:rsidRDefault="00D427B5" w:rsidP="00D427B5">
      <w:pPr>
        <w:rPr>
          <w:rFonts w:ascii="Arial" w:hAnsi="Arial" w:cs="Arial"/>
          <w:sz w:val="24"/>
          <w:szCs w:val="24"/>
        </w:rPr>
      </w:pPr>
      <w:r>
        <w:rPr>
          <w:rFonts w:ascii="Arial" w:hAnsi="Arial" w:cs="Arial"/>
          <w:sz w:val="24"/>
          <w:szCs w:val="24"/>
        </w:rPr>
        <w:t xml:space="preserve">The table </w:t>
      </w:r>
      <w:r w:rsidR="00D772C7">
        <w:rPr>
          <w:rFonts w:ascii="Arial" w:hAnsi="Arial" w:cs="Arial"/>
          <w:sz w:val="24"/>
          <w:szCs w:val="24"/>
        </w:rPr>
        <w:t xml:space="preserve">below </w:t>
      </w:r>
      <w:r>
        <w:rPr>
          <w:rFonts w:ascii="Arial" w:hAnsi="Arial" w:cs="Arial"/>
          <w:sz w:val="24"/>
          <w:szCs w:val="24"/>
        </w:rPr>
        <w:t xml:space="preserve">highlights the main </w:t>
      </w:r>
      <w:r w:rsidR="00B528C2">
        <w:rPr>
          <w:rFonts w:ascii="Arial" w:hAnsi="Arial" w:cs="Arial"/>
          <w:sz w:val="24"/>
          <w:szCs w:val="24"/>
        </w:rPr>
        <w:t xml:space="preserve">points arising </w:t>
      </w:r>
      <w:r>
        <w:rPr>
          <w:rFonts w:ascii="Arial" w:hAnsi="Arial" w:cs="Arial"/>
          <w:sz w:val="24"/>
          <w:szCs w:val="24"/>
        </w:rPr>
        <w:t>and the potential impact on NELC in preparing its schools funding formula for 201</w:t>
      </w:r>
      <w:r w:rsidR="00D772C7">
        <w:rPr>
          <w:rFonts w:ascii="Arial" w:hAnsi="Arial" w:cs="Arial"/>
          <w:sz w:val="24"/>
          <w:szCs w:val="24"/>
        </w:rPr>
        <w:t>5</w:t>
      </w:r>
      <w:r>
        <w:rPr>
          <w:rFonts w:ascii="Arial" w:hAnsi="Arial" w:cs="Arial"/>
          <w:sz w:val="24"/>
          <w:szCs w:val="24"/>
        </w:rPr>
        <w:t>-1</w:t>
      </w:r>
      <w:r w:rsidR="00D772C7">
        <w:rPr>
          <w:rFonts w:ascii="Arial" w:hAnsi="Arial" w:cs="Arial"/>
          <w:sz w:val="24"/>
          <w:szCs w:val="24"/>
        </w:rPr>
        <w:t>6</w:t>
      </w:r>
      <w:r>
        <w:rPr>
          <w:rFonts w:ascii="Arial" w:hAnsi="Arial" w:cs="Arial"/>
          <w:sz w:val="24"/>
          <w:szCs w:val="24"/>
        </w:rPr>
        <w:t>.</w:t>
      </w:r>
    </w:p>
    <w:tbl>
      <w:tblPr>
        <w:tblStyle w:val="TableGrid"/>
        <w:tblW w:w="0" w:type="auto"/>
        <w:tblLook w:val="04A0" w:firstRow="1" w:lastRow="0" w:firstColumn="1" w:lastColumn="0" w:noHBand="0" w:noVBand="1"/>
      </w:tblPr>
      <w:tblGrid>
        <w:gridCol w:w="4621"/>
        <w:gridCol w:w="4621"/>
      </w:tblGrid>
      <w:tr w:rsidR="00786FBC" w:rsidTr="00786FBC">
        <w:tc>
          <w:tcPr>
            <w:tcW w:w="4621" w:type="dxa"/>
          </w:tcPr>
          <w:p w:rsidR="00786FBC" w:rsidRPr="00786FBC" w:rsidRDefault="00786FBC" w:rsidP="00786FBC">
            <w:pPr>
              <w:jc w:val="center"/>
              <w:rPr>
                <w:rFonts w:ascii="Arial" w:hAnsi="Arial" w:cs="Arial"/>
                <w:b/>
                <w:sz w:val="24"/>
                <w:szCs w:val="24"/>
                <w:u w:val="single"/>
              </w:rPr>
            </w:pPr>
            <w:r>
              <w:rPr>
                <w:rFonts w:ascii="Arial" w:hAnsi="Arial" w:cs="Arial"/>
                <w:b/>
                <w:sz w:val="24"/>
                <w:szCs w:val="24"/>
                <w:u w:val="single"/>
              </w:rPr>
              <w:t>Subject Matter</w:t>
            </w:r>
          </w:p>
        </w:tc>
        <w:tc>
          <w:tcPr>
            <w:tcW w:w="4621" w:type="dxa"/>
          </w:tcPr>
          <w:p w:rsidR="00786FBC" w:rsidRPr="00786FBC" w:rsidRDefault="00786FBC" w:rsidP="00786FBC">
            <w:pPr>
              <w:jc w:val="center"/>
              <w:rPr>
                <w:rFonts w:ascii="Arial" w:hAnsi="Arial" w:cs="Arial"/>
                <w:b/>
                <w:sz w:val="24"/>
                <w:szCs w:val="24"/>
                <w:u w:val="single"/>
              </w:rPr>
            </w:pPr>
            <w:r w:rsidRPr="00786FBC">
              <w:rPr>
                <w:rFonts w:ascii="Arial" w:hAnsi="Arial" w:cs="Arial"/>
                <w:b/>
                <w:sz w:val="24"/>
                <w:szCs w:val="24"/>
                <w:u w:val="single"/>
              </w:rPr>
              <w:t>Comment</w:t>
            </w:r>
          </w:p>
        </w:tc>
      </w:tr>
      <w:tr w:rsidR="00786FBC" w:rsidTr="00786FBC">
        <w:tc>
          <w:tcPr>
            <w:tcW w:w="4621" w:type="dxa"/>
          </w:tcPr>
          <w:p w:rsidR="00786FBC" w:rsidRDefault="00786FBC" w:rsidP="00D427B5">
            <w:pPr>
              <w:rPr>
                <w:rFonts w:ascii="Arial" w:hAnsi="Arial" w:cs="Arial"/>
                <w:sz w:val="24"/>
                <w:szCs w:val="24"/>
              </w:rPr>
            </w:pPr>
          </w:p>
        </w:tc>
        <w:tc>
          <w:tcPr>
            <w:tcW w:w="4621" w:type="dxa"/>
          </w:tcPr>
          <w:p w:rsidR="00786FBC" w:rsidRDefault="00786FBC" w:rsidP="00D427B5">
            <w:pPr>
              <w:rPr>
                <w:rFonts w:ascii="Arial" w:hAnsi="Arial" w:cs="Arial"/>
                <w:sz w:val="24"/>
                <w:szCs w:val="24"/>
              </w:rPr>
            </w:pPr>
          </w:p>
        </w:tc>
      </w:tr>
      <w:tr w:rsidR="00786FBC" w:rsidTr="00786FBC">
        <w:tc>
          <w:tcPr>
            <w:tcW w:w="4621" w:type="dxa"/>
          </w:tcPr>
          <w:p w:rsidR="00786FBC" w:rsidRDefault="00786FBC" w:rsidP="00D427B5">
            <w:pPr>
              <w:rPr>
                <w:rFonts w:ascii="Arial" w:hAnsi="Arial" w:cs="Arial"/>
                <w:sz w:val="24"/>
                <w:szCs w:val="24"/>
              </w:rPr>
            </w:pPr>
            <w:r>
              <w:rPr>
                <w:rFonts w:ascii="Arial" w:hAnsi="Arial" w:cs="Arial"/>
                <w:sz w:val="24"/>
                <w:szCs w:val="24"/>
              </w:rPr>
              <w:t>The EFA has introduced the concept of Minimum Funding Levels (MFL). These are not mandatory for 2015-16. A list of these is provided at Appendix A for information.</w:t>
            </w:r>
          </w:p>
        </w:tc>
        <w:tc>
          <w:tcPr>
            <w:tcW w:w="4621" w:type="dxa"/>
          </w:tcPr>
          <w:p w:rsidR="00786FBC" w:rsidRDefault="00EB51BC" w:rsidP="00D427B5">
            <w:pPr>
              <w:rPr>
                <w:rFonts w:ascii="Arial" w:hAnsi="Arial" w:cs="Arial"/>
                <w:sz w:val="24"/>
                <w:szCs w:val="24"/>
              </w:rPr>
            </w:pPr>
            <w:r>
              <w:rPr>
                <w:rFonts w:ascii="Arial" w:hAnsi="Arial" w:cs="Arial"/>
                <w:sz w:val="24"/>
                <w:szCs w:val="24"/>
              </w:rPr>
              <w:t>NELC formula figures are above trhe MFL figures except for the Lump Sum. No change to the Lump Sum figure is proposed.</w:t>
            </w:r>
          </w:p>
        </w:tc>
      </w:tr>
      <w:tr w:rsidR="00786FBC" w:rsidTr="00786FBC">
        <w:tc>
          <w:tcPr>
            <w:tcW w:w="4621" w:type="dxa"/>
          </w:tcPr>
          <w:p w:rsidR="00786FBC" w:rsidRDefault="00EB51BC" w:rsidP="00D427B5">
            <w:pPr>
              <w:rPr>
                <w:rFonts w:ascii="Arial" w:hAnsi="Arial" w:cs="Arial"/>
                <w:sz w:val="24"/>
                <w:szCs w:val="24"/>
              </w:rPr>
            </w:pPr>
            <w:r>
              <w:rPr>
                <w:rFonts w:ascii="Arial" w:hAnsi="Arial" w:cs="Arial"/>
                <w:sz w:val="24"/>
                <w:szCs w:val="24"/>
              </w:rPr>
              <w:t xml:space="preserve">Sparsity Factor – for 2015-16 the </w:t>
            </w:r>
            <w:r>
              <w:rPr>
                <w:rFonts w:ascii="Arial" w:hAnsi="Arial" w:cs="Arial"/>
                <w:sz w:val="24"/>
                <w:szCs w:val="24"/>
              </w:rPr>
              <w:lastRenderedPageBreak/>
              <w:t>average size of year groups will determine eligibility, not the pupil size of the school.</w:t>
            </w:r>
          </w:p>
        </w:tc>
        <w:tc>
          <w:tcPr>
            <w:tcW w:w="4621" w:type="dxa"/>
          </w:tcPr>
          <w:p w:rsidR="00786FBC" w:rsidRDefault="00EB51BC" w:rsidP="00EB51BC">
            <w:pPr>
              <w:rPr>
                <w:rFonts w:ascii="Arial" w:hAnsi="Arial" w:cs="Arial"/>
                <w:sz w:val="24"/>
                <w:szCs w:val="24"/>
              </w:rPr>
            </w:pPr>
            <w:r>
              <w:rPr>
                <w:rFonts w:ascii="Arial" w:hAnsi="Arial" w:cs="Arial"/>
                <w:sz w:val="24"/>
                <w:szCs w:val="24"/>
              </w:rPr>
              <w:lastRenderedPageBreak/>
              <w:t xml:space="preserve">NELC only had one school eligible for </w:t>
            </w:r>
            <w:r>
              <w:rPr>
                <w:rFonts w:ascii="Arial" w:hAnsi="Arial" w:cs="Arial"/>
                <w:sz w:val="24"/>
                <w:szCs w:val="24"/>
              </w:rPr>
              <w:lastRenderedPageBreak/>
              <w:t>this additional funding. The change does not affect the position for 2015-16 (based on the October 2013 Census figures).</w:t>
            </w:r>
          </w:p>
        </w:tc>
      </w:tr>
      <w:tr w:rsidR="00786FBC" w:rsidTr="00786FBC">
        <w:tc>
          <w:tcPr>
            <w:tcW w:w="4621" w:type="dxa"/>
          </w:tcPr>
          <w:p w:rsidR="00786FBC" w:rsidRDefault="00EB51BC" w:rsidP="00EB51BC">
            <w:pPr>
              <w:rPr>
                <w:rFonts w:ascii="Arial" w:hAnsi="Arial" w:cs="Arial"/>
                <w:sz w:val="24"/>
                <w:szCs w:val="24"/>
              </w:rPr>
            </w:pPr>
            <w:r>
              <w:rPr>
                <w:rFonts w:ascii="Arial" w:hAnsi="Arial" w:cs="Arial"/>
                <w:sz w:val="24"/>
                <w:szCs w:val="24"/>
              </w:rPr>
              <w:lastRenderedPageBreak/>
              <w:t xml:space="preserve">Primary : Secondary ratio – the current national average is 1:1.27. No constraints on this are proposed for 2015-16 but this is not ruled out for future years. </w:t>
            </w:r>
          </w:p>
        </w:tc>
        <w:tc>
          <w:tcPr>
            <w:tcW w:w="4621" w:type="dxa"/>
          </w:tcPr>
          <w:p w:rsidR="00786FBC" w:rsidRDefault="00EB51BC" w:rsidP="001B4F60">
            <w:pPr>
              <w:rPr>
                <w:rFonts w:ascii="Arial" w:hAnsi="Arial" w:cs="Arial"/>
                <w:sz w:val="24"/>
                <w:szCs w:val="24"/>
              </w:rPr>
            </w:pPr>
            <w:r>
              <w:rPr>
                <w:rFonts w:ascii="Arial" w:hAnsi="Arial" w:cs="Arial"/>
                <w:sz w:val="24"/>
                <w:szCs w:val="24"/>
              </w:rPr>
              <w:t>NELC ratio is 1:1.</w:t>
            </w:r>
            <w:r w:rsidR="001B4F60">
              <w:rPr>
                <w:rFonts w:ascii="Arial" w:hAnsi="Arial" w:cs="Arial"/>
                <w:sz w:val="24"/>
                <w:szCs w:val="24"/>
              </w:rPr>
              <w:t>25</w:t>
            </w:r>
          </w:p>
        </w:tc>
      </w:tr>
      <w:tr w:rsidR="00EB51BC" w:rsidTr="00786FBC">
        <w:tc>
          <w:tcPr>
            <w:tcW w:w="4621" w:type="dxa"/>
          </w:tcPr>
          <w:p w:rsidR="00EB51BC" w:rsidRDefault="00EB51BC" w:rsidP="00164D45">
            <w:pPr>
              <w:rPr>
                <w:rFonts w:ascii="Arial" w:hAnsi="Arial" w:cs="Arial"/>
                <w:sz w:val="24"/>
                <w:szCs w:val="24"/>
              </w:rPr>
            </w:pPr>
            <w:r>
              <w:rPr>
                <w:rFonts w:ascii="Arial" w:hAnsi="Arial" w:cs="Arial"/>
                <w:sz w:val="24"/>
                <w:szCs w:val="24"/>
              </w:rPr>
              <w:t>Carbon Reduction: confirmation that this will be topped sliced as in 2014–</w:t>
            </w:r>
            <w:r w:rsidR="00164D45">
              <w:rPr>
                <w:rFonts w:ascii="Arial" w:hAnsi="Arial" w:cs="Arial"/>
                <w:sz w:val="24"/>
                <w:szCs w:val="24"/>
              </w:rPr>
              <w:t>15 at £7.51 per pupil</w:t>
            </w:r>
          </w:p>
        </w:tc>
        <w:tc>
          <w:tcPr>
            <w:tcW w:w="4621" w:type="dxa"/>
          </w:tcPr>
          <w:p w:rsidR="00EB51BC" w:rsidRDefault="00164D45" w:rsidP="00164D45">
            <w:pPr>
              <w:rPr>
                <w:rFonts w:ascii="Arial" w:hAnsi="Arial" w:cs="Arial"/>
                <w:sz w:val="24"/>
                <w:szCs w:val="24"/>
              </w:rPr>
            </w:pPr>
            <w:r>
              <w:rPr>
                <w:rFonts w:ascii="Arial" w:hAnsi="Arial" w:cs="Arial"/>
                <w:sz w:val="24"/>
                <w:szCs w:val="24"/>
              </w:rPr>
              <w:t>A</w:t>
            </w:r>
            <w:r w:rsidR="00EB51BC">
              <w:rPr>
                <w:rFonts w:ascii="Arial" w:hAnsi="Arial" w:cs="Arial"/>
                <w:sz w:val="24"/>
                <w:szCs w:val="24"/>
              </w:rPr>
              <w:t>s this happened in 2014-15 the impact should be minimal</w:t>
            </w:r>
            <w:r>
              <w:rPr>
                <w:rFonts w:ascii="Arial" w:hAnsi="Arial" w:cs="Arial"/>
                <w:sz w:val="24"/>
                <w:szCs w:val="24"/>
              </w:rPr>
              <w:t xml:space="preserve"> based on draft figures</w:t>
            </w:r>
            <w:r w:rsidR="00EB51BC">
              <w:rPr>
                <w:rFonts w:ascii="Arial" w:hAnsi="Arial" w:cs="Arial"/>
                <w:sz w:val="24"/>
                <w:szCs w:val="24"/>
              </w:rPr>
              <w:t>.</w:t>
            </w:r>
          </w:p>
        </w:tc>
      </w:tr>
      <w:tr w:rsidR="00EB51BC" w:rsidTr="00786FBC">
        <w:tc>
          <w:tcPr>
            <w:tcW w:w="4621" w:type="dxa"/>
          </w:tcPr>
          <w:p w:rsidR="00EB51BC" w:rsidRDefault="00E76CC7" w:rsidP="00D427B5">
            <w:pPr>
              <w:rPr>
                <w:rFonts w:ascii="Arial" w:hAnsi="Arial" w:cs="Arial"/>
                <w:sz w:val="24"/>
                <w:szCs w:val="24"/>
              </w:rPr>
            </w:pPr>
            <w:r>
              <w:rPr>
                <w:rFonts w:ascii="Arial" w:hAnsi="Arial" w:cs="Arial"/>
                <w:sz w:val="24"/>
                <w:szCs w:val="24"/>
              </w:rPr>
              <w:t>Schools Forum: change to membership and items that must be discussed.</w:t>
            </w:r>
          </w:p>
        </w:tc>
        <w:tc>
          <w:tcPr>
            <w:tcW w:w="4621" w:type="dxa"/>
          </w:tcPr>
          <w:p w:rsidR="00EB51BC" w:rsidRDefault="00E76CC7" w:rsidP="00D427B5">
            <w:pPr>
              <w:rPr>
                <w:rFonts w:ascii="Arial" w:hAnsi="Arial" w:cs="Arial"/>
                <w:sz w:val="24"/>
                <w:szCs w:val="24"/>
              </w:rPr>
            </w:pPr>
            <w:r>
              <w:rPr>
                <w:rFonts w:ascii="Arial" w:hAnsi="Arial" w:cs="Arial"/>
                <w:sz w:val="24"/>
                <w:szCs w:val="24"/>
              </w:rPr>
              <w:t>Membership changes focus around the need to include AP / Free School representation.</w:t>
            </w:r>
          </w:p>
          <w:p w:rsidR="00E76CC7" w:rsidRDefault="00E76CC7" w:rsidP="00D427B5">
            <w:pPr>
              <w:rPr>
                <w:rFonts w:ascii="Arial" w:hAnsi="Arial" w:cs="Arial"/>
                <w:sz w:val="24"/>
                <w:szCs w:val="24"/>
              </w:rPr>
            </w:pPr>
          </w:p>
          <w:p w:rsidR="00E76CC7" w:rsidRDefault="00E76CC7" w:rsidP="00E76CC7">
            <w:pPr>
              <w:rPr>
                <w:rFonts w:ascii="Arial" w:hAnsi="Arial" w:cs="Arial"/>
                <w:sz w:val="24"/>
                <w:szCs w:val="24"/>
              </w:rPr>
            </w:pPr>
            <w:r>
              <w:rPr>
                <w:rFonts w:ascii="Arial" w:hAnsi="Arial" w:cs="Arial"/>
                <w:sz w:val="24"/>
                <w:szCs w:val="24"/>
              </w:rPr>
              <w:t xml:space="preserve">Items for discussion are around high needs places to be commissioned and the arrangements for the payment of top up. </w:t>
            </w:r>
          </w:p>
        </w:tc>
      </w:tr>
      <w:tr w:rsidR="00EB51BC" w:rsidTr="00786FBC">
        <w:tc>
          <w:tcPr>
            <w:tcW w:w="4621" w:type="dxa"/>
          </w:tcPr>
          <w:p w:rsidR="00EB51BC" w:rsidRDefault="00164D45" w:rsidP="00D427B5">
            <w:pPr>
              <w:rPr>
                <w:rFonts w:ascii="Arial" w:hAnsi="Arial" w:cs="Arial"/>
                <w:sz w:val="24"/>
                <w:szCs w:val="24"/>
              </w:rPr>
            </w:pPr>
            <w:r>
              <w:rPr>
                <w:rFonts w:ascii="Arial" w:hAnsi="Arial" w:cs="Arial"/>
                <w:sz w:val="24"/>
                <w:szCs w:val="24"/>
              </w:rPr>
              <w:t>Non recoupment academies / Free schools will now be included in the Councils DSG baseline.</w:t>
            </w:r>
          </w:p>
        </w:tc>
        <w:tc>
          <w:tcPr>
            <w:tcW w:w="4621" w:type="dxa"/>
          </w:tcPr>
          <w:p w:rsidR="00EB51BC" w:rsidRDefault="00164D45" w:rsidP="00D427B5">
            <w:pPr>
              <w:rPr>
                <w:rFonts w:ascii="Arial" w:hAnsi="Arial" w:cs="Arial"/>
                <w:sz w:val="24"/>
                <w:szCs w:val="24"/>
              </w:rPr>
            </w:pPr>
            <w:r>
              <w:rPr>
                <w:rFonts w:ascii="Arial" w:hAnsi="Arial" w:cs="Arial"/>
                <w:sz w:val="24"/>
                <w:szCs w:val="24"/>
              </w:rPr>
              <w:t>The DSG baseline for NELC will increase by around £13.5M but this is all allocated.</w:t>
            </w:r>
          </w:p>
        </w:tc>
      </w:tr>
    </w:tbl>
    <w:p w:rsidR="00786FBC" w:rsidRDefault="00786FBC" w:rsidP="00D427B5">
      <w:pPr>
        <w:rPr>
          <w:rFonts w:ascii="Arial" w:hAnsi="Arial" w:cs="Arial"/>
          <w:sz w:val="24"/>
          <w:szCs w:val="24"/>
        </w:rPr>
      </w:pPr>
    </w:p>
    <w:p w:rsidR="00EB51BC" w:rsidRDefault="00EB51BC" w:rsidP="00D427B5">
      <w:pPr>
        <w:rPr>
          <w:rFonts w:ascii="Arial" w:hAnsi="Arial" w:cs="Arial"/>
          <w:sz w:val="24"/>
          <w:szCs w:val="24"/>
        </w:rPr>
      </w:pPr>
      <w:r>
        <w:rPr>
          <w:rFonts w:ascii="Arial" w:hAnsi="Arial" w:cs="Arial"/>
          <w:sz w:val="24"/>
          <w:szCs w:val="24"/>
        </w:rPr>
        <w:t>Other points to note:</w:t>
      </w:r>
    </w:p>
    <w:p w:rsidR="00EB51BC" w:rsidRDefault="00EB51BC" w:rsidP="00EB51BC">
      <w:pPr>
        <w:pStyle w:val="ListParagraph"/>
        <w:numPr>
          <w:ilvl w:val="0"/>
          <w:numId w:val="12"/>
        </w:numPr>
        <w:rPr>
          <w:rFonts w:ascii="Arial" w:hAnsi="Arial" w:cs="Arial"/>
          <w:sz w:val="24"/>
          <w:szCs w:val="24"/>
        </w:rPr>
      </w:pPr>
      <w:r>
        <w:rPr>
          <w:rFonts w:ascii="Arial" w:hAnsi="Arial" w:cs="Arial"/>
          <w:sz w:val="24"/>
          <w:szCs w:val="24"/>
        </w:rPr>
        <w:t>No other changes to the allowable factors and no additional factors have been made.</w:t>
      </w:r>
    </w:p>
    <w:p w:rsidR="00E76CC7" w:rsidRDefault="00E76CC7" w:rsidP="00E76CC7">
      <w:pPr>
        <w:pStyle w:val="ListParagraph"/>
        <w:numPr>
          <w:ilvl w:val="0"/>
          <w:numId w:val="5"/>
        </w:numPr>
        <w:rPr>
          <w:rFonts w:ascii="Arial" w:hAnsi="Arial" w:cs="Arial"/>
          <w:sz w:val="24"/>
          <w:szCs w:val="24"/>
        </w:rPr>
      </w:pPr>
      <w:r>
        <w:rPr>
          <w:rFonts w:ascii="Arial" w:hAnsi="Arial" w:cs="Arial"/>
          <w:sz w:val="24"/>
          <w:szCs w:val="24"/>
        </w:rPr>
        <w:t>School Forum approval for centrally retained and delegated funding remains and needs to be voted on by the eligible members.</w:t>
      </w:r>
      <w:r w:rsidR="00164D45">
        <w:rPr>
          <w:rFonts w:ascii="Arial" w:hAnsi="Arial" w:cs="Arial"/>
          <w:sz w:val="24"/>
          <w:szCs w:val="24"/>
        </w:rPr>
        <w:t xml:space="preserve"> A copy of an extract is provided at Appendix B.</w:t>
      </w:r>
    </w:p>
    <w:p w:rsidR="00164D45" w:rsidRDefault="00164D45" w:rsidP="00E76CC7">
      <w:pPr>
        <w:pStyle w:val="ListParagraph"/>
        <w:numPr>
          <w:ilvl w:val="0"/>
          <w:numId w:val="5"/>
        </w:numPr>
        <w:rPr>
          <w:rFonts w:ascii="Arial" w:hAnsi="Arial" w:cs="Arial"/>
          <w:sz w:val="24"/>
          <w:szCs w:val="24"/>
        </w:rPr>
      </w:pPr>
      <w:r>
        <w:rPr>
          <w:rFonts w:ascii="Arial" w:hAnsi="Arial" w:cs="Arial"/>
          <w:sz w:val="24"/>
          <w:szCs w:val="24"/>
        </w:rPr>
        <w:t>Minimum Funding Guarantee (MFG) – confirmation this will be set at -1.5% per pupil for 2015-16.</w:t>
      </w:r>
    </w:p>
    <w:p w:rsidR="002A0C0C" w:rsidRDefault="002A0C0C" w:rsidP="00E76CC7">
      <w:pPr>
        <w:pStyle w:val="ListParagraph"/>
        <w:numPr>
          <w:ilvl w:val="0"/>
          <w:numId w:val="5"/>
        </w:numPr>
        <w:rPr>
          <w:rFonts w:ascii="Arial" w:hAnsi="Arial" w:cs="Arial"/>
          <w:sz w:val="24"/>
          <w:szCs w:val="24"/>
        </w:rPr>
      </w:pPr>
      <w:r>
        <w:rPr>
          <w:rFonts w:ascii="Arial" w:hAnsi="Arial" w:cs="Arial"/>
          <w:sz w:val="24"/>
          <w:szCs w:val="24"/>
        </w:rPr>
        <w:t>Consultation with schools broadly similar.</w:t>
      </w:r>
    </w:p>
    <w:p w:rsidR="00EB51BC" w:rsidRPr="00164D45" w:rsidRDefault="00EB51BC" w:rsidP="00164D45">
      <w:pPr>
        <w:rPr>
          <w:rFonts w:ascii="Arial" w:hAnsi="Arial" w:cs="Arial"/>
          <w:sz w:val="24"/>
          <w:szCs w:val="24"/>
        </w:rPr>
      </w:pPr>
    </w:p>
    <w:p w:rsidR="00D427B5" w:rsidRDefault="00B528C2" w:rsidP="00D427B5">
      <w:pPr>
        <w:rPr>
          <w:rFonts w:ascii="Arial" w:hAnsi="Arial" w:cs="Arial"/>
          <w:b/>
          <w:sz w:val="24"/>
          <w:szCs w:val="24"/>
          <w:u w:val="single"/>
        </w:rPr>
      </w:pPr>
      <w:r w:rsidRPr="00B528C2">
        <w:rPr>
          <w:rFonts w:ascii="Arial" w:hAnsi="Arial" w:cs="Arial"/>
          <w:b/>
          <w:sz w:val="24"/>
          <w:szCs w:val="24"/>
          <w:u w:val="single"/>
        </w:rPr>
        <w:t>Proposed approach</w:t>
      </w:r>
    </w:p>
    <w:p w:rsidR="00B528C2" w:rsidRDefault="00B528C2" w:rsidP="00D427B5">
      <w:pPr>
        <w:rPr>
          <w:rFonts w:ascii="Arial" w:hAnsi="Arial" w:cs="Arial"/>
          <w:sz w:val="24"/>
          <w:szCs w:val="24"/>
        </w:rPr>
      </w:pPr>
      <w:r>
        <w:rPr>
          <w:rFonts w:ascii="Arial" w:hAnsi="Arial" w:cs="Arial"/>
          <w:sz w:val="24"/>
          <w:szCs w:val="24"/>
        </w:rPr>
        <w:t>Given the minimal changes our recommended approach is one of no change to our current formula. The formula we have adopted has worked in distributing funds fairly in accordance with the guidelines and regulations and has passed the EFA test. There has been no adverse comment and there seems to be better understanding by all as to how the formula works and distributes funds.</w:t>
      </w:r>
    </w:p>
    <w:p w:rsidR="00484775" w:rsidRDefault="00484775" w:rsidP="00D427B5">
      <w:pPr>
        <w:rPr>
          <w:rFonts w:ascii="Arial" w:hAnsi="Arial" w:cs="Arial"/>
          <w:b/>
          <w:sz w:val="24"/>
          <w:szCs w:val="24"/>
          <w:u w:val="single"/>
        </w:rPr>
      </w:pPr>
    </w:p>
    <w:p w:rsidR="00484775" w:rsidRDefault="00484775" w:rsidP="00D427B5">
      <w:pPr>
        <w:rPr>
          <w:rFonts w:ascii="Arial" w:hAnsi="Arial" w:cs="Arial"/>
          <w:b/>
          <w:sz w:val="24"/>
          <w:szCs w:val="24"/>
          <w:u w:val="single"/>
        </w:rPr>
      </w:pPr>
    </w:p>
    <w:p w:rsidR="00484775" w:rsidRDefault="00484775" w:rsidP="00D427B5">
      <w:pPr>
        <w:rPr>
          <w:rFonts w:ascii="Arial" w:hAnsi="Arial" w:cs="Arial"/>
          <w:b/>
          <w:sz w:val="24"/>
          <w:szCs w:val="24"/>
          <w:u w:val="single"/>
        </w:rPr>
      </w:pPr>
    </w:p>
    <w:p w:rsidR="00D427B5" w:rsidRDefault="00D427B5" w:rsidP="00D427B5">
      <w:pPr>
        <w:rPr>
          <w:rFonts w:ascii="Arial" w:hAnsi="Arial" w:cs="Arial"/>
          <w:b/>
          <w:sz w:val="24"/>
          <w:szCs w:val="24"/>
          <w:u w:val="single"/>
        </w:rPr>
      </w:pPr>
      <w:r w:rsidRPr="00190F3F">
        <w:rPr>
          <w:rFonts w:ascii="Arial" w:hAnsi="Arial" w:cs="Arial"/>
          <w:b/>
          <w:sz w:val="24"/>
          <w:szCs w:val="24"/>
          <w:u w:val="single"/>
        </w:rPr>
        <w:t>Timetable – Key Dates</w:t>
      </w:r>
    </w:p>
    <w:p w:rsidR="00D427B5" w:rsidRPr="00190F3F" w:rsidRDefault="00D427B5" w:rsidP="00D427B5">
      <w:pPr>
        <w:rPr>
          <w:rFonts w:ascii="Arial" w:hAnsi="Arial" w:cs="Arial"/>
          <w:sz w:val="24"/>
          <w:szCs w:val="24"/>
        </w:rPr>
      </w:pPr>
      <w:r w:rsidRPr="00190F3F">
        <w:rPr>
          <w:rFonts w:ascii="Arial" w:hAnsi="Arial" w:cs="Arial"/>
          <w:sz w:val="24"/>
          <w:szCs w:val="24"/>
        </w:rPr>
        <w:t>These are detailed in the table below:</w:t>
      </w:r>
    </w:p>
    <w:tbl>
      <w:tblPr>
        <w:tblStyle w:val="TableGrid"/>
        <w:tblW w:w="0" w:type="auto"/>
        <w:tblLook w:val="04A0" w:firstRow="1" w:lastRow="0" w:firstColumn="1" w:lastColumn="0" w:noHBand="0" w:noVBand="1"/>
      </w:tblPr>
      <w:tblGrid>
        <w:gridCol w:w="4621"/>
        <w:gridCol w:w="4621"/>
      </w:tblGrid>
      <w:tr w:rsidR="00D427B5" w:rsidTr="00D427B5">
        <w:tc>
          <w:tcPr>
            <w:tcW w:w="4621" w:type="dxa"/>
          </w:tcPr>
          <w:p w:rsidR="00D427B5" w:rsidRDefault="00D427B5" w:rsidP="00D427B5">
            <w:pPr>
              <w:jc w:val="center"/>
              <w:rPr>
                <w:rFonts w:ascii="Arial" w:hAnsi="Arial" w:cs="Arial"/>
                <w:b/>
                <w:sz w:val="24"/>
                <w:szCs w:val="24"/>
                <w:u w:val="single"/>
              </w:rPr>
            </w:pPr>
            <w:r>
              <w:rPr>
                <w:rFonts w:ascii="Arial" w:hAnsi="Arial" w:cs="Arial"/>
                <w:b/>
                <w:sz w:val="24"/>
                <w:szCs w:val="24"/>
                <w:u w:val="single"/>
              </w:rPr>
              <w:t>Date</w:t>
            </w:r>
          </w:p>
        </w:tc>
        <w:tc>
          <w:tcPr>
            <w:tcW w:w="4621" w:type="dxa"/>
          </w:tcPr>
          <w:p w:rsidR="00D427B5" w:rsidRDefault="00D427B5" w:rsidP="00D427B5">
            <w:pPr>
              <w:jc w:val="center"/>
              <w:rPr>
                <w:rFonts w:ascii="Arial" w:hAnsi="Arial" w:cs="Arial"/>
                <w:b/>
                <w:sz w:val="24"/>
                <w:szCs w:val="24"/>
                <w:u w:val="single"/>
              </w:rPr>
            </w:pPr>
            <w:r>
              <w:rPr>
                <w:rFonts w:ascii="Arial" w:hAnsi="Arial" w:cs="Arial"/>
                <w:b/>
                <w:sz w:val="24"/>
                <w:szCs w:val="24"/>
                <w:u w:val="single"/>
              </w:rPr>
              <w:t>Action</w:t>
            </w:r>
          </w:p>
        </w:tc>
      </w:tr>
      <w:tr w:rsidR="00B528C2" w:rsidTr="00D427B5">
        <w:tc>
          <w:tcPr>
            <w:tcW w:w="4621" w:type="dxa"/>
          </w:tcPr>
          <w:p w:rsidR="00B528C2" w:rsidRDefault="00B528C2" w:rsidP="00D427B5">
            <w:pPr>
              <w:rPr>
                <w:rFonts w:ascii="Arial" w:hAnsi="Arial" w:cs="Arial"/>
                <w:sz w:val="24"/>
                <w:szCs w:val="24"/>
              </w:rPr>
            </w:pPr>
            <w:r>
              <w:rPr>
                <w:rFonts w:ascii="Arial" w:hAnsi="Arial" w:cs="Arial"/>
                <w:sz w:val="24"/>
                <w:szCs w:val="24"/>
              </w:rPr>
              <w:t>2 October 2014</w:t>
            </w:r>
          </w:p>
        </w:tc>
        <w:tc>
          <w:tcPr>
            <w:tcW w:w="4621" w:type="dxa"/>
          </w:tcPr>
          <w:p w:rsidR="00B528C2" w:rsidRDefault="00B528C2" w:rsidP="00D427B5">
            <w:pPr>
              <w:rPr>
                <w:rFonts w:ascii="Arial" w:hAnsi="Arial" w:cs="Arial"/>
                <w:sz w:val="24"/>
                <w:szCs w:val="24"/>
              </w:rPr>
            </w:pPr>
            <w:r>
              <w:rPr>
                <w:rFonts w:ascii="Arial" w:hAnsi="Arial" w:cs="Arial"/>
                <w:sz w:val="24"/>
                <w:szCs w:val="24"/>
              </w:rPr>
              <w:t>School Census day.</w:t>
            </w:r>
          </w:p>
        </w:tc>
      </w:tr>
      <w:tr w:rsidR="00B528C2" w:rsidTr="00D427B5">
        <w:tc>
          <w:tcPr>
            <w:tcW w:w="4621" w:type="dxa"/>
          </w:tcPr>
          <w:p w:rsidR="00B528C2" w:rsidRDefault="00B528C2" w:rsidP="00D427B5">
            <w:pPr>
              <w:rPr>
                <w:rFonts w:ascii="Arial" w:hAnsi="Arial" w:cs="Arial"/>
                <w:sz w:val="24"/>
                <w:szCs w:val="24"/>
              </w:rPr>
            </w:pPr>
            <w:r>
              <w:rPr>
                <w:rFonts w:ascii="Arial" w:hAnsi="Arial" w:cs="Arial"/>
                <w:sz w:val="24"/>
                <w:szCs w:val="24"/>
              </w:rPr>
              <w:t>Mid October</w:t>
            </w:r>
            <w:r w:rsidR="00B63F44">
              <w:rPr>
                <w:rFonts w:ascii="Arial" w:hAnsi="Arial" w:cs="Arial"/>
                <w:sz w:val="24"/>
                <w:szCs w:val="24"/>
              </w:rPr>
              <w:t xml:space="preserve"> 2014</w:t>
            </w:r>
          </w:p>
        </w:tc>
        <w:tc>
          <w:tcPr>
            <w:tcW w:w="4621" w:type="dxa"/>
          </w:tcPr>
          <w:p w:rsidR="00B528C2" w:rsidRDefault="00B528C2" w:rsidP="00D427B5">
            <w:pPr>
              <w:rPr>
                <w:rFonts w:ascii="Arial" w:hAnsi="Arial" w:cs="Arial"/>
                <w:sz w:val="24"/>
                <w:szCs w:val="24"/>
              </w:rPr>
            </w:pPr>
            <w:r>
              <w:rPr>
                <w:rFonts w:ascii="Arial" w:hAnsi="Arial" w:cs="Arial"/>
                <w:sz w:val="24"/>
                <w:szCs w:val="24"/>
              </w:rPr>
              <w:t>Schools Forum</w:t>
            </w:r>
            <w:r w:rsidR="00786FBC">
              <w:rPr>
                <w:rFonts w:ascii="Arial" w:hAnsi="Arial" w:cs="Arial"/>
                <w:sz w:val="24"/>
                <w:szCs w:val="24"/>
              </w:rPr>
              <w:t xml:space="preserve"> consultation / political approval required for provisional 2015 – 16 funding formula.</w:t>
            </w:r>
          </w:p>
        </w:tc>
      </w:tr>
      <w:tr w:rsidR="00D427B5" w:rsidTr="00D427B5">
        <w:tc>
          <w:tcPr>
            <w:tcW w:w="4621" w:type="dxa"/>
          </w:tcPr>
          <w:p w:rsidR="00D427B5" w:rsidRPr="00190F3F" w:rsidRDefault="00D427B5" w:rsidP="00D427B5">
            <w:pPr>
              <w:rPr>
                <w:rFonts w:ascii="Arial" w:hAnsi="Arial" w:cs="Arial"/>
                <w:sz w:val="24"/>
                <w:szCs w:val="24"/>
              </w:rPr>
            </w:pPr>
            <w:r>
              <w:rPr>
                <w:rFonts w:ascii="Arial" w:hAnsi="Arial" w:cs="Arial"/>
                <w:sz w:val="24"/>
                <w:szCs w:val="24"/>
              </w:rPr>
              <w:t>3</w:t>
            </w:r>
            <w:r w:rsidR="00B63F44">
              <w:rPr>
                <w:rFonts w:ascii="Arial" w:hAnsi="Arial" w:cs="Arial"/>
                <w:sz w:val="24"/>
                <w:szCs w:val="24"/>
              </w:rPr>
              <w:t>1 October 2014</w:t>
            </w:r>
          </w:p>
        </w:tc>
        <w:tc>
          <w:tcPr>
            <w:tcW w:w="4621" w:type="dxa"/>
          </w:tcPr>
          <w:p w:rsidR="00D427B5" w:rsidRPr="00190F3F" w:rsidRDefault="00B528C2" w:rsidP="00B528C2">
            <w:pPr>
              <w:rPr>
                <w:rFonts w:ascii="Arial" w:hAnsi="Arial" w:cs="Arial"/>
                <w:sz w:val="24"/>
                <w:szCs w:val="24"/>
              </w:rPr>
            </w:pPr>
            <w:r>
              <w:rPr>
                <w:rFonts w:ascii="Arial" w:hAnsi="Arial" w:cs="Arial"/>
                <w:sz w:val="24"/>
                <w:szCs w:val="24"/>
              </w:rPr>
              <w:t xml:space="preserve">Deadline for the submission by the </w:t>
            </w:r>
            <w:r w:rsidR="00D427B5">
              <w:rPr>
                <w:rFonts w:ascii="Arial" w:hAnsi="Arial" w:cs="Arial"/>
                <w:sz w:val="24"/>
                <w:szCs w:val="24"/>
              </w:rPr>
              <w:t xml:space="preserve">LA </w:t>
            </w:r>
            <w:r>
              <w:rPr>
                <w:rFonts w:ascii="Arial" w:hAnsi="Arial" w:cs="Arial"/>
                <w:sz w:val="24"/>
                <w:szCs w:val="24"/>
              </w:rPr>
              <w:t xml:space="preserve">of the </w:t>
            </w:r>
            <w:r w:rsidR="00D427B5">
              <w:rPr>
                <w:rFonts w:ascii="Arial" w:hAnsi="Arial" w:cs="Arial"/>
                <w:sz w:val="24"/>
                <w:szCs w:val="24"/>
              </w:rPr>
              <w:t xml:space="preserve">provisional </w:t>
            </w:r>
            <w:r>
              <w:rPr>
                <w:rFonts w:ascii="Arial" w:hAnsi="Arial" w:cs="Arial"/>
                <w:sz w:val="24"/>
                <w:szCs w:val="24"/>
              </w:rPr>
              <w:t xml:space="preserve">2015 – 16 </w:t>
            </w:r>
            <w:r w:rsidR="00D427B5">
              <w:rPr>
                <w:rFonts w:ascii="Arial" w:hAnsi="Arial" w:cs="Arial"/>
                <w:sz w:val="24"/>
                <w:szCs w:val="24"/>
              </w:rPr>
              <w:t>School Budget pro forma to the EFA</w:t>
            </w:r>
            <w:r>
              <w:rPr>
                <w:rFonts w:ascii="Arial" w:hAnsi="Arial" w:cs="Arial"/>
                <w:sz w:val="24"/>
                <w:szCs w:val="24"/>
              </w:rPr>
              <w:t>.</w:t>
            </w:r>
          </w:p>
        </w:tc>
      </w:tr>
      <w:tr w:rsidR="00D427B5" w:rsidTr="00D427B5">
        <w:tc>
          <w:tcPr>
            <w:tcW w:w="4621" w:type="dxa"/>
          </w:tcPr>
          <w:p w:rsidR="00D427B5" w:rsidRPr="00190F3F" w:rsidRDefault="00B63F44" w:rsidP="00D427B5">
            <w:pPr>
              <w:rPr>
                <w:rFonts w:ascii="Arial" w:hAnsi="Arial" w:cs="Arial"/>
                <w:sz w:val="24"/>
                <w:szCs w:val="24"/>
              </w:rPr>
            </w:pPr>
            <w:r>
              <w:rPr>
                <w:rFonts w:ascii="Arial" w:hAnsi="Arial" w:cs="Arial"/>
                <w:sz w:val="24"/>
                <w:szCs w:val="24"/>
              </w:rPr>
              <w:t>27 November 2014</w:t>
            </w:r>
          </w:p>
        </w:tc>
        <w:tc>
          <w:tcPr>
            <w:tcW w:w="4621" w:type="dxa"/>
          </w:tcPr>
          <w:p w:rsidR="00D427B5" w:rsidRPr="00190F3F" w:rsidRDefault="00D427B5" w:rsidP="00D427B5">
            <w:pPr>
              <w:rPr>
                <w:rFonts w:ascii="Arial" w:hAnsi="Arial" w:cs="Arial"/>
                <w:sz w:val="24"/>
                <w:szCs w:val="24"/>
              </w:rPr>
            </w:pPr>
            <w:r>
              <w:rPr>
                <w:rFonts w:ascii="Arial" w:hAnsi="Arial" w:cs="Arial"/>
                <w:sz w:val="24"/>
                <w:szCs w:val="24"/>
              </w:rPr>
              <w:t>School census database closed</w:t>
            </w:r>
          </w:p>
        </w:tc>
      </w:tr>
      <w:tr w:rsidR="00D427B5" w:rsidTr="00D427B5">
        <w:tc>
          <w:tcPr>
            <w:tcW w:w="4621" w:type="dxa"/>
          </w:tcPr>
          <w:p w:rsidR="00D427B5" w:rsidRPr="00190F3F" w:rsidRDefault="00B63F44" w:rsidP="00B63F44">
            <w:pPr>
              <w:rPr>
                <w:rFonts w:ascii="Arial" w:hAnsi="Arial" w:cs="Arial"/>
                <w:sz w:val="24"/>
                <w:szCs w:val="24"/>
              </w:rPr>
            </w:pPr>
            <w:r>
              <w:rPr>
                <w:rFonts w:ascii="Arial" w:hAnsi="Arial" w:cs="Arial"/>
                <w:sz w:val="24"/>
                <w:szCs w:val="24"/>
              </w:rPr>
              <w:t xml:space="preserve">w/c </w:t>
            </w:r>
            <w:r w:rsidR="00D427B5" w:rsidRPr="00190F3F">
              <w:rPr>
                <w:rFonts w:ascii="Arial" w:hAnsi="Arial" w:cs="Arial"/>
                <w:sz w:val="24"/>
                <w:szCs w:val="24"/>
              </w:rPr>
              <w:t>1</w:t>
            </w:r>
            <w:r>
              <w:rPr>
                <w:rFonts w:ascii="Arial" w:hAnsi="Arial" w:cs="Arial"/>
                <w:sz w:val="24"/>
                <w:szCs w:val="24"/>
              </w:rPr>
              <w:t>5 December 2014</w:t>
            </w:r>
          </w:p>
        </w:tc>
        <w:tc>
          <w:tcPr>
            <w:tcW w:w="4621" w:type="dxa"/>
          </w:tcPr>
          <w:p w:rsidR="00D427B5" w:rsidRPr="00190F3F" w:rsidRDefault="00D427B5" w:rsidP="00B63F44">
            <w:pPr>
              <w:rPr>
                <w:rFonts w:ascii="Arial" w:hAnsi="Arial" w:cs="Arial"/>
                <w:sz w:val="24"/>
                <w:szCs w:val="24"/>
              </w:rPr>
            </w:pPr>
            <w:r>
              <w:rPr>
                <w:rFonts w:ascii="Arial" w:hAnsi="Arial" w:cs="Arial"/>
                <w:sz w:val="24"/>
                <w:szCs w:val="24"/>
              </w:rPr>
              <w:t xml:space="preserve">EFA confirms DSG </w:t>
            </w:r>
            <w:r w:rsidR="00B63F44">
              <w:rPr>
                <w:rFonts w:ascii="Arial" w:hAnsi="Arial" w:cs="Arial"/>
                <w:sz w:val="24"/>
                <w:szCs w:val="24"/>
              </w:rPr>
              <w:t xml:space="preserve">School Block </w:t>
            </w:r>
            <w:r>
              <w:rPr>
                <w:rFonts w:ascii="Arial" w:hAnsi="Arial" w:cs="Arial"/>
                <w:sz w:val="24"/>
                <w:szCs w:val="24"/>
              </w:rPr>
              <w:t>allocations for 201</w:t>
            </w:r>
            <w:r w:rsidR="00B63F44">
              <w:rPr>
                <w:rFonts w:ascii="Arial" w:hAnsi="Arial" w:cs="Arial"/>
                <w:sz w:val="24"/>
                <w:szCs w:val="24"/>
              </w:rPr>
              <w:t>5</w:t>
            </w:r>
            <w:r>
              <w:rPr>
                <w:rFonts w:ascii="Arial" w:hAnsi="Arial" w:cs="Arial"/>
                <w:sz w:val="24"/>
                <w:szCs w:val="24"/>
              </w:rPr>
              <w:t>-1</w:t>
            </w:r>
            <w:r w:rsidR="00B63F44">
              <w:rPr>
                <w:rFonts w:ascii="Arial" w:hAnsi="Arial" w:cs="Arial"/>
                <w:sz w:val="24"/>
                <w:szCs w:val="24"/>
              </w:rPr>
              <w:t>6.</w:t>
            </w:r>
          </w:p>
        </w:tc>
      </w:tr>
      <w:tr w:rsidR="00B63F44" w:rsidTr="00D427B5">
        <w:tc>
          <w:tcPr>
            <w:tcW w:w="4621" w:type="dxa"/>
          </w:tcPr>
          <w:p w:rsidR="00B63F44" w:rsidRPr="00190F3F" w:rsidRDefault="00786FBC" w:rsidP="00D427B5">
            <w:pPr>
              <w:rPr>
                <w:rFonts w:ascii="Arial" w:hAnsi="Arial" w:cs="Arial"/>
                <w:sz w:val="24"/>
                <w:szCs w:val="24"/>
              </w:rPr>
            </w:pPr>
            <w:r>
              <w:rPr>
                <w:rFonts w:ascii="Arial" w:hAnsi="Arial" w:cs="Arial"/>
                <w:sz w:val="24"/>
                <w:szCs w:val="24"/>
              </w:rPr>
              <w:t>Mid January 2015</w:t>
            </w:r>
          </w:p>
        </w:tc>
        <w:tc>
          <w:tcPr>
            <w:tcW w:w="4621" w:type="dxa"/>
          </w:tcPr>
          <w:p w:rsidR="00B63F44" w:rsidRDefault="00786FBC" w:rsidP="00786FBC">
            <w:pPr>
              <w:rPr>
                <w:rFonts w:ascii="Arial" w:hAnsi="Arial" w:cs="Arial"/>
                <w:sz w:val="24"/>
                <w:szCs w:val="24"/>
              </w:rPr>
            </w:pPr>
            <w:r>
              <w:rPr>
                <w:rFonts w:ascii="Arial" w:hAnsi="Arial" w:cs="Arial"/>
                <w:sz w:val="24"/>
                <w:szCs w:val="24"/>
              </w:rPr>
              <w:t>Schools Forum consultation / political approval required for final 2015 – 16 funding formula.</w:t>
            </w:r>
          </w:p>
        </w:tc>
      </w:tr>
      <w:tr w:rsidR="00D427B5" w:rsidTr="00D427B5">
        <w:tc>
          <w:tcPr>
            <w:tcW w:w="4621" w:type="dxa"/>
          </w:tcPr>
          <w:p w:rsidR="00D427B5" w:rsidRPr="00190F3F" w:rsidRDefault="00D427B5" w:rsidP="00B63F44">
            <w:pPr>
              <w:rPr>
                <w:rFonts w:ascii="Arial" w:hAnsi="Arial" w:cs="Arial"/>
                <w:sz w:val="24"/>
                <w:szCs w:val="24"/>
              </w:rPr>
            </w:pPr>
            <w:r w:rsidRPr="00190F3F">
              <w:rPr>
                <w:rFonts w:ascii="Arial" w:hAnsi="Arial" w:cs="Arial"/>
                <w:sz w:val="24"/>
                <w:szCs w:val="24"/>
              </w:rPr>
              <w:t>2</w:t>
            </w:r>
            <w:r w:rsidR="00B63F44">
              <w:rPr>
                <w:rFonts w:ascii="Arial" w:hAnsi="Arial" w:cs="Arial"/>
                <w:sz w:val="24"/>
                <w:szCs w:val="24"/>
              </w:rPr>
              <w:t>0 January 2015</w:t>
            </w:r>
          </w:p>
        </w:tc>
        <w:tc>
          <w:tcPr>
            <w:tcW w:w="4621" w:type="dxa"/>
          </w:tcPr>
          <w:p w:rsidR="00D427B5" w:rsidRPr="00190F3F" w:rsidRDefault="00B63F44" w:rsidP="00B63F44">
            <w:pPr>
              <w:rPr>
                <w:rFonts w:ascii="Arial" w:hAnsi="Arial" w:cs="Arial"/>
                <w:sz w:val="24"/>
                <w:szCs w:val="24"/>
              </w:rPr>
            </w:pPr>
            <w:r>
              <w:rPr>
                <w:rFonts w:ascii="Arial" w:hAnsi="Arial" w:cs="Arial"/>
                <w:sz w:val="24"/>
                <w:szCs w:val="24"/>
              </w:rPr>
              <w:t>Deadline for the submission by the LA of the final 2015 – 16 School Budget pro forma to the EFA.</w:t>
            </w:r>
          </w:p>
        </w:tc>
      </w:tr>
      <w:tr w:rsidR="00D427B5" w:rsidTr="00D427B5">
        <w:tc>
          <w:tcPr>
            <w:tcW w:w="4621" w:type="dxa"/>
          </w:tcPr>
          <w:p w:rsidR="00D427B5" w:rsidRPr="00190F3F" w:rsidRDefault="00D427B5" w:rsidP="00B63F44">
            <w:pPr>
              <w:rPr>
                <w:rFonts w:ascii="Arial" w:hAnsi="Arial" w:cs="Arial"/>
                <w:sz w:val="24"/>
                <w:szCs w:val="24"/>
              </w:rPr>
            </w:pPr>
            <w:r w:rsidRPr="00190F3F">
              <w:rPr>
                <w:rFonts w:ascii="Arial" w:hAnsi="Arial" w:cs="Arial"/>
                <w:sz w:val="24"/>
                <w:szCs w:val="24"/>
              </w:rPr>
              <w:t>2</w:t>
            </w:r>
            <w:r w:rsidR="00B63F44">
              <w:rPr>
                <w:rFonts w:ascii="Arial" w:hAnsi="Arial" w:cs="Arial"/>
                <w:sz w:val="24"/>
                <w:szCs w:val="24"/>
              </w:rPr>
              <w:t>7 February 2015</w:t>
            </w:r>
          </w:p>
        </w:tc>
        <w:tc>
          <w:tcPr>
            <w:tcW w:w="4621" w:type="dxa"/>
          </w:tcPr>
          <w:p w:rsidR="00D427B5" w:rsidRPr="00190F3F" w:rsidRDefault="00B63F44" w:rsidP="00B63F44">
            <w:pPr>
              <w:rPr>
                <w:rFonts w:ascii="Arial" w:hAnsi="Arial" w:cs="Arial"/>
                <w:sz w:val="24"/>
                <w:szCs w:val="24"/>
              </w:rPr>
            </w:pPr>
            <w:r>
              <w:rPr>
                <w:rFonts w:ascii="Arial" w:hAnsi="Arial" w:cs="Arial"/>
                <w:sz w:val="24"/>
                <w:szCs w:val="24"/>
              </w:rPr>
              <w:t xml:space="preserve">Deadline for the confirmation of school budget shares to </w:t>
            </w:r>
            <w:r w:rsidR="00D427B5" w:rsidRPr="00190F3F">
              <w:rPr>
                <w:rFonts w:ascii="Arial" w:hAnsi="Arial" w:cs="Arial"/>
                <w:sz w:val="24"/>
                <w:szCs w:val="24"/>
              </w:rPr>
              <w:t xml:space="preserve">maintained schools. </w:t>
            </w:r>
          </w:p>
        </w:tc>
      </w:tr>
      <w:tr w:rsidR="00B63F44" w:rsidTr="00D427B5">
        <w:tc>
          <w:tcPr>
            <w:tcW w:w="4621" w:type="dxa"/>
          </w:tcPr>
          <w:p w:rsidR="00B63F44" w:rsidRPr="00190F3F" w:rsidRDefault="00B63F44" w:rsidP="00B63F44">
            <w:pPr>
              <w:rPr>
                <w:rFonts w:ascii="Arial" w:hAnsi="Arial" w:cs="Arial"/>
                <w:sz w:val="24"/>
                <w:szCs w:val="24"/>
              </w:rPr>
            </w:pPr>
            <w:r>
              <w:rPr>
                <w:rFonts w:ascii="Arial" w:hAnsi="Arial" w:cs="Arial"/>
                <w:sz w:val="24"/>
                <w:szCs w:val="24"/>
              </w:rPr>
              <w:t>31 March 2015</w:t>
            </w:r>
          </w:p>
        </w:tc>
        <w:tc>
          <w:tcPr>
            <w:tcW w:w="4621" w:type="dxa"/>
          </w:tcPr>
          <w:p w:rsidR="00B63F44" w:rsidRPr="00190F3F" w:rsidRDefault="00B63F44" w:rsidP="00D427B5">
            <w:pPr>
              <w:rPr>
                <w:rFonts w:ascii="Arial" w:hAnsi="Arial" w:cs="Arial"/>
                <w:sz w:val="24"/>
                <w:szCs w:val="24"/>
              </w:rPr>
            </w:pPr>
            <w:r>
              <w:rPr>
                <w:rFonts w:ascii="Arial" w:hAnsi="Arial" w:cs="Arial"/>
                <w:sz w:val="24"/>
                <w:szCs w:val="24"/>
              </w:rPr>
              <w:t xml:space="preserve">Deadline </w:t>
            </w:r>
            <w:r w:rsidR="00786FBC">
              <w:rPr>
                <w:rFonts w:ascii="Arial" w:hAnsi="Arial" w:cs="Arial"/>
                <w:sz w:val="24"/>
                <w:szCs w:val="24"/>
              </w:rPr>
              <w:t xml:space="preserve">for the </w:t>
            </w:r>
            <w:r w:rsidR="00E76CC7">
              <w:rPr>
                <w:rFonts w:ascii="Arial" w:hAnsi="Arial" w:cs="Arial"/>
                <w:sz w:val="24"/>
                <w:szCs w:val="24"/>
              </w:rPr>
              <w:t>confirmation</w:t>
            </w:r>
            <w:r w:rsidR="00786FBC">
              <w:rPr>
                <w:rFonts w:ascii="Arial" w:hAnsi="Arial" w:cs="Arial"/>
                <w:sz w:val="24"/>
                <w:szCs w:val="24"/>
              </w:rPr>
              <w:t xml:space="preserve"> of the annual general grant to academies open by 11 January 2015.</w:t>
            </w:r>
          </w:p>
        </w:tc>
      </w:tr>
    </w:tbl>
    <w:p w:rsidR="00D427B5" w:rsidRPr="00190F3F" w:rsidRDefault="00D427B5" w:rsidP="00D427B5">
      <w:pPr>
        <w:rPr>
          <w:rFonts w:ascii="Arial" w:hAnsi="Arial" w:cs="Arial"/>
          <w:b/>
          <w:sz w:val="24"/>
          <w:szCs w:val="24"/>
          <w:u w:val="single"/>
        </w:rPr>
      </w:pPr>
    </w:p>
    <w:p w:rsidR="00D427B5" w:rsidRDefault="00D427B5" w:rsidP="00D427B5">
      <w:pPr>
        <w:pStyle w:val="ListParagraph"/>
        <w:spacing w:after="0" w:line="240" w:lineRule="auto"/>
        <w:ind w:left="0"/>
        <w:rPr>
          <w:rFonts w:ascii="Arial" w:hAnsi="Arial" w:cs="Arial"/>
          <w:sz w:val="24"/>
          <w:szCs w:val="24"/>
        </w:rPr>
      </w:pPr>
      <w:r>
        <w:rPr>
          <w:rFonts w:ascii="Arial" w:eastAsia="Times New Roman" w:hAnsi="Arial" w:cs="Arial"/>
          <w:b/>
          <w:sz w:val="24"/>
          <w:szCs w:val="24"/>
          <w:u w:val="single"/>
          <w:lang w:eastAsia="en-GB"/>
        </w:rPr>
        <w:t>Recommendations</w:t>
      </w:r>
    </w:p>
    <w:p w:rsidR="00D427B5" w:rsidRDefault="00D427B5" w:rsidP="00D427B5">
      <w:pPr>
        <w:pStyle w:val="ListParagraph"/>
        <w:rPr>
          <w:rFonts w:ascii="Arial" w:hAnsi="Arial" w:cs="Arial"/>
          <w:sz w:val="24"/>
          <w:szCs w:val="24"/>
        </w:rPr>
      </w:pPr>
    </w:p>
    <w:p w:rsidR="00D427B5" w:rsidRDefault="00D427B5" w:rsidP="00D427B5">
      <w:pPr>
        <w:pStyle w:val="ListParagraph"/>
        <w:ind w:left="0"/>
        <w:rPr>
          <w:rFonts w:ascii="Arial" w:hAnsi="Arial" w:cs="Arial"/>
          <w:sz w:val="24"/>
          <w:szCs w:val="24"/>
        </w:rPr>
      </w:pPr>
      <w:r>
        <w:rPr>
          <w:rFonts w:ascii="Arial" w:hAnsi="Arial" w:cs="Arial"/>
          <w:sz w:val="24"/>
          <w:szCs w:val="24"/>
        </w:rPr>
        <w:t>It is recommended that:</w:t>
      </w:r>
    </w:p>
    <w:p w:rsidR="00D427B5" w:rsidRDefault="00D427B5" w:rsidP="00D427B5">
      <w:pPr>
        <w:pStyle w:val="ListParagraph"/>
        <w:ind w:left="0"/>
        <w:rPr>
          <w:rFonts w:ascii="Arial" w:hAnsi="Arial" w:cs="Arial"/>
          <w:sz w:val="24"/>
          <w:szCs w:val="24"/>
        </w:rPr>
      </w:pPr>
    </w:p>
    <w:p w:rsidR="00B63F44" w:rsidRDefault="00D427B5" w:rsidP="00D427B5">
      <w:pPr>
        <w:pStyle w:val="ListParagraph"/>
        <w:numPr>
          <w:ilvl w:val="0"/>
          <w:numId w:val="10"/>
        </w:numPr>
        <w:rPr>
          <w:rFonts w:ascii="Arial" w:hAnsi="Arial" w:cs="Arial"/>
          <w:sz w:val="24"/>
          <w:szCs w:val="24"/>
        </w:rPr>
      </w:pPr>
      <w:r>
        <w:rPr>
          <w:rFonts w:ascii="Arial" w:hAnsi="Arial" w:cs="Arial"/>
          <w:sz w:val="24"/>
          <w:szCs w:val="24"/>
        </w:rPr>
        <w:t>This report be noted,</w:t>
      </w:r>
    </w:p>
    <w:p w:rsidR="00B63F44" w:rsidRDefault="00B63F44" w:rsidP="00B63F44">
      <w:pPr>
        <w:pStyle w:val="ListParagraph"/>
        <w:rPr>
          <w:rFonts w:ascii="Arial" w:hAnsi="Arial" w:cs="Arial"/>
          <w:sz w:val="24"/>
          <w:szCs w:val="24"/>
        </w:rPr>
      </w:pPr>
    </w:p>
    <w:p w:rsidR="00D427B5" w:rsidRDefault="00B63F44" w:rsidP="00D427B5">
      <w:pPr>
        <w:pStyle w:val="ListParagraph"/>
        <w:numPr>
          <w:ilvl w:val="0"/>
          <w:numId w:val="10"/>
        </w:numPr>
        <w:rPr>
          <w:rFonts w:ascii="Arial" w:hAnsi="Arial" w:cs="Arial"/>
          <w:sz w:val="24"/>
          <w:szCs w:val="24"/>
        </w:rPr>
      </w:pPr>
      <w:r>
        <w:rPr>
          <w:rFonts w:ascii="Arial" w:hAnsi="Arial" w:cs="Arial"/>
          <w:sz w:val="24"/>
          <w:szCs w:val="24"/>
        </w:rPr>
        <w:t xml:space="preserve">Schools Forum agrees with the proposed approach, </w:t>
      </w:r>
      <w:r w:rsidR="00D427B5">
        <w:rPr>
          <w:rFonts w:ascii="Arial" w:hAnsi="Arial" w:cs="Arial"/>
          <w:sz w:val="24"/>
          <w:szCs w:val="24"/>
        </w:rPr>
        <w:t>and</w:t>
      </w:r>
    </w:p>
    <w:p w:rsidR="00D427B5" w:rsidRDefault="00D427B5" w:rsidP="00D427B5">
      <w:pPr>
        <w:pStyle w:val="ListParagraph"/>
        <w:rPr>
          <w:rFonts w:ascii="Arial" w:hAnsi="Arial" w:cs="Arial"/>
          <w:sz w:val="24"/>
          <w:szCs w:val="24"/>
        </w:rPr>
      </w:pPr>
    </w:p>
    <w:p w:rsidR="00D427B5" w:rsidRDefault="00D427B5" w:rsidP="00D427B5">
      <w:pPr>
        <w:pStyle w:val="ListParagraph"/>
        <w:numPr>
          <w:ilvl w:val="0"/>
          <w:numId w:val="10"/>
        </w:numPr>
        <w:rPr>
          <w:rFonts w:ascii="Arial" w:hAnsi="Arial" w:cs="Arial"/>
          <w:sz w:val="24"/>
          <w:szCs w:val="24"/>
        </w:rPr>
      </w:pPr>
      <w:r>
        <w:rPr>
          <w:rFonts w:ascii="Arial" w:hAnsi="Arial" w:cs="Arial"/>
          <w:sz w:val="24"/>
          <w:szCs w:val="24"/>
        </w:rPr>
        <w:t xml:space="preserve">Schools Forum agree to the establishment of a small working party to work with officers </w:t>
      </w:r>
      <w:r w:rsidR="00D772C7">
        <w:rPr>
          <w:rFonts w:ascii="Arial" w:hAnsi="Arial" w:cs="Arial"/>
          <w:sz w:val="24"/>
          <w:szCs w:val="24"/>
        </w:rPr>
        <w:t xml:space="preserve">to </w:t>
      </w:r>
      <w:r>
        <w:rPr>
          <w:rFonts w:ascii="Arial" w:hAnsi="Arial" w:cs="Arial"/>
          <w:sz w:val="24"/>
          <w:szCs w:val="24"/>
        </w:rPr>
        <w:t>review</w:t>
      </w:r>
      <w:r w:rsidR="00D772C7">
        <w:rPr>
          <w:rFonts w:ascii="Arial" w:hAnsi="Arial" w:cs="Arial"/>
          <w:sz w:val="24"/>
          <w:szCs w:val="24"/>
        </w:rPr>
        <w:t xml:space="preserve"> 2015-16 Schools funding formula to be ad</w:t>
      </w:r>
      <w:r>
        <w:rPr>
          <w:rFonts w:ascii="Arial" w:hAnsi="Arial" w:cs="Arial"/>
          <w:sz w:val="24"/>
          <w:szCs w:val="24"/>
        </w:rPr>
        <w:t>opted</w:t>
      </w:r>
      <w:r w:rsidR="00B63F44">
        <w:rPr>
          <w:rFonts w:ascii="Arial" w:hAnsi="Arial" w:cs="Arial"/>
          <w:sz w:val="24"/>
          <w:szCs w:val="24"/>
        </w:rPr>
        <w:t xml:space="preserve"> to permit this to be submitted as per the deadline.</w:t>
      </w:r>
    </w:p>
    <w:p w:rsidR="00D427B5" w:rsidRDefault="00D427B5" w:rsidP="00D427B5">
      <w:pPr>
        <w:pStyle w:val="ListParagraph"/>
        <w:ind w:left="0"/>
        <w:rPr>
          <w:rFonts w:ascii="Arial" w:hAnsi="Arial" w:cs="Arial"/>
          <w:sz w:val="24"/>
          <w:szCs w:val="24"/>
        </w:rPr>
      </w:pPr>
    </w:p>
    <w:p w:rsidR="00D427B5" w:rsidRDefault="00D427B5" w:rsidP="00D427B5">
      <w:pPr>
        <w:pStyle w:val="ListParagraph"/>
        <w:ind w:left="0"/>
        <w:rPr>
          <w:rFonts w:ascii="Arial" w:hAnsi="Arial" w:cs="Arial"/>
          <w:sz w:val="24"/>
          <w:szCs w:val="24"/>
        </w:rPr>
      </w:pPr>
    </w:p>
    <w:p w:rsidR="00D427B5" w:rsidRDefault="00D427B5" w:rsidP="00D427B5">
      <w:pPr>
        <w:pStyle w:val="ListParagraph"/>
        <w:ind w:left="0"/>
        <w:rPr>
          <w:rFonts w:ascii="Arial" w:hAnsi="Arial" w:cs="Arial"/>
          <w:sz w:val="24"/>
          <w:szCs w:val="24"/>
        </w:rPr>
      </w:pPr>
      <w:r>
        <w:rPr>
          <w:rFonts w:ascii="Arial" w:hAnsi="Arial" w:cs="Arial"/>
          <w:sz w:val="24"/>
          <w:szCs w:val="24"/>
        </w:rPr>
        <w:t>Contact Officer: David Kirven, Service Finance Manager – Business Partnering.</w:t>
      </w:r>
    </w:p>
    <w:p w:rsidR="00D427B5" w:rsidRDefault="00D427B5" w:rsidP="00503BE1">
      <w:pPr>
        <w:pStyle w:val="ListParagraph"/>
        <w:ind w:left="0"/>
        <w:rPr>
          <w:rFonts w:ascii="Arial" w:hAnsi="Arial" w:cs="Arial"/>
          <w:sz w:val="24"/>
          <w:szCs w:val="24"/>
        </w:rPr>
      </w:pPr>
    </w:p>
    <w:p w:rsidR="00786FBC" w:rsidRDefault="00786FBC" w:rsidP="005071E6">
      <w:pPr>
        <w:pStyle w:val="ListParagraph"/>
        <w:rPr>
          <w:rFonts w:ascii="Arial" w:hAnsi="Arial" w:cs="Arial"/>
          <w:sz w:val="24"/>
          <w:szCs w:val="24"/>
        </w:rPr>
      </w:pPr>
    </w:p>
    <w:p w:rsidR="00786FBC" w:rsidRDefault="00786FBC" w:rsidP="005071E6">
      <w:pPr>
        <w:pStyle w:val="ListParagraph"/>
        <w:rPr>
          <w:rFonts w:ascii="Arial" w:hAnsi="Arial" w:cs="Arial"/>
          <w:sz w:val="24"/>
          <w:szCs w:val="24"/>
        </w:rPr>
      </w:pPr>
    </w:p>
    <w:p w:rsidR="002A0C0C" w:rsidRDefault="002A0C0C" w:rsidP="002A0C0C">
      <w:pPr>
        <w:jc w:val="right"/>
        <w:rPr>
          <w:rFonts w:ascii="Arial" w:hAnsi="Arial" w:cs="Arial"/>
          <w:b/>
          <w:sz w:val="24"/>
          <w:szCs w:val="24"/>
          <w:u w:val="single"/>
        </w:rPr>
      </w:pPr>
      <w:r>
        <w:rPr>
          <w:rFonts w:ascii="Arial" w:hAnsi="Arial" w:cs="Arial"/>
          <w:b/>
          <w:sz w:val="24"/>
          <w:szCs w:val="24"/>
          <w:u w:val="single"/>
        </w:rPr>
        <w:lastRenderedPageBreak/>
        <w:t>Appendix A</w:t>
      </w:r>
    </w:p>
    <w:p w:rsidR="002A0C0C" w:rsidRDefault="002A0C0C" w:rsidP="002A0C0C">
      <w:pPr>
        <w:jc w:val="center"/>
        <w:rPr>
          <w:rFonts w:ascii="Arial" w:hAnsi="Arial" w:cs="Arial"/>
          <w:b/>
          <w:sz w:val="24"/>
          <w:szCs w:val="24"/>
          <w:u w:val="single"/>
        </w:rPr>
      </w:pPr>
    </w:p>
    <w:p w:rsidR="002A0C0C" w:rsidRDefault="002A0C0C" w:rsidP="002A0C0C">
      <w:pPr>
        <w:jc w:val="center"/>
        <w:rPr>
          <w:rFonts w:ascii="Arial" w:hAnsi="Arial" w:cs="Arial"/>
          <w:b/>
          <w:sz w:val="24"/>
          <w:szCs w:val="24"/>
          <w:u w:val="single"/>
        </w:rPr>
      </w:pPr>
      <w:r>
        <w:rPr>
          <w:rFonts w:ascii="Arial" w:hAnsi="Arial" w:cs="Arial"/>
          <w:b/>
          <w:sz w:val="24"/>
          <w:szCs w:val="24"/>
          <w:u w:val="single"/>
        </w:rPr>
        <w:t>Indicative minimum funding levels for 2015-15</w:t>
      </w:r>
    </w:p>
    <w:tbl>
      <w:tblPr>
        <w:tblStyle w:val="TableGrid"/>
        <w:tblW w:w="0" w:type="auto"/>
        <w:tblLook w:val="04A0" w:firstRow="1" w:lastRow="0" w:firstColumn="1" w:lastColumn="0" w:noHBand="0" w:noVBand="1"/>
      </w:tblPr>
      <w:tblGrid>
        <w:gridCol w:w="3080"/>
        <w:gridCol w:w="3081"/>
        <w:gridCol w:w="3081"/>
      </w:tblGrid>
      <w:tr w:rsidR="002A0C0C" w:rsidTr="002A0C0C">
        <w:tc>
          <w:tcPr>
            <w:tcW w:w="3080" w:type="dxa"/>
          </w:tcPr>
          <w:p w:rsidR="002A0C0C" w:rsidRDefault="002A0C0C" w:rsidP="002A0C0C">
            <w:pPr>
              <w:jc w:val="center"/>
              <w:rPr>
                <w:rFonts w:ascii="Arial" w:hAnsi="Arial" w:cs="Arial"/>
                <w:b/>
                <w:sz w:val="24"/>
                <w:szCs w:val="24"/>
                <w:u w:val="single"/>
              </w:rPr>
            </w:pPr>
            <w:r>
              <w:rPr>
                <w:rFonts w:ascii="Arial" w:hAnsi="Arial" w:cs="Arial"/>
                <w:b/>
                <w:sz w:val="24"/>
                <w:szCs w:val="24"/>
                <w:u w:val="single"/>
              </w:rPr>
              <w:t>Allowable Factor</w:t>
            </w:r>
          </w:p>
        </w:tc>
        <w:tc>
          <w:tcPr>
            <w:tcW w:w="3081" w:type="dxa"/>
          </w:tcPr>
          <w:p w:rsidR="002A0C0C" w:rsidRDefault="002A0C0C" w:rsidP="002A0C0C">
            <w:pPr>
              <w:jc w:val="center"/>
              <w:rPr>
                <w:rFonts w:ascii="Arial" w:hAnsi="Arial" w:cs="Arial"/>
                <w:b/>
                <w:sz w:val="24"/>
                <w:szCs w:val="24"/>
                <w:u w:val="single"/>
              </w:rPr>
            </w:pPr>
            <w:r>
              <w:rPr>
                <w:rFonts w:ascii="Arial" w:hAnsi="Arial" w:cs="Arial"/>
                <w:b/>
                <w:sz w:val="24"/>
                <w:szCs w:val="24"/>
                <w:u w:val="single"/>
              </w:rPr>
              <w:t>DfE Indicative amount £</w:t>
            </w:r>
          </w:p>
        </w:tc>
        <w:tc>
          <w:tcPr>
            <w:tcW w:w="3081" w:type="dxa"/>
          </w:tcPr>
          <w:p w:rsidR="002A0C0C" w:rsidRDefault="002A0C0C" w:rsidP="002A0C0C">
            <w:pPr>
              <w:jc w:val="center"/>
              <w:rPr>
                <w:rFonts w:ascii="Arial" w:hAnsi="Arial" w:cs="Arial"/>
                <w:b/>
                <w:sz w:val="24"/>
                <w:szCs w:val="24"/>
                <w:u w:val="single"/>
              </w:rPr>
            </w:pPr>
            <w:r>
              <w:rPr>
                <w:rFonts w:ascii="Arial" w:hAnsi="Arial" w:cs="Arial"/>
                <w:b/>
                <w:sz w:val="24"/>
                <w:szCs w:val="24"/>
                <w:u w:val="single"/>
              </w:rPr>
              <w:t>NELC current amount £ per 2014-15 formula</w:t>
            </w:r>
          </w:p>
        </w:tc>
      </w:tr>
      <w:tr w:rsidR="002A0C0C" w:rsidTr="002A0C0C">
        <w:tc>
          <w:tcPr>
            <w:tcW w:w="3080" w:type="dxa"/>
          </w:tcPr>
          <w:p w:rsidR="002A0C0C" w:rsidRDefault="002A0C0C" w:rsidP="002A0C0C">
            <w:pPr>
              <w:jc w:val="center"/>
              <w:rPr>
                <w:rFonts w:ascii="Arial" w:hAnsi="Arial" w:cs="Arial"/>
                <w:b/>
                <w:sz w:val="24"/>
                <w:szCs w:val="24"/>
                <w:u w:val="single"/>
              </w:rPr>
            </w:pPr>
          </w:p>
        </w:tc>
        <w:tc>
          <w:tcPr>
            <w:tcW w:w="3081" w:type="dxa"/>
          </w:tcPr>
          <w:p w:rsidR="002A0C0C" w:rsidRDefault="002A0C0C" w:rsidP="002A0C0C">
            <w:pPr>
              <w:jc w:val="center"/>
              <w:rPr>
                <w:rFonts w:ascii="Arial" w:hAnsi="Arial" w:cs="Arial"/>
                <w:b/>
                <w:sz w:val="24"/>
                <w:szCs w:val="24"/>
                <w:u w:val="single"/>
              </w:rPr>
            </w:pPr>
          </w:p>
        </w:tc>
        <w:tc>
          <w:tcPr>
            <w:tcW w:w="3081" w:type="dxa"/>
          </w:tcPr>
          <w:p w:rsidR="002A0C0C" w:rsidRDefault="002A0C0C" w:rsidP="002A0C0C">
            <w:pPr>
              <w:jc w:val="center"/>
              <w:rPr>
                <w:rFonts w:ascii="Arial" w:hAnsi="Arial" w:cs="Arial"/>
                <w:b/>
                <w:sz w:val="24"/>
                <w:szCs w:val="24"/>
                <w:u w:val="single"/>
              </w:rPr>
            </w:pPr>
          </w:p>
        </w:tc>
      </w:tr>
      <w:tr w:rsidR="002A0C0C" w:rsidTr="002A0C0C">
        <w:tc>
          <w:tcPr>
            <w:tcW w:w="3080" w:type="dxa"/>
          </w:tcPr>
          <w:p w:rsidR="002A0C0C" w:rsidRPr="00BE4677" w:rsidRDefault="002A0C0C" w:rsidP="002A0C0C">
            <w:pPr>
              <w:rPr>
                <w:rFonts w:ascii="Arial" w:hAnsi="Arial" w:cs="Arial"/>
                <w:sz w:val="24"/>
                <w:szCs w:val="24"/>
              </w:rPr>
            </w:pPr>
            <w:r>
              <w:rPr>
                <w:rFonts w:ascii="Arial" w:hAnsi="Arial" w:cs="Arial"/>
                <w:sz w:val="24"/>
                <w:szCs w:val="24"/>
              </w:rPr>
              <w:t>Basic per pupil entitlement: Primary AWPU</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2,845</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3,213</w:t>
            </w:r>
            <w:r w:rsidR="001B4F60">
              <w:rPr>
                <w:rFonts w:ascii="Arial" w:hAnsi="Arial" w:cs="Arial"/>
                <w:sz w:val="24"/>
                <w:szCs w:val="24"/>
              </w:rPr>
              <w:t xml:space="preserve"> (excludes additional one off payment of £75 per pupil).</w:t>
            </w:r>
          </w:p>
        </w:tc>
      </w:tr>
      <w:tr w:rsidR="002A0C0C" w:rsidTr="002A0C0C">
        <w:tc>
          <w:tcPr>
            <w:tcW w:w="3080" w:type="dxa"/>
          </w:tcPr>
          <w:p w:rsidR="002A0C0C" w:rsidRPr="00BE4677" w:rsidRDefault="002A0C0C" w:rsidP="002A0C0C">
            <w:pPr>
              <w:rPr>
                <w:rFonts w:ascii="Arial" w:hAnsi="Arial" w:cs="Arial"/>
                <w:sz w:val="24"/>
                <w:szCs w:val="24"/>
              </w:rPr>
            </w:pPr>
            <w:r>
              <w:rPr>
                <w:rFonts w:ascii="Arial" w:hAnsi="Arial" w:cs="Arial"/>
                <w:sz w:val="24"/>
                <w:szCs w:val="24"/>
              </w:rPr>
              <w:t>Basic per pupil entitlement: Secondary AWPU KS3</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3,951</w:t>
            </w:r>
          </w:p>
        </w:tc>
        <w:tc>
          <w:tcPr>
            <w:tcW w:w="3081" w:type="dxa"/>
          </w:tcPr>
          <w:p w:rsidR="002A0C0C" w:rsidRPr="00BE4677" w:rsidRDefault="002A0C0C" w:rsidP="002A0C0C">
            <w:pPr>
              <w:rPr>
                <w:rFonts w:ascii="Arial" w:hAnsi="Arial" w:cs="Arial"/>
                <w:sz w:val="24"/>
                <w:szCs w:val="24"/>
              </w:rPr>
            </w:pPr>
            <w:r>
              <w:rPr>
                <w:rFonts w:ascii="Arial" w:hAnsi="Arial" w:cs="Arial"/>
                <w:sz w:val="24"/>
                <w:szCs w:val="24"/>
              </w:rPr>
              <w:t>NELC chose one secondary AWPU value only (KS4)</w:t>
            </w:r>
          </w:p>
        </w:tc>
      </w:tr>
      <w:tr w:rsidR="002A0C0C" w:rsidTr="002A0C0C">
        <w:tc>
          <w:tcPr>
            <w:tcW w:w="3080" w:type="dxa"/>
          </w:tcPr>
          <w:p w:rsidR="002A0C0C" w:rsidRPr="00BE4677" w:rsidRDefault="002A0C0C" w:rsidP="002A0C0C">
            <w:pPr>
              <w:rPr>
                <w:rFonts w:ascii="Arial" w:hAnsi="Arial" w:cs="Arial"/>
                <w:sz w:val="24"/>
                <w:szCs w:val="24"/>
              </w:rPr>
            </w:pPr>
            <w:r>
              <w:rPr>
                <w:rFonts w:ascii="Arial" w:hAnsi="Arial" w:cs="Arial"/>
                <w:sz w:val="24"/>
                <w:szCs w:val="24"/>
              </w:rPr>
              <w:t>Basic per pupil entitlement: Secondary AWPU KS4</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4,529</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4,565</w:t>
            </w:r>
            <w:r w:rsidR="001B4F60">
              <w:rPr>
                <w:rFonts w:ascii="Arial" w:hAnsi="Arial" w:cs="Arial"/>
                <w:sz w:val="24"/>
                <w:szCs w:val="24"/>
              </w:rPr>
              <w:t xml:space="preserve"> (excludes additional one off payment of £75 per pupil).</w:t>
            </w:r>
          </w:p>
        </w:tc>
      </w:tr>
      <w:tr w:rsidR="002A0C0C" w:rsidTr="002A0C0C">
        <w:tc>
          <w:tcPr>
            <w:tcW w:w="3080" w:type="dxa"/>
          </w:tcPr>
          <w:p w:rsidR="002A0C0C" w:rsidRPr="00BE4677" w:rsidRDefault="002A0C0C" w:rsidP="002A0C0C">
            <w:pPr>
              <w:rPr>
                <w:rFonts w:ascii="Arial" w:hAnsi="Arial" w:cs="Arial"/>
                <w:sz w:val="24"/>
                <w:szCs w:val="24"/>
              </w:rPr>
            </w:pPr>
            <w:r>
              <w:rPr>
                <w:rFonts w:ascii="Arial" w:hAnsi="Arial" w:cs="Arial"/>
                <w:sz w:val="24"/>
                <w:szCs w:val="24"/>
              </w:rPr>
              <w:t>Deprivation – FSM eligibility - Primary</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893</w:t>
            </w:r>
          </w:p>
        </w:tc>
        <w:tc>
          <w:tcPr>
            <w:tcW w:w="3081" w:type="dxa"/>
          </w:tcPr>
          <w:p w:rsidR="002A0C0C" w:rsidRPr="00BE4677" w:rsidRDefault="002A0C0C" w:rsidP="002A0C0C">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 as a measure of deprivation.</w:t>
            </w:r>
          </w:p>
        </w:tc>
      </w:tr>
      <w:tr w:rsidR="002A0C0C" w:rsidTr="002A0C0C">
        <w:tc>
          <w:tcPr>
            <w:tcW w:w="3080" w:type="dxa"/>
          </w:tcPr>
          <w:p w:rsidR="002A0C0C" w:rsidRDefault="002A0C0C" w:rsidP="002A0C0C">
            <w:pPr>
              <w:rPr>
                <w:rFonts w:ascii="Arial" w:hAnsi="Arial" w:cs="Arial"/>
                <w:sz w:val="24"/>
                <w:szCs w:val="24"/>
              </w:rPr>
            </w:pPr>
            <w:r>
              <w:rPr>
                <w:rFonts w:ascii="Arial" w:hAnsi="Arial" w:cs="Arial"/>
                <w:sz w:val="24"/>
                <w:szCs w:val="24"/>
              </w:rPr>
              <w:t>Deprivation – FSM eligibility - 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1,080</w:t>
            </w:r>
          </w:p>
          <w:p w:rsidR="002A0C0C" w:rsidRPr="00BE4677" w:rsidRDefault="002A0C0C" w:rsidP="002A0C0C">
            <w:pPr>
              <w:jc w:val="center"/>
              <w:rPr>
                <w:rFonts w:ascii="Arial" w:hAnsi="Arial" w:cs="Arial"/>
                <w:sz w:val="24"/>
                <w:szCs w:val="24"/>
              </w:rPr>
            </w:pPr>
          </w:p>
        </w:tc>
        <w:tc>
          <w:tcPr>
            <w:tcW w:w="3081" w:type="dxa"/>
          </w:tcPr>
          <w:p w:rsidR="002A0C0C" w:rsidRPr="00BE4677" w:rsidRDefault="002A0C0C" w:rsidP="002A0C0C">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 as a measure of deprivation.</w:t>
            </w:r>
          </w:p>
        </w:tc>
      </w:tr>
      <w:tr w:rsidR="002A0C0C" w:rsidTr="002A0C0C">
        <w:tc>
          <w:tcPr>
            <w:tcW w:w="3080" w:type="dxa"/>
          </w:tcPr>
          <w:p w:rsidR="002A0C0C" w:rsidRPr="00BE4677" w:rsidRDefault="002A0C0C" w:rsidP="002A0C0C">
            <w:pPr>
              <w:rPr>
                <w:rFonts w:ascii="Arial" w:hAnsi="Arial" w:cs="Arial"/>
                <w:sz w:val="24"/>
                <w:szCs w:val="24"/>
              </w:rPr>
            </w:pPr>
            <w:r>
              <w:rPr>
                <w:rFonts w:ascii="Arial" w:hAnsi="Arial" w:cs="Arial"/>
                <w:sz w:val="24"/>
                <w:szCs w:val="24"/>
              </w:rPr>
              <w:t>Deprivation – IDACI 1 Primary</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237</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142</w:t>
            </w:r>
          </w:p>
        </w:tc>
      </w:tr>
      <w:tr w:rsidR="002A0C0C" w:rsidTr="002A0C0C">
        <w:tc>
          <w:tcPr>
            <w:tcW w:w="3080" w:type="dxa"/>
          </w:tcPr>
          <w:p w:rsidR="002A0C0C" w:rsidRDefault="002A0C0C" w:rsidP="002A0C0C">
            <w:r w:rsidRPr="00C363F0">
              <w:rPr>
                <w:rFonts w:ascii="Arial" w:hAnsi="Arial" w:cs="Arial"/>
                <w:sz w:val="24"/>
                <w:szCs w:val="24"/>
              </w:rPr>
              <w:t xml:space="preserve">Deprivation – IDACI </w:t>
            </w:r>
            <w:r>
              <w:rPr>
                <w:rFonts w:ascii="Arial" w:hAnsi="Arial" w:cs="Arial"/>
                <w:sz w:val="24"/>
                <w:szCs w:val="24"/>
              </w:rPr>
              <w:t>2</w:t>
            </w:r>
            <w:r w:rsidRPr="00C363F0">
              <w:rPr>
                <w:rFonts w:ascii="Arial" w:hAnsi="Arial" w:cs="Arial"/>
                <w:sz w:val="24"/>
                <w:szCs w:val="24"/>
              </w:rPr>
              <w:t xml:space="preserve"> Primary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290</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296</w:t>
            </w:r>
          </w:p>
        </w:tc>
      </w:tr>
      <w:tr w:rsidR="002A0C0C" w:rsidTr="002A0C0C">
        <w:tc>
          <w:tcPr>
            <w:tcW w:w="3080" w:type="dxa"/>
          </w:tcPr>
          <w:p w:rsidR="002A0C0C" w:rsidRDefault="002A0C0C" w:rsidP="002A0C0C">
            <w:r w:rsidRPr="00C363F0">
              <w:rPr>
                <w:rFonts w:ascii="Arial" w:hAnsi="Arial" w:cs="Arial"/>
                <w:sz w:val="24"/>
                <w:szCs w:val="24"/>
              </w:rPr>
              <w:t xml:space="preserve">Deprivation – </w:t>
            </w:r>
            <w:r>
              <w:rPr>
                <w:rFonts w:ascii="Arial" w:hAnsi="Arial" w:cs="Arial"/>
                <w:sz w:val="24"/>
                <w:szCs w:val="24"/>
              </w:rPr>
              <w:t>IDACI 3</w:t>
            </w:r>
            <w:r w:rsidRPr="00C363F0">
              <w:rPr>
                <w:rFonts w:ascii="Arial" w:hAnsi="Arial" w:cs="Arial"/>
                <w:sz w:val="24"/>
                <w:szCs w:val="24"/>
              </w:rPr>
              <w:t xml:space="preserve"> Primary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387</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450</w:t>
            </w:r>
          </w:p>
        </w:tc>
      </w:tr>
      <w:tr w:rsidR="002A0C0C" w:rsidTr="002A0C0C">
        <w:tc>
          <w:tcPr>
            <w:tcW w:w="3080" w:type="dxa"/>
          </w:tcPr>
          <w:p w:rsidR="002A0C0C" w:rsidRDefault="002A0C0C" w:rsidP="002A0C0C">
            <w:r w:rsidRPr="00C363F0">
              <w:rPr>
                <w:rFonts w:ascii="Arial" w:hAnsi="Arial" w:cs="Arial"/>
                <w:sz w:val="24"/>
                <w:szCs w:val="24"/>
              </w:rPr>
              <w:t xml:space="preserve">Deprivation – </w:t>
            </w:r>
            <w:r>
              <w:rPr>
                <w:rFonts w:ascii="Arial" w:hAnsi="Arial" w:cs="Arial"/>
                <w:sz w:val="24"/>
                <w:szCs w:val="24"/>
              </w:rPr>
              <w:t xml:space="preserve">IDACI 4 </w:t>
            </w:r>
            <w:r w:rsidRPr="00C363F0">
              <w:rPr>
                <w:rFonts w:ascii="Arial" w:hAnsi="Arial" w:cs="Arial"/>
                <w:sz w:val="24"/>
                <w:szCs w:val="24"/>
              </w:rPr>
              <w:t>Primary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453</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604</w:t>
            </w:r>
          </w:p>
        </w:tc>
      </w:tr>
      <w:tr w:rsidR="002A0C0C" w:rsidTr="002A0C0C">
        <w:tc>
          <w:tcPr>
            <w:tcW w:w="3080" w:type="dxa"/>
          </w:tcPr>
          <w:p w:rsidR="002A0C0C" w:rsidRDefault="002A0C0C" w:rsidP="002A0C0C">
            <w:r w:rsidRPr="00C363F0">
              <w:rPr>
                <w:rFonts w:ascii="Arial" w:hAnsi="Arial" w:cs="Arial"/>
                <w:sz w:val="24"/>
                <w:szCs w:val="24"/>
              </w:rPr>
              <w:t xml:space="preserve">Deprivation – </w:t>
            </w:r>
            <w:r>
              <w:rPr>
                <w:rFonts w:ascii="Arial" w:hAnsi="Arial" w:cs="Arial"/>
                <w:sz w:val="24"/>
                <w:szCs w:val="24"/>
              </w:rPr>
              <w:t xml:space="preserve">IDACI 5 </w:t>
            </w:r>
            <w:r w:rsidRPr="00C363F0">
              <w:rPr>
                <w:rFonts w:ascii="Arial" w:hAnsi="Arial" w:cs="Arial"/>
                <w:sz w:val="24"/>
                <w:szCs w:val="24"/>
              </w:rPr>
              <w:t>Primary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511</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759</w:t>
            </w:r>
          </w:p>
        </w:tc>
      </w:tr>
      <w:tr w:rsidR="002A0C0C" w:rsidTr="002A0C0C">
        <w:tc>
          <w:tcPr>
            <w:tcW w:w="3080" w:type="dxa"/>
          </w:tcPr>
          <w:p w:rsidR="002A0C0C" w:rsidRDefault="002A0C0C" w:rsidP="002A0C0C">
            <w:r w:rsidRPr="00C363F0">
              <w:rPr>
                <w:rFonts w:ascii="Arial" w:hAnsi="Arial" w:cs="Arial"/>
                <w:sz w:val="24"/>
                <w:szCs w:val="24"/>
              </w:rPr>
              <w:t xml:space="preserve">Deprivation – </w:t>
            </w:r>
            <w:r>
              <w:rPr>
                <w:rFonts w:ascii="Arial" w:hAnsi="Arial" w:cs="Arial"/>
                <w:sz w:val="24"/>
                <w:szCs w:val="24"/>
              </w:rPr>
              <w:t>IDACI 6</w:t>
            </w:r>
            <w:r w:rsidRPr="00C363F0">
              <w:rPr>
                <w:rFonts w:ascii="Arial" w:hAnsi="Arial" w:cs="Arial"/>
                <w:sz w:val="24"/>
                <w:szCs w:val="24"/>
              </w:rPr>
              <w:t xml:space="preserve"> Primary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741</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913</w:t>
            </w:r>
          </w:p>
        </w:tc>
      </w:tr>
      <w:tr w:rsidR="002A0C0C" w:rsidTr="002A0C0C">
        <w:tc>
          <w:tcPr>
            <w:tcW w:w="3080" w:type="dxa"/>
          </w:tcPr>
          <w:p w:rsidR="002A0C0C" w:rsidRDefault="002A0C0C" w:rsidP="002A0C0C">
            <w:pPr>
              <w:rPr>
                <w:rFonts w:ascii="Arial" w:hAnsi="Arial" w:cs="Arial"/>
                <w:sz w:val="24"/>
                <w:szCs w:val="24"/>
              </w:rPr>
            </w:pPr>
            <w:r>
              <w:rPr>
                <w:rFonts w:ascii="Arial" w:hAnsi="Arial" w:cs="Arial"/>
                <w:sz w:val="24"/>
                <w:szCs w:val="24"/>
              </w:rPr>
              <w:t>Deprivation – IDACI 1 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321</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154</w:t>
            </w:r>
          </w:p>
        </w:tc>
      </w:tr>
      <w:tr w:rsidR="002A0C0C" w:rsidTr="002A0C0C">
        <w:tc>
          <w:tcPr>
            <w:tcW w:w="3080" w:type="dxa"/>
          </w:tcPr>
          <w:p w:rsidR="002A0C0C" w:rsidRDefault="002A0C0C" w:rsidP="002A0C0C">
            <w:r w:rsidRPr="00224801">
              <w:rPr>
                <w:rFonts w:ascii="Arial" w:hAnsi="Arial" w:cs="Arial"/>
                <w:sz w:val="24"/>
                <w:szCs w:val="24"/>
              </w:rPr>
              <w:t xml:space="preserve">Deprivation – IDACI </w:t>
            </w:r>
            <w:r>
              <w:rPr>
                <w:rFonts w:ascii="Arial" w:hAnsi="Arial" w:cs="Arial"/>
                <w:sz w:val="24"/>
                <w:szCs w:val="24"/>
              </w:rPr>
              <w:t xml:space="preserve">2 </w:t>
            </w:r>
            <w:r w:rsidRPr="00224801">
              <w:rPr>
                <w:rFonts w:ascii="Arial" w:hAnsi="Arial" w:cs="Arial"/>
                <w:sz w:val="24"/>
                <w:szCs w:val="24"/>
              </w:rPr>
              <w:t>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243</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308</w:t>
            </w:r>
          </w:p>
        </w:tc>
      </w:tr>
      <w:tr w:rsidR="002A0C0C" w:rsidTr="002A0C0C">
        <w:tc>
          <w:tcPr>
            <w:tcW w:w="3080" w:type="dxa"/>
          </w:tcPr>
          <w:p w:rsidR="002A0C0C" w:rsidRDefault="002A0C0C" w:rsidP="002A0C0C">
            <w:r w:rsidRPr="00224801">
              <w:rPr>
                <w:rFonts w:ascii="Arial" w:hAnsi="Arial" w:cs="Arial"/>
                <w:sz w:val="24"/>
                <w:szCs w:val="24"/>
              </w:rPr>
              <w:t xml:space="preserve">Deprivation – IDACI </w:t>
            </w:r>
            <w:r>
              <w:rPr>
                <w:rFonts w:ascii="Arial" w:hAnsi="Arial" w:cs="Arial"/>
                <w:sz w:val="24"/>
                <w:szCs w:val="24"/>
              </w:rPr>
              <w:t xml:space="preserve">3 </w:t>
            </w:r>
            <w:r w:rsidRPr="00224801">
              <w:rPr>
                <w:rFonts w:ascii="Arial" w:hAnsi="Arial" w:cs="Arial"/>
                <w:sz w:val="24"/>
                <w:szCs w:val="24"/>
              </w:rPr>
              <w:t>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530</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462</w:t>
            </w:r>
          </w:p>
        </w:tc>
      </w:tr>
      <w:tr w:rsidR="002A0C0C" w:rsidTr="002A0C0C">
        <w:tc>
          <w:tcPr>
            <w:tcW w:w="3080" w:type="dxa"/>
          </w:tcPr>
          <w:p w:rsidR="002A0C0C" w:rsidRDefault="002A0C0C" w:rsidP="002A0C0C">
            <w:r>
              <w:rPr>
                <w:rFonts w:ascii="Arial" w:hAnsi="Arial" w:cs="Arial"/>
                <w:sz w:val="24"/>
                <w:szCs w:val="24"/>
              </w:rPr>
              <w:lastRenderedPageBreak/>
              <w:t>Deprivation – IDACI 4</w:t>
            </w:r>
            <w:r w:rsidRPr="00224801">
              <w:rPr>
                <w:rFonts w:ascii="Arial" w:hAnsi="Arial" w:cs="Arial"/>
                <w:sz w:val="24"/>
                <w:szCs w:val="24"/>
              </w:rPr>
              <w:t xml:space="preserve"> 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596</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616</w:t>
            </w:r>
          </w:p>
        </w:tc>
      </w:tr>
      <w:tr w:rsidR="002A0C0C" w:rsidTr="002A0C0C">
        <w:tc>
          <w:tcPr>
            <w:tcW w:w="3080" w:type="dxa"/>
          </w:tcPr>
          <w:p w:rsidR="002A0C0C" w:rsidRDefault="002A0C0C" w:rsidP="002A0C0C">
            <w:r>
              <w:rPr>
                <w:rFonts w:ascii="Arial" w:hAnsi="Arial" w:cs="Arial"/>
                <w:sz w:val="24"/>
                <w:szCs w:val="24"/>
              </w:rPr>
              <w:t>Deprivation – IDACI 5</w:t>
            </w:r>
            <w:r w:rsidRPr="00224801">
              <w:rPr>
                <w:rFonts w:ascii="Arial" w:hAnsi="Arial" w:cs="Arial"/>
                <w:sz w:val="24"/>
                <w:szCs w:val="24"/>
              </w:rPr>
              <w:t xml:space="preserve"> 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659</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770</w:t>
            </w:r>
          </w:p>
        </w:tc>
      </w:tr>
      <w:tr w:rsidR="002A0C0C" w:rsidTr="002A0C0C">
        <w:tc>
          <w:tcPr>
            <w:tcW w:w="3080" w:type="dxa"/>
          </w:tcPr>
          <w:p w:rsidR="002A0C0C" w:rsidRDefault="002A0C0C" w:rsidP="002A0C0C">
            <w:r>
              <w:rPr>
                <w:rFonts w:ascii="Arial" w:hAnsi="Arial" w:cs="Arial"/>
                <w:sz w:val="24"/>
                <w:szCs w:val="24"/>
              </w:rPr>
              <w:t>Deprivation – IDACI 6</w:t>
            </w:r>
            <w:r w:rsidRPr="00224801">
              <w:rPr>
                <w:rFonts w:ascii="Arial" w:hAnsi="Arial" w:cs="Arial"/>
                <w:sz w:val="24"/>
                <w:szCs w:val="24"/>
              </w:rPr>
              <w:t xml:space="preserve"> 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894</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924</w:t>
            </w:r>
          </w:p>
        </w:tc>
      </w:tr>
      <w:tr w:rsidR="002A0C0C" w:rsidTr="002A0C0C">
        <w:tc>
          <w:tcPr>
            <w:tcW w:w="3080" w:type="dxa"/>
          </w:tcPr>
          <w:p w:rsidR="002A0C0C" w:rsidRPr="00BE4677" w:rsidRDefault="002A0C0C" w:rsidP="002A0C0C">
            <w:pPr>
              <w:rPr>
                <w:rFonts w:ascii="Arial" w:hAnsi="Arial" w:cs="Arial"/>
                <w:sz w:val="24"/>
                <w:szCs w:val="24"/>
              </w:rPr>
            </w:pPr>
            <w:r>
              <w:rPr>
                <w:rFonts w:ascii="Arial" w:hAnsi="Arial" w:cs="Arial"/>
                <w:sz w:val="24"/>
                <w:szCs w:val="24"/>
              </w:rPr>
              <w:t>Looked After Children - Primary</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1,009</w:t>
            </w:r>
          </w:p>
        </w:tc>
        <w:tc>
          <w:tcPr>
            <w:tcW w:w="3081" w:type="dxa"/>
          </w:tcPr>
          <w:p w:rsidR="002A0C0C" w:rsidRPr="00BE4677" w:rsidRDefault="002A0C0C" w:rsidP="002A0C0C">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w:t>
            </w:r>
          </w:p>
        </w:tc>
      </w:tr>
      <w:tr w:rsidR="002A0C0C" w:rsidTr="002A0C0C">
        <w:tc>
          <w:tcPr>
            <w:tcW w:w="3080" w:type="dxa"/>
          </w:tcPr>
          <w:p w:rsidR="002A0C0C" w:rsidRDefault="002A0C0C" w:rsidP="002A0C0C">
            <w:pPr>
              <w:rPr>
                <w:rFonts w:ascii="Arial" w:hAnsi="Arial" w:cs="Arial"/>
                <w:sz w:val="24"/>
                <w:szCs w:val="24"/>
              </w:rPr>
            </w:pPr>
            <w:r>
              <w:rPr>
                <w:rFonts w:ascii="Arial" w:hAnsi="Arial" w:cs="Arial"/>
                <w:sz w:val="24"/>
                <w:szCs w:val="24"/>
              </w:rPr>
              <w:t>Looked After Children - 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1,009</w:t>
            </w:r>
          </w:p>
        </w:tc>
        <w:tc>
          <w:tcPr>
            <w:tcW w:w="3081" w:type="dxa"/>
          </w:tcPr>
          <w:p w:rsidR="002A0C0C" w:rsidRDefault="002A0C0C" w:rsidP="002A0C0C">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w:t>
            </w:r>
          </w:p>
        </w:tc>
      </w:tr>
      <w:tr w:rsidR="002A0C0C" w:rsidTr="002A0C0C">
        <w:tc>
          <w:tcPr>
            <w:tcW w:w="3080" w:type="dxa"/>
          </w:tcPr>
          <w:p w:rsidR="002A0C0C" w:rsidRPr="00BE4677" w:rsidRDefault="002A0C0C" w:rsidP="002A0C0C">
            <w:pPr>
              <w:rPr>
                <w:rFonts w:ascii="Arial" w:hAnsi="Arial" w:cs="Arial"/>
                <w:sz w:val="24"/>
                <w:szCs w:val="24"/>
              </w:rPr>
            </w:pPr>
            <w:r>
              <w:rPr>
                <w:rFonts w:ascii="Arial" w:hAnsi="Arial" w:cs="Arial"/>
                <w:sz w:val="24"/>
                <w:szCs w:val="24"/>
              </w:rPr>
              <w:t>Low cost high incident SEN - Primary</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878</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892</w:t>
            </w:r>
          </w:p>
        </w:tc>
      </w:tr>
      <w:tr w:rsidR="002A0C0C" w:rsidTr="002A0C0C">
        <w:tc>
          <w:tcPr>
            <w:tcW w:w="3080" w:type="dxa"/>
          </w:tcPr>
          <w:p w:rsidR="002A0C0C" w:rsidRDefault="002A0C0C" w:rsidP="002A0C0C">
            <w:pPr>
              <w:rPr>
                <w:rFonts w:ascii="Arial" w:hAnsi="Arial" w:cs="Arial"/>
                <w:sz w:val="24"/>
                <w:szCs w:val="24"/>
              </w:rPr>
            </w:pPr>
            <w:r>
              <w:rPr>
                <w:rFonts w:ascii="Arial" w:hAnsi="Arial" w:cs="Arial"/>
                <w:sz w:val="24"/>
                <w:szCs w:val="24"/>
              </w:rPr>
              <w:t>Low cost high incident SEN - 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1,961</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1050</w:t>
            </w:r>
          </w:p>
        </w:tc>
      </w:tr>
      <w:tr w:rsidR="002A0C0C" w:rsidTr="002A0C0C">
        <w:tc>
          <w:tcPr>
            <w:tcW w:w="3080" w:type="dxa"/>
          </w:tcPr>
          <w:p w:rsidR="002A0C0C" w:rsidRPr="00BE4677" w:rsidRDefault="002A0C0C" w:rsidP="002A0C0C">
            <w:pPr>
              <w:rPr>
                <w:rFonts w:ascii="Arial" w:hAnsi="Arial" w:cs="Arial"/>
                <w:sz w:val="24"/>
                <w:szCs w:val="24"/>
              </w:rPr>
            </w:pPr>
            <w:r>
              <w:rPr>
                <w:rFonts w:ascii="Arial" w:hAnsi="Arial" w:cs="Arial"/>
                <w:sz w:val="24"/>
                <w:szCs w:val="24"/>
              </w:rPr>
              <w:t>English as an additional language - Primary</w:t>
            </w:r>
          </w:p>
        </w:tc>
        <w:tc>
          <w:tcPr>
            <w:tcW w:w="3081" w:type="dxa"/>
          </w:tcPr>
          <w:p w:rsidR="002A0C0C" w:rsidRPr="00BE4677" w:rsidRDefault="002A0C0C" w:rsidP="002A0C0C">
            <w:pPr>
              <w:jc w:val="center"/>
              <w:rPr>
                <w:rFonts w:ascii="Arial" w:hAnsi="Arial" w:cs="Arial"/>
                <w:sz w:val="24"/>
                <w:szCs w:val="24"/>
              </w:rPr>
            </w:pPr>
            <w:r>
              <w:rPr>
                <w:rFonts w:ascii="Arial" w:hAnsi="Arial" w:cs="Arial"/>
                <w:sz w:val="24"/>
                <w:szCs w:val="24"/>
              </w:rPr>
              <w:t>505</w:t>
            </w:r>
          </w:p>
        </w:tc>
        <w:tc>
          <w:tcPr>
            <w:tcW w:w="3081" w:type="dxa"/>
          </w:tcPr>
          <w:p w:rsidR="002A0C0C" w:rsidRPr="00BE4677" w:rsidRDefault="002A0C0C" w:rsidP="002A0C0C">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w:t>
            </w:r>
          </w:p>
        </w:tc>
      </w:tr>
      <w:tr w:rsidR="002A0C0C" w:rsidTr="002A0C0C">
        <w:tc>
          <w:tcPr>
            <w:tcW w:w="3080" w:type="dxa"/>
          </w:tcPr>
          <w:p w:rsidR="002A0C0C" w:rsidRPr="00BE4677" w:rsidRDefault="002A0C0C" w:rsidP="002A0C0C">
            <w:pPr>
              <w:rPr>
                <w:rFonts w:ascii="Arial" w:hAnsi="Arial" w:cs="Arial"/>
                <w:sz w:val="24"/>
                <w:szCs w:val="24"/>
              </w:rPr>
            </w:pPr>
            <w:r>
              <w:rPr>
                <w:rFonts w:ascii="Arial" w:hAnsi="Arial" w:cs="Arial"/>
                <w:sz w:val="24"/>
                <w:szCs w:val="24"/>
              </w:rPr>
              <w:t>English as an additional language - 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1,216</w:t>
            </w:r>
          </w:p>
          <w:p w:rsidR="002A0C0C" w:rsidRPr="00BE4677" w:rsidRDefault="002A0C0C" w:rsidP="002A0C0C">
            <w:pPr>
              <w:jc w:val="center"/>
              <w:rPr>
                <w:rFonts w:ascii="Arial" w:hAnsi="Arial" w:cs="Arial"/>
                <w:sz w:val="24"/>
                <w:szCs w:val="24"/>
              </w:rPr>
            </w:pPr>
          </w:p>
        </w:tc>
        <w:tc>
          <w:tcPr>
            <w:tcW w:w="3081" w:type="dxa"/>
          </w:tcPr>
          <w:p w:rsidR="002A0C0C" w:rsidRPr="00BE4677" w:rsidRDefault="002A0C0C" w:rsidP="002A0C0C">
            <w:pPr>
              <w:rPr>
                <w:rFonts w:ascii="Arial" w:hAnsi="Arial" w:cs="Arial"/>
                <w:sz w:val="24"/>
                <w:szCs w:val="24"/>
              </w:rPr>
            </w:pPr>
            <w:r>
              <w:rPr>
                <w:rFonts w:ascii="Arial" w:hAnsi="Arial" w:cs="Arial"/>
                <w:sz w:val="24"/>
                <w:szCs w:val="24"/>
              </w:rPr>
              <w:t>Following discussions with the Schools Forum Formula Funding Working Party the decision was made not to use this factor</w:t>
            </w:r>
          </w:p>
        </w:tc>
      </w:tr>
      <w:tr w:rsidR="002A0C0C" w:rsidTr="002A0C0C">
        <w:tc>
          <w:tcPr>
            <w:tcW w:w="3080" w:type="dxa"/>
          </w:tcPr>
          <w:p w:rsidR="002A0C0C" w:rsidRDefault="002A0C0C" w:rsidP="002A0C0C">
            <w:pPr>
              <w:rPr>
                <w:rFonts w:ascii="Arial" w:hAnsi="Arial" w:cs="Arial"/>
                <w:sz w:val="24"/>
                <w:szCs w:val="24"/>
              </w:rPr>
            </w:pPr>
            <w:r>
              <w:rPr>
                <w:rFonts w:ascii="Arial" w:hAnsi="Arial" w:cs="Arial"/>
                <w:sz w:val="24"/>
                <w:szCs w:val="24"/>
              </w:rPr>
              <w:t>Lump Sum - Primary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117,082</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102,000</w:t>
            </w:r>
          </w:p>
        </w:tc>
      </w:tr>
      <w:tr w:rsidR="002A0C0C" w:rsidTr="002A0C0C">
        <w:tc>
          <w:tcPr>
            <w:tcW w:w="3080" w:type="dxa"/>
          </w:tcPr>
          <w:p w:rsidR="002A0C0C" w:rsidRDefault="002A0C0C" w:rsidP="002A0C0C">
            <w:pPr>
              <w:rPr>
                <w:rFonts w:ascii="Arial" w:hAnsi="Arial" w:cs="Arial"/>
                <w:sz w:val="24"/>
                <w:szCs w:val="24"/>
              </w:rPr>
            </w:pPr>
            <w:r>
              <w:rPr>
                <w:rFonts w:ascii="Arial" w:hAnsi="Arial" w:cs="Arial"/>
                <w:sz w:val="24"/>
                <w:szCs w:val="24"/>
              </w:rPr>
              <w:t>Lump Sum - 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128,189</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102,000</w:t>
            </w:r>
          </w:p>
        </w:tc>
      </w:tr>
      <w:tr w:rsidR="002A0C0C" w:rsidTr="002A0C0C">
        <w:tc>
          <w:tcPr>
            <w:tcW w:w="3080" w:type="dxa"/>
          </w:tcPr>
          <w:p w:rsidR="002A0C0C" w:rsidRDefault="002A0C0C" w:rsidP="002A0C0C">
            <w:pPr>
              <w:rPr>
                <w:rFonts w:ascii="Arial" w:hAnsi="Arial" w:cs="Arial"/>
                <w:sz w:val="24"/>
                <w:szCs w:val="24"/>
              </w:rPr>
            </w:pPr>
            <w:r>
              <w:rPr>
                <w:rFonts w:ascii="Arial" w:hAnsi="Arial" w:cs="Arial"/>
                <w:sz w:val="24"/>
                <w:szCs w:val="24"/>
              </w:rPr>
              <w:t>Sparsity factor - Primary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53,988 tapered</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100,000 tapered</w:t>
            </w:r>
          </w:p>
        </w:tc>
      </w:tr>
      <w:tr w:rsidR="002A0C0C" w:rsidTr="002A0C0C">
        <w:tc>
          <w:tcPr>
            <w:tcW w:w="3080" w:type="dxa"/>
          </w:tcPr>
          <w:p w:rsidR="002A0C0C" w:rsidRDefault="002A0C0C" w:rsidP="002A0C0C">
            <w:pPr>
              <w:rPr>
                <w:rFonts w:ascii="Arial" w:hAnsi="Arial" w:cs="Arial"/>
                <w:sz w:val="24"/>
                <w:szCs w:val="24"/>
              </w:rPr>
            </w:pPr>
            <w:r>
              <w:rPr>
                <w:rFonts w:ascii="Arial" w:hAnsi="Arial" w:cs="Arial"/>
                <w:sz w:val="24"/>
                <w:szCs w:val="24"/>
              </w:rPr>
              <w:t>Sparsity factor - Secondary</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53,988 tapered</w:t>
            </w:r>
          </w:p>
        </w:tc>
        <w:tc>
          <w:tcPr>
            <w:tcW w:w="3081" w:type="dxa"/>
          </w:tcPr>
          <w:p w:rsidR="002A0C0C" w:rsidRDefault="002A0C0C" w:rsidP="002A0C0C">
            <w:pPr>
              <w:jc w:val="center"/>
              <w:rPr>
                <w:rFonts w:ascii="Arial" w:hAnsi="Arial" w:cs="Arial"/>
                <w:sz w:val="24"/>
                <w:szCs w:val="24"/>
              </w:rPr>
            </w:pPr>
            <w:r>
              <w:rPr>
                <w:rFonts w:ascii="Arial" w:hAnsi="Arial" w:cs="Arial"/>
                <w:sz w:val="24"/>
                <w:szCs w:val="24"/>
              </w:rPr>
              <w:t>N/A</w:t>
            </w:r>
          </w:p>
        </w:tc>
      </w:tr>
    </w:tbl>
    <w:p w:rsidR="002A0C0C" w:rsidRDefault="002A0C0C" w:rsidP="002A0C0C">
      <w:pPr>
        <w:rPr>
          <w:rFonts w:ascii="Arial" w:hAnsi="Arial" w:cs="Arial"/>
          <w:sz w:val="24"/>
          <w:szCs w:val="24"/>
        </w:rPr>
      </w:pPr>
    </w:p>
    <w:p w:rsidR="00FE0724" w:rsidRDefault="00FE0724" w:rsidP="00503BE1">
      <w:pPr>
        <w:pStyle w:val="ListParagraph"/>
        <w:ind w:left="0"/>
        <w:rPr>
          <w:rFonts w:ascii="Arial" w:hAnsi="Arial" w:cs="Arial"/>
          <w:sz w:val="24"/>
          <w:szCs w:val="24"/>
        </w:rPr>
      </w:pPr>
    </w:p>
    <w:p w:rsidR="00FE0724" w:rsidRDefault="00FE0724" w:rsidP="00503BE1">
      <w:pPr>
        <w:pStyle w:val="ListParagraph"/>
        <w:ind w:left="0"/>
        <w:rPr>
          <w:rFonts w:ascii="Arial" w:hAnsi="Arial" w:cs="Arial"/>
          <w:sz w:val="24"/>
          <w:szCs w:val="24"/>
        </w:rPr>
      </w:pPr>
    </w:p>
    <w:p w:rsidR="00FE0724" w:rsidRDefault="00FE0724" w:rsidP="00503BE1">
      <w:pPr>
        <w:pStyle w:val="ListParagraph"/>
        <w:ind w:left="0"/>
        <w:rPr>
          <w:rFonts w:ascii="Arial" w:hAnsi="Arial" w:cs="Arial"/>
          <w:sz w:val="24"/>
          <w:szCs w:val="24"/>
        </w:rPr>
      </w:pPr>
    </w:p>
    <w:p w:rsidR="00FE0724" w:rsidRDefault="00FE0724" w:rsidP="00503BE1">
      <w:pPr>
        <w:pStyle w:val="ListParagraph"/>
        <w:ind w:left="0"/>
        <w:rPr>
          <w:rFonts w:ascii="Arial" w:hAnsi="Arial" w:cs="Arial"/>
          <w:sz w:val="24"/>
          <w:szCs w:val="24"/>
        </w:rPr>
      </w:pPr>
    </w:p>
    <w:p w:rsidR="00682B6E" w:rsidRDefault="00682B6E"/>
    <w:p w:rsidR="00252365" w:rsidRDefault="00252365"/>
    <w:p w:rsidR="00252365" w:rsidRDefault="00252365"/>
    <w:p w:rsidR="00FE0724" w:rsidRDefault="00FE0724"/>
    <w:p w:rsidR="002114DC" w:rsidRDefault="002114DC" w:rsidP="002114DC">
      <w:pPr>
        <w:jc w:val="right"/>
        <w:rPr>
          <w:rFonts w:ascii="Arial" w:hAnsi="Arial" w:cs="Arial"/>
          <w:b/>
          <w:sz w:val="24"/>
          <w:szCs w:val="24"/>
          <w:u w:val="single"/>
        </w:rPr>
      </w:pPr>
      <w:r>
        <w:rPr>
          <w:rFonts w:ascii="Arial" w:hAnsi="Arial" w:cs="Arial"/>
          <w:b/>
          <w:sz w:val="24"/>
          <w:szCs w:val="24"/>
          <w:u w:val="single"/>
        </w:rPr>
        <w:lastRenderedPageBreak/>
        <w:t>Appendix B</w:t>
      </w:r>
    </w:p>
    <w:p w:rsidR="00E76CC7" w:rsidRPr="002114DC" w:rsidRDefault="002114DC" w:rsidP="002114DC">
      <w:pPr>
        <w:jc w:val="center"/>
        <w:rPr>
          <w:rFonts w:ascii="Arial" w:hAnsi="Arial" w:cs="Arial"/>
          <w:b/>
          <w:sz w:val="24"/>
          <w:szCs w:val="24"/>
          <w:u w:val="single"/>
        </w:rPr>
      </w:pPr>
      <w:r w:rsidRPr="002114DC">
        <w:rPr>
          <w:rFonts w:ascii="Arial" w:hAnsi="Arial" w:cs="Arial"/>
          <w:b/>
          <w:sz w:val="24"/>
          <w:szCs w:val="24"/>
          <w:u w:val="single"/>
        </w:rPr>
        <w:t>Centrally Retained Services</w:t>
      </w:r>
      <w:r>
        <w:rPr>
          <w:rFonts w:ascii="Arial" w:hAnsi="Arial" w:cs="Arial"/>
          <w:b/>
          <w:sz w:val="24"/>
          <w:szCs w:val="24"/>
          <w:u w:val="single"/>
        </w:rPr>
        <w:t xml:space="preserve"> - Expenditure position</w:t>
      </w:r>
    </w:p>
    <w:p w:rsidR="002114DC" w:rsidRDefault="002114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9"/>
        <w:gridCol w:w="4323"/>
      </w:tblGrid>
      <w:tr w:rsidR="002114DC" w:rsidRPr="002114DC" w:rsidTr="00B76D79">
        <w:tc>
          <w:tcPr>
            <w:tcW w:w="4199" w:type="dxa"/>
            <w:shd w:val="clear" w:color="auto" w:fill="auto"/>
          </w:tcPr>
          <w:p w:rsidR="002114DC" w:rsidRPr="002114DC" w:rsidRDefault="002114DC" w:rsidP="002114DC">
            <w:pPr>
              <w:spacing w:after="0" w:line="240" w:lineRule="auto"/>
              <w:rPr>
                <w:rFonts w:ascii="Arial" w:eastAsia="Calibri" w:hAnsi="Arial" w:cs="Arial"/>
                <w:sz w:val="24"/>
                <w:szCs w:val="24"/>
              </w:rPr>
            </w:pPr>
            <w:r w:rsidRPr="002114DC">
              <w:rPr>
                <w:rFonts w:ascii="Arial" w:eastAsia="Calibri" w:hAnsi="Arial" w:cs="Arial"/>
                <w:sz w:val="24"/>
                <w:szCs w:val="24"/>
              </w:rPr>
              <w:t>Can be centrally retained before allocating formula with agreement of schools forum</w:t>
            </w:r>
          </w:p>
        </w:tc>
        <w:tc>
          <w:tcPr>
            <w:tcW w:w="4323" w:type="dxa"/>
            <w:shd w:val="clear" w:color="auto" w:fill="auto"/>
          </w:tcPr>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Funding for significant pre-16 pupil growth</w:t>
            </w:r>
            <w:r w:rsidR="00964AF0" w:rsidRPr="00964AF0">
              <w:rPr>
                <w:rFonts w:ascii="Arial" w:eastAsia="Calibri" w:hAnsi="Arial" w:cs="Arial"/>
                <w:sz w:val="24"/>
                <w:szCs w:val="24"/>
              </w:rPr>
              <w:t>, includin</w:t>
            </w:r>
            <w:r w:rsidRPr="002114DC">
              <w:rPr>
                <w:rFonts w:ascii="Arial" w:eastAsia="Calibri" w:hAnsi="Arial" w:cs="Arial"/>
                <w:sz w:val="24"/>
                <w:szCs w:val="24"/>
              </w:rPr>
              <w:t>g new schools set up to meet basic need, whether maintained</w:t>
            </w:r>
            <w:r w:rsidR="00964AF0" w:rsidRPr="00964AF0">
              <w:rPr>
                <w:rFonts w:ascii="Arial" w:eastAsia="Calibri" w:hAnsi="Arial" w:cs="Arial"/>
                <w:sz w:val="24"/>
                <w:szCs w:val="24"/>
              </w:rPr>
              <w:t xml:space="preserve"> or</w:t>
            </w:r>
            <w:r w:rsidRPr="002114DC">
              <w:rPr>
                <w:rFonts w:ascii="Arial" w:eastAsia="Calibri" w:hAnsi="Arial" w:cs="Arial"/>
                <w:sz w:val="24"/>
                <w:szCs w:val="24"/>
              </w:rPr>
              <w:t xml:space="preserve"> academy</w:t>
            </w:r>
            <w:r w:rsidR="00964AF0" w:rsidRPr="00964AF0">
              <w:rPr>
                <w:rFonts w:ascii="Arial" w:eastAsia="Calibri" w:hAnsi="Arial" w:cs="Arial"/>
                <w:sz w:val="24"/>
                <w:szCs w:val="24"/>
              </w:rPr>
              <w:t>.</w:t>
            </w:r>
            <w:r w:rsidRPr="002114DC">
              <w:rPr>
                <w:rFonts w:ascii="Arial" w:eastAsia="Calibri" w:hAnsi="Arial" w:cs="Arial"/>
                <w:sz w:val="24"/>
                <w:szCs w:val="24"/>
              </w:rPr>
              <w:t xml:space="preserve"> </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Funding to enable all schools to meet the infant class size requirement.</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xml:space="preserve"> Funding for </w:t>
            </w:r>
            <w:r w:rsidR="00964AF0" w:rsidRPr="00964AF0">
              <w:rPr>
                <w:rFonts w:ascii="Arial" w:eastAsia="Calibri" w:hAnsi="Arial" w:cs="Arial"/>
                <w:sz w:val="24"/>
                <w:szCs w:val="24"/>
              </w:rPr>
              <w:t xml:space="preserve">good or outstanding schools with </w:t>
            </w:r>
            <w:r w:rsidRPr="002114DC">
              <w:rPr>
                <w:rFonts w:ascii="Arial" w:eastAsia="Calibri" w:hAnsi="Arial" w:cs="Arial"/>
                <w:sz w:val="24"/>
                <w:szCs w:val="24"/>
              </w:rPr>
              <w:t xml:space="preserve">falling rolls </w:t>
            </w:r>
            <w:r w:rsidR="00964AF0" w:rsidRPr="00964AF0">
              <w:rPr>
                <w:rFonts w:ascii="Arial" w:eastAsia="Calibri" w:hAnsi="Arial" w:cs="Arial"/>
                <w:sz w:val="24"/>
                <w:szCs w:val="24"/>
              </w:rPr>
              <w:t xml:space="preserve">where growth in pupil numbers is expected within 3 years. </w:t>
            </w:r>
            <w:r w:rsidRPr="002114DC">
              <w:rPr>
                <w:rFonts w:ascii="Arial" w:eastAsia="Calibri" w:hAnsi="Arial" w:cs="Arial"/>
                <w:sz w:val="24"/>
                <w:szCs w:val="24"/>
              </w:rPr>
              <w:t xml:space="preserve"> </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xml:space="preserve"> </w:t>
            </w:r>
            <w:r w:rsidR="00964AF0" w:rsidRPr="00964AF0">
              <w:rPr>
                <w:rFonts w:ascii="Arial" w:eastAsia="Calibri" w:hAnsi="Arial" w:cs="Arial"/>
                <w:sz w:val="24"/>
                <w:szCs w:val="24"/>
              </w:rPr>
              <w:t>Back pay for e</w:t>
            </w:r>
            <w:r w:rsidRPr="002114DC">
              <w:rPr>
                <w:rFonts w:ascii="Arial" w:eastAsia="Calibri" w:hAnsi="Arial" w:cs="Arial"/>
                <w:sz w:val="24"/>
                <w:szCs w:val="24"/>
              </w:rPr>
              <w:t xml:space="preserve">qual pay </w:t>
            </w:r>
            <w:r w:rsidR="00964AF0" w:rsidRPr="00964AF0">
              <w:rPr>
                <w:rFonts w:ascii="Arial" w:eastAsia="Calibri" w:hAnsi="Arial" w:cs="Arial"/>
                <w:sz w:val="24"/>
                <w:szCs w:val="24"/>
              </w:rPr>
              <w:t>claims</w:t>
            </w:r>
            <w:r w:rsidRPr="002114DC">
              <w:rPr>
                <w:rFonts w:ascii="Arial" w:eastAsia="Calibri" w:hAnsi="Arial" w:cs="Arial"/>
                <w:sz w:val="24"/>
                <w:szCs w:val="24"/>
              </w:rPr>
              <w:t>.</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xml:space="preserve"> Remission of boarding fees at maintained schools and academies. </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xml:space="preserve"> </w:t>
            </w:r>
            <w:r w:rsidR="00484775" w:rsidRPr="00964AF0">
              <w:rPr>
                <w:rFonts w:ascii="Arial" w:eastAsia="Calibri" w:hAnsi="Arial" w:cs="Arial"/>
                <w:sz w:val="24"/>
                <w:szCs w:val="24"/>
              </w:rPr>
              <w:t>Places in independent schools for non-SEN pupils.</w:t>
            </w:r>
          </w:p>
          <w:p w:rsidR="002114DC" w:rsidRPr="002114DC" w:rsidRDefault="002114DC" w:rsidP="002114DC">
            <w:pPr>
              <w:autoSpaceDE w:val="0"/>
              <w:autoSpaceDN w:val="0"/>
              <w:adjustRightInd w:val="0"/>
              <w:spacing w:after="0" w:line="240" w:lineRule="auto"/>
              <w:rPr>
                <w:rFonts w:ascii="Arial" w:eastAsia="Calibri" w:hAnsi="Arial" w:cs="Arial"/>
                <w:color w:val="000000"/>
                <w:sz w:val="24"/>
                <w:szCs w:val="24"/>
              </w:rPr>
            </w:pPr>
          </w:p>
        </w:tc>
      </w:tr>
      <w:tr w:rsidR="002114DC" w:rsidRPr="002114DC" w:rsidTr="00B76D79">
        <w:tc>
          <w:tcPr>
            <w:tcW w:w="4199" w:type="dxa"/>
            <w:shd w:val="clear" w:color="auto" w:fill="auto"/>
          </w:tcPr>
          <w:p w:rsidR="002114DC" w:rsidRPr="002114DC" w:rsidRDefault="002114DC" w:rsidP="002114DC">
            <w:pPr>
              <w:spacing w:after="0" w:line="240" w:lineRule="auto"/>
              <w:rPr>
                <w:rFonts w:ascii="Arial" w:eastAsia="Calibri" w:hAnsi="Arial" w:cs="Arial"/>
                <w:sz w:val="24"/>
                <w:szCs w:val="24"/>
              </w:rPr>
            </w:pPr>
            <w:r w:rsidRPr="002114DC">
              <w:rPr>
                <w:rFonts w:ascii="Arial" w:eastAsia="Calibri" w:hAnsi="Arial" w:cs="Arial"/>
                <w:sz w:val="24"/>
                <w:szCs w:val="24"/>
              </w:rPr>
              <w:t xml:space="preserve">Can be centrally retained before allocating formula but </w:t>
            </w:r>
            <w:r w:rsidRPr="002114DC">
              <w:rPr>
                <w:rFonts w:ascii="Arial" w:eastAsia="Calibri" w:hAnsi="Arial" w:cs="Arial"/>
                <w:b/>
                <w:sz w:val="24"/>
                <w:szCs w:val="24"/>
              </w:rPr>
              <w:t xml:space="preserve">no increases in expenditure </w:t>
            </w:r>
            <w:r w:rsidRPr="002114DC">
              <w:rPr>
                <w:rFonts w:ascii="Arial" w:eastAsia="Calibri" w:hAnsi="Arial" w:cs="Arial"/>
                <w:sz w:val="24"/>
                <w:szCs w:val="24"/>
              </w:rPr>
              <w:t>from 201</w:t>
            </w:r>
            <w:r>
              <w:rPr>
                <w:rFonts w:ascii="Arial" w:eastAsia="Calibri" w:hAnsi="Arial" w:cs="Arial"/>
                <w:sz w:val="24"/>
                <w:szCs w:val="24"/>
              </w:rPr>
              <w:t>4</w:t>
            </w:r>
            <w:r w:rsidRPr="002114DC">
              <w:rPr>
                <w:rFonts w:ascii="Arial" w:eastAsia="Calibri" w:hAnsi="Arial" w:cs="Arial"/>
                <w:sz w:val="24"/>
                <w:szCs w:val="24"/>
              </w:rPr>
              <w:t>-1</w:t>
            </w:r>
            <w:r>
              <w:rPr>
                <w:rFonts w:ascii="Arial" w:eastAsia="Calibri" w:hAnsi="Arial" w:cs="Arial"/>
                <w:sz w:val="24"/>
                <w:szCs w:val="24"/>
              </w:rPr>
              <w:t>5</w:t>
            </w:r>
            <w:r w:rsidRPr="002114DC">
              <w:rPr>
                <w:rFonts w:ascii="Arial" w:eastAsia="Calibri" w:hAnsi="Arial" w:cs="Arial"/>
                <w:sz w:val="24"/>
                <w:szCs w:val="24"/>
              </w:rPr>
              <w:t xml:space="preserve"> (schools forum approval is required to confirm the amounts on each line)</w:t>
            </w:r>
          </w:p>
        </w:tc>
        <w:tc>
          <w:tcPr>
            <w:tcW w:w="4323" w:type="dxa"/>
            <w:shd w:val="clear" w:color="auto" w:fill="auto"/>
          </w:tcPr>
          <w:p w:rsidR="002114DC" w:rsidRPr="002114DC" w:rsidRDefault="002114DC" w:rsidP="002114DC">
            <w:pPr>
              <w:autoSpaceDE w:val="0"/>
              <w:autoSpaceDN w:val="0"/>
              <w:adjustRightInd w:val="0"/>
              <w:spacing w:after="0" w:line="240" w:lineRule="auto"/>
              <w:rPr>
                <w:rFonts w:ascii="Arial" w:eastAsia="Calibri" w:hAnsi="Arial" w:cs="Arial"/>
                <w:color w:val="000000"/>
                <w:sz w:val="24"/>
                <w:szCs w:val="24"/>
              </w:rPr>
            </w:pPr>
            <w:r w:rsidRPr="002114DC">
              <w:rPr>
                <w:rFonts w:ascii="Arial" w:eastAsia="Calibri" w:hAnsi="Arial" w:cs="Arial"/>
                <w:color w:val="000000"/>
                <w:sz w:val="24"/>
                <w:szCs w:val="24"/>
              </w:rPr>
              <w:t xml:space="preserve"> Admissions. </w:t>
            </w:r>
          </w:p>
          <w:p w:rsidR="002114DC" w:rsidRPr="002114DC" w:rsidRDefault="002114DC" w:rsidP="002114DC">
            <w:pPr>
              <w:autoSpaceDE w:val="0"/>
              <w:autoSpaceDN w:val="0"/>
              <w:adjustRightInd w:val="0"/>
              <w:spacing w:after="0" w:line="240" w:lineRule="auto"/>
              <w:rPr>
                <w:rFonts w:ascii="Arial" w:eastAsia="Calibri" w:hAnsi="Arial" w:cs="Arial"/>
                <w:color w:val="000000"/>
                <w:sz w:val="24"/>
                <w:szCs w:val="24"/>
              </w:rPr>
            </w:pPr>
            <w:r w:rsidRPr="002114DC">
              <w:rPr>
                <w:rFonts w:ascii="Arial" w:eastAsia="Calibri" w:hAnsi="Arial" w:cs="Arial"/>
                <w:color w:val="000000"/>
                <w:sz w:val="24"/>
                <w:szCs w:val="24"/>
              </w:rPr>
              <w:t xml:space="preserve"> Servicing of schools forum. </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p>
        </w:tc>
      </w:tr>
      <w:tr w:rsidR="002114DC" w:rsidRPr="002114DC" w:rsidTr="00B76D79">
        <w:tc>
          <w:tcPr>
            <w:tcW w:w="4199" w:type="dxa"/>
            <w:shd w:val="clear" w:color="auto" w:fill="auto"/>
          </w:tcPr>
          <w:p w:rsidR="002114DC" w:rsidRPr="002114DC" w:rsidRDefault="002114DC" w:rsidP="002114DC">
            <w:pPr>
              <w:spacing w:after="0" w:line="240" w:lineRule="auto"/>
              <w:rPr>
                <w:rFonts w:ascii="Arial" w:eastAsia="Calibri" w:hAnsi="Arial" w:cs="Arial"/>
                <w:sz w:val="24"/>
                <w:szCs w:val="24"/>
              </w:rPr>
            </w:pPr>
            <w:r w:rsidRPr="002114DC">
              <w:rPr>
                <w:rFonts w:ascii="Arial" w:eastAsia="Calibri" w:hAnsi="Arial" w:cs="Arial"/>
                <w:sz w:val="24"/>
                <w:szCs w:val="24"/>
              </w:rPr>
              <w:t xml:space="preserve">Can be centrally retained before allocating formula but </w:t>
            </w:r>
            <w:r w:rsidRPr="002114DC">
              <w:rPr>
                <w:rFonts w:ascii="Arial" w:eastAsia="Calibri" w:hAnsi="Arial" w:cs="Arial"/>
                <w:b/>
                <w:sz w:val="24"/>
                <w:szCs w:val="24"/>
              </w:rPr>
              <w:t xml:space="preserve">no </w:t>
            </w:r>
            <w:r>
              <w:rPr>
                <w:rFonts w:ascii="Arial" w:eastAsia="Calibri" w:hAnsi="Arial" w:cs="Arial"/>
                <w:b/>
                <w:sz w:val="24"/>
                <w:szCs w:val="24"/>
              </w:rPr>
              <w:t xml:space="preserve">new commitments or </w:t>
            </w:r>
            <w:r w:rsidRPr="002114DC">
              <w:rPr>
                <w:rFonts w:ascii="Arial" w:eastAsia="Calibri" w:hAnsi="Arial" w:cs="Arial"/>
                <w:b/>
                <w:sz w:val="24"/>
                <w:szCs w:val="24"/>
              </w:rPr>
              <w:t xml:space="preserve">increases in expenditure </w:t>
            </w:r>
            <w:r w:rsidRPr="002114DC">
              <w:rPr>
                <w:rFonts w:ascii="Arial" w:eastAsia="Calibri" w:hAnsi="Arial" w:cs="Arial"/>
                <w:sz w:val="24"/>
                <w:szCs w:val="24"/>
              </w:rPr>
              <w:t>from 201</w:t>
            </w:r>
            <w:r>
              <w:rPr>
                <w:rFonts w:ascii="Arial" w:eastAsia="Calibri" w:hAnsi="Arial" w:cs="Arial"/>
                <w:sz w:val="24"/>
                <w:szCs w:val="24"/>
              </w:rPr>
              <w:t>4</w:t>
            </w:r>
            <w:r w:rsidRPr="002114DC">
              <w:rPr>
                <w:rFonts w:ascii="Arial" w:eastAsia="Calibri" w:hAnsi="Arial" w:cs="Arial"/>
                <w:sz w:val="24"/>
                <w:szCs w:val="24"/>
              </w:rPr>
              <w:t>-1</w:t>
            </w:r>
            <w:r>
              <w:rPr>
                <w:rFonts w:ascii="Arial" w:eastAsia="Calibri" w:hAnsi="Arial" w:cs="Arial"/>
                <w:sz w:val="24"/>
                <w:szCs w:val="24"/>
              </w:rPr>
              <w:t>5</w:t>
            </w:r>
            <w:r w:rsidRPr="002114DC">
              <w:rPr>
                <w:rFonts w:ascii="Arial" w:eastAsia="Calibri" w:hAnsi="Arial" w:cs="Arial"/>
                <w:sz w:val="24"/>
                <w:szCs w:val="24"/>
              </w:rPr>
              <w:t xml:space="preserve"> (schools forum approval is required to confirm the amounts on each line)</w:t>
            </w:r>
          </w:p>
        </w:tc>
        <w:tc>
          <w:tcPr>
            <w:tcW w:w="4323" w:type="dxa"/>
            <w:shd w:val="clear" w:color="auto" w:fill="auto"/>
          </w:tcPr>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Capital expenditure funded from revenue</w:t>
            </w:r>
            <w:r w:rsidR="00484775" w:rsidRPr="00484775">
              <w:rPr>
                <w:rFonts w:ascii="Arial" w:eastAsia="Calibri" w:hAnsi="Arial" w:cs="Arial"/>
                <w:sz w:val="24"/>
                <w:szCs w:val="24"/>
              </w:rPr>
              <w:t xml:space="preserve"> (i.e. no new projects can be charged to the central schools budget)</w:t>
            </w:r>
            <w:r w:rsidRPr="002114DC">
              <w:rPr>
                <w:rFonts w:ascii="Arial" w:eastAsia="Calibri" w:hAnsi="Arial" w:cs="Arial"/>
                <w:sz w:val="24"/>
                <w:szCs w:val="24"/>
              </w:rPr>
              <w:t xml:space="preserve">. </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Contribution to combined budgets.</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xml:space="preserve"> </w:t>
            </w:r>
            <w:r w:rsidR="00484775" w:rsidRPr="00484775">
              <w:rPr>
                <w:rFonts w:ascii="Arial" w:eastAsia="Calibri" w:hAnsi="Arial" w:cs="Arial"/>
                <w:sz w:val="24"/>
                <w:szCs w:val="24"/>
              </w:rPr>
              <w:t xml:space="preserve">Existing </w:t>
            </w:r>
            <w:r w:rsidRPr="002114DC">
              <w:rPr>
                <w:rFonts w:ascii="Arial" w:eastAsia="Calibri" w:hAnsi="Arial" w:cs="Arial"/>
                <w:sz w:val="24"/>
                <w:szCs w:val="24"/>
              </w:rPr>
              <w:t>termination of employment costs (</w:t>
            </w:r>
            <w:r w:rsidR="00484775" w:rsidRPr="00484775">
              <w:rPr>
                <w:rFonts w:ascii="Arial" w:eastAsia="Calibri" w:hAnsi="Arial" w:cs="Arial"/>
                <w:sz w:val="24"/>
                <w:szCs w:val="24"/>
              </w:rPr>
              <w:t xml:space="preserve">i.e. </w:t>
            </w:r>
            <w:r w:rsidRPr="002114DC">
              <w:rPr>
                <w:rFonts w:ascii="Arial" w:eastAsia="Calibri" w:hAnsi="Arial" w:cs="Arial"/>
                <w:sz w:val="24"/>
                <w:szCs w:val="24"/>
              </w:rPr>
              <w:t>no new redundancy costs can be charged to the central schools budget</w:t>
            </w:r>
            <w:r w:rsidR="00484775" w:rsidRPr="00484775">
              <w:rPr>
                <w:rFonts w:ascii="Arial" w:eastAsia="Calibri" w:hAnsi="Arial" w:cs="Arial"/>
                <w:sz w:val="24"/>
                <w:szCs w:val="24"/>
              </w:rPr>
              <w:t>)</w:t>
            </w:r>
            <w:r w:rsidRPr="002114DC">
              <w:rPr>
                <w:rFonts w:ascii="Arial" w:eastAsia="Calibri" w:hAnsi="Arial" w:cs="Arial"/>
                <w:sz w:val="24"/>
                <w:szCs w:val="24"/>
              </w:rPr>
              <w:t>.</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Schools budget funded prudential borrowing costs.</w:t>
            </w:r>
          </w:p>
          <w:p w:rsidR="002114DC" w:rsidRPr="002114DC" w:rsidRDefault="002114DC" w:rsidP="002114DC">
            <w:pPr>
              <w:autoSpaceDE w:val="0"/>
              <w:autoSpaceDN w:val="0"/>
              <w:adjustRightInd w:val="0"/>
              <w:spacing w:after="0" w:line="240" w:lineRule="auto"/>
              <w:rPr>
                <w:rFonts w:ascii="Arial" w:eastAsia="Calibri" w:hAnsi="Arial" w:cs="Arial"/>
                <w:sz w:val="24"/>
                <w:szCs w:val="24"/>
              </w:rPr>
            </w:pPr>
            <w:r w:rsidRPr="002114DC">
              <w:rPr>
                <w:rFonts w:ascii="Arial" w:eastAsia="Calibri" w:hAnsi="Arial" w:cs="Arial"/>
                <w:sz w:val="24"/>
                <w:szCs w:val="24"/>
              </w:rPr>
              <w:t> Schools budget funded SEN transport costs.</w:t>
            </w:r>
          </w:p>
          <w:p w:rsidR="002114DC" w:rsidRPr="002114DC" w:rsidRDefault="002114DC" w:rsidP="002114DC">
            <w:pPr>
              <w:autoSpaceDE w:val="0"/>
              <w:autoSpaceDN w:val="0"/>
              <w:adjustRightInd w:val="0"/>
              <w:spacing w:after="0" w:line="240" w:lineRule="auto"/>
              <w:rPr>
                <w:rFonts w:ascii="Arial" w:eastAsia="Calibri" w:hAnsi="Arial" w:cs="Arial"/>
                <w:color w:val="000000"/>
                <w:sz w:val="24"/>
                <w:szCs w:val="24"/>
              </w:rPr>
            </w:pPr>
          </w:p>
        </w:tc>
      </w:tr>
    </w:tbl>
    <w:p w:rsidR="002114DC" w:rsidRDefault="002114DC"/>
    <w:p w:rsidR="00484775" w:rsidRDefault="00484775"/>
    <w:p w:rsidR="00E76CC7" w:rsidRDefault="00E76CC7"/>
    <w:sectPr w:rsidR="00E76CC7" w:rsidSect="0013278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73" w:rsidRDefault="007B4073" w:rsidP="00184C05">
      <w:pPr>
        <w:spacing w:after="0" w:line="240" w:lineRule="auto"/>
      </w:pPr>
      <w:r>
        <w:separator/>
      </w:r>
    </w:p>
  </w:endnote>
  <w:endnote w:type="continuationSeparator" w:id="0">
    <w:p w:rsidR="007B4073" w:rsidRDefault="007B4073" w:rsidP="0018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73" w:rsidRDefault="007B4073" w:rsidP="00184C05">
      <w:pPr>
        <w:spacing w:after="0" w:line="240" w:lineRule="auto"/>
      </w:pPr>
      <w:r>
        <w:separator/>
      </w:r>
    </w:p>
  </w:footnote>
  <w:footnote w:type="continuationSeparator" w:id="0">
    <w:p w:rsidR="007B4073" w:rsidRDefault="007B4073" w:rsidP="00184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C05" w:rsidRPr="00184C05" w:rsidRDefault="00184C05" w:rsidP="00184C05">
    <w:pPr>
      <w:pStyle w:val="Header"/>
      <w:jc w:val="right"/>
      <w:rPr>
        <w:rFonts w:ascii="Arial" w:hAnsi="Arial" w:cs="Arial"/>
        <w:sz w:val="28"/>
        <w:szCs w:val="28"/>
      </w:rPr>
    </w:pPr>
    <w:r w:rsidRPr="00184C05">
      <w:rPr>
        <w:rFonts w:ascii="Arial" w:hAnsi="Arial" w:cs="Arial"/>
        <w:sz w:val="28"/>
        <w:szCs w:val="28"/>
      </w:rPr>
      <w:t>Item 26/14</w:t>
    </w:r>
  </w:p>
  <w:p w:rsidR="00184C05" w:rsidRDefault="00184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7AD"/>
    <w:multiLevelType w:val="hybridMultilevel"/>
    <w:tmpl w:val="1B32A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6C3EBE"/>
    <w:multiLevelType w:val="hybridMultilevel"/>
    <w:tmpl w:val="90A4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6C182F"/>
    <w:multiLevelType w:val="hybridMultilevel"/>
    <w:tmpl w:val="CAF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4E5477"/>
    <w:multiLevelType w:val="hybridMultilevel"/>
    <w:tmpl w:val="FBEE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0D6CD8"/>
    <w:multiLevelType w:val="hybridMultilevel"/>
    <w:tmpl w:val="EA7AE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455EE9"/>
    <w:multiLevelType w:val="hybridMultilevel"/>
    <w:tmpl w:val="95D8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6590F63"/>
    <w:multiLevelType w:val="hybridMultilevel"/>
    <w:tmpl w:val="FA7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F1149"/>
    <w:multiLevelType w:val="hybridMultilevel"/>
    <w:tmpl w:val="7A3CE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9FE4C1C"/>
    <w:multiLevelType w:val="hybridMultilevel"/>
    <w:tmpl w:val="0B88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11"/>
  </w:num>
  <w:num w:numId="6">
    <w:abstractNumId w:val="1"/>
  </w:num>
  <w:num w:numId="7">
    <w:abstractNumId w:val="0"/>
  </w:num>
  <w:num w:numId="8">
    <w:abstractNumId w:val="8"/>
  </w:num>
  <w:num w:numId="9">
    <w:abstractNumId w:val="3"/>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3BE1"/>
    <w:rsid w:val="000649A6"/>
    <w:rsid w:val="00067BC6"/>
    <w:rsid w:val="00072DE9"/>
    <w:rsid w:val="000D564F"/>
    <w:rsid w:val="00132787"/>
    <w:rsid w:val="00164D45"/>
    <w:rsid w:val="00184C05"/>
    <w:rsid w:val="00186813"/>
    <w:rsid w:val="00195CCA"/>
    <w:rsid w:val="001B4F60"/>
    <w:rsid w:val="001F275A"/>
    <w:rsid w:val="002052C0"/>
    <w:rsid w:val="002114DC"/>
    <w:rsid w:val="00234D5A"/>
    <w:rsid w:val="00252365"/>
    <w:rsid w:val="00263901"/>
    <w:rsid w:val="002A0C0C"/>
    <w:rsid w:val="002B2382"/>
    <w:rsid w:val="00317217"/>
    <w:rsid w:val="003A3A4E"/>
    <w:rsid w:val="004358CC"/>
    <w:rsid w:val="00460F38"/>
    <w:rsid w:val="00484775"/>
    <w:rsid w:val="00503BE1"/>
    <w:rsid w:val="005071E6"/>
    <w:rsid w:val="005E6913"/>
    <w:rsid w:val="006065BA"/>
    <w:rsid w:val="00653FE6"/>
    <w:rsid w:val="0067689C"/>
    <w:rsid w:val="00682B6E"/>
    <w:rsid w:val="006F51C4"/>
    <w:rsid w:val="0072478A"/>
    <w:rsid w:val="00786FBC"/>
    <w:rsid w:val="007A6163"/>
    <w:rsid w:val="007B4073"/>
    <w:rsid w:val="007D36DD"/>
    <w:rsid w:val="007F4B2B"/>
    <w:rsid w:val="00964AF0"/>
    <w:rsid w:val="009F7952"/>
    <w:rsid w:val="00A705BB"/>
    <w:rsid w:val="00A74C5D"/>
    <w:rsid w:val="00AC2C32"/>
    <w:rsid w:val="00AE46FB"/>
    <w:rsid w:val="00B23470"/>
    <w:rsid w:val="00B34F2B"/>
    <w:rsid w:val="00B528C2"/>
    <w:rsid w:val="00B63F44"/>
    <w:rsid w:val="00B76D79"/>
    <w:rsid w:val="00C2634B"/>
    <w:rsid w:val="00CF408D"/>
    <w:rsid w:val="00D427B5"/>
    <w:rsid w:val="00D5363E"/>
    <w:rsid w:val="00D772C7"/>
    <w:rsid w:val="00DF5757"/>
    <w:rsid w:val="00E00EF5"/>
    <w:rsid w:val="00E6230B"/>
    <w:rsid w:val="00E76CC7"/>
    <w:rsid w:val="00EB51BC"/>
    <w:rsid w:val="00ED2BEB"/>
    <w:rsid w:val="00EE059C"/>
    <w:rsid w:val="00EF19E3"/>
    <w:rsid w:val="00F63D58"/>
    <w:rsid w:val="00FA779F"/>
    <w:rsid w:val="00FE0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 w:type="table" w:styleId="TableGrid">
    <w:name w:val="Table Grid"/>
    <w:basedOn w:val="TableNormal"/>
    <w:uiPriority w:val="59"/>
    <w:rsid w:val="00B34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6CC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84C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C05"/>
  </w:style>
  <w:style w:type="paragraph" w:styleId="Footer">
    <w:name w:val="footer"/>
    <w:basedOn w:val="Normal"/>
    <w:link w:val="FooterChar"/>
    <w:uiPriority w:val="99"/>
    <w:unhideWhenUsed/>
    <w:rsid w:val="00184C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C05"/>
  </w:style>
  <w:style w:type="paragraph" w:styleId="BalloonText">
    <w:name w:val="Balloon Text"/>
    <w:basedOn w:val="Normal"/>
    <w:link w:val="BalloonTextChar"/>
    <w:uiPriority w:val="99"/>
    <w:semiHidden/>
    <w:unhideWhenUsed/>
    <w:rsid w:val="0018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B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4A0E6F-A226-47C5-A648-4E4269F2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Ferguson, David (Resources)</cp:lastModifiedBy>
  <cp:revision>2</cp:revision>
  <cp:lastPrinted>2014-09-01T12:49:00Z</cp:lastPrinted>
  <dcterms:created xsi:type="dcterms:W3CDTF">2014-09-15T10:36:00Z</dcterms:created>
  <dcterms:modified xsi:type="dcterms:W3CDTF">2014-09-15T10:36:00Z</dcterms:modified>
</cp:coreProperties>
</file>