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98" w:rsidRPr="00590B6E" w:rsidRDefault="00A31C98" w:rsidP="00A31C98">
      <w:pPr>
        <w:jc w:val="center"/>
        <w:rPr>
          <w:rFonts w:ascii="Arial" w:hAnsi="Arial" w:cs="Arial"/>
          <w:b/>
          <w:sz w:val="24"/>
          <w:szCs w:val="24"/>
          <w:u w:val="single"/>
        </w:rPr>
      </w:pPr>
      <w:bookmarkStart w:id="0" w:name="_GoBack"/>
      <w:bookmarkEnd w:id="0"/>
      <w:r w:rsidRPr="00590B6E">
        <w:rPr>
          <w:rFonts w:ascii="Arial" w:hAnsi="Arial" w:cs="Arial"/>
          <w:b/>
          <w:sz w:val="24"/>
          <w:szCs w:val="24"/>
          <w:u w:val="single"/>
        </w:rPr>
        <w:t>SCHOOLS FORUM – 9</w:t>
      </w:r>
      <w:r w:rsidRPr="00590B6E">
        <w:rPr>
          <w:rFonts w:ascii="Arial" w:hAnsi="Arial" w:cs="Arial"/>
          <w:b/>
          <w:sz w:val="24"/>
          <w:szCs w:val="24"/>
          <w:u w:val="single"/>
          <w:vertAlign w:val="superscript"/>
        </w:rPr>
        <w:t>th</w:t>
      </w:r>
      <w:r w:rsidRPr="00590B6E">
        <w:rPr>
          <w:rFonts w:ascii="Arial" w:hAnsi="Arial" w:cs="Arial"/>
          <w:b/>
          <w:sz w:val="24"/>
          <w:szCs w:val="24"/>
          <w:u w:val="single"/>
        </w:rPr>
        <w:t xml:space="preserve"> December 201</w:t>
      </w:r>
      <w:r w:rsidR="004E49F2">
        <w:rPr>
          <w:rFonts w:ascii="Arial" w:hAnsi="Arial" w:cs="Arial"/>
          <w:b/>
          <w:sz w:val="24"/>
          <w:szCs w:val="24"/>
          <w:u w:val="single"/>
        </w:rPr>
        <w:t>5</w:t>
      </w:r>
    </w:p>
    <w:p w:rsidR="00A31C98" w:rsidRDefault="001A75C0" w:rsidP="00A31C98">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High Needs Place Return</w:t>
      </w:r>
    </w:p>
    <w:p w:rsidR="00A31C98" w:rsidRDefault="00A31C98" w:rsidP="00A31C98">
      <w:pPr>
        <w:spacing w:after="0" w:line="240" w:lineRule="auto"/>
        <w:jc w:val="center"/>
        <w:rPr>
          <w:rFonts w:ascii="Arial" w:eastAsia="Times New Roman" w:hAnsi="Arial" w:cs="Arial"/>
          <w:b/>
          <w:sz w:val="24"/>
          <w:szCs w:val="24"/>
          <w:u w:val="single"/>
          <w:lang w:eastAsia="en-GB"/>
        </w:rPr>
      </w:pPr>
    </w:p>
    <w:p w:rsidR="00A31C98" w:rsidRPr="00590B6E" w:rsidRDefault="00A31C98" w:rsidP="00A31C98">
      <w:pPr>
        <w:rPr>
          <w:rFonts w:ascii="Arial" w:hAnsi="Arial" w:cs="Arial"/>
          <w:sz w:val="24"/>
          <w:szCs w:val="24"/>
        </w:rPr>
      </w:pPr>
    </w:p>
    <w:p w:rsidR="00A31C98" w:rsidRPr="00590B6E" w:rsidRDefault="00A31C98" w:rsidP="00A31C98">
      <w:pPr>
        <w:pStyle w:val="ListParagraph"/>
        <w:numPr>
          <w:ilvl w:val="0"/>
          <w:numId w:val="1"/>
        </w:numPr>
        <w:rPr>
          <w:rFonts w:ascii="Arial" w:hAnsi="Arial" w:cs="Arial"/>
          <w:sz w:val="24"/>
          <w:szCs w:val="24"/>
          <w:u w:val="single"/>
        </w:rPr>
      </w:pPr>
      <w:r w:rsidRPr="00590B6E">
        <w:rPr>
          <w:rFonts w:ascii="Arial" w:hAnsi="Arial" w:cs="Arial"/>
          <w:b/>
          <w:sz w:val="24"/>
          <w:szCs w:val="24"/>
          <w:u w:val="single"/>
        </w:rPr>
        <w:t>PURPOSE</w:t>
      </w:r>
    </w:p>
    <w:p w:rsidR="00A31C98" w:rsidRPr="00590B6E" w:rsidRDefault="00A31C98" w:rsidP="00A31C98">
      <w:pPr>
        <w:ind w:left="720"/>
        <w:rPr>
          <w:rFonts w:ascii="Arial" w:hAnsi="Arial" w:cs="Arial"/>
          <w:sz w:val="24"/>
          <w:szCs w:val="24"/>
        </w:rPr>
      </w:pPr>
      <w:r>
        <w:rPr>
          <w:rFonts w:ascii="Arial" w:hAnsi="Arial" w:cs="Arial"/>
          <w:sz w:val="24"/>
          <w:szCs w:val="24"/>
        </w:rPr>
        <w:t xml:space="preserve">The purpose of this report is to </w:t>
      </w:r>
      <w:r w:rsidR="004E49F2">
        <w:rPr>
          <w:rFonts w:ascii="Arial" w:hAnsi="Arial" w:cs="Arial"/>
          <w:sz w:val="24"/>
          <w:szCs w:val="24"/>
        </w:rPr>
        <w:t xml:space="preserve">advise </w:t>
      </w:r>
      <w:r w:rsidR="001A75C0">
        <w:rPr>
          <w:rFonts w:ascii="Arial" w:hAnsi="Arial" w:cs="Arial"/>
          <w:sz w:val="24"/>
          <w:szCs w:val="24"/>
        </w:rPr>
        <w:t xml:space="preserve">School Forum Members of the commissioned places for specialist provision for the 2016-17 </w:t>
      </w:r>
      <w:r w:rsidR="00495AFD">
        <w:rPr>
          <w:rFonts w:ascii="Arial" w:hAnsi="Arial" w:cs="Arial"/>
          <w:sz w:val="24"/>
          <w:szCs w:val="24"/>
        </w:rPr>
        <w:t>academic</w:t>
      </w:r>
      <w:r w:rsidR="001A75C0">
        <w:rPr>
          <w:rFonts w:ascii="Arial" w:hAnsi="Arial" w:cs="Arial"/>
          <w:sz w:val="24"/>
          <w:szCs w:val="24"/>
        </w:rPr>
        <w:t xml:space="preserve"> year</w:t>
      </w:r>
      <w:r>
        <w:rPr>
          <w:rFonts w:ascii="Arial" w:hAnsi="Arial" w:cs="Arial"/>
          <w:sz w:val="24"/>
          <w:szCs w:val="24"/>
        </w:rPr>
        <w:t xml:space="preserve">. </w:t>
      </w:r>
    </w:p>
    <w:p w:rsidR="00A31C98" w:rsidRPr="00590B6E"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BACKGROUND</w:t>
      </w:r>
      <w:r w:rsidR="00AD395E">
        <w:rPr>
          <w:rFonts w:ascii="Arial" w:hAnsi="Arial" w:cs="Arial"/>
          <w:b/>
          <w:sz w:val="24"/>
          <w:szCs w:val="24"/>
          <w:u w:val="single"/>
        </w:rPr>
        <w:t xml:space="preserve"> AND CONTEXT</w:t>
      </w:r>
    </w:p>
    <w:p w:rsidR="0045503A" w:rsidRDefault="001A75C0"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 xml:space="preserve">With the introduction of the Fairer Funding Reforms in 2013-14 </w:t>
      </w:r>
      <w:r w:rsidR="0045503A">
        <w:rPr>
          <w:rFonts w:ascii="Arial" w:eastAsiaTheme="minorHAnsi" w:hAnsi="Arial" w:cs="Arial"/>
          <w:sz w:val="24"/>
          <w:szCs w:val="24"/>
        </w:rPr>
        <w:t xml:space="preserve">the methodology for the commissioning and funding of places in education for children </w:t>
      </w:r>
      <w:r w:rsidR="00851D95">
        <w:rPr>
          <w:rFonts w:ascii="Arial" w:eastAsiaTheme="minorHAnsi" w:hAnsi="Arial" w:cs="Arial"/>
          <w:sz w:val="24"/>
          <w:szCs w:val="24"/>
        </w:rPr>
        <w:t xml:space="preserve">and young people </w:t>
      </w:r>
      <w:r w:rsidR="0045503A">
        <w:rPr>
          <w:rFonts w:ascii="Arial" w:eastAsiaTheme="minorHAnsi" w:hAnsi="Arial" w:cs="Arial"/>
          <w:sz w:val="24"/>
          <w:szCs w:val="24"/>
        </w:rPr>
        <w:t>with High Needs at specialist provision was fundamentally changed. As part of the changes the Local Authority adopted the role of Commissioner and working with providers determined the number of places it wished to commission at the specialist provisions</w:t>
      </w:r>
      <w:r w:rsidR="00851D95">
        <w:rPr>
          <w:rFonts w:ascii="Arial" w:eastAsiaTheme="minorHAnsi" w:hAnsi="Arial" w:cs="Arial"/>
          <w:sz w:val="24"/>
          <w:szCs w:val="24"/>
        </w:rPr>
        <w:t xml:space="preserve"> (including Post-16 Further Education)</w:t>
      </w:r>
      <w:r w:rsidR="0045503A">
        <w:rPr>
          <w:rFonts w:ascii="Arial" w:eastAsiaTheme="minorHAnsi" w:hAnsi="Arial" w:cs="Arial"/>
          <w:sz w:val="24"/>
          <w:szCs w:val="24"/>
        </w:rPr>
        <w:t xml:space="preserve"> within the geographical area. The Education Funding Agency required Local Authority’s to submit its commissioned place numbers via what is called a high needs place return. This has been refined over the years since Fairer Funding reforms were introduced both in terms of information and the timetable for submission. The submission for 2016-17 was submitted at the end of November 2015.</w:t>
      </w: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other major change introduced</w:t>
      </w:r>
      <w:r w:rsidR="00516021">
        <w:rPr>
          <w:rFonts w:ascii="Arial" w:eastAsiaTheme="minorHAnsi" w:hAnsi="Arial" w:cs="Arial"/>
          <w:sz w:val="24"/>
          <w:szCs w:val="24"/>
        </w:rPr>
        <w:t xml:space="preserve"> as part of the Fairer Funding Reforms was around the funding mechanism. Regardless of the previous funding allocation methodology all such establishments </w:t>
      </w:r>
      <w:r w:rsidR="00AD395E">
        <w:rPr>
          <w:rFonts w:ascii="Arial" w:eastAsiaTheme="minorHAnsi" w:hAnsi="Arial" w:cs="Arial"/>
          <w:sz w:val="24"/>
          <w:szCs w:val="24"/>
        </w:rPr>
        <w:t xml:space="preserve">in future </w:t>
      </w:r>
      <w:r w:rsidR="00516021">
        <w:rPr>
          <w:rFonts w:ascii="Arial" w:eastAsiaTheme="minorHAnsi" w:hAnsi="Arial" w:cs="Arial"/>
          <w:sz w:val="24"/>
          <w:szCs w:val="24"/>
        </w:rPr>
        <w:t>were</w:t>
      </w:r>
      <w:r w:rsidR="00AD395E">
        <w:rPr>
          <w:rFonts w:ascii="Arial" w:eastAsiaTheme="minorHAnsi" w:hAnsi="Arial" w:cs="Arial"/>
          <w:sz w:val="24"/>
          <w:szCs w:val="24"/>
        </w:rPr>
        <w:t xml:space="preserve"> to be funded using a combination of per place funding of £10,000 per place and “top up” funding of an amount dependent on the complexity of need.</w:t>
      </w:r>
    </w:p>
    <w:p w:rsidR="00516021" w:rsidRDefault="00516021"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EFA use the information contained on the High Needs Place Ret</w:t>
      </w:r>
      <w:r w:rsidR="00AD395E">
        <w:rPr>
          <w:rFonts w:ascii="Arial" w:eastAsiaTheme="minorHAnsi" w:hAnsi="Arial" w:cs="Arial"/>
          <w:sz w:val="24"/>
          <w:szCs w:val="24"/>
        </w:rPr>
        <w:t>u</w:t>
      </w:r>
      <w:r>
        <w:rPr>
          <w:rFonts w:ascii="Arial" w:eastAsiaTheme="minorHAnsi" w:hAnsi="Arial" w:cs="Arial"/>
          <w:sz w:val="24"/>
          <w:szCs w:val="24"/>
        </w:rPr>
        <w:t>rn</w:t>
      </w:r>
      <w:r w:rsidR="00AD395E">
        <w:rPr>
          <w:rFonts w:ascii="Arial" w:eastAsiaTheme="minorHAnsi" w:hAnsi="Arial" w:cs="Arial"/>
          <w:sz w:val="24"/>
          <w:szCs w:val="24"/>
        </w:rPr>
        <w:t xml:space="preserve"> to extract to per place funding from the Local authority’s Dedicated Schools Grant allocation to pay to the establishment direct where these were academies.</w:t>
      </w:r>
    </w:p>
    <w:p w:rsidR="00AD395E" w:rsidRDefault="00AD395E" w:rsidP="0016645D">
      <w:pPr>
        <w:autoSpaceDE w:val="0"/>
        <w:autoSpaceDN w:val="0"/>
        <w:adjustRightInd w:val="0"/>
        <w:spacing w:after="0" w:line="240" w:lineRule="auto"/>
        <w:ind w:left="720"/>
        <w:rPr>
          <w:rFonts w:ascii="Arial" w:eastAsiaTheme="minorHAnsi" w:hAnsi="Arial" w:cs="Arial"/>
          <w:sz w:val="24"/>
          <w:szCs w:val="24"/>
        </w:rPr>
      </w:pPr>
    </w:p>
    <w:p w:rsidR="0045503A" w:rsidRDefault="00AD395E"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In respect of the High Needs Place Return for 2016-17</w:t>
      </w:r>
      <w:r w:rsidR="006B5715">
        <w:rPr>
          <w:rFonts w:ascii="Arial" w:eastAsiaTheme="minorHAnsi" w:hAnsi="Arial" w:cs="Arial"/>
          <w:sz w:val="24"/>
          <w:szCs w:val="24"/>
        </w:rPr>
        <w:t xml:space="preserve"> </w:t>
      </w:r>
      <w:r w:rsidR="000C38B1">
        <w:rPr>
          <w:rFonts w:ascii="Arial" w:eastAsiaTheme="minorHAnsi" w:hAnsi="Arial" w:cs="Arial"/>
          <w:sz w:val="24"/>
          <w:szCs w:val="24"/>
        </w:rPr>
        <w:t xml:space="preserve">planning assumptions issued by the </w:t>
      </w:r>
      <w:proofErr w:type="spellStart"/>
      <w:r w:rsidR="000C38B1">
        <w:rPr>
          <w:rFonts w:ascii="Arial" w:eastAsiaTheme="minorHAnsi" w:hAnsi="Arial" w:cs="Arial"/>
          <w:sz w:val="24"/>
          <w:szCs w:val="24"/>
        </w:rPr>
        <w:t>DfE</w:t>
      </w:r>
      <w:proofErr w:type="spellEnd"/>
      <w:r w:rsidR="000C38B1">
        <w:rPr>
          <w:rFonts w:ascii="Arial" w:eastAsiaTheme="minorHAnsi" w:hAnsi="Arial" w:cs="Arial"/>
          <w:sz w:val="24"/>
          <w:szCs w:val="24"/>
        </w:rPr>
        <w:t xml:space="preserve"> were that the funding envelope would remain the same as in 2015-16.</w:t>
      </w:r>
    </w:p>
    <w:p w:rsidR="004E49F2" w:rsidRDefault="004E49F2" w:rsidP="0016645D">
      <w:pPr>
        <w:autoSpaceDE w:val="0"/>
        <w:autoSpaceDN w:val="0"/>
        <w:adjustRightInd w:val="0"/>
        <w:spacing w:after="0" w:line="240" w:lineRule="auto"/>
        <w:ind w:left="720"/>
        <w:rPr>
          <w:rFonts w:ascii="Arial" w:eastAsiaTheme="minorHAnsi" w:hAnsi="Arial" w:cs="Arial"/>
          <w:sz w:val="24"/>
          <w:szCs w:val="24"/>
        </w:rPr>
      </w:pPr>
    </w:p>
    <w:p w:rsidR="004E49F2" w:rsidRDefault="004E49F2"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0C38B1" w:rsidRDefault="000C38B1" w:rsidP="0016645D">
      <w:pPr>
        <w:spacing w:after="0" w:line="240" w:lineRule="auto"/>
        <w:ind w:left="720"/>
        <w:rPr>
          <w:rFonts w:ascii="Arial" w:hAnsi="Arial" w:cs="Arial"/>
          <w:sz w:val="24"/>
          <w:szCs w:val="24"/>
        </w:rPr>
      </w:pPr>
    </w:p>
    <w:p w:rsidR="00A31C98" w:rsidRPr="00BE084F" w:rsidRDefault="000C38B1" w:rsidP="00A31C98">
      <w:pPr>
        <w:pStyle w:val="ListParagraph"/>
        <w:numPr>
          <w:ilvl w:val="0"/>
          <w:numId w:val="1"/>
        </w:numPr>
        <w:rPr>
          <w:rFonts w:ascii="Arial" w:hAnsi="Arial" w:cs="Arial"/>
          <w:sz w:val="24"/>
          <w:szCs w:val="24"/>
          <w:u w:val="single"/>
        </w:rPr>
      </w:pPr>
      <w:r>
        <w:rPr>
          <w:rFonts w:ascii="Arial" w:hAnsi="Arial" w:cs="Arial"/>
          <w:b/>
          <w:sz w:val="24"/>
          <w:szCs w:val="24"/>
          <w:u w:val="single"/>
        </w:rPr>
        <w:t>PLACES COMMISSIONED</w:t>
      </w:r>
    </w:p>
    <w:p w:rsidR="000C38B1" w:rsidRDefault="000C38B1" w:rsidP="000C38B1">
      <w:pPr>
        <w:pStyle w:val="Default"/>
        <w:ind w:left="720"/>
      </w:pPr>
      <w:r>
        <w:t>The places to be commissioned by NELC i</w:t>
      </w:r>
      <w:r w:rsidR="004D1B0E">
        <w:t xml:space="preserve">n </w:t>
      </w:r>
      <w:r>
        <w:t>2016-17 is detailed in the table below:</w:t>
      </w:r>
      <w:r w:rsidR="00851D95">
        <w:t xml:space="preserve"> </w:t>
      </w:r>
    </w:p>
    <w:p w:rsidR="000C38B1" w:rsidRDefault="000C38B1" w:rsidP="000C38B1">
      <w:pPr>
        <w:pStyle w:val="Default"/>
        <w:ind w:left="720"/>
      </w:pPr>
    </w:p>
    <w:tbl>
      <w:tblPr>
        <w:tblStyle w:val="TableGrid"/>
        <w:tblW w:w="0" w:type="auto"/>
        <w:tblInd w:w="720" w:type="dxa"/>
        <w:tblLook w:val="04A0" w:firstRow="1" w:lastRow="0" w:firstColumn="1" w:lastColumn="0" w:noHBand="0" w:noVBand="1"/>
      </w:tblPr>
      <w:tblGrid>
        <w:gridCol w:w="4276"/>
        <w:gridCol w:w="4246"/>
      </w:tblGrid>
      <w:tr w:rsidR="000C38B1" w:rsidTr="000C38B1">
        <w:tc>
          <w:tcPr>
            <w:tcW w:w="4621" w:type="dxa"/>
          </w:tcPr>
          <w:p w:rsidR="000C38B1" w:rsidRPr="000C38B1" w:rsidRDefault="000C38B1" w:rsidP="000C38B1">
            <w:pPr>
              <w:pStyle w:val="Default"/>
              <w:jc w:val="center"/>
              <w:rPr>
                <w:b/>
              </w:rPr>
            </w:pPr>
            <w:r>
              <w:rPr>
                <w:b/>
              </w:rPr>
              <w:t>Type of Setting</w:t>
            </w:r>
          </w:p>
        </w:tc>
        <w:tc>
          <w:tcPr>
            <w:tcW w:w="4621" w:type="dxa"/>
          </w:tcPr>
          <w:p w:rsidR="000C38B1" w:rsidRPr="000C38B1" w:rsidRDefault="000C38B1" w:rsidP="000C38B1">
            <w:pPr>
              <w:pStyle w:val="Default"/>
              <w:jc w:val="center"/>
              <w:rPr>
                <w:b/>
              </w:rPr>
            </w:pPr>
            <w:r w:rsidRPr="000C38B1">
              <w:rPr>
                <w:b/>
              </w:rPr>
              <w:t>Number of places</w:t>
            </w:r>
          </w:p>
        </w:tc>
      </w:tr>
      <w:tr w:rsidR="000C38B1" w:rsidTr="000C38B1">
        <w:tc>
          <w:tcPr>
            <w:tcW w:w="4621" w:type="dxa"/>
          </w:tcPr>
          <w:p w:rsidR="000C38B1" w:rsidRDefault="000C38B1" w:rsidP="000C38B1">
            <w:pPr>
              <w:pStyle w:val="Default"/>
            </w:pPr>
            <w:r>
              <w:t>Special Academies</w:t>
            </w:r>
          </w:p>
        </w:tc>
        <w:tc>
          <w:tcPr>
            <w:tcW w:w="4621" w:type="dxa"/>
          </w:tcPr>
          <w:p w:rsidR="000C38B1" w:rsidRDefault="000C38B1" w:rsidP="000C38B1">
            <w:pPr>
              <w:pStyle w:val="Default"/>
              <w:jc w:val="center"/>
            </w:pPr>
            <w:r>
              <w:t>311</w:t>
            </w:r>
          </w:p>
        </w:tc>
      </w:tr>
      <w:tr w:rsidR="000C38B1" w:rsidTr="000C38B1">
        <w:tc>
          <w:tcPr>
            <w:tcW w:w="4621" w:type="dxa"/>
          </w:tcPr>
          <w:p w:rsidR="000C38B1" w:rsidRDefault="000C38B1" w:rsidP="000C38B1">
            <w:pPr>
              <w:pStyle w:val="Default"/>
            </w:pPr>
            <w:r>
              <w:t>PRU’s</w:t>
            </w:r>
          </w:p>
        </w:tc>
        <w:tc>
          <w:tcPr>
            <w:tcW w:w="4621" w:type="dxa"/>
          </w:tcPr>
          <w:p w:rsidR="000C38B1" w:rsidRDefault="000C38B1" w:rsidP="000C38B1">
            <w:pPr>
              <w:pStyle w:val="Default"/>
              <w:jc w:val="center"/>
            </w:pPr>
            <w:r>
              <w:t>108</w:t>
            </w:r>
          </w:p>
        </w:tc>
      </w:tr>
      <w:tr w:rsidR="000C38B1" w:rsidTr="000C38B1">
        <w:tc>
          <w:tcPr>
            <w:tcW w:w="4621" w:type="dxa"/>
          </w:tcPr>
          <w:p w:rsidR="000C38B1" w:rsidRDefault="000C38B1" w:rsidP="000C38B1">
            <w:pPr>
              <w:pStyle w:val="Default"/>
            </w:pPr>
            <w:r>
              <w:t>Alternative Provision</w:t>
            </w:r>
          </w:p>
        </w:tc>
        <w:tc>
          <w:tcPr>
            <w:tcW w:w="4621" w:type="dxa"/>
          </w:tcPr>
          <w:p w:rsidR="000C38B1" w:rsidRDefault="000C38B1" w:rsidP="000C38B1">
            <w:pPr>
              <w:pStyle w:val="Default"/>
              <w:jc w:val="center"/>
            </w:pPr>
            <w:r>
              <w:t>64</w:t>
            </w:r>
          </w:p>
        </w:tc>
      </w:tr>
      <w:tr w:rsidR="000C38B1" w:rsidTr="000C38B1">
        <w:tc>
          <w:tcPr>
            <w:tcW w:w="4621" w:type="dxa"/>
          </w:tcPr>
          <w:p w:rsidR="000C38B1" w:rsidRDefault="000C38B1" w:rsidP="000C38B1">
            <w:pPr>
              <w:pStyle w:val="Default"/>
            </w:pPr>
            <w:r>
              <w:t>Primary Resource based provision</w:t>
            </w:r>
          </w:p>
        </w:tc>
        <w:tc>
          <w:tcPr>
            <w:tcW w:w="4621" w:type="dxa"/>
          </w:tcPr>
          <w:p w:rsidR="000C38B1" w:rsidRDefault="000C38B1" w:rsidP="000C38B1">
            <w:pPr>
              <w:pStyle w:val="Default"/>
              <w:jc w:val="center"/>
            </w:pPr>
            <w:r>
              <w:t>18</w:t>
            </w:r>
          </w:p>
        </w:tc>
      </w:tr>
      <w:tr w:rsidR="000C38B1" w:rsidTr="000C38B1">
        <w:tc>
          <w:tcPr>
            <w:tcW w:w="4621" w:type="dxa"/>
          </w:tcPr>
          <w:p w:rsidR="000C38B1" w:rsidRDefault="000C38B1" w:rsidP="000C38B1">
            <w:pPr>
              <w:pStyle w:val="Default"/>
            </w:pPr>
            <w:r>
              <w:t>ASD</w:t>
            </w:r>
          </w:p>
        </w:tc>
        <w:tc>
          <w:tcPr>
            <w:tcW w:w="4621" w:type="dxa"/>
          </w:tcPr>
          <w:p w:rsidR="000C38B1" w:rsidRDefault="000C38B1" w:rsidP="000C38B1">
            <w:pPr>
              <w:pStyle w:val="Default"/>
              <w:jc w:val="center"/>
            </w:pPr>
            <w:r>
              <w:t>6</w:t>
            </w:r>
          </w:p>
        </w:tc>
      </w:tr>
      <w:tr w:rsidR="00A2134F" w:rsidTr="000C38B1">
        <w:tc>
          <w:tcPr>
            <w:tcW w:w="4621" w:type="dxa"/>
          </w:tcPr>
          <w:p w:rsidR="00A2134F" w:rsidRDefault="00A2134F" w:rsidP="000C38B1">
            <w:pPr>
              <w:pStyle w:val="Default"/>
            </w:pPr>
            <w:r>
              <w:t>Post 16</w:t>
            </w:r>
          </w:p>
        </w:tc>
        <w:tc>
          <w:tcPr>
            <w:tcW w:w="4621" w:type="dxa"/>
          </w:tcPr>
          <w:p w:rsidR="00A2134F" w:rsidRDefault="00A2134F" w:rsidP="000C38B1">
            <w:pPr>
              <w:pStyle w:val="Default"/>
              <w:jc w:val="center"/>
            </w:pPr>
            <w:r>
              <w:t>106</w:t>
            </w:r>
          </w:p>
        </w:tc>
      </w:tr>
    </w:tbl>
    <w:p w:rsidR="000C38B1" w:rsidRDefault="000C38B1" w:rsidP="000C38B1">
      <w:pPr>
        <w:pStyle w:val="Default"/>
        <w:ind w:left="720"/>
      </w:pPr>
    </w:p>
    <w:p w:rsidR="004D1B0E" w:rsidRDefault="000C38B1" w:rsidP="002B3C34">
      <w:pPr>
        <w:ind w:left="720"/>
        <w:rPr>
          <w:rFonts w:ascii="Arial" w:hAnsi="Arial" w:cs="Arial"/>
          <w:sz w:val="24"/>
          <w:szCs w:val="24"/>
        </w:rPr>
      </w:pPr>
      <w:r>
        <w:rPr>
          <w:rFonts w:ascii="Arial" w:hAnsi="Arial" w:cs="Arial"/>
          <w:sz w:val="24"/>
          <w:szCs w:val="24"/>
        </w:rPr>
        <w:t>In respect of the paym</w:t>
      </w:r>
      <w:r w:rsidR="00F57752">
        <w:rPr>
          <w:rFonts w:ascii="Arial" w:hAnsi="Arial" w:cs="Arial"/>
          <w:sz w:val="24"/>
          <w:szCs w:val="24"/>
        </w:rPr>
        <w:t>ents made to the settings the Council norm is to pay these monthly.</w:t>
      </w:r>
    </w:p>
    <w:p w:rsidR="00F57752" w:rsidRPr="00BE084F" w:rsidRDefault="00F57752" w:rsidP="002B3C34">
      <w:pPr>
        <w:ind w:left="720"/>
        <w:rPr>
          <w:rFonts w:ascii="Arial" w:hAnsi="Arial" w:cs="Arial"/>
          <w:sz w:val="24"/>
          <w:szCs w:val="24"/>
        </w:rPr>
      </w:pPr>
    </w:p>
    <w:p w:rsidR="00A31C98" w:rsidRPr="0085038B"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RECOMMENDATION</w:t>
      </w:r>
    </w:p>
    <w:p w:rsidR="00A31C98" w:rsidRDefault="00A31C98" w:rsidP="00A31C98">
      <w:pPr>
        <w:pStyle w:val="ListParagraph"/>
        <w:rPr>
          <w:rFonts w:ascii="Arial" w:hAnsi="Arial" w:cs="Arial"/>
          <w:b/>
          <w:sz w:val="24"/>
          <w:szCs w:val="24"/>
          <w:u w:val="single"/>
        </w:rPr>
      </w:pPr>
    </w:p>
    <w:p w:rsidR="000C38B1" w:rsidRPr="000C38B1" w:rsidRDefault="000C38B1" w:rsidP="00A31C98">
      <w:pPr>
        <w:pStyle w:val="ListParagraph"/>
        <w:rPr>
          <w:rFonts w:ascii="Arial" w:hAnsi="Arial" w:cs="Arial"/>
          <w:sz w:val="24"/>
          <w:szCs w:val="24"/>
        </w:rPr>
      </w:pPr>
      <w:r>
        <w:rPr>
          <w:rFonts w:ascii="Arial" w:hAnsi="Arial" w:cs="Arial"/>
          <w:sz w:val="24"/>
          <w:szCs w:val="24"/>
        </w:rPr>
        <w:t>There is no specific recommendation arising from the report and Schools Forum are asked to note the report</w:t>
      </w:r>
    </w:p>
    <w:p w:rsidR="00A31C98" w:rsidRPr="000C38B1" w:rsidRDefault="00A31C98" w:rsidP="000C38B1">
      <w:pPr>
        <w:ind w:left="360"/>
        <w:rPr>
          <w:rFonts w:ascii="Arial" w:hAnsi="Arial" w:cs="Arial"/>
          <w:sz w:val="24"/>
          <w:szCs w:val="24"/>
        </w:rPr>
      </w:pPr>
    </w:p>
    <w:p w:rsidR="00A31C98" w:rsidRDefault="00A31C98" w:rsidP="00A31C98">
      <w:pPr>
        <w:rPr>
          <w:rFonts w:ascii="Arial" w:hAnsi="Arial" w:cs="Arial"/>
          <w:sz w:val="24"/>
          <w:szCs w:val="24"/>
        </w:rPr>
      </w:pPr>
    </w:p>
    <w:p w:rsidR="00A31C98" w:rsidRPr="00394160" w:rsidRDefault="00A31C98" w:rsidP="00A31C98">
      <w:pPr>
        <w:rPr>
          <w:rFonts w:ascii="Arial" w:hAnsi="Arial" w:cs="Arial"/>
          <w:sz w:val="24"/>
          <w:szCs w:val="24"/>
        </w:rPr>
      </w:pPr>
      <w:r w:rsidRPr="00394160">
        <w:rPr>
          <w:rFonts w:ascii="Arial" w:hAnsi="Arial" w:cs="Arial"/>
          <w:sz w:val="24"/>
          <w:szCs w:val="24"/>
        </w:rPr>
        <w:t>David Kirven</w:t>
      </w:r>
    </w:p>
    <w:p w:rsidR="00A31C98" w:rsidRPr="00394160" w:rsidRDefault="00A31C98" w:rsidP="00A31C98">
      <w:pPr>
        <w:rPr>
          <w:rFonts w:ascii="Arial" w:hAnsi="Arial" w:cs="Arial"/>
          <w:sz w:val="24"/>
          <w:szCs w:val="24"/>
        </w:rPr>
      </w:pPr>
      <w:r w:rsidRPr="00394160">
        <w:rPr>
          <w:rFonts w:ascii="Arial" w:hAnsi="Arial" w:cs="Arial"/>
          <w:sz w:val="24"/>
          <w:szCs w:val="24"/>
        </w:rPr>
        <w:t>Service Finance Manager – Partnering</w:t>
      </w:r>
    </w:p>
    <w:p w:rsidR="00A31C98" w:rsidRPr="00A31C98" w:rsidRDefault="000C38B1" w:rsidP="0016645D">
      <w:pPr>
        <w:rPr>
          <w:rFonts w:ascii="Arial" w:eastAsia="Times New Roman" w:hAnsi="Arial" w:cs="Arial"/>
          <w:sz w:val="24"/>
          <w:szCs w:val="24"/>
          <w:lang w:eastAsia="en-GB"/>
        </w:rPr>
      </w:pPr>
      <w:r>
        <w:rPr>
          <w:rFonts w:ascii="Arial" w:hAnsi="Arial" w:cs="Arial"/>
          <w:sz w:val="24"/>
          <w:szCs w:val="24"/>
        </w:rPr>
        <w:t>30</w:t>
      </w:r>
      <w:r w:rsidR="00A31C98" w:rsidRPr="00394160">
        <w:rPr>
          <w:rFonts w:ascii="Arial" w:hAnsi="Arial" w:cs="Arial"/>
          <w:sz w:val="24"/>
          <w:szCs w:val="24"/>
          <w:vertAlign w:val="superscript"/>
        </w:rPr>
        <w:t>th</w:t>
      </w:r>
      <w:r w:rsidR="00A31C98" w:rsidRPr="00394160">
        <w:rPr>
          <w:rFonts w:ascii="Arial" w:hAnsi="Arial" w:cs="Arial"/>
          <w:sz w:val="24"/>
          <w:szCs w:val="24"/>
        </w:rPr>
        <w:t xml:space="preserve"> November 201</w:t>
      </w:r>
      <w:r w:rsidR="004E49F2">
        <w:rPr>
          <w:rFonts w:ascii="Arial" w:hAnsi="Arial" w:cs="Arial"/>
          <w:sz w:val="24"/>
          <w:szCs w:val="24"/>
        </w:rPr>
        <w:t>5</w:t>
      </w:r>
    </w:p>
    <w:p w:rsidR="00BA6D9D" w:rsidRDefault="00BA6D9D"/>
    <w:sectPr w:rsidR="00BA6D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DB" w:rsidRDefault="009108DB" w:rsidP="002B3558">
      <w:pPr>
        <w:spacing w:after="0" w:line="240" w:lineRule="auto"/>
      </w:pPr>
      <w:r>
        <w:separator/>
      </w:r>
    </w:p>
  </w:endnote>
  <w:endnote w:type="continuationSeparator" w:id="0">
    <w:p w:rsidR="009108DB" w:rsidRDefault="009108DB" w:rsidP="002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92155"/>
      <w:docPartObj>
        <w:docPartGallery w:val="Page Numbers (Bottom of Page)"/>
        <w:docPartUnique/>
      </w:docPartObj>
    </w:sdtPr>
    <w:sdtEndPr>
      <w:rPr>
        <w:noProof/>
      </w:rPr>
    </w:sdtEndPr>
    <w:sdtContent>
      <w:p w:rsidR="002B3558" w:rsidRDefault="002B3558">
        <w:pPr>
          <w:pStyle w:val="Footer"/>
          <w:jc w:val="right"/>
        </w:pPr>
        <w:r>
          <w:fldChar w:fldCharType="begin"/>
        </w:r>
        <w:r>
          <w:instrText xml:space="preserve"> PAGE   \* MERGEFORMAT </w:instrText>
        </w:r>
        <w:r>
          <w:fldChar w:fldCharType="separate"/>
        </w:r>
        <w:r w:rsidR="008336B8">
          <w:rPr>
            <w:noProof/>
          </w:rPr>
          <w:t>1</w:t>
        </w:r>
        <w:r>
          <w:rPr>
            <w:noProof/>
          </w:rPr>
          <w:fldChar w:fldCharType="end"/>
        </w:r>
      </w:p>
    </w:sdtContent>
  </w:sdt>
  <w:p w:rsidR="002B3558" w:rsidRDefault="002B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DB" w:rsidRDefault="009108DB" w:rsidP="002B3558">
      <w:pPr>
        <w:spacing w:after="0" w:line="240" w:lineRule="auto"/>
      </w:pPr>
      <w:r>
        <w:separator/>
      </w:r>
    </w:p>
  </w:footnote>
  <w:footnote w:type="continuationSeparator" w:id="0">
    <w:p w:rsidR="009108DB" w:rsidRDefault="009108DB" w:rsidP="002B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58" w:rsidRPr="002B3558" w:rsidRDefault="004E49F2" w:rsidP="002B3558">
    <w:pPr>
      <w:pStyle w:val="Header"/>
      <w:jc w:val="right"/>
      <w:rPr>
        <w:rFonts w:ascii="Arial" w:hAnsi="Arial" w:cs="Arial"/>
        <w:sz w:val="28"/>
        <w:szCs w:val="28"/>
      </w:rPr>
    </w:pPr>
    <w:r>
      <w:rPr>
        <w:rFonts w:ascii="Arial" w:hAnsi="Arial" w:cs="Arial"/>
        <w:sz w:val="28"/>
        <w:szCs w:val="28"/>
      </w:rPr>
      <w:t xml:space="preserve">ITEM </w:t>
    </w:r>
    <w:r w:rsidR="002B3558" w:rsidRPr="002B3558">
      <w:rPr>
        <w:rFonts w:ascii="Arial" w:hAnsi="Arial" w:cs="Arial"/>
        <w:sz w:val="28"/>
        <w:szCs w:val="28"/>
      </w:rPr>
      <w:t>7</w:t>
    </w:r>
    <w:r w:rsidR="001A75C0">
      <w:rPr>
        <w:rFonts w:ascii="Arial" w:hAnsi="Arial" w:cs="Arial"/>
        <w:sz w:val="28"/>
        <w:szCs w:val="28"/>
      </w:rPr>
      <w:t>2</w:t>
    </w:r>
    <w:r w:rsidR="002B3558" w:rsidRPr="002B3558">
      <w:rPr>
        <w:rFonts w:ascii="Arial" w:hAnsi="Arial" w:cs="Arial"/>
        <w:sz w:val="28"/>
        <w:szCs w:val="28"/>
      </w:rPr>
      <w:t>/1</w:t>
    </w:r>
    <w:r>
      <w:rPr>
        <w:rFonts w:ascii="Arial" w:hAnsi="Arial" w:cs="Arial"/>
        <w:sz w:val="28"/>
        <w:szCs w:val="28"/>
      </w:rPr>
      <w:t>5</w:t>
    </w:r>
  </w:p>
  <w:p w:rsidR="002B3558" w:rsidRDefault="002B3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323"/>
    <w:multiLevelType w:val="hybridMultilevel"/>
    <w:tmpl w:val="E1CCD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9E430C2"/>
    <w:multiLevelType w:val="hybridMultilevel"/>
    <w:tmpl w:val="A328D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1CB45EB"/>
    <w:multiLevelType w:val="hybridMultilevel"/>
    <w:tmpl w:val="CA408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98"/>
    <w:rsid w:val="000C38B1"/>
    <w:rsid w:val="000E7124"/>
    <w:rsid w:val="0016645D"/>
    <w:rsid w:val="001A75C0"/>
    <w:rsid w:val="002B3558"/>
    <w:rsid w:val="002B3C34"/>
    <w:rsid w:val="0043073F"/>
    <w:rsid w:val="0045503A"/>
    <w:rsid w:val="00495AFD"/>
    <w:rsid w:val="004D1B0E"/>
    <w:rsid w:val="004E49F2"/>
    <w:rsid w:val="00516021"/>
    <w:rsid w:val="006B5715"/>
    <w:rsid w:val="007E258C"/>
    <w:rsid w:val="008336B8"/>
    <w:rsid w:val="00851D95"/>
    <w:rsid w:val="009108DB"/>
    <w:rsid w:val="00A2134F"/>
    <w:rsid w:val="00A31C98"/>
    <w:rsid w:val="00AD395E"/>
    <w:rsid w:val="00BA6D9D"/>
    <w:rsid w:val="00C2499E"/>
    <w:rsid w:val="00DE57FA"/>
    <w:rsid w:val="00F5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cp:lastPrinted>2015-12-02T13:27:00Z</cp:lastPrinted>
  <dcterms:created xsi:type="dcterms:W3CDTF">2015-12-03T10:58:00Z</dcterms:created>
  <dcterms:modified xsi:type="dcterms:W3CDTF">2015-12-03T10:58:00Z</dcterms:modified>
</cp:coreProperties>
</file>