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54DC" w:rsidRPr="00D20BF2" w:rsidRDefault="00825C7D" w:rsidP="002354DC">
      <w:pPr>
        <w:jc w:val="center"/>
        <w:rPr>
          <w:rFonts w:ascii="Arial" w:eastAsia="Calibri" w:hAnsi="Arial" w:cs="Arial"/>
          <w:b/>
          <w:sz w:val="24"/>
          <w:szCs w:val="24"/>
          <w:u w:val="single"/>
        </w:rPr>
      </w:pPr>
      <w:r w:rsidRPr="00D20BF2">
        <w:rPr>
          <w:rFonts w:ascii="Arial" w:eastAsia="Calibri" w:hAnsi="Arial" w:cs="Arial"/>
          <w:b/>
          <w:sz w:val="24"/>
          <w:szCs w:val="24"/>
          <w:u w:val="single"/>
        </w:rPr>
        <w:t>S</w:t>
      </w:r>
      <w:r w:rsidR="002354DC" w:rsidRPr="00D20BF2">
        <w:rPr>
          <w:rFonts w:ascii="Arial" w:eastAsia="Calibri" w:hAnsi="Arial" w:cs="Arial"/>
          <w:b/>
          <w:sz w:val="24"/>
          <w:szCs w:val="24"/>
          <w:u w:val="single"/>
        </w:rPr>
        <w:t xml:space="preserve">CHOOLS FORUM – </w:t>
      </w:r>
      <w:r w:rsidR="00286E36">
        <w:rPr>
          <w:rFonts w:ascii="Arial" w:eastAsia="Calibri" w:hAnsi="Arial" w:cs="Arial"/>
          <w:b/>
          <w:sz w:val="24"/>
          <w:szCs w:val="24"/>
          <w:u w:val="single"/>
        </w:rPr>
        <w:t>20</w:t>
      </w:r>
      <w:r w:rsidR="002354DC" w:rsidRPr="00D20BF2">
        <w:rPr>
          <w:rFonts w:ascii="Arial" w:eastAsia="Calibri" w:hAnsi="Arial" w:cs="Arial"/>
          <w:b/>
          <w:sz w:val="24"/>
          <w:szCs w:val="24"/>
          <w:u w:val="single"/>
          <w:vertAlign w:val="superscript"/>
        </w:rPr>
        <w:t>TH</w:t>
      </w:r>
      <w:r w:rsidR="002354DC" w:rsidRPr="00D20BF2">
        <w:rPr>
          <w:rFonts w:ascii="Arial" w:eastAsia="Calibri" w:hAnsi="Arial" w:cs="Arial"/>
          <w:b/>
          <w:sz w:val="24"/>
          <w:szCs w:val="24"/>
          <w:u w:val="single"/>
        </w:rPr>
        <w:t xml:space="preserve"> MARCH 201</w:t>
      </w:r>
      <w:r w:rsidR="00286E36">
        <w:rPr>
          <w:rFonts w:ascii="Arial" w:eastAsia="Calibri" w:hAnsi="Arial" w:cs="Arial"/>
          <w:b/>
          <w:sz w:val="24"/>
          <w:szCs w:val="24"/>
          <w:u w:val="single"/>
        </w:rPr>
        <w:t>9</w:t>
      </w:r>
    </w:p>
    <w:p w:rsidR="002354DC" w:rsidRPr="00D20BF2" w:rsidRDefault="002354DC" w:rsidP="002354DC">
      <w:pPr>
        <w:spacing w:after="0" w:line="240" w:lineRule="auto"/>
        <w:jc w:val="center"/>
        <w:rPr>
          <w:rFonts w:ascii="Arial" w:eastAsia="Times New Roman" w:hAnsi="Arial" w:cs="Arial"/>
          <w:b/>
          <w:sz w:val="24"/>
          <w:szCs w:val="24"/>
          <w:u w:val="single"/>
          <w:lang w:eastAsia="en-GB"/>
        </w:rPr>
      </w:pPr>
      <w:r w:rsidRPr="00D20BF2">
        <w:rPr>
          <w:rFonts w:ascii="Arial" w:eastAsia="Times New Roman" w:hAnsi="Arial" w:cs="Arial"/>
          <w:b/>
          <w:sz w:val="24"/>
          <w:szCs w:val="24"/>
          <w:u w:val="single"/>
          <w:lang w:eastAsia="en-GB"/>
        </w:rPr>
        <w:t>SEN – HIGH NE</w:t>
      </w:r>
      <w:r w:rsidR="004866F2" w:rsidRPr="00D20BF2">
        <w:rPr>
          <w:rFonts w:ascii="Arial" w:eastAsia="Times New Roman" w:hAnsi="Arial" w:cs="Arial"/>
          <w:b/>
          <w:sz w:val="24"/>
          <w:szCs w:val="24"/>
          <w:u w:val="single"/>
          <w:lang w:eastAsia="en-GB"/>
        </w:rPr>
        <w:t>E</w:t>
      </w:r>
      <w:r w:rsidRPr="00D20BF2">
        <w:rPr>
          <w:rFonts w:ascii="Arial" w:eastAsia="Times New Roman" w:hAnsi="Arial" w:cs="Arial"/>
          <w:b/>
          <w:sz w:val="24"/>
          <w:szCs w:val="24"/>
          <w:u w:val="single"/>
          <w:lang w:eastAsia="en-GB"/>
        </w:rPr>
        <w:t>DS BLOCK ALLOCATION 201</w:t>
      </w:r>
      <w:r w:rsidR="00286E36">
        <w:rPr>
          <w:rFonts w:ascii="Arial" w:eastAsia="Times New Roman" w:hAnsi="Arial" w:cs="Arial"/>
          <w:b/>
          <w:sz w:val="24"/>
          <w:szCs w:val="24"/>
          <w:u w:val="single"/>
          <w:lang w:eastAsia="en-GB"/>
        </w:rPr>
        <w:t>9-20</w:t>
      </w:r>
    </w:p>
    <w:p w:rsidR="002354DC" w:rsidRPr="00D20BF2" w:rsidRDefault="002354DC" w:rsidP="00E511F3">
      <w:pPr>
        <w:pStyle w:val="ListParagraph"/>
        <w:ind w:left="0"/>
      </w:pPr>
    </w:p>
    <w:p w:rsidR="00F16BA0" w:rsidRPr="00D20BF2" w:rsidRDefault="00F16BA0" w:rsidP="00E511F3">
      <w:pPr>
        <w:pStyle w:val="ListParagraph"/>
        <w:ind w:left="0"/>
        <w:rPr>
          <w:rFonts w:ascii="Arial" w:hAnsi="Arial" w:cs="Arial"/>
          <w:b/>
          <w:sz w:val="24"/>
          <w:szCs w:val="24"/>
          <w:u w:val="single"/>
        </w:rPr>
      </w:pPr>
    </w:p>
    <w:p w:rsidR="00F16BA0" w:rsidRPr="00D20BF2" w:rsidRDefault="00F16BA0" w:rsidP="00E511F3">
      <w:pPr>
        <w:pStyle w:val="ListParagraph"/>
        <w:ind w:left="0"/>
        <w:rPr>
          <w:rFonts w:ascii="Arial" w:hAnsi="Arial" w:cs="Arial"/>
          <w:b/>
          <w:sz w:val="24"/>
          <w:szCs w:val="24"/>
          <w:u w:val="single"/>
        </w:rPr>
      </w:pPr>
      <w:r w:rsidRPr="00D20BF2">
        <w:rPr>
          <w:rFonts w:ascii="Arial" w:hAnsi="Arial" w:cs="Arial"/>
          <w:b/>
          <w:sz w:val="24"/>
          <w:szCs w:val="24"/>
          <w:u w:val="single"/>
        </w:rPr>
        <w:t>Introduction</w:t>
      </w:r>
    </w:p>
    <w:p w:rsidR="00F16BA0" w:rsidRPr="00D20BF2" w:rsidRDefault="00F16BA0" w:rsidP="00E511F3">
      <w:pPr>
        <w:pStyle w:val="ListParagraph"/>
        <w:ind w:left="0"/>
        <w:rPr>
          <w:rFonts w:ascii="Arial" w:hAnsi="Arial" w:cs="Arial"/>
          <w:b/>
          <w:sz w:val="24"/>
          <w:szCs w:val="24"/>
          <w:u w:val="single"/>
        </w:rPr>
      </w:pPr>
    </w:p>
    <w:p w:rsidR="00105C1F" w:rsidRPr="00D20BF2" w:rsidRDefault="002D7EEE" w:rsidP="00E511F3">
      <w:pPr>
        <w:pStyle w:val="ListParagraph"/>
        <w:ind w:left="0"/>
        <w:rPr>
          <w:rFonts w:ascii="Arial" w:hAnsi="Arial" w:cs="Arial"/>
          <w:sz w:val="24"/>
          <w:szCs w:val="24"/>
        </w:rPr>
      </w:pPr>
      <w:r w:rsidRPr="00D20BF2">
        <w:rPr>
          <w:rFonts w:ascii="Arial" w:hAnsi="Arial" w:cs="Arial"/>
          <w:sz w:val="24"/>
          <w:szCs w:val="24"/>
        </w:rPr>
        <w:t>The purpose of this paper is to advise Schools Forum members of the proposed allocation of</w:t>
      </w:r>
      <w:r w:rsidR="00105C1F" w:rsidRPr="00D20BF2">
        <w:rPr>
          <w:rFonts w:ascii="Arial" w:hAnsi="Arial" w:cs="Arial"/>
          <w:sz w:val="24"/>
          <w:szCs w:val="24"/>
        </w:rPr>
        <w:t xml:space="preserve"> the High Needs Block </w:t>
      </w:r>
      <w:r w:rsidR="002A63CF" w:rsidRPr="00D20BF2">
        <w:rPr>
          <w:rFonts w:ascii="Arial" w:hAnsi="Arial" w:cs="Arial"/>
          <w:sz w:val="24"/>
          <w:szCs w:val="24"/>
        </w:rPr>
        <w:t xml:space="preserve">(HNB) </w:t>
      </w:r>
      <w:r w:rsidR="00105C1F" w:rsidRPr="00D20BF2">
        <w:rPr>
          <w:rFonts w:ascii="Arial" w:hAnsi="Arial" w:cs="Arial"/>
          <w:sz w:val="24"/>
          <w:szCs w:val="24"/>
        </w:rPr>
        <w:t>for 201</w:t>
      </w:r>
      <w:r w:rsidR="00446FA3">
        <w:rPr>
          <w:rFonts w:ascii="Arial" w:hAnsi="Arial" w:cs="Arial"/>
          <w:sz w:val="24"/>
          <w:szCs w:val="24"/>
        </w:rPr>
        <w:t>9</w:t>
      </w:r>
      <w:r w:rsidR="00DA44D3">
        <w:rPr>
          <w:rFonts w:ascii="Arial" w:hAnsi="Arial" w:cs="Arial"/>
          <w:sz w:val="24"/>
          <w:szCs w:val="24"/>
        </w:rPr>
        <w:t>-</w:t>
      </w:r>
      <w:r w:rsidR="00446FA3">
        <w:rPr>
          <w:rFonts w:ascii="Arial" w:hAnsi="Arial" w:cs="Arial"/>
          <w:sz w:val="24"/>
          <w:szCs w:val="24"/>
        </w:rPr>
        <w:t>20</w:t>
      </w:r>
      <w:r w:rsidR="00105C1F" w:rsidRPr="00D20BF2">
        <w:rPr>
          <w:rFonts w:ascii="Arial" w:hAnsi="Arial" w:cs="Arial"/>
          <w:sz w:val="24"/>
          <w:szCs w:val="24"/>
        </w:rPr>
        <w:t xml:space="preserve"> and seek any comments they may have.</w:t>
      </w:r>
    </w:p>
    <w:p w:rsidR="00105C1F" w:rsidRPr="00D20BF2" w:rsidRDefault="00105C1F" w:rsidP="00E511F3">
      <w:pPr>
        <w:pStyle w:val="ListParagraph"/>
        <w:ind w:left="0"/>
        <w:rPr>
          <w:rFonts w:ascii="Arial" w:hAnsi="Arial" w:cs="Arial"/>
          <w:sz w:val="24"/>
          <w:szCs w:val="24"/>
        </w:rPr>
      </w:pPr>
    </w:p>
    <w:p w:rsidR="00105C1F" w:rsidRPr="00D20BF2" w:rsidRDefault="00105C1F" w:rsidP="00E511F3">
      <w:pPr>
        <w:pStyle w:val="ListParagraph"/>
        <w:ind w:left="0"/>
        <w:rPr>
          <w:rFonts w:ascii="Arial" w:hAnsi="Arial" w:cs="Arial"/>
          <w:b/>
          <w:sz w:val="24"/>
          <w:szCs w:val="24"/>
          <w:u w:val="single"/>
        </w:rPr>
      </w:pPr>
      <w:r w:rsidRPr="00D20BF2">
        <w:rPr>
          <w:rFonts w:ascii="Arial" w:hAnsi="Arial" w:cs="Arial"/>
          <w:b/>
          <w:sz w:val="24"/>
          <w:szCs w:val="24"/>
          <w:u w:val="single"/>
        </w:rPr>
        <w:t>Background</w:t>
      </w:r>
    </w:p>
    <w:p w:rsidR="00105C1F" w:rsidRPr="00D20BF2" w:rsidRDefault="00105C1F" w:rsidP="00E511F3">
      <w:pPr>
        <w:pStyle w:val="ListParagraph"/>
        <w:ind w:left="0"/>
        <w:rPr>
          <w:rFonts w:ascii="Arial" w:hAnsi="Arial" w:cs="Arial"/>
          <w:sz w:val="24"/>
          <w:szCs w:val="24"/>
        </w:rPr>
      </w:pPr>
    </w:p>
    <w:p w:rsidR="00C94417" w:rsidRDefault="00C94417" w:rsidP="00E511F3">
      <w:pPr>
        <w:pStyle w:val="ListParagraph"/>
        <w:ind w:left="0"/>
        <w:rPr>
          <w:rFonts w:ascii="Arial" w:hAnsi="Arial" w:cs="Arial"/>
          <w:sz w:val="24"/>
          <w:szCs w:val="24"/>
        </w:rPr>
      </w:pPr>
      <w:r w:rsidRPr="00D20BF2">
        <w:rPr>
          <w:rFonts w:ascii="Arial" w:hAnsi="Arial" w:cs="Arial"/>
          <w:sz w:val="24"/>
          <w:szCs w:val="24"/>
        </w:rPr>
        <w:t>The 201</w:t>
      </w:r>
      <w:r w:rsidR="00446FA3">
        <w:rPr>
          <w:rFonts w:ascii="Arial" w:hAnsi="Arial" w:cs="Arial"/>
          <w:sz w:val="24"/>
          <w:szCs w:val="24"/>
        </w:rPr>
        <w:t>9</w:t>
      </w:r>
      <w:r w:rsidRPr="00D20BF2">
        <w:rPr>
          <w:rFonts w:ascii="Arial" w:hAnsi="Arial" w:cs="Arial"/>
          <w:sz w:val="24"/>
          <w:szCs w:val="24"/>
        </w:rPr>
        <w:t>-</w:t>
      </w:r>
      <w:r w:rsidR="00446FA3">
        <w:rPr>
          <w:rFonts w:ascii="Arial" w:hAnsi="Arial" w:cs="Arial"/>
          <w:sz w:val="24"/>
          <w:szCs w:val="24"/>
        </w:rPr>
        <w:t>20</w:t>
      </w:r>
      <w:r w:rsidRPr="00D20BF2">
        <w:rPr>
          <w:rFonts w:ascii="Arial" w:hAnsi="Arial" w:cs="Arial"/>
          <w:sz w:val="24"/>
          <w:szCs w:val="24"/>
        </w:rPr>
        <w:t xml:space="preserve"> indicative High Needs Block allocation issued by the DfE shows an allocation to NELC of £1</w:t>
      </w:r>
      <w:r w:rsidR="00446FA3">
        <w:rPr>
          <w:rFonts w:ascii="Arial" w:hAnsi="Arial" w:cs="Arial"/>
          <w:sz w:val="24"/>
          <w:szCs w:val="24"/>
        </w:rPr>
        <w:t>8</w:t>
      </w:r>
      <w:r w:rsidR="004B27A0" w:rsidRPr="00D20BF2">
        <w:rPr>
          <w:rFonts w:ascii="Arial" w:hAnsi="Arial" w:cs="Arial"/>
          <w:sz w:val="24"/>
          <w:szCs w:val="24"/>
        </w:rPr>
        <w:t>.</w:t>
      </w:r>
      <w:r w:rsidR="00446FA3">
        <w:rPr>
          <w:rFonts w:ascii="Arial" w:hAnsi="Arial" w:cs="Arial"/>
          <w:sz w:val="24"/>
          <w:szCs w:val="24"/>
        </w:rPr>
        <w:t>558M</w:t>
      </w:r>
      <w:r w:rsidRPr="00D20BF2">
        <w:rPr>
          <w:rFonts w:ascii="Arial" w:hAnsi="Arial" w:cs="Arial"/>
          <w:sz w:val="24"/>
          <w:szCs w:val="24"/>
        </w:rPr>
        <w:t xml:space="preserve"> which is an increase of £0.</w:t>
      </w:r>
      <w:r w:rsidR="00446FA3">
        <w:rPr>
          <w:rFonts w:ascii="Arial" w:hAnsi="Arial" w:cs="Arial"/>
          <w:sz w:val="24"/>
          <w:szCs w:val="24"/>
        </w:rPr>
        <w:t>876</w:t>
      </w:r>
      <w:r w:rsidRPr="00D20BF2">
        <w:rPr>
          <w:rFonts w:ascii="Arial" w:hAnsi="Arial" w:cs="Arial"/>
          <w:sz w:val="24"/>
          <w:szCs w:val="24"/>
        </w:rPr>
        <w:t>M on the 201</w:t>
      </w:r>
      <w:r w:rsidR="00446FA3">
        <w:rPr>
          <w:rFonts w:ascii="Arial" w:hAnsi="Arial" w:cs="Arial"/>
          <w:sz w:val="24"/>
          <w:szCs w:val="24"/>
        </w:rPr>
        <w:t>8</w:t>
      </w:r>
      <w:r w:rsidRPr="00D20BF2">
        <w:rPr>
          <w:rFonts w:ascii="Arial" w:hAnsi="Arial" w:cs="Arial"/>
          <w:sz w:val="24"/>
          <w:szCs w:val="24"/>
        </w:rPr>
        <w:t>-1</w:t>
      </w:r>
      <w:r w:rsidR="00446FA3">
        <w:rPr>
          <w:rFonts w:ascii="Arial" w:hAnsi="Arial" w:cs="Arial"/>
          <w:sz w:val="24"/>
          <w:szCs w:val="24"/>
        </w:rPr>
        <w:t>9</w:t>
      </w:r>
      <w:r w:rsidRPr="00D20BF2">
        <w:rPr>
          <w:rFonts w:ascii="Arial" w:hAnsi="Arial" w:cs="Arial"/>
          <w:sz w:val="24"/>
          <w:szCs w:val="24"/>
        </w:rPr>
        <w:t xml:space="preserve"> allocation. </w:t>
      </w:r>
    </w:p>
    <w:p w:rsidR="00DA44D3" w:rsidRDefault="00DA44D3" w:rsidP="00E511F3">
      <w:pPr>
        <w:pStyle w:val="ListParagraph"/>
        <w:ind w:left="0"/>
        <w:rPr>
          <w:rFonts w:ascii="Arial" w:hAnsi="Arial" w:cs="Arial"/>
          <w:sz w:val="24"/>
          <w:szCs w:val="24"/>
        </w:rPr>
      </w:pPr>
    </w:p>
    <w:p w:rsidR="00DA44D3" w:rsidRDefault="00DA44D3" w:rsidP="00E511F3">
      <w:pPr>
        <w:pStyle w:val="ListParagraph"/>
        <w:ind w:left="0"/>
        <w:rPr>
          <w:rFonts w:ascii="Arial" w:hAnsi="Arial" w:cs="Arial"/>
          <w:sz w:val="24"/>
          <w:szCs w:val="24"/>
        </w:rPr>
      </w:pPr>
      <w:r>
        <w:rPr>
          <w:rFonts w:ascii="Arial" w:hAnsi="Arial" w:cs="Arial"/>
          <w:sz w:val="24"/>
          <w:szCs w:val="24"/>
        </w:rPr>
        <w:t xml:space="preserve">In respect of the increase </w:t>
      </w:r>
      <w:r w:rsidR="00250770">
        <w:rPr>
          <w:rFonts w:ascii="Arial" w:hAnsi="Arial" w:cs="Arial"/>
          <w:sz w:val="24"/>
          <w:szCs w:val="24"/>
        </w:rPr>
        <w:t>this has arisen as a result of the introduction of the new High Needs National Funding Formula. The new National Funding Formula was subject to a period of consultation through the summer of 2017 and is designed to direct the High Needs Block funding to the most needed area. Additionally</w:t>
      </w:r>
      <w:r w:rsidR="006D4E0E">
        <w:rPr>
          <w:rFonts w:ascii="Arial" w:hAnsi="Arial" w:cs="Arial"/>
          <w:sz w:val="24"/>
          <w:szCs w:val="24"/>
        </w:rPr>
        <w:t>,</w:t>
      </w:r>
      <w:r w:rsidR="00250770">
        <w:rPr>
          <w:rFonts w:ascii="Arial" w:hAnsi="Arial" w:cs="Arial"/>
          <w:sz w:val="24"/>
          <w:szCs w:val="24"/>
        </w:rPr>
        <w:t xml:space="preserve"> </w:t>
      </w:r>
      <w:r w:rsidR="006D4E0E">
        <w:rPr>
          <w:rFonts w:ascii="Arial" w:hAnsi="Arial" w:cs="Arial"/>
          <w:sz w:val="24"/>
          <w:szCs w:val="24"/>
        </w:rPr>
        <w:t xml:space="preserve">as part of the move towards the NFF for the High Needs block, </w:t>
      </w:r>
      <w:r w:rsidR="00250770">
        <w:rPr>
          <w:rFonts w:ascii="Arial" w:hAnsi="Arial" w:cs="Arial"/>
          <w:sz w:val="24"/>
          <w:szCs w:val="24"/>
        </w:rPr>
        <w:t>central government announced that it was putting additional funding into this area in recognition of the increasing national need.</w:t>
      </w:r>
    </w:p>
    <w:p w:rsidR="00446FA3" w:rsidRDefault="00446FA3" w:rsidP="00E511F3">
      <w:pPr>
        <w:pStyle w:val="ListParagraph"/>
        <w:ind w:left="0"/>
        <w:rPr>
          <w:rFonts w:ascii="Arial" w:hAnsi="Arial" w:cs="Arial"/>
          <w:sz w:val="24"/>
          <w:szCs w:val="24"/>
        </w:rPr>
      </w:pPr>
    </w:p>
    <w:p w:rsidR="00446FA3" w:rsidRDefault="00446FA3" w:rsidP="00E511F3">
      <w:pPr>
        <w:pStyle w:val="ListParagraph"/>
        <w:ind w:left="0"/>
        <w:rPr>
          <w:rFonts w:ascii="Arial" w:hAnsi="Arial" w:cs="Arial"/>
          <w:sz w:val="24"/>
          <w:szCs w:val="24"/>
        </w:rPr>
      </w:pPr>
      <w:r>
        <w:rPr>
          <w:rFonts w:ascii="Arial" w:hAnsi="Arial" w:cs="Arial"/>
          <w:sz w:val="24"/>
          <w:szCs w:val="24"/>
        </w:rPr>
        <w:t>The amount of £18.558M includes the additional £0.357M funding allocation announced on the 17</w:t>
      </w:r>
      <w:r w:rsidRPr="00446FA3">
        <w:rPr>
          <w:rFonts w:ascii="Arial" w:hAnsi="Arial" w:cs="Arial"/>
          <w:sz w:val="24"/>
          <w:szCs w:val="24"/>
          <w:vertAlign w:val="superscript"/>
        </w:rPr>
        <w:t>th</w:t>
      </w:r>
      <w:r>
        <w:rPr>
          <w:rFonts w:ascii="Arial" w:hAnsi="Arial" w:cs="Arial"/>
          <w:sz w:val="24"/>
          <w:szCs w:val="24"/>
        </w:rPr>
        <w:t xml:space="preserve"> December 2018.</w:t>
      </w:r>
    </w:p>
    <w:p w:rsidR="00DA44D3" w:rsidRPr="00D20BF2" w:rsidRDefault="00DA44D3" w:rsidP="00E511F3">
      <w:pPr>
        <w:pStyle w:val="ListParagraph"/>
        <w:ind w:left="0"/>
        <w:rPr>
          <w:rFonts w:ascii="Arial" w:hAnsi="Arial" w:cs="Arial"/>
          <w:sz w:val="24"/>
          <w:szCs w:val="24"/>
        </w:rPr>
      </w:pPr>
    </w:p>
    <w:p w:rsidR="00F16BA0" w:rsidRPr="00D20BF2" w:rsidRDefault="002A63CF" w:rsidP="00E511F3">
      <w:pPr>
        <w:pStyle w:val="ListParagraph"/>
        <w:ind w:left="0"/>
        <w:rPr>
          <w:rFonts w:ascii="Arial" w:hAnsi="Arial" w:cs="Arial"/>
          <w:sz w:val="24"/>
          <w:szCs w:val="24"/>
        </w:rPr>
      </w:pPr>
      <w:r w:rsidRPr="00D20BF2">
        <w:rPr>
          <w:rFonts w:ascii="Arial" w:hAnsi="Arial" w:cs="Arial"/>
          <w:sz w:val="24"/>
          <w:szCs w:val="24"/>
        </w:rPr>
        <w:t>The proposed allocation of the HNB for 201</w:t>
      </w:r>
      <w:r w:rsidR="00446FA3">
        <w:rPr>
          <w:rFonts w:ascii="Arial" w:hAnsi="Arial" w:cs="Arial"/>
          <w:sz w:val="24"/>
          <w:szCs w:val="24"/>
        </w:rPr>
        <w:t>9</w:t>
      </w:r>
      <w:r w:rsidRPr="00D20BF2">
        <w:rPr>
          <w:rFonts w:ascii="Arial" w:hAnsi="Arial" w:cs="Arial"/>
          <w:sz w:val="24"/>
          <w:szCs w:val="24"/>
        </w:rPr>
        <w:t>-</w:t>
      </w:r>
      <w:r w:rsidR="00446FA3">
        <w:rPr>
          <w:rFonts w:ascii="Arial" w:hAnsi="Arial" w:cs="Arial"/>
          <w:sz w:val="24"/>
          <w:szCs w:val="24"/>
        </w:rPr>
        <w:t>20</w:t>
      </w:r>
      <w:r w:rsidRPr="00D20BF2">
        <w:rPr>
          <w:rFonts w:ascii="Arial" w:hAnsi="Arial" w:cs="Arial"/>
          <w:sz w:val="24"/>
          <w:szCs w:val="24"/>
        </w:rPr>
        <w:t xml:space="preserve"> represent</w:t>
      </w:r>
      <w:r w:rsidR="004866F2" w:rsidRPr="00D20BF2">
        <w:rPr>
          <w:rFonts w:ascii="Arial" w:hAnsi="Arial" w:cs="Arial"/>
          <w:sz w:val="24"/>
          <w:szCs w:val="24"/>
        </w:rPr>
        <w:t>s</w:t>
      </w:r>
      <w:r w:rsidRPr="00D20BF2">
        <w:rPr>
          <w:rFonts w:ascii="Arial" w:hAnsi="Arial" w:cs="Arial"/>
          <w:sz w:val="24"/>
          <w:szCs w:val="24"/>
        </w:rPr>
        <w:t xml:space="preserve"> a further refinement of spending since the first SEN Financial Plan</w:t>
      </w:r>
      <w:r w:rsidR="00105C1F" w:rsidRPr="00D20BF2">
        <w:rPr>
          <w:rFonts w:ascii="Arial" w:hAnsi="Arial" w:cs="Arial"/>
          <w:sz w:val="24"/>
          <w:szCs w:val="24"/>
        </w:rPr>
        <w:t xml:space="preserve"> </w:t>
      </w:r>
      <w:r w:rsidRPr="00D20BF2">
        <w:rPr>
          <w:rFonts w:ascii="Arial" w:hAnsi="Arial" w:cs="Arial"/>
          <w:sz w:val="24"/>
          <w:szCs w:val="24"/>
        </w:rPr>
        <w:t xml:space="preserve">was presented to Schools Forum in 2012-13. Since this time changes have been made in line with national changes to the funding of High Needs, revised operational models, changes in demand, a re-negotiation of </w:t>
      </w:r>
      <w:r w:rsidR="0095760D" w:rsidRPr="00D20BF2">
        <w:rPr>
          <w:rFonts w:ascii="Arial" w:hAnsi="Arial" w:cs="Arial"/>
          <w:sz w:val="24"/>
          <w:szCs w:val="24"/>
        </w:rPr>
        <w:t xml:space="preserve">SEN </w:t>
      </w:r>
      <w:r w:rsidRPr="00D20BF2">
        <w:rPr>
          <w:rFonts w:ascii="Arial" w:hAnsi="Arial" w:cs="Arial"/>
          <w:sz w:val="24"/>
          <w:szCs w:val="24"/>
        </w:rPr>
        <w:t xml:space="preserve">contracts </w:t>
      </w:r>
      <w:r w:rsidR="0095760D" w:rsidRPr="00D20BF2">
        <w:rPr>
          <w:rFonts w:ascii="Arial" w:hAnsi="Arial" w:cs="Arial"/>
          <w:sz w:val="24"/>
          <w:szCs w:val="24"/>
        </w:rPr>
        <w:t xml:space="preserve">such as Outreach </w:t>
      </w:r>
      <w:r w:rsidR="006C03EB" w:rsidRPr="00D20BF2">
        <w:rPr>
          <w:rFonts w:ascii="Arial" w:hAnsi="Arial" w:cs="Arial"/>
          <w:sz w:val="24"/>
          <w:szCs w:val="24"/>
        </w:rPr>
        <w:t>and Physical Difficulties</w:t>
      </w:r>
      <w:r w:rsidR="00BD0DFE">
        <w:rPr>
          <w:rFonts w:ascii="Arial" w:hAnsi="Arial" w:cs="Arial"/>
          <w:sz w:val="24"/>
          <w:szCs w:val="24"/>
        </w:rPr>
        <w:t xml:space="preserve"> and</w:t>
      </w:r>
      <w:r w:rsidRPr="00D20BF2">
        <w:rPr>
          <w:rFonts w:ascii="Arial" w:hAnsi="Arial" w:cs="Arial"/>
          <w:sz w:val="24"/>
          <w:szCs w:val="24"/>
        </w:rPr>
        <w:t xml:space="preserve"> a refinement of spending </w:t>
      </w:r>
      <w:r w:rsidR="00BD0DFE">
        <w:rPr>
          <w:rFonts w:ascii="Arial" w:hAnsi="Arial" w:cs="Arial"/>
          <w:sz w:val="24"/>
          <w:szCs w:val="24"/>
        </w:rPr>
        <w:t xml:space="preserve">based on current spending </w:t>
      </w:r>
      <w:r w:rsidRPr="00D20BF2">
        <w:rPr>
          <w:rFonts w:ascii="Arial" w:hAnsi="Arial" w:cs="Arial"/>
          <w:sz w:val="24"/>
          <w:szCs w:val="24"/>
        </w:rPr>
        <w:t>patterns</w:t>
      </w:r>
      <w:r w:rsidR="00857826" w:rsidRPr="00D20BF2">
        <w:rPr>
          <w:rFonts w:ascii="Arial" w:hAnsi="Arial" w:cs="Arial"/>
          <w:sz w:val="24"/>
          <w:szCs w:val="24"/>
        </w:rPr>
        <w:t xml:space="preserve"> and </w:t>
      </w:r>
      <w:r w:rsidR="00250770">
        <w:rPr>
          <w:rFonts w:ascii="Arial" w:hAnsi="Arial" w:cs="Arial"/>
          <w:sz w:val="24"/>
          <w:szCs w:val="24"/>
        </w:rPr>
        <w:t>expected demand.</w:t>
      </w:r>
    </w:p>
    <w:p w:rsidR="002A63CF" w:rsidRPr="00D20BF2" w:rsidRDefault="002A63CF" w:rsidP="00E511F3">
      <w:pPr>
        <w:pStyle w:val="ListParagraph"/>
        <w:ind w:left="0"/>
        <w:rPr>
          <w:rFonts w:ascii="Arial" w:hAnsi="Arial" w:cs="Arial"/>
          <w:sz w:val="24"/>
          <w:szCs w:val="24"/>
        </w:rPr>
      </w:pPr>
    </w:p>
    <w:p w:rsidR="002A63CF" w:rsidRPr="008E6976" w:rsidRDefault="002A63CF" w:rsidP="00E511F3">
      <w:pPr>
        <w:pStyle w:val="ListParagraph"/>
        <w:ind w:left="0"/>
        <w:rPr>
          <w:rFonts w:ascii="Arial" w:hAnsi="Arial" w:cs="Arial"/>
          <w:sz w:val="24"/>
          <w:szCs w:val="24"/>
        </w:rPr>
      </w:pPr>
      <w:r w:rsidRPr="008E6976">
        <w:rPr>
          <w:rFonts w:ascii="Arial" w:hAnsi="Arial" w:cs="Arial"/>
          <w:sz w:val="24"/>
          <w:szCs w:val="24"/>
        </w:rPr>
        <w:t>Members are also re</w:t>
      </w:r>
      <w:r w:rsidR="00250770" w:rsidRPr="008E6976">
        <w:rPr>
          <w:rFonts w:ascii="Arial" w:hAnsi="Arial" w:cs="Arial"/>
          <w:sz w:val="24"/>
          <w:szCs w:val="24"/>
        </w:rPr>
        <w:t xml:space="preserve">minded </w:t>
      </w:r>
      <w:r w:rsidRPr="008E6976">
        <w:rPr>
          <w:rFonts w:ascii="Arial" w:hAnsi="Arial" w:cs="Arial"/>
          <w:sz w:val="24"/>
          <w:szCs w:val="24"/>
        </w:rPr>
        <w:t xml:space="preserve">that the current allocation is financial year based whereas </w:t>
      </w:r>
      <w:r w:rsidR="00C94417" w:rsidRPr="008E6976">
        <w:rPr>
          <w:rFonts w:ascii="Arial" w:hAnsi="Arial" w:cs="Arial"/>
          <w:sz w:val="24"/>
          <w:szCs w:val="24"/>
        </w:rPr>
        <w:t>funding for some of the</w:t>
      </w:r>
      <w:r w:rsidR="004866F2" w:rsidRPr="008E6976">
        <w:rPr>
          <w:rFonts w:ascii="Arial" w:hAnsi="Arial" w:cs="Arial"/>
          <w:sz w:val="24"/>
          <w:szCs w:val="24"/>
        </w:rPr>
        <w:t xml:space="preserve"> establishments, special academies</w:t>
      </w:r>
      <w:r w:rsidR="00C94417" w:rsidRPr="008E6976">
        <w:rPr>
          <w:rFonts w:ascii="Arial" w:hAnsi="Arial" w:cs="Arial"/>
          <w:sz w:val="24"/>
          <w:szCs w:val="24"/>
        </w:rPr>
        <w:t xml:space="preserve">, PRU’s </w:t>
      </w:r>
      <w:r w:rsidR="004866F2" w:rsidRPr="008E6976">
        <w:rPr>
          <w:rFonts w:ascii="Arial" w:hAnsi="Arial" w:cs="Arial"/>
          <w:sz w:val="24"/>
          <w:szCs w:val="24"/>
        </w:rPr>
        <w:t>are academic</w:t>
      </w:r>
      <w:r w:rsidR="00C94417" w:rsidRPr="008E6976">
        <w:rPr>
          <w:rFonts w:ascii="Arial" w:hAnsi="Arial" w:cs="Arial"/>
          <w:sz w:val="24"/>
          <w:szCs w:val="24"/>
        </w:rPr>
        <w:t xml:space="preserve"> year based.</w:t>
      </w:r>
    </w:p>
    <w:p w:rsidR="00EB6CE7" w:rsidRPr="00D20BF2" w:rsidRDefault="00EB6CE7" w:rsidP="00E511F3">
      <w:pPr>
        <w:pStyle w:val="ListParagraph"/>
        <w:ind w:left="0"/>
        <w:rPr>
          <w:rFonts w:ascii="Arial" w:hAnsi="Arial" w:cs="Arial"/>
          <w:sz w:val="24"/>
          <w:szCs w:val="24"/>
        </w:rPr>
      </w:pPr>
    </w:p>
    <w:p w:rsidR="00EB6CE7" w:rsidRPr="00D20BF2" w:rsidRDefault="00250770" w:rsidP="00E511F3">
      <w:pPr>
        <w:pStyle w:val="ListParagraph"/>
        <w:ind w:left="0"/>
        <w:rPr>
          <w:rFonts w:ascii="Arial" w:hAnsi="Arial" w:cs="Arial"/>
          <w:sz w:val="24"/>
          <w:szCs w:val="24"/>
        </w:rPr>
      </w:pPr>
      <w:r>
        <w:rPr>
          <w:rFonts w:ascii="Arial" w:hAnsi="Arial" w:cs="Arial"/>
          <w:sz w:val="24"/>
          <w:szCs w:val="24"/>
        </w:rPr>
        <w:t xml:space="preserve">As in previous years </w:t>
      </w:r>
      <w:r w:rsidR="00EB6CE7" w:rsidRPr="00D20BF2">
        <w:rPr>
          <w:rFonts w:ascii="Arial" w:hAnsi="Arial" w:cs="Arial"/>
          <w:sz w:val="24"/>
          <w:szCs w:val="24"/>
        </w:rPr>
        <w:t>Members are further requested to note that in respect of our special academies final admission numbers will not be known until the summer and therefore the final value of top up funding cannot be precisely estimated at this time.</w:t>
      </w:r>
    </w:p>
    <w:p w:rsidR="00D101F8" w:rsidRDefault="00D101F8" w:rsidP="00E511F3">
      <w:pPr>
        <w:pStyle w:val="ListParagraph"/>
        <w:ind w:left="0"/>
        <w:rPr>
          <w:rFonts w:ascii="Arial" w:hAnsi="Arial" w:cs="Arial"/>
          <w:b/>
          <w:sz w:val="24"/>
          <w:szCs w:val="24"/>
          <w:u w:val="single"/>
        </w:rPr>
      </w:pPr>
    </w:p>
    <w:p w:rsidR="00446FA3" w:rsidRDefault="00446FA3" w:rsidP="00E511F3">
      <w:pPr>
        <w:pStyle w:val="ListParagraph"/>
        <w:ind w:left="0"/>
        <w:rPr>
          <w:rFonts w:ascii="Arial" w:hAnsi="Arial" w:cs="Arial"/>
          <w:b/>
          <w:sz w:val="24"/>
          <w:szCs w:val="24"/>
          <w:u w:val="single"/>
        </w:rPr>
      </w:pPr>
    </w:p>
    <w:p w:rsidR="00EB6CE7" w:rsidRPr="00D20BF2" w:rsidRDefault="0095760D" w:rsidP="00E511F3">
      <w:pPr>
        <w:pStyle w:val="ListParagraph"/>
        <w:ind w:left="0"/>
        <w:rPr>
          <w:rFonts w:ascii="Arial" w:hAnsi="Arial" w:cs="Arial"/>
          <w:b/>
          <w:sz w:val="24"/>
          <w:szCs w:val="24"/>
          <w:u w:val="single"/>
        </w:rPr>
      </w:pPr>
      <w:r w:rsidRPr="00D20BF2">
        <w:rPr>
          <w:rFonts w:ascii="Arial" w:hAnsi="Arial" w:cs="Arial"/>
          <w:b/>
          <w:sz w:val="24"/>
          <w:szCs w:val="24"/>
          <w:u w:val="single"/>
        </w:rPr>
        <w:t xml:space="preserve">Summary of the </w:t>
      </w:r>
      <w:r w:rsidR="00EB6CE7" w:rsidRPr="00D20BF2">
        <w:rPr>
          <w:rFonts w:ascii="Arial" w:hAnsi="Arial" w:cs="Arial"/>
          <w:b/>
          <w:sz w:val="24"/>
          <w:szCs w:val="24"/>
          <w:u w:val="single"/>
        </w:rPr>
        <w:t>Main changes</w:t>
      </w:r>
    </w:p>
    <w:p w:rsidR="00C94417" w:rsidRPr="00D20BF2" w:rsidRDefault="00C94417" w:rsidP="00E511F3">
      <w:pPr>
        <w:pStyle w:val="ListParagraph"/>
        <w:ind w:left="0"/>
        <w:rPr>
          <w:rFonts w:ascii="Arial" w:hAnsi="Arial" w:cs="Arial"/>
          <w:sz w:val="24"/>
          <w:szCs w:val="24"/>
        </w:rPr>
      </w:pPr>
    </w:p>
    <w:p w:rsidR="00446FA3" w:rsidRDefault="00250770" w:rsidP="00E511F3">
      <w:pPr>
        <w:pStyle w:val="ListParagraph"/>
        <w:ind w:left="0"/>
        <w:rPr>
          <w:rFonts w:ascii="Arial" w:hAnsi="Arial" w:cs="Arial"/>
          <w:sz w:val="24"/>
          <w:szCs w:val="24"/>
        </w:rPr>
      </w:pPr>
      <w:r>
        <w:rPr>
          <w:rFonts w:ascii="Arial" w:hAnsi="Arial" w:cs="Arial"/>
          <w:sz w:val="24"/>
          <w:szCs w:val="24"/>
        </w:rPr>
        <w:t xml:space="preserve">Whilst the increase in the funding is significant and welcomed current spend projections and demand </w:t>
      </w:r>
      <w:r w:rsidR="00446FA3">
        <w:rPr>
          <w:rFonts w:ascii="Arial" w:hAnsi="Arial" w:cs="Arial"/>
          <w:sz w:val="24"/>
          <w:szCs w:val="24"/>
        </w:rPr>
        <w:t xml:space="preserve">further </w:t>
      </w:r>
      <w:r>
        <w:rPr>
          <w:rFonts w:ascii="Arial" w:hAnsi="Arial" w:cs="Arial"/>
          <w:sz w:val="24"/>
          <w:szCs w:val="24"/>
        </w:rPr>
        <w:t>in</w:t>
      </w:r>
      <w:r w:rsidR="00446FA3">
        <w:rPr>
          <w:rFonts w:ascii="Arial" w:hAnsi="Arial" w:cs="Arial"/>
          <w:sz w:val="24"/>
          <w:szCs w:val="24"/>
        </w:rPr>
        <w:t xml:space="preserve">creased in 2018-19 </w:t>
      </w:r>
      <w:r w:rsidR="00C67339">
        <w:rPr>
          <w:rFonts w:ascii="Arial" w:hAnsi="Arial" w:cs="Arial"/>
          <w:sz w:val="24"/>
          <w:szCs w:val="24"/>
        </w:rPr>
        <w:t xml:space="preserve">(as detailed in the Schools forum paper ITEM 21/18) </w:t>
      </w:r>
      <w:r w:rsidR="00446FA3">
        <w:rPr>
          <w:rFonts w:ascii="Arial" w:hAnsi="Arial" w:cs="Arial"/>
          <w:sz w:val="24"/>
          <w:szCs w:val="24"/>
        </w:rPr>
        <w:t xml:space="preserve">and a High Needs </w:t>
      </w:r>
      <w:r w:rsidR="008F6074">
        <w:rPr>
          <w:rFonts w:ascii="Arial" w:hAnsi="Arial" w:cs="Arial"/>
          <w:sz w:val="24"/>
          <w:szCs w:val="24"/>
        </w:rPr>
        <w:t>Block deficit of £</w:t>
      </w:r>
      <w:r w:rsidR="00683ECB">
        <w:rPr>
          <w:rFonts w:ascii="Arial" w:hAnsi="Arial" w:cs="Arial"/>
          <w:sz w:val="24"/>
          <w:szCs w:val="24"/>
        </w:rPr>
        <w:t>1.1</w:t>
      </w:r>
      <w:r w:rsidR="008F6074">
        <w:rPr>
          <w:rFonts w:ascii="Arial" w:hAnsi="Arial" w:cs="Arial"/>
          <w:sz w:val="24"/>
          <w:szCs w:val="24"/>
        </w:rPr>
        <w:t xml:space="preserve">M is currently being projected. This amount is after factoring in the </w:t>
      </w:r>
      <w:r w:rsidR="00F507A5">
        <w:rPr>
          <w:rFonts w:ascii="Arial" w:hAnsi="Arial" w:cs="Arial"/>
          <w:sz w:val="24"/>
          <w:szCs w:val="24"/>
        </w:rPr>
        <w:t>£</w:t>
      </w:r>
      <w:r w:rsidR="008F6074">
        <w:rPr>
          <w:rFonts w:ascii="Arial" w:hAnsi="Arial" w:cs="Arial"/>
          <w:sz w:val="24"/>
          <w:szCs w:val="24"/>
        </w:rPr>
        <w:t>0.357M additional in year funding. This deficit is an increase on the £0.6M that was recorded in 2017-18.</w:t>
      </w:r>
    </w:p>
    <w:p w:rsidR="008F6074" w:rsidRDefault="008F6074" w:rsidP="00E511F3">
      <w:pPr>
        <w:pStyle w:val="ListParagraph"/>
        <w:ind w:left="0"/>
        <w:rPr>
          <w:rFonts w:ascii="Arial" w:hAnsi="Arial" w:cs="Arial"/>
          <w:sz w:val="24"/>
          <w:szCs w:val="24"/>
        </w:rPr>
      </w:pPr>
    </w:p>
    <w:p w:rsidR="006D4E0E" w:rsidRDefault="008F6074" w:rsidP="00E511F3">
      <w:pPr>
        <w:pStyle w:val="ListParagraph"/>
        <w:ind w:left="0"/>
        <w:rPr>
          <w:rFonts w:ascii="Arial" w:hAnsi="Arial" w:cs="Arial"/>
          <w:sz w:val="24"/>
          <w:szCs w:val="24"/>
        </w:rPr>
      </w:pPr>
      <w:r>
        <w:rPr>
          <w:rFonts w:ascii="Arial" w:hAnsi="Arial" w:cs="Arial"/>
          <w:sz w:val="24"/>
          <w:szCs w:val="24"/>
        </w:rPr>
        <w:lastRenderedPageBreak/>
        <w:t xml:space="preserve">This projection and impact on the central contingency resulted in officers requesting a 0.4% top slice off the schools block for 2019-20 to provide additional high needs resource whilst the actions it was taking had time to take effect. Based on the demand evidence presented to the Schools Forum </w:t>
      </w:r>
      <w:r w:rsidR="00C67339">
        <w:rPr>
          <w:rFonts w:ascii="Arial" w:hAnsi="Arial" w:cs="Arial"/>
          <w:sz w:val="24"/>
          <w:szCs w:val="24"/>
        </w:rPr>
        <w:t>on the 15</w:t>
      </w:r>
      <w:r w:rsidR="00C67339" w:rsidRPr="00C67339">
        <w:rPr>
          <w:rFonts w:ascii="Arial" w:hAnsi="Arial" w:cs="Arial"/>
          <w:sz w:val="24"/>
          <w:szCs w:val="24"/>
          <w:vertAlign w:val="superscript"/>
        </w:rPr>
        <w:t>th</w:t>
      </w:r>
      <w:r w:rsidR="00C67339">
        <w:rPr>
          <w:rFonts w:ascii="Arial" w:hAnsi="Arial" w:cs="Arial"/>
          <w:sz w:val="24"/>
          <w:szCs w:val="24"/>
        </w:rPr>
        <w:t xml:space="preserve"> November 2018 (ITEM 21/18) it </w:t>
      </w:r>
      <w:r>
        <w:rPr>
          <w:rFonts w:ascii="Arial" w:hAnsi="Arial" w:cs="Arial"/>
          <w:sz w:val="24"/>
          <w:szCs w:val="24"/>
        </w:rPr>
        <w:t xml:space="preserve">approved the top slice of the Schools block equating to £0.4M. Whilst this additional funding will not </w:t>
      </w:r>
      <w:r w:rsidR="00250770">
        <w:rPr>
          <w:rFonts w:ascii="Arial" w:hAnsi="Arial" w:cs="Arial"/>
          <w:sz w:val="24"/>
          <w:szCs w:val="24"/>
        </w:rPr>
        <w:t>solv</w:t>
      </w:r>
      <w:r w:rsidR="006D4E0E">
        <w:rPr>
          <w:rFonts w:ascii="Arial" w:hAnsi="Arial" w:cs="Arial"/>
          <w:sz w:val="24"/>
          <w:szCs w:val="24"/>
        </w:rPr>
        <w:t>e the financial position on top of the additional funding it will help the position.</w:t>
      </w:r>
    </w:p>
    <w:p w:rsidR="006D4E0E" w:rsidRDefault="006D4E0E" w:rsidP="00E511F3">
      <w:pPr>
        <w:pStyle w:val="ListParagraph"/>
        <w:ind w:left="0"/>
        <w:rPr>
          <w:rFonts w:ascii="Arial" w:hAnsi="Arial" w:cs="Arial"/>
          <w:sz w:val="24"/>
          <w:szCs w:val="24"/>
        </w:rPr>
      </w:pPr>
    </w:p>
    <w:p w:rsidR="00C94417" w:rsidRDefault="00EB6CE7" w:rsidP="00E511F3">
      <w:pPr>
        <w:pStyle w:val="ListParagraph"/>
        <w:ind w:left="0"/>
        <w:rPr>
          <w:rFonts w:ascii="Arial" w:hAnsi="Arial" w:cs="Arial"/>
          <w:sz w:val="24"/>
          <w:szCs w:val="24"/>
        </w:rPr>
      </w:pPr>
      <w:r w:rsidRPr="00D20BF2">
        <w:rPr>
          <w:rFonts w:ascii="Arial" w:hAnsi="Arial" w:cs="Arial"/>
          <w:sz w:val="24"/>
          <w:szCs w:val="24"/>
        </w:rPr>
        <w:t xml:space="preserve">The attached Appendix </w:t>
      </w:r>
      <w:r w:rsidR="003C1334" w:rsidRPr="00D20BF2">
        <w:rPr>
          <w:rFonts w:ascii="Arial" w:hAnsi="Arial" w:cs="Arial"/>
          <w:sz w:val="24"/>
          <w:szCs w:val="24"/>
        </w:rPr>
        <w:t xml:space="preserve">1 </w:t>
      </w:r>
      <w:r w:rsidRPr="00D20BF2">
        <w:rPr>
          <w:rFonts w:ascii="Arial" w:hAnsi="Arial" w:cs="Arial"/>
          <w:sz w:val="24"/>
          <w:szCs w:val="24"/>
        </w:rPr>
        <w:t>shows the proposed allocation for 201</w:t>
      </w:r>
      <w:r w:rsidR="006D4E0E">
        <w:rPr>
          <w:rFonts w:ascii="Arial" w:hAnsi="Arial" w:cs="Arial"/>
          <w:sz w:val="24"/>
          <w:szCs w:val="24"/>
        </w:rPr>
        <w:t>9</w:t>
      </w:r>
      <w:r w:rsidRPr="00D20BF2">
        <w:rPr>
          <w:rFonts w:ascii="Arial" w:hAnsi="Arial" w:cs="Arial"/>
          <w:sz w:val="24"/>
          <w:szCs w:val="24"/>
        </w:rPr>
        <w:t>-</w:t>
      </w:r>
      <w:r w:rsidR="006D4E0E">
        <w:rPr>
          <w:rFonts w:ascii="Arial" w:hAnsi="Arial" w:cs="Arial"/>
          <w:sz w:val="24"/>
          <w:szCs w:val="24"/>
        </w:rPr>
        <w:t>20</w:t>
      </w:r>
      <w:r w:rsidRPr="00D20BF2">
        <w:rPr>
          <w:rFonts w:ascii="Arial" w:hAnsi="Arial" w:cs="Arial"/>
          <w:sz w:val="24"/>
          <w:szCs w:val="24"/>
        </w:rPr>
        <w:t>. As stated above</w:t>
      </w:r>
      <w:r w:rsidR="00D81667">
        <w:rPr>
          <w:rFonts w:ascii="Arial" w:hAnsi="Arial" w:cs="Arial"/>
          <w:sz w:val="24"/>
          <w:szCs w:val="24"/>
        </w:rPr>
        <w:t xml:space="preserve">, </w:t>
      </w:r>
      <w:r w:rsidRPr="00D20BF2">
        <w:rPr>
          <w:rFonts w:ascii="Arial" w:hAnsi="Arial" w:cs="Arial"/>
          <w:sz w:val="24"/>
          <w:szCs w:val="24"/>
        </w:rPr>
        <w:t>refinement has taken place and where for example costs have been moved between headings the comparator has also been restated.</w:t>
      </w:r>
    </w:p>
    <w:p w:rsidR="0066080F" w:rsidRDefault="0066080F" w:rsidP="00E511F3">
      <w:pPr>
        <w:pStyle w:val="ListParagraph"/>
        <w:ind w:left="0"/>
        <w:rPr>
          <w:rFonts w:ascii="Arial" w:hAnsi="Arial" w:cs="Arial"/>
          <w:sz w:val="24"/>
          <w:szCs w:val="24"/>
        </w:rPr>
      </w:pPr>
    </w:p>
    <w:p w:rsidR="0066080F" w:rsidRPr="00D20BF2" w:rsidRDefault="00AC7FBC" w:rsidP="00E511F3">
      <w:pPr>
        <w:pStyle w:val="ListParagraph"/>
        <w:ind w:left="0"/>
        <w:rPr>
          <w:rFonts w:ascii="Arial" w:hAnsi="Arial" w:cs="Arial"/>
          <w:sz w:val="24"/>
          <w:szCs w:val="24"/>
        </w:rPr>
      </w:pPr>
      <w:r>
        <w:rPr>
          <w:rFonts w:ascii="Arial" w:hAnsi="Arial" w:cs="Arial"/>
          <w:sz w:val="24"/>
          <w:szCs w:val="24"/>
        </w:rPr>
        <w:t>Member’s</w:t>
      </w:r>
      <w:r w:rsidR="0066080F">
        <w:rPr>
          <w:rFonts w:ascii="Arial" w:hAnsi="Arial" w:cs="Arial"/>
          <w:sz w:val="24"/>
          <w:szCs w:val="24"/>
        </w:rPr>
        <w:t xml:space="preserve"> attention is particularly requested to be drawn</w:t>
      </w:r>
      <w:r w:rsidR="004215E9">
        <w:rPr>
          <w:rFonts w:ascii="Arial" w:hAnsi="Arial" w:cs="Arial"/>
          <w:sz w:val="24"/>
          <w:szCs w:val="24"/>
        </w:rPr>
        <w:t xml:space="preserve"> to</w:t>
      </w:r>
      <w:r w:rsidR="0066080F">
        <w:rPr>
          <w:rFonts w:ascii="Arial" w:hAnsi="Arial" w:cs="Arial"/>
          <w:sz w:val="24"/>
          <w:szCs w:val="24"/>
        </w:rPr>
        <w:t xml:space="preserve"> the section in respect of the BAC’s income which highlights a </w:t>
      </w:r>
      <w:r w:rsidR="006D4E0E">
        <w:rPr>
          <w:rFonts w:ascii="Arial" w:hAnsi="Arial" w:cs="Arial"/>
          <w:sz w:val="24"/>
          <w:szCs w:val="24"/>
        </w:rPr>
        <w:t xml:space="preserve">continued </w:t>
      </w:r>
      <w:r w:rsidR="0066080F">
        <w:rPr>
          <w:rFonts w:ascii="Arial" w:hAnsi="Arial" w:cs="Arial"/>
          <w:sz w:val="24"/>
          <w:szCs w:val="24"/>
        </w:rPr>
        <w:t xml:space="preserve">diversion from previous </w:t>
      </w:r>
      <w:r w:rsidR="0066080F" w:rsidRPr="008E6976">
        <w:rPr>
          <w:rFonts w:ascii="Arial" w:hAnsi="Arial" w:cs="Arial"/>
          <w:sz w:val="24"/>
          <w:szCs w:val="24"/>
        </w:rPr>
        <w:t>years.</w:t>
      </w:r>
    </w:p>
    <w:p w:rsidR="00EB6CE7" w:rsidRPr="00D20BF2" w:rsidRDefault="00EB6CE7" w:rsidP="00E511F3">
      <w:pPr>
        <w:pStyle w:val="ListParagraph"/>
        <w:ind w:left="0"/>
        <w:rPr>
          <w:rFonts w:ascii="Arial" w:hAnsi="Arial" w:cs="Arial"/>
          <w:sz w:val="24"/>
          <w:szCs w:val="24"/>
        </w:rPr>
      </w:pPr>
    </w:p>
    <w:p w:rsidR="00EB6CE7" w:rsidRDefault="00EB6CE7" w:rsidP="00E511F3">
      <w:pPr>
        <w:pStyle w:val="ListParagraph"/>
        <w:ind w:left="0"/>
        <w:rPr>
          <w:rFonts w:ascii="Arial" w:hAnsi="Arial" w:cs="Arial"/>
          <w:sz w:val="24"/>
          <w:szCs w:val="24"/>
        </w:rPr>
      </w:pPr>
      <w:r w:rsidRPr="00D20BF2">
        <w:rPr>
          <w:rFonts w:ascii="Arial" w:hAnsi="Arial" w:cs="Arial"/>
          <w:sz w:val="24"/>
          <w:szCs w:val="24"/>
        </w:rPr>
        <w:t xml:space="preserve">The main </w:t>
      </w:r>
      <w:r w:rsidR="00471C15">
        <w:rPr>
          <w:rFonts w:ascii="Arial" w:hAnsi="Arial" w:cs="Arial"/>
          <w:sz w:val="24"/>
          <w:szCs w:val="24"/>
        </w:rPr>
        <w:t>considerations a</w:t>
      </w:r>
      <w:r w:rsidRPr="00D20BF2">
        <w:rPr>
          <w:rFonts w:ascii="Arial" w:hAnsi="Arial" w:cs="Arial"/>
          <w:sz w:val="24"/>
          <w:szCs w:val="24"/>
        </w:rPr>
        <w:t>re detailed below:</w:t>
      </w:r>
    </w:p>
    <w:p w:rsidR="00471C15" w:rsidRDefault="00471C15" w:rsidP="00E511F3">
      <w:pPr>
        <w:pStyle w:val="ListParagraph"/>
        <w:ind w:left="0"/>
        <w:rPr>
          <w:rFonts w:ascii="Arial" w:hAnsi="Arial" w:cs="Arial"/>
          <w:sz w:val="24"/>
          <w:szCs w:val="24"/>
        </w:rPr>
      </w:pPr>
    </w:p>
    <w:p w:rsidR="00471C15" w:rsidRPr="00194755" w:rsidRDefault="00471C15" w:rsidP="00E511F3">
      <w:pPr>
        <w:pStyle w:val="ListParagraph"/>
        <w:ind w:left="0"/>
        <w:rPr>
          <w:rFonts w:ascii="Arial" w:hAnsi="Arial" w:cs="Arial"/>
          <w:b/>
          <w:sz w:val="24"/>
          <w:szCs w:val="24"/>
          <w:u w:val="single"/>
        </w:rPr>
      </w:pPr>
      <w:r w:rsidRPr="00194755">
        <w:rPr>
          <w:rFonts w:ascii="Arial" w:hAnsi="Arial" w:cs="Arial"/>
          <w:b/>
          <w:sz w:val="24"/>
          <w:szCs w:val="24"/>
          <w:u w:val="single"/>
        </w:rPr>
        <w:t>Agency Placements</w:t>
      </w:r>
    </w:p>
    <w:p w:rsidR="009C3DEB" w:rsidRPr="00194755" w:rsidRDefault="009C3DEB" w:rsidP="00E511F3">
      <w:pPr>
        <w:pStyle w:val="ListParagraph"/>
        <w:ind w:left="0"/>
        <w:rPr>
          <w:rFonts w:ascii="Arial" w:hAnsi="Arial" w:cs="Arial"/>
          <w:b/>
          <w:sz w:val="24"/>
          <w:szCs w:val="24"/>
          <w:u w:val="single"/>
        </w:rPr>
      </w:pPr>
    </w:p>
    <w:p w:rsidR="0063240D" w:rsidRPr="00194755" w:rsidRDefault="00683ECB" w:rsidP="00E511F3">
      <w:pPr>
        <w:pStyle w:val="ListParagraph"/>
        <w:ind w:left="0"/>
        <w:rPr>
          <w:rFonts w:ascii="Arial" w:hAnsi="Arial" w:cs="Arial"/>
          <w:sz w:val="24"/>
          <w:szCs w:val="24"/>
        </w:rPr>
      </w:pPr>
      <w:r>
        <w:rPr>
          <w:rFonts w:ascii="Arial" w:hAnsi="Arial" w:cs="Arial"/>
          <w:sz w:val="24"/>
          <w:szCs w:val="24"/>
        </w:rPr>
        <w:t>Increasing demand together with t</w:t>
      </w:r>
      <w:r w:rsidR="004D1DE2">
        <w:rPr>
          <w:rFonts w:ascii="Arial" w:hAnsi="Arial" w:cs="Arial"/>
          <w:sz w:val="24"/>
          <w:szCs w:val="24"/>
        </w:rPr>
        <w:t xml:space="preserve">he </w:t>
      </w:r>
      <w:r w:rsidR="0063240D" w:rsidRPr="00194755">
        <w:rPr>
          <w:rFonts w:ascii="Arial" w:hAnsi="Arial" w:cs="Arial"/>
          <w:sz w:val="24"/>
          <w:szCs w:val="24"/>
        </w:rPr>
        <w:t xml:space="preserve">age extension from 19-25 is now leading to an </w:t>
      </w:r>
      <w:r w:rsidR="0063240D" w:rsidRPr="00194755">
        <w:rPr>
          <w:rFonts w:ascii="Arial" w:hAnsi="Arial" w:cs="Arial"/>
          <w:sz w:val="24"/>
          <w:szCs w:val="24"/>
        </w:rPr>
        <w:t xml:space="preserve">increase in </w:t>
      </w:r>
      <w:r w:rsidR="005E2A73" w:rsidRPr="00194755">
        <w:rPr>
          <w:rFonts w:ascii="Arial" w:hAnsi="Arial" w:cs="Arial"/>
          <w:sz w:val="24"/>
          <w:szCs w:val="24"/>
        </w:rPr>
        <w:t>p</w:t>
      </w:r>
      <w:r w:rsidR="0063240D" w:rsidRPr="00194755">
        <w:rPr>
          <w:rFonts w:ascii="Arial" w:hAnsi="Arial" w:cs="Arial"/>
          <w:sz w:val="24"/>
          <w:szCs w:val="24"/>
        </w:rPr>
        <w:t>rovision and funding pressure for young people with the highest needs, who often require bespoke packages of education with associated high costs.  It is evident from recent tribunal experience and intelligence from other local authorities experiences that this is a national pressure and increasing demand.</w:t>
      </w:r>
    </w:p>
    <w:p w:rsidR="0063240D" w:rsidRPr="00194755" w:rsidRDefault="0063240D" w:rsidP="00E511F3">
      <w:pPr>
        <w:pStyle w:val="ListParagraph"/>
        <w:ind w:left="0"/>
        <w:rPr>
          <w:rFonts w:ascii="Arial" w:hAnsi="Arial" w:cs="Arial"/>
          <w:sz w:val="24"/>
          <w:szCs w:val="24"/>
        </w:rPr>
      </w:pPr>
    </w:p>
    <w:p w:rsidR="009C3DEB" w:rsidRPr="00194755" w:rsidRDefault="0021361C" w:rsidP="00E511F3">
      <w:pPr>
        <w:pStyle w:val="ListParagraph"/>
        <w:ind w:left="0"/>
        <w:rPr>
          <w:rFonts w:ascii="Arial" w:hAnsi="Arial" w:cs="Arial"/>
          <w:sz w:val="24"/>
          <w:szCs w:val="24"/>
        </w:rPr>
      </w:pPr>
      <w:r w:rsidRPr="00194755">
        <w:rPr>
          <w:rFonts w:ascii="Arial" w:hAnsi="Arial" w:cs="Arial"/>
          <w:sz w:val="24"/>
          <w:szCs w:val="24"/>
        </w:rPr>
        <w:lastRenderedPageBreak/>
        <w:t xml:space="preserve">The council continues to monitor this area of spend and has introduced an active programme to monitor </w:t>
      </w:r>
      <w:r w:rsidR="00881587" w:rsidRPr="00194755">
        <w:rPr>
          <w:rFonts w:ascii="Arial" w:hAnsi="Arial" w:cs="Arial"/>
          <w:sz w:val="24"/>
          <w:szCs w:val="24"/>
        </w:rPr>
        <w:t xml:space="preserve">and quality assure the </w:t>
      </w:r>
      <w:r w:rsidRPr="00194755">
        <w:rPr>
          <w:rFonts w:ascii="Arial" w:hAnsi="Arial" w:cs="Arial"/>
          <w:sz w:val="24"/>
          <w:szCs w:val="24"/>
        </w:rPr>
        <w:t xml:space="preserve">placement </w:t>
      </w:r>
      <w:r w:rsidR="00881587" w:rsidRPr="00194755">
        <w:rPr>
          <w:rFonts w:ascii="Arial" w:hAnsi="Arial" w:cs="Arial"/>
          <w:sz w:val="24"/>
          <w:szCs w:val="24"/>
        </w:rPr>
        <w:t xml:space="preserve">settings </w:t>
      </w:r>
      <w:r w:rsidRPr="00194755">
        <w:rPr>
          <w:rFonts w:ascii="Arial" w:hAnsi="Arial" w:cs="Arial"/>
          <w:sz w:val="24"/>
          <w:szCs w:val="24"/>
        </w:rPr>
        <w:t xml:space="preserve">and where possible </w:t>
      </w:r>
      <w:r w:rsidR="00881587" w:rsidRPr="00194755">
        <w:rPr>
          <w:rFonts w:ascii="Arial" w:hAnsi="Arial" w:cs="Arial"/>
          <w:sz w:val="24"/>
          <w:szCs w:val="24"/>
        </w:rPr>
        <w:t xml:space="preserve">review all placements </w:t>
      </w:r>
      <w:r w:rsidRPr="00194755">
        <w:rPr>
          <w:rFonts w:ascii="Arial" w:hAnsi="Arial" w:cs="Arial"/>
          <w:sz w:val="24"/>
          <w:szCs w:val="24"/>
        </w:rPr>
        <w:t>and w</w:t>
      </w:r>
      <w:r w:rsidR="00881587" w:rsidRPr="00194755">
        <w:rPr>
          <w:rFonts w:ascii="Arial" w:hAnsi="Arial" w:cs="Arial"/>
          <w:sz w:val="24"/>
          <w:szCs w:val="24"/>
        </w:rPr>
        <w:t xml:space="preserve">here there would be no material </w:t>
      </w:r>
      <w:r w:rsidRPr="00194755">
        <w:rPr>
          <w:rFonts w:ascii="Arial" w:hAnsi="Arial" w:cs="Arial"/>
          <w:sz w:val="24"/>
          <w:szCs w:val="24"/>
        </w:rPr>
        <w:t xml:space="preserve">dis-benefit for the child </w:t>
      </w:r>
      <w:r w:rsidR="00881587" w:rsidRPr="00194755">
        <w:rPr>
          <w:rFonts w:ascii="Arial" w:hAnsi="Arial" w:cs="Arial"/>
          <w:sz w:val="24"/>
          <w:szCs w:val="24"/>
        </w:rPr>
        <w:t xml:space="preserve">/ young person </w:t>
      </w:r>
      <w:r w:rsidRPr="00194755">
        <w:rPr>
          <w:rFonts w:ascii="Arial" w:hAnsi="Arial" w:cs="Arial"/>
          <w:sz w:val="24"/>
          <w:szCs w:val="24"/>
        </w:rPr>
        <w:t xml:space="preserve">move </w:t>
      </w:r>
      <w:r w:rsidR="00881587" w:rsidRPr="00194755">
        <w:rPr>
          <w:rFonts w:ascii="Arial" w:hAnsi="Arial" w:cs="Arial"/>
          <w:sz w:val="24"/>
          <w:szCs w:val="24"/>
        </w:rPr>
        <w:t xml:space="preserve">them </w:t>
      </w:r>
      <w:r w:rsidRPr="00194755">
        <w:rPr>
          <w:rFonts w:ascii="Arial" w:hAnsi="Arial" w:cs="Arial"/>
          <w:sz w:val="24"/>
          <w:szCs w:val="24"/>
        </w:rPr>
        <w:t>to lower cost placements</w:t>
      </w:r>
      <w:r w:rsidR="00D81667" w:rsidRPr="00194755">
        <w:rPr>
          <w:rFonts w:ascii="Arial" w:hAnsi="Arial" w:cs="Arial"/>
          <w:sz w:val="24"/>
          <w:szCs w:val="24"/>
        </w:rPr>
        <w:t>.</w:t>
      </w:r>
      <w:r w:rsidR="00881587" w:rsidRPr="00194755">
        <w:rPr>
          <w:rFonts w:ascii="Arial" w:hAnsi="Arial" w:cs="Arial"/>
          <w:sz w:val="24"/>
          <w:szCs w:val="24"/>
        </w:rPr>
        <w:t xml:space="preserve"> </w:t>
      </w:r>
    </w:p>
    <w:p w:rsidR="009C3DEB" w:rsidRPr="00B47A5C" w:rsidRDefault="009C3DEB" w:rsidP="00E511F3">
      <w:pPr>
        <w:pStyle w:val="ListParagraph"/>
        <w:ind w:left="0"/>
        <w:rPr>
          <w:rFonts w:ascii="Arial" w:hAnsi="Arial" w:cs="Arial"/>
          <w:b/>
          <w:color w:val="FF0000"/>
          <w:sz w:val="24"/>
          <w:szCs w:val="24"/>
          <w:u w:val="single"/>
        </w:rPr>
      </w:pPr>
    </w:p>
    <w:p w:rsidR="00471C15" w:rsidRDefault="00D81667" w:rsidP="00E511F3">
      <w:pPr>
        <w:pStyle w:val="ListParagraph"/>
        <w:ind w:left="0"/>
        <w:rPr>
          <w:rFonts w:ascii="Arial" w:hAnsi="Arial" w:cs="Arial"/>
          <w:b/>
          <w:sz w:val="24"/>
          <w:szCs w:val="24"/>
          <w:u w:val="single"/>
        </w:rPr>
      </w:pPr>
      <w:r w:rsidRPr="00B32498">
        <w:rPr>
          <w:rFonts w:ascii="Arial" w:hAnsi="Arial" w:cs="Arial"/>
          <w:b/>
          <w:sz w:val="24"/>
          <w:szCs w:val="24"/>
          <w:u w:val="single"/>
        </w:rPr>
        <w:t>Special /</w:t>
      </w:r>
      <w:r w:rsidR="00647A63" w:rsidRPr="00B32498">
        <w:rPr>
          <w:rFonts w:ascii="Arial" w:hAnsi="Arial" w:cs="Arial"/>
          <w:b/>
          <w:sz w:val="24"/>
          <w:szCs w:val="24"/>
          <w:u w:val="single"/>
        </w:rPr>
        <w:t xml:space="preserve"> Mainstream </w:t>
      </w:r>
      <w:r w:rsidR="00471C15" w:rsidRPr="00B32498">
        <w:rPr>
          <w:rFonts w:ascii="Arial" w:hAnsi="Arial" w:cs="Arial"/>
          <w:b/>
          <w:sz w:val="24"/>
          <w:szCs w:val="24"/>
          <w:u w:val="single"/>
        </w:rPr>
        <w:t xml:space="preserve">School </w:t>
      </w:r>
      <w:r w:rsidR="00647A63" w:rsidRPr="00B32498">
        <w:rPr>
          <w:rFonts w:ascii="Arial" w:hAnsi="Arial" w:cs="Arial"/>
          <w:b/>
          <w:sz w:val="24"/>
          <w:szCs w:val="24"/>
          <w:u w:val="single"/>
        </w:rPr>
        <w:t xml:space="preserve">Banding Value </w:t>
      </w:r>
      <w:r w:rsidR="00471C15" w:rsidRPr="00B32498">
        <w:rPr>
          <w:rFonts w:ascii="Arial" w:hAnsi="Arial" w:cs="Arial"/>
          <w:b/>
          <w:sz w:val="24"/>
          <w:szCs w:val="24"/>
          <w:u w:val="single"/>
        </w:rPr>
        <w:t>Top Ups</w:t>
      </w:r>
    </w:p>
    <w:p w:rsidR="004D1DE2" w:rsidRDefault="004D1DE2" w:rsidP="00E511F3">
      <w:pPr>
        <w:pStyle w:val="ListParagraph"/>
        <w:ind w:left="0"/>
        <w:rPr>
          <w:rFonts w:ascii="Arial" w:hAnsi="Arial" w:cs="Arial"/>
          <w:b/>
          <w:sz w:val="24"/>
          <w:szCs w:val="24"/>
          <w:u w:val="single"/>
        </w:rPr>
      </w:pPr>
    </w:p>
    <w:p w:rsidR="004D1DE2" w:rsidRDefault="004D1DE2" w:rsidP="00E511F3">
      <w:pPr>
        <w:pStyle w:val="ListParagraph"/>
        <w:ind w:left="0"/>
        <w:rPr>
          <w:rFonts w:ascii="Arial" w:hAnsi="Arial" w:cs="Arial"/>
          <w:b/>
          <w:sz w:val="24"/>
          <w:szCs w:val="24"/>
          <w:u w:val="single"/>
        </w:rPr>
      </w:pPr>
      <w:r w:rsidRPr="00194755">
        <w:rPr>
          <w:rFonts w:ascii="Arial" w:hAnsi="Arial" w:cs="Arial"/>
          <w:sz w:val="24"/>
          <w:szCs w:val="24"/>
        </w:rPr>
        <w:t>As discussed in the Schools Forum paper (ITEM 21/18) EHCP’s continue to increase which is having a significant financial impact on SEND provision funding</w:t>
      </w:r>
    </w:p>
    <w:p w:rsidR="004D1DE2" w:rsidRPr="00B32498" w:rsidRDefault="004D1DE2" w:rsidP="00E511F3">
      <w:pPr>
        <w:pStyle w:val="ListParagraph"/>
        <w:ind w:left="0"/>
        <w:rPr>
          <w:rFonts w:ascii="Arial" w:hAnsi="Arial" w:cs="Arial"/>
          <w:b/>
          <w:sz w:val="24"/>
          <w:szCs w:val="24"/>
          <w:u w:val="single"/>
        </w:rPr>
      </w:pPr>
    </w:p>
    <w:p w:rsidR="00090DAB" w:rsidRPr="00F35238" w:rsidRDefault="00F35238" w:rsidP="00250770">
      <w:pPr>
        <w:pStyle w:val="ListParagraph"/>
        <w:ind w:left="0"/>
        <w:rPr>
          <w:rFonts w:ascii="Arial" w:hAnsi="Arial" w:cs="Arial"/>
          <w:sz w:val="24"/>
          <w:szCs w:val="24"/>
        </w:rPr>
      </w:pPr>
      <w:r w:rsidRPr="00F35238">
        <w:rPr>
          <w:rFonts w:ascii="Arial" w:hAnsi="Arial" w:cs="Arial"/>
          <w:sz w:val="24"/>
          <w:szCs w:val="24"/>
        </w:rPr>
        <w:t xml:space="preserve">No </w:t>
      </w:r>
      <w:r w:rsidR="00250770" w:rsidRPr="00F35238">
        <w:rPr>
          <w:rFonts w:ascii="Arial" w:hAnsi="Arial" w:cs="Arial"/>
          <w:sz w:val="24"/>
          <w:szCs w:val="24"/>
        </w:rPr>
        <w:t xml:space="preserve">increase in </w:t>
      </w:r>
      <w:r w:rsidR="00647A63" w:rsidRPr="00F35238">
        <w:rPr>
          <w:rFonts w:ascii="Arial" w:hAnsi="Arial" w:cs="Arial"/>
          <w:sz w:val="24"/>
          <w:szCs w:val="24"/>
        </w:rPr>
        <w:t>Top</w:t>
      </w:r>
      <w:r w:rsidR="00111560" w:rsidRPr="00F35238">
        <w:rPr>
          <w:rFonts w:ascii="Arial" w:hAnsi="Arial" w:cs="Arial"/>
          <w:sz w:val="24"/>
          <w:szCs w:val="24"/>
        </w:rPr>
        <w:t xml:space="preserve"> </w:t>
      </w:r>
      <w:r w:rsidR="00647A63" w:rsidRPr="00F35238">
        <w:rPr>
          <w:rFonts w:ascii="Arial" w:hAnsi="Arial" w:cs="Arial"/>
          <w:sz w:val="24"/>
          <w:szCs w:val="24"/>
        </w:rPr>
        <w:t xml:space="preserve">Up values </w:t>
      </w:r>
      <w:r w:rsidR="00250770" w:rsidRPr="00F35238">
        <w:rPr>
          <w:rFonts w:ascii="Arial" w:hAnsi="Arial" w:cs="Arial"/>
          <w:sz w:val="24"/>
          <w:szCs w:val="24"/>
        </w:rPr>
        <w:t xml:space="preserve">was possible </w:t>
      </w:r>
      <w:r w:rsidRPr="00F35238">
        <w:rPr>
          <w:rFonts w:ascii="Arial" w:hAnsi="Arial" w:cs="Arial"/>
          <w:sz w:val="24"/>
          <w:szCs w:val="24"/>
        </w:rPr>
        <w:t xml:space="preserve">in 2018-19. </w:t>
      </w:r>
      <w:r w:rsidR="00250770" w:rsidRPr="00F35238">
        <w:rPr>
          <w:rFonts w:ascii="Arial" w:hAnsi="Arial" w:cs="Arial"/>
          <w:sz w:val="24"/>
          <w:szCs w:val="24"/>
        </w:rPr>
        <w:t xml:space="preserve">In keeping with previous years the </w:t>
      </w:r>
      <w:r w:rsidR="00647A63" w:rsidRPr="00F35238">
        <w:rPr>
          <w:rFonts w:ascii="Arial" w:hAnsi="Arial" w:cs="Arial"/>
          <w:sz w:val="24"/>
          <w:szCs w:val="24"/>
        </w:rPr>
        <w:t xml:space="preserve">affordability </w:t>
      </w:r>
      <w:r w:rsidR="00250770" w:rsidRPr="00F35238">
        <w:rPr>
          <w:rFonts w:ascii="Arial" w:hAnsi="Arial" w:cs="Arial"/>
          <w:sz w:val="24"/>
          <w:szCs w:val="24"/>
        </w:rPr>
        <w:t>of t</w:t>
      </w:r>
      <w:r w:rsidR="00647A63" w:rsidRPr="00F35238">
        <w:rPr>
          <w:rFonts w:ascii="Arial" w:hAnsi="Arial" w:cs="Arial"/>
          <w:sz w:val="24"/>
          <w:szCs w:val="24"/>
        </w:rPr>
        <w:t>he High Needs Bock a</w:t>
      </w:r>
      <w:r w:rsidR="00250770" w:rsidRPr="00F35238">
        <w:rPr>
          <w:rFonts w:ascii="Arial" w:hAnsi="Arial" w:cs="Arial"/>
          <w:sz w:val="24"/>
          <w:szCs w:val="24"/>
        </w:rPr>
        <w:t xml:space="preserve">fter factoring in demand pressures and a review of the top up rates with comparator authorities </w:t>
      </w:r>
      <w:r w:rsidR="00647A63" w:rsidRPr="00F35238">
        <w:rPr>
          <w:rFonts w:ascii="Arial" w:hAnsi="Arial" w:cs="Arial"/>
          <w:sz w:val="24"/>
          <w:szCs w:val="24"/>
        </w:rPr>
        <w:t>indicate</w:t>
      </w:r>
      <w:r w:rsidR="00250770" w:rsidRPr="00F35238">
        <w:rPr>
          <w:rFonts w:ascii="Arial" w:hAnsi="Arial" w:cs="Arial"/>
          <w:sz w:val="24"/>
          <w:szCs w:val="24"/>
        </w:rPr>
        <w:t>d</w:t>
      </w:r>
      <w:r w:rsidR="00647A63" w:rsidRPr="00F35238">
        <w:rPr>
          <w:rFonts w:ascii="Arial" w:hAnsi="Arial" w:cs="Arial"/>
          <w:sz w:val="24"/>
          <w:szCs w:val="24"/>
        </w:rPr>
        <w:t xml:space="preserve"> that broadly these remain comparable</w:t>
      </w:r>
      <w:r w:rsidR="00250770" w:rsidRPr="00F35238">
        <w:rPr>
          <w:rFonts w:ascii="Arial" w:hAnsi="Arial" w:cs="Arial"/>
          <w:sz w:val="24"/>
          <w:szCs w:val="24"/>
        </w:rPr>
        <w:t>. Consequently no increase to any of the top up rates can be proposed or recommended for 201</w:t>
      </w:r>
      <w:r w:rsidRPr="00F35238">
        <w:rPr>
          <w:rFonts w:ascii="Arial" w:hAnsi="Arial" w:cs="Arial"/>
          <w:sz w:val="24"/>
          <w:szCs w:val="24"/>
        </w:rPr>
        <w:t>9</w:t>
      </w:r>
      <w:r w:rsidR="00250770" w:rsidRPr="00F35238">
        <w:rPr>
          <w:rFonts w:ascii="Arial" w:hAnsi="Arial" w:cs="Arial"/>
          <w:sz w:val="24"/>
          <w:szCs w:val="24"/>
        </w:rPr>
        <w:t>-</w:t>
      </w:r>
      <w:r w:rsidRPr="00F35238">
        <w:rPr>
          <w:rFonts w:ascii="Arial" w:hAnsi="Arial" w:cs="Arial"/>
          <w:sz w:val="24"/>
          <w:szCs w:val="24"/>
        </w:rPr>
        <w:t>20</w:t>
      </w:r>
      <w:r w:rsidR="00250770" w:rsidRPr="00F35238">
        <w:rPr>
          <w:rFonts w:ascii="Arial" w:hAnsi="Arial" w:cs="Arial"/>
          <w:sz w:val="24"/>
          <w:szCs w:val="24"/>
        </w:rPr>
        <w:t>.</w:t>
      </w:r>
      <w:r w:rsidR="00647A63" w:rsidRPr="00F35238">
        <w:rPr>
          <w:rFonts w:ascii="Arial" w:hAnsi="Arial" w:cs="Arial"/>
          <w:sz w:val="24"/>
          <w:szCs w:val="24"/>
        </w:rPr>
        <w:t xml:space="preserve"> </w:t>
      </w:r>
    </w:p>
    <w:p w:rsidR="00F35238" w:rsidRDefault="00F35238" w:rsidP="00250770">
      <w:pPr>
        <w:pStyle w:val="ListParagraph"/>
        <w:ind w:left="0"/>
        <w:rPr>
          <w:rFonts w:ascii="Arial" w:hAnsi="Arial" w:cs="Arial"/>
          <w:color w:val="FF0000"/>
          <w:sz w:val="24"/>
          <w:szCs w:val="24"/>
        </w:rPr>
      </w:pPr>
    </w:p>
    <w:p w:rsidR="00F35238" w:rsidRPr="00D21B61" w:rsidRDefault="00F35238" w:rsidP="00250770">
      <w:pPr>
        <w:pStyle w:val="ListParagraph"/>
        <w:ind w:left="0"/>
        <w:rPr>
          <w:rFonts w:ascii="Arial" w:hAnsi="Arial" w:cs="Arial"/>
          <w:sz w:val="24"/>
          <w:szCs w:val="24"/>
        </w:rPr>
      </w:pPr>
      <w:r w:rsidRPr="00D21B61">
        <w:rPr>
          <w:rFonts w:ascii="Arial" w:hAnsi="Arial" w:cs="Arial"/>
          <w:sz w:val="24"/>
          <w:szCs w:val="24"/>
        </w:rPr>
        <w:t xml:space="preserve">Demand pressure continues to show an increase. On the Schools Forum paper (ITEM </w:t>
      </w:r>
      <w:r w:rsidR="00D21B61" w:rsidRPr="00D21B61">
        <w:rPr>
          <w:rFonts w:ascii="Arial" w:hAnsi="Arial" w:cs="Arial"/>
          <w:sz w:val="24"/>
          <w:szCs w:val="24"/>
        </w:rPr>
        <w:t>29</w:t>
      </w:r>
      <w:r w:rsidRPr="00D21B61">
        <w:rPr>
          <w:rFonts w:ascii="Arial" w:hAnsi="Arial" w:cs="Arial"/>
          <w:sz w:val="24"/>
          <w:szCs w:val="24"/>
        </w:rPr>
        <w:t xml:space="preserve">/18) the </w:t>
      </w:r>
      <w:r w:rsidRPr="00D21B61">
        <w:rPr>
          <w:rFonts w:ascii="Arial" w:hAnsi="Arial" w:cs="Arial"/>
          <w:sz w:val="24"/>
          <w:szCs w:val="24"/>
        </w:rPr>
        <w:t>Council increased the number of commissioned places in special schools by 32</w:t>
      </w:r>
      <w:r w:rsidR="00365661">
        <w:rPr>
          <w:rFonts w:ascii="Arial" w:hAnsi="Arial" w:cs="Arial"/>
          <w:sz w:val="24"/>
          <w:szCs w:val="24"/>
        </w:rPr>
        <w:t xml:space="preserve"> from 1</w:t>
      </w:r>
      <w:r w:rsidR="00365661" w:rsidRPr="00683ECB">
        <w:rPr>
          <w:rFonts w:ascii="Arial" w:hAnsi="Arial" w:cs="Arial"/>
          <w:sz w:val="24"/>
          <w:szCs w:val="24"/>
          <w:vertAlign w:val="superscript"/>
        </w:rPr>
        <w:t>st</w:t>
      </w:r>
      <w:r w:rsidR="00365661">
        <w:rPr>
          <w:rFonts w:ascii="Arial" w:hAnsi="Arial" w:cs="Arial"/>
          <w:sz w:val="24"/>
          <w:szCs w:val="24"/>
        </w:rPr>
        <w:t xml:space="preserve"> September 2019</w:t>
      </w:r>
      <w:r w:rsidR="00683ECB">
        <w:rPr>
          <w:rFonts w:ascii="Arial" w:hAnsi="Arial" w:cs="Arial"/>
          <w:sz w:val="24"/>
          <w:szCs w:val="24"/>
        </w:rPr>
        <w:t>.</w:t>
      </w:r>
      <w:r w:rsidRPr="00D21B61">
        <w:rPr>
          <w:rFonts w:ascii="Arial" w:hAnsi="Arial" w:cs="Arial"/>
          <w:sz w:val="24"/>
          <w:szCs w:val="24"/>
        </w:rPr>
        <w:t xml:space="preserve"> </w:t>
      </w:r>
      <w:r w:rsidRPr="00D21B61">
        <w:rPr>
          <w:rFonts w:ascii="Arial" w:hAnsi="Arial" w:cs="Arial"/>
          <w:sz w:val="24"/>
          <w:szCs w:val="24"/>
        </w:rPr>
        <w:t>This follows the increase by 6 the previous year.</w:t>
      </w:r>
    </w:p>
    <w:p w:rsidR="00F35238" w:rsidRDefault="00F35238" w:rsidP="00250770">
      <w:pPr>
        <w:pStyle w:val="ListParagraph"/>
        <w:ind w:left="0"/>
        <w:rPr>
          <w:rFonts w:ascii="Arial" w:hAnsi="Arial" w:cs="Arial"/>
          <w:color w:val="FF0000"/>
          <w:sz w:val="24"/>
          <w:szCs w:val="24"/>
        </w:rPr>
      </w:pPr>
    </w:p>
    <w:p w:rsidR="00F35238" w:rsidRPr="00F35238" w:rsidRDefault="00F35238" w:rsidP="00250770">
      <w:pPr>
        <w:pStyle w:val="ListParagraph"/>
        <w:ind w:left="0"/>
        <w:rPr>
          <w:rFonts w:ascii="Arial" w:hAnsi="Arial" w:cs="Arial"/>
          <w:sz w:val="24"/>
          <w:szCs w:val="24"/>
        </w:rPr>
      </w:pPr>
      <w:r w:rsidRPr="00F35238">
        <w:rPr>
          <w:rFonts w:ascii="Arial" w:hAnsi="Arial" w:cs="Arial"/>
          <w:sz w:val="24"/>
          <w:szCs w:val="24"/>
        </w:rPr>
        <w:t>To clarify the top up values per band are:</w:t>
      </w:r>
    </w:p>
    <w:p w:rsidR="00090DAB" w:rsidRPr="00F35238" w:rsidRDefault="00090DAB" w:rsidP="00E511F3">
      <w:pPr>
        <w:pStyle w:val="ListParagraph"/>
        <w:ind w:left="0"/>
        <w:rPr>
          <w:rFonts w:ascii="Arial" w:hAnsi="Arial" w:cs="Arial"/>
          <w:sz w:val="24"/>
          <w:szCs w:val="24"/>
        </w:rPr>
      </w:pPr>
    </w:p>
    <w:tbl>
      <w:tblPr>
        <w:tblStyle w:val="TableGrid"/>
        <w:tblW w:w="0" w:type="auto"/>
        <w:tblLook w:val="04A0" w:firstRow="1" w:lastRow="0" w:firstColumn="1" w:lastColumn="0" w:noHBand="0" w:noVBand="1"/>
      </w:tblPr>
      <w:tblGrid>
        <w:gridCol w:w="1793"/>
        <w:gridCol w:w="2535"/>
        <w:gridCol w:w="2663"/>
      </w:tblGrid>
      <w:tr w:rsidR="00F35238" w:rsidRPr="00F35238" w:rsidTr="00AD666D">
        <w:tc>
          <w:tcPr>
            <w:tcW w:w="1793" w:type="dxa"/>
          </w:tcPr>
          <w:p w:rsidR="00250770" w:rsidRPr="00F35238" w:rsidRDefault="00250770" w:rsidP="00AD666D">
            <w:pPr>
              <w:pStyle w:val="ListParagraph"/>
              <w:ind w:left="0"/>
              <w:jc w:val="center"/>
              <w:rPr>
                <w:rFonts w:ascii="Arial" w:hAnsi="Arial" w:cs="Arial"/>
                <w:b/>
                <w:sz w:val="24"/>
                <w:szCs w:val="24"/>
                <w:u w:val="single"/>
              </w:rPr>
            </w:pPr>
            <w:r w:rsidRPr="00F35238">
              <w:rPr>
                <w:rFonts w:ascii="Arial" w:hAnsi="Arial" w:cs="Arial"/>
                <w:b/>
                <w:sz w:val="24"/>
                <w:szCs w:val="24"/>
                <w:u w:val="single"/>
              </w:rPr>
              <w:lastRenderedPageBreak/>
              <w:t>Band</w:t>
            </w:r>
          </w:p>
        </w:tc>
        <w:tc>
          <w:tcPr>
            <w:tcW w:w="2535" w:type="dxa"/>
          </w:tcPr>
          <w:p w:rsidR="00250770" w:rsidRPr="00F35238" w:rsidRDefault="00250770" w:rsidP="00AD666D">
            <w:pPr>
              <w:pStyle w:val="ListParagraph"/>
              <w:ind w:left="0"/>
              <w:jc w:val="center"/>
              <w:rPr>
                <w:rFonts w:ascii="Arial" w:hAnsi="Arial" w:cs="Arial"/>
                <w:b/>
                <w:sz w:val="24"/>
                <w:szCs w:val="24"/>
                <w:u w:val="single"/>
              </w:rPr>
            </w:pPr>
            <w:r w:rsidRPr="00F35238">
              <w:rPr>
                <w:rFonts w:ascii="Arial" w:hAnsi="Arial" w:cs="Arial"/>
                <w:b/>
                <w:sz w:val="24"/>
                <w:szCs w:val="24"/>
                <w:u w:val="single"/>
              </w:rPr>
              <w:t>Current Top Up value £</w:t>
            </w:r>
          </w:p>
        </w:tc>
        <w:tc>
          <w:tcPr>
            <w:tcW w:w="2663" w:type="dxa"/>
          </w:tcPr>
          <w:p w:rsidR="00250770" w:rsidRPr="00F35238" w:rsidRDefault="00250770" w:rsidP="00AD666D">
            <w:pPr>
              <w:pStyle w:val="ListParagraph"/>
              <w:ind w:left="0"/>
              <w:jc w:val="center"/>
              <w:rPr>
                <w:rFonts w:ascii="Arial" w:hAnsi="Arial" w:cs="Arial"/>
                <w:b/>
                <w:sz w:val="24"/>
                <w:szCs w:val="24"/>
                <w:u w:val="single"/>
              </w:rPr>
            </w:pPr>
            <w:r w:rsidRPr="00F35238">
              <w:rPr>
                <w:rFonts w:ascii="Arial" w:hAnsi="Arial" w:cs="Arial"/>
                <w:b/>
                <w:sz w:val="24"/>
                <w:szCs w:val="24"/>
                <w:u w:val="single"/>
              </w:rPr>
              <w:t>Proposed Top Up value £</w:t>
            </w:r>
          </w:p>
        </w:tc>
      </w:tr>
      <w:tr w:rsidR="00F35238" w:rsidRPr="00F35238" w:rsidTr="00AD666D">
        <w:tc>
          <w:tcPr>
            <w:tcW w:w="1793" w:type="dxa"/>
          </w:tcPr>
          <w:p w:rsidR="00250770" w:rsidRPr="00F35238" w:rsidRDefault="00250770" w:rsidP="00AD666D">
            <w:pPr>
              <w:pStyle w:val="ListParagraph"/>
              <w:ind w:left="0"/>
              <w:jc w:val="center"/>
              <w:rPr>
                <w:rFonts w:ascii="Arial" w:hAnsi="Arial" w:cs="Arial"/>
                <w:sz w:val="24"/>
                <w:szCs w:val="24"/>
              </w:rPr>
            </w:pPr>
            <w:r w:rsidRPr="00F35238">
              <w:rPr>
                <w:rFonts w:ascii="Arial" w:hAnsi="Arial" w:cs="Arial"/>
                <w:sz w:val="24"/>
                <w:szCs w:val="24"/>
              </w:rPr>
              <w:t>4</w:t>
            </w:r>
          </w:p>
        </w:tc>
        <w:tc>
          <w:tcPr>
            <w:tcW w:w="2535" w:type="dxa"/>
          </w:tcPr>
          <w:p w:rsidR="00250770" w:rsidRPr="00F35238" w:rsidRDefault="00250770" w:rsidP="00681345">
            <w:pPr>
              <w:pStyle w:val="ListParagraph"/>
              <w:ind w:left="0"/>
              <w:jc w:val="center"/>
              <w:rPr>
                <w:rFonts w:ascii="Arial" w:hAnsi="Arial" w:cs="Arial"/>
                <w:sz w:val="24"/>
                <w:szCs w:val="24"/>
              </w:rPr>
            </w:pPr>
            <w:r w:rsidRPr="00F35238">
              <w:rPr>
                <w:rFonts w:ascii="Arial" w:hAnsi="Arial" w:cs="Arial"/>
                <w:sz w:val="24"/>
                <w:szCs w:val="24"/>
              </w:rPr>
              <w:t>1,015</w:t>
            </w:r>
          </w:p>
        </w:tc>
        <w:tc>
          <w:tcPr>
            <w:tcW w:w="2663" w:type="dxa"/>
          </w:tcPr>
          <w:p w:rsidR="00250770" w:rsidRPr="00F35238" w:rsidRDefault="00250770" w:rsidP="00AD666D">
            <w:pPr>
              <w:pStyle w:val="ListParagraph"/>
              <w:ind w:left="0"/>
              <w:jc w:val="center"/>
              <w:rPr>
                <w:rFonts w:ascii="Arial" w:hAnsi="Arial" w:cs="Arial"/>
                <w:sz w:val="24"/>
                <w:szCs w:val="24"/>
              </w:rPr>
            </w:pPr>
            <w:r w:rsidRPr="00F35238">
              <w:rPr>
                <w:rFonts w:ascii="Arial" w:hAnsi="Arial" w:cs="Arial"/>
                <w:sz w:val="24"/>
                <w:szCs w:val="24"/>
              </w:rPr>
              <w:t>0</w:t>
            </w:r>
          </w:p>
        </w:tc>
      </w:tr>
      <w:tr w:rsidR="00F35238" w:rsidRPr="00F35238" w:rsidTr="00AD666D">
        <w:tc>
          <w:tcPr>
            <w:tcW w:w="1793" w:type="dxa"/>
          </w:tcPr>
          <w:p w:rsidR="00250770" w:rsidRPr="00F35238" w:rsidRDefault="00250770" w:rsidP="00AD666D">
            <w:pPr>
              <w:pStyle w:val="ListParagraph"/>
              <w:ind w:left="0"/>
              <w:jc w:val="center"/>
              <w:rPr>
                <w:rFonts w:ascii="Arial" w:hAnsi="Arial" w:cs="Arial"/>
                <w:sz w:val="24"/>
                <w:szCs w:val="24"/>
              </w:rPr>
            </w:pPr>
            <w:r w:rsidRPr="00F35238">
              <w:rPr>
                <w:rFonts w:ascii="Arial" w:hAnsi="Arial" w:cs="Arial"/>
                <w:sz w:val="24"/>
                <w:szCs w:val="24"/>
              </w:rPr>
              <w:t>5</w:t>
            </w:r>
          </w:p>
        </w:tc>
        <w:tc>
          <w:tcPr>
            <w:tcW w:w="2535" w:type="dxa"/>
          </w:tcPr>
          <w:p w:rsidR="00250770" w:rsidRPr="00F35238" w:rsidRDefault="00250770" w:rsidP="00250770">
            <w:pPr>
              <w:pStyle w:val="ListParagraph"/>
              <w:ind w:left="0"/>
              <w:jc w:val="center"/>
              <w:rPr>
                <w:rFonts w:ascii="Arial" w:hAnsi="Arial" w:cs="Arial"/>
                <w:sz w:val="24"/>
                <w:szCs w:val="24"/>
              </w:rPr>
            </w:pPr>
            <w:r w:rsidRPr="00F35238">
              <w:rPr>
                <w:rFonts w:ascii="Arial" w:hAnsi="Arial" w:cs="Arial"/>
                <w:sz w:val="24"/>
                <w:szCs w:val="24"/>
              </w:rPr>
              <w:t>2,600</w:t>
            </w:r>
          </w:p>
        </w:tc>
        <w:tc>
          <w:tcPr>
            <w:tcW w:w="2663" w:type="dxa"/>
          </w:tcPr>
          <w:p w:rsidR="00250770" w:rsidRPr="00F35238" w:rsidRDefault="00250770" w:rsidP="00AD666D">
            <w:pPr>
              <w:pStyle w:val="ListParagraph"/>
              <w:ind w:left="0"/>
              <w:jc w:val="center"/>
              <w:rPr>
                <w:rFonts w:ascii="Arial" w:hAnsi="Arial" w:cs="Arial"/>
                <w:sz w:val="24"/>
                <w:szCs w:val="24"/>
              </w:rPr>
            </w:pPr>
            <w:r w:rsidRPr="00F35238">
              <w:rPr>
                <w:rFonts w:ascii="Arial" w:hAnsi="Arial" w:cs="Arial"/>
                <w:sz w:val="24"/>
                <w:szCs w:val="24"/>
              </w:rPr>
              <w:t>2,600</w:t>
            </w:r>
          </w:p>
        </w:tc>
      </w:tr>
      <w:tr w:rsidR="00F35238" w:rsidRPr="00F35238" w:rsidTr="00AD666D">
        <w:tc>
          <w:tcPr>
            <w:tcW w:w="1793" w:type="dxa"/>
          </w:tcPr>
          <w:p w:rsidR="00250770" w:rsidRPr="00F35238" w:rsidRDefault="00250770" w:rsidP="00AD666D">
            <w:pPr>
              <w:pStyle w:val="ListParagraph"/>
              <w:ind w:left="0"/>
              <w:jc w:val="center"/>
              <w:rPr>
                <w:rFonts w:ascii="Arial" w:hAnsi="Arial" w:cs="Arial"/>
                <w:sz w:val="24"/>
                <w:szCs w:val="24"/>
              </w:rPr>
            </w:pPr>
            <w:r w:rsidRPr="00F35238">
              <w:rPr>
                <w:rFonts w:ascii="Arial" w:hAnsi="Arial" w:cs="Arial"/>
                <w:sz w:val="24"/>
                <w:szCs w:val="24"/>
              </w:rPr>
              <w:t>6</w:t>
            </w:r>
          </w:p>
        </w:tc>
        <w:tc>
          <w:tcPr>
            <w:tcW w:w="2535" w:type="dxa"/>
          </w:tcPr>
          <w:p w:rsidR="00250770" w:rsidRPr="00F35238" w:rsidRDefault="00250770" w:rsidP="00250770">
            <w:pPr>
              <w:pStyle w:val="ListParagraph"/>
              <w:ind w:left="0"/>
              <w:jc w:val="center"/>
              <w:rPr>
                <w:rFonts w:ascii="Arial" w:hAnsi="Arial" w:cs="Arial"/>
                <w:sz w:val="24"/>
                <w:szCs w:val="24"/>
              </w:rPr>
            </w:pPr>
            <w:r w:rsidRPr="00F35238">
              <w:rPr>
                <w:rFonts w:ascii="Arial" w:hAnsi="Arial" w:cs="Arial"/>
                <w:sz w:val="24"/>
                <w:szCs w:val="24"/>
              </w:rPr>
              <w:t>5,650</w:t>
            </w:r>
          </w:p>
        </w:tc>
        <w:tc>
          <w:tcPr>
            <w:tcW w:w="2663" w:type="dxa"/>
          </w:tcPr>
          <w:p w:rsidR="00250770" w:rsidRPr="00F35238" w:rsidRDefault="00250770" w:rsidP="00AD666D">
            <w:pPr>
              <w:pStyle w:val="ListParagraph"/>
              <w:ind w:left="0"/>
              <w:jc w:val="center"/>
              <w:rPr>
                <w:rFonts w:ascii="Arial" w:hAnsi="Arial" w:cs="Arial"/>
                <w:sz w:val="24"/>
                <w:szCs w:val="24"/>
              </w:rPr>
            </w:pPr>
            <w:r w:rsidRPr="00F35238">
              <w:rPr>
                <w:rFonts w:ascii="Arial" w:hAnsi="Arial" w:cs="Arial"/>
                <w:sz w:val="24"/>
                <w:szCs w:val="24"/>
              </w:rPr>
              <w:t>5,650</w:t>
            </w:r>
          </w:p>
        </w:tc>
      </w:tr>
      <w:tr w:rsidR="00F35238" w:rsidRPr="00F35238" w:rsidTr="00AD666D">
        <w:tc>
          <w:tcPr>
            <w:tcW w:w="1793" w:type="dxa"/>
          </w:tcPr>
          <w:p w:rsidR="00250770" w:rsidRPr="00F35238" w:rsidRDefault="00250770" w:rsidP="00AD666D">
            <w:pPr>
              <w:pStyle w:val="ListParagraph"/>
              <w:ind w:left="0"/>
              <w:jc w:val="center"/>
              <w:rPr>
                <w:rFonts w:ascii="Arial" w:hAnsi="Arial" w:cs="Arial"/>
                <w:sz w:val="24"/>
                <w:szCs w:val="24"/>
              </w:rPr>
            </w:pPr>
            <w:r w:rsidRPr="00F35238">
              <w:rPr>
                <w:rFonts w:ascii="Arial" w:hAnsi="Arial" w:cs="Arial"/>
                <w:sz w:val="24"/>
                <w:szCs w:val="24"/>
              </w:rPr>
              <w:t>7</w:t>
            </w:r>
          </w:p>
        </w:tc>
        <w:tc>
          <w:tcPr>
            <w:tcW w:w="2535" w:type="dxa"/>
          </w:tcPr>
          <w:p w:rsidR="00250770" w:rsidRPr="00F35238" w:rsidRDefault="00250770" w:rsidP="00250770">
            <w:pPr>
              <w:pStyle w:val="ListParagraph"/>
              <w:ind w:left="0"/>
              <w:jc w:val="center"/>
              <w:rPr>
                <w:rFonts w:ascii="Arial" w:hAnsi="Arial" w:cs="Arial"/>
                <w:sz w:val="24"/>
                <w:szCs w:val="24"/>
              </w:rPr>
            </w:pPr>
            <w:r w:rsidRPr="00F35238">
              <w:rPr>
                <w:rFonts w:ascii="Arial" w:hAnsi="Arial" w:cs="Arial"/>
                <w:sz w:val="24"/>
                <w:szCs w:val="24"/>
              </w:rPr>
              <w:t>7,100</w:t>
            </w:r>
          </w:p>
        </w:tc>
        <w:tc>
          <w:tcPr>
            <w:tcW w:w="2663" w:type="dxa"/>
          </w:tcPr>
          <w:p w:rsidR="00250770" w:rsidRPr="00F35238" w:rsidRDefault="00250770" w:rsidP="00AD666D">
            <w:pPr>
              <w:pStyle w:val="ListParagraph"/>
              <w:ind w:left="0"/>
              <w:jc w:val="center"/>
              <w:rPr>
                <w:rFonts w:ascii="Arial" w:hAnsi="Arial" w:cs="Arial"/>
                <w:sz w:val="24"/>
                <w:szCs w:val="24"/>
              </w:rPr>
            </w:pPr>
            <w:r w:rsidRPr="00F35238">
              <w:rPr>
                <w:rFonts w:ascii="Arial" w:hAnsi="Arial" w:cs="Arial"/>
                <w:sz w:val="24"/>
                <w:szCs w:val="24"/>
              </w:rPr>
              <w:t>7,100</w:t>
            </w:r>
          </w:p>
        </w:tc>
      </w:tr>
      <w:tr w:rsidR="00F35238" w:rsidRPr="00F35238" w:rsidTr="00AD666D">
        <w:tc>
          <w:tcPr>
            <w:tcW w:w="1793" w:type="dxa"/>
          </w:tcPr>
          <w:p w:rsidR="00250770" w:rsidRPr="00F35238" w:rsidRDefault="00250770" w:rsidP="00AD666D">
            <w:pPr>
              <w:pStyle w:val="ListParagraph"/>
              <w:ind w:left="0"/>
              <w:jc w:val="center"/>
              <w:rPr>
                <w:rFonts w:ascii="Arial" w:hAnsi="Arial" w:cs="Arial"/>
                <w:sz w:val="24"/>
                <w:szCs w:val="24"/>
              </w:rPr>
            </w:pPr>
            <w:r w:rsidRPr="00F35238">
              <w:rPr>
                <w:rFonts w:ascii="Arial" w:hAnsi="Arial" w:cs="Arial"/>
                <w:sz w:val="24"/>
                <w:szCs w:val="24"/>
              </w:rPr>
              <w:t>8</w:t>
            </w:r>
          </w:p>
        </w:tc>
        <w:tc>
          <w:tcPr>
            <w:tcW w:w="2535" w:type="dxa"/>
          </w:tcPr>
          <w:p w:rsidR="00250770" w:rsidRPr="00F35238" w:rsidRDefault="00250770" w:rsidP="00250770">
            <w:pPr>
              <w:pStyle w:val="ListParagraph"/>
              <w:ind w:left="0"/>
              <w:jc w:val="center"/>
              <w:rPr>
                <w:rFonts w:ascii="Arial" w:hAnsi="Arial" w:cs="Arial"/>
                <w:sz w:val="24"/>
                <w:szCs w:val="24"/>
              </w:rPr>
            </w:pPr>
            <w:r w:rsidRPr="00F35238">
              <w:rPr>
                <w:rFonts w:ascii="Arial" w:hAnsi="Arial" w:cs="Arial"/>
                <w:sz w:val="24"/>
                <w:szCs w:val="24"/>
              </w:rPr>
              <w:t>10,400</w:t>
            </w:r>
          </w:p>
        </w:tc>
        <w:tc>
          <w:tcPr>
            <w:tcW w:w="2663" w:type="dxa"/>
          </w:tcPr>
          <w:p w:rsidR="00250770" w:rsidRPr="00F35238" w:rsidRDefault="00250770" w:rsidP="00AD666D">
            <w:pPr>
              <w:pStyle w:val="ListParagraph"/>
              <w:ind w:left="0"/>
              <w:jc w:val="center"/>
              <w:rPr>
                <w:rFonts w:ascii="Arial" w:hAnsi="Arial" w:cs="Arial"/>
                <w:sz w:val="24"/>
                <w:szCs w:val="24"/>
              </w:rPr>
            </w:pPr>
            <w:r w:rsidRPr="00F35238">
              <w:rPr>
                <w:rFonts w:ascii="Arial" w:hAnsi="Arial" w:cs="Arial"/>
                <w:sz w:val="24"/>
                <w:szCs w:val="24"/>
              </w:rPr>
              <w:t>10,400</w:t>
            </w:r>
          </w:p>
        </w:tc>
      </w:tr>
      <w:tr w:rsidR="00F35238" w:rsidRPr="00F35238" w:rsidTr="00AD666D">
        <w:tc>
          <w:tcPr>
            <w:tcW w:w="1793" w:type="dxa"/>
          </w:tcPr>
          <w:p w:rsidR="00250770" w:rsidRPr="00F35238" w:rsidRDefault="00250770" w:rsidP="00AD666D">
            <w:pPr>
              <w:pStyle w:val="ListParagraph"/>
              <w:ind w:left="0"/>
              <w:jc w:val="center"/>
              <w:rPr>
                <w:rFonts w:ascii="Arial" w:hAnsi="Arial" w:cs="Arial"/>
                <w:sz w:val="24"/>
                <w:szCs w:val="24"/>
              </w:rPr>
            </w:pPr>
            <w:r w:rsidRPr="00F35238">
              <w:rPr>
                <w:rFonts w:ascii="Arial" w:hAnsi="Arial" w:cs="Arial"/>
                <w:sz w:val="24"/>
                <w:szCs w:val="24"/>
              </w:rPr>
              <w:t>9</w:t>
            </w:r>
          </w:p>
        </w:tc>
        <w:tc>
          <w:tcPr>
            <w:tcW w:w="2535" w:type="dxa"/>
          </w:tcPr>
          <w:p w:rsidR="00250770" w:rsidRPr="00F35238" w:rsidRDefault="00250770" w:rsidP="00AD666D">
            <w:pPr>
              <w:pStyle w:val="ListParagraph"/>
              <w:ind w:left="0"/>
              <w:jc w:val="center"/>
              <w:rPr>
                <w:rFonts w:ascii="Arial" w:hAnsi="Arial" w:cs="Arial"/>
                <w:sz w:val="24"/>
                <w:szCs w:val="24"/>
              </w:rPr>
            </w:pPr>
            <w:r w:rsidRPr="00F35238">
              <w:rPr>
                <w:rFonts w:ascii="Arial" w:hAnsi="Arial" w:cs="Arial"/>
                <w:sz w:val="24"/>
                <w:szCs w:val="24"/>
              </w:rPr>
              <w:t>14,210</w:t>
            </w:r>
          </w:p>
        </w:tc>
        <w:tc>
          <w:tcPr>
            <w:tcW w:w="2663" w:type="dxa"/>
          </w:tcPr>
          <w:p w:rsidR="00250770" w:rsidRPr="00F35238" w:rsidRDefault="00250770" w:rsidP="00AD666D">
            <w:pPr>
              <w:pStyle w:val="ListParagraph"/>
              <w:ind w:left="0"/>
              <w:jc w:val="center"/>
              <w:rPr>
                <w:rFonts w:ascii="Arial" w:hAnsi="Arial" w:cs="Arial"/>
                <w:sz w:val="24"/>
                <w:szCs w:val="24"/>
              </w:rPr>
            </w:pPr>
            <w:r w:rsidRPr="00F35238">
              <w:rPr>
                <w:rFonts w:ascii="Arial" w:hAnsi="Arial" w:cs="Arial"/>
                <w:sz w:val="24"/>
                <w:szCs w:val="24"/>
              </w:rPr>
              <w:t>14,210</w:t>
            </w:r>
          </w:p>
        </w:tc>
      </w:tr>
      <w:tr w:rsidR="00F35238" w:rsidRPr="00F35238" w:rsidTr="00AD666D">
        <w:tc>
          <w:tcPr>
            <w:tcW w:w="1793" w:type="dxa"/>
          </w:tcPr>
          <w:p w:rsidR="00250770" w:rsidRPr="00F35238" w:rsidRDefault="00250770" w:rsidP="00AD666D">
            <w:pPr>
              <w:pStyle w:val="ListParagraph"/>
              <w:ind w:left="0"/>
              <w:jc w:val="center"/>
              <w:rPr>
                <w:rFonts w:ascii="Arial" w:hAnsi="Arial" w:cs="Arial"/>
                <w:sz w:val="24"/>
                <w:szCs w:val="24"/>
              </w:rPr>
            </w:pPr>
            <w:r w:rsidRPr="00F35238">
              <w:rPr>
                <w:rFonts w:ascii="Arial" w:hAnsi="Arial" w:cs="Arial"/>
                <w:sz w:val="24"/>
                <w:szCs w:val="24"/>
              </w:rPr>
              <w:t>10</w:t>
            </w:r>
          </w:p>
        </w:tc>
        <w:tc>
          <w:tcPr>
            <w:tcW w:w="2535" w:type="dxa"/>
          </w:tcPr>
          <w:p w:rsidR="00250770" w:rsidRPr="00F35238" w:rsidRDefault="00250770" w:rsidP="00AD666D">
            <w:pPr>
              <w:pStyle w:val="ListParagraph"/>
              <w:ind w:left="0"/>
              <w:jc w:val="center"/>
              <w:rPr>
                <w:rFonts w:ascii="Arial" w:hAnsi="Arial" w:cs="Arial"/>
                <w:sz w:val="24"/>
                <w:szCs w:val="24"/>
              </w:rPr>
            </w:pPr>
            <w:r w:rsidRPr="00F35238">
              <w:rPr>
                <w:rFonts w:ascii="Arial" w:hAnsi="Arial" w:cs="Arial"/>
                <w:sz w:val="24"/>
                <w:szCs w:val="24"/>
              </w:rPr>
              <w:t>19,285</w:t>
            </w:r>
          </w:p>
        </w:tc>
        <w:tc>
          <w:tcPr>
            <w:tcW w:w="2663" w:type="dxa"/>
          </w:tcPr>
          <w:p w:rsidR="00250770" w:rsidRPr="00F35238" w:rsidRDefault="00250770" w:rsidP="00AD666D">
            <w:pPr>
              <w:pStyle w:val="ListParagraph"/>
              <w:ind w:left="0"/>
              <w:jc w:val="center"/>
              <w:rPr>
                <w:rFonts w:ascii="Arial" w:hAnsi="Arial" w:cs="Arial"/>
                <w:sz w:val="24"/>
                <w:szCs w:val="24"/>
              </w:rPr>
            </w:pPr>
            <w:r w:rsidRPr="00F35238">
              <w:rPr>
                <w:rFonts w:ascii="Arial" w:hAnsi="Arial" w:cs="Arial"/>
                <w:sz w:val="24"/>
                <w:szCs w:val="24"/>
              </w:rPr>
              <w:t>19,285</w:t>
            </w:r>
          </w:p>
        </w:tc>
      </w:tr>
    </w:tbl>
    <w:p w:rsidR="00090DAB" w:rsidRPr="00B47A5C" w:rsidRDefault="00090DAB" w:rsidP="00E511F3">
      <w:pPr>
        <w:pStyle w:val="ListParagraph"/>
        <w:ind w:left="0"/>
        <w:rPr>
          <w:rFonts w:ascii="Arial" w:hAnsi="Arial" w:cs="Arial"/>
          <w:color w:val="FF0000"/>
          <w:sz w:val="24"/>
          <w:szCs w:val="24"/>
        </w:rPr>
      </w:pPr>
    </w:p>
    <w:p w:rsidR="00F35238" w:rsidRPr="00194755" w:rsidRDefault="00F35238" w:rsidP="00E511F3">
      <w:pPr>
        <w:pStyle w:val="ListParagraph"/>
        <w:ind w:left="0"/>
        <w:rPr>
          <w:rFonts w:ascii="Arial" w:hAnsi="Arial" w:cs="Arial"/>
          <w:sz w:val="24"/>
          <w:szCs w:val="24"/>
        </w:rPr>
      </w:pPr>
      <w:r w:rsidRPr="00194755">
        <w:rPr>
          <w:rFonts w:ascii="Arial" w:hAnsi="Arial" w:cs="Arial"/>
          <w:sz w:val="24"/>
          <w:szCs w:val="24"/>
        </w:rPr>
        <w:t xml:space="preserve">In respect of mainstream schools </w:t>
      </w:r>
      <w:r w:rsidR="00194755" w:rsidRPr="00194755">
        <w:rPr>
          <w:rFonts w:ascii="Arial" w:hAnsi="Arial" w:cs="Arial"/>
          <w:sz w:val="24"/>
          <w:szCs w:val="24"/>
        </w:rPr>
        <w:t xml:space="preserve">a mixture of increased demand and re-assessment places additional </w:t>
      </w:r>
      <w:r w:rsidR="004D1DE2">
        <w:rPr>
          <w:rFonts w:ascii="Arial" w:hAnsi="Arial" w:cs="Arial"/>
          <w:sz w:val="24"/>
          <w:szCs w:val="24"/>
        </w:rPr>
        <w:t>cost</w:t>
      </w:r>
      <w:r w:rsidR="004D1DE2" w:rsidRPr="00194755">
        <w:rPr>
          <w:rFonts w:ascii="Arial" w:hAnsi="Arial" w:cs="Arial"/>
          <w:sz w:val="24"/>
          <w:szCs w:val="24"/>
        </w:rPr>
        <w:t xml:space="preserve"> </w:t>
      </w:r>
      <w:r w:rsidR="00194755" w:rsidRPr="00194755">
        <w:rPr>
          <w:rFonts w:ascii="Arial" w:hAnsi="Arial" w:cs="Arial"/>
          <w:sz w:val="24"/>
          <w:szCs w:val="24"/>
        </w:rPr>
        <w:t>on this budget.</w:t>
      </w:r>
    </w:p>
    <w:p w:rsidR="00F35238" w:rsidRPr="00B47A5C" w:rsidRDefault="00F35238" w:rsidP="00E511F3">
      <w:pPr>
        <w:pStyle w:val="ListParagraph"/>
        <w:ind w:left="0"/>
        <w:rPr>
          <w:rFonts w:ascii="Arial" w:hAnsi="Arial" w:cs="Arial"/>
          <w:color w:val="FF0000"/>
          <w:sz w:val="24"/>
          <w:szCs w:val="24"/>
        </w:rPr>
      </w:pPr>
    </w:p>
    <w:p w:rsidR="00471C15" w:rsidRPr="001B73F1" w:rsidRDefault="00471C15" w:rsidP="00E511F3">
      <w:pPr>
        <w:pStyle w:val="ListParagraph"/>
        <w:ind w:left="0"/>
        <w:rPr>
          <w:rFonts w:ascii="Arial" w:hAnsi="Arial" w:cs="Arial"/>
          <w:b/>
          <w:sz w:val="24"/>
          <w:szCs w:val="24"/>
          <w:u w:val="single"/>
        </w:rPr>
      </w:pPr>
      <w:r w:rsidRPr="001B73F1">
        <w:rPr>
          <w:rFonts w:ascii="Arial" w:hAnsi="Arial" w:cs="Arial"/>
          <w:b/>
          <w:sz w:val="24"/>
          <w:szCs w:val="24"/>
          <w:u w:val="single"/>
        </w:rPr>
        <w:t>Alternative Provision</w:t>
      </w:r>
    </w:p>
    <w:p w:rsidR="009C3DEB" w:rsidRPr="001B73F1" w:rsidRDefault="009C3DEB" w:rsidP="00E511F3">
      <w:pPr>
        <w:pStyle w:val="ListParagraph"/>
        <w:ind w:left="0"/>
        <w:rPr>
          <w:rFonts w:ascii="Arial" w:hAnsi="Arial" w:cs="Arial"/>
          <w:b/>
          <w:sz w:val="24"/>
          <w:szCs w:val="24"/>
          <w:u w:val="single"/>
        </w:rPr>
      </w:pPr>
    </w:p>
    <w:p w:rsidR="006E7FCE" w:rsidRPr="00B47A5C" w:rsidRDefault="006E7FCE" w:rsidP="00E511F3">
      <w:pPr>
        <w:pStyle w:val="ListParagraph"/>
        <w:ind w:left="0"/>
        <w:rPr>
          <w:rFonts w:ascii="Arial" w:hAnsi="Arial" w:cs="Arial"/>
          <w:color w:val="FF0000"/>
          <w:sz w:val="24"/>
          <w:szCs w:val="24"/>
        </w:rPr>
      </w:pPr>
      <w:r w:rsidRPr="001B73F1">
        <w:rPr>
          <w:rFonts w:ascii="Arial" w:hAnsi="Arial" w:cs="Arial"/>
          <w:sz w:val="24"/>
          <w:szCs w:val="24"/>
        </w:rPr>
        <w:t>No changes t</w:t>
      </w:r>
      <w:r w:rsidR="003D4612" w:rsidRPr="001B73F1">
        <w:rPr>
          <w:rFonts w:ascii="Arial" w:hAnsi="Arial" w:cs="Arial"/>
          <w:sz w:val="24"/>
          <w:szCs w:val="24"/>
        </w:rPr>
        <w:t xml:space="preserve">o place numbers </w:t>
      </w:r>
      <w:r w:rsidR="001B73F1" w:rsidRPr="001B73F1">
        <w:rPr>
          <w:rFonts w:ascii="Arial" w:hAnsi="Arial" w:cs="Arial"/>
          <w:sz w:val="24"/>
          <w:szCs w:val="24"/>
        </w:rPr>
        <w:t xml:space="preserve">were commissioned and no increase on </w:t>
      </w:r>
      <w:r w:rsidR="003D4612" w:rsidRPr="001B73F1">
        <w:rPr>
          <w:rFonts w:ascii="Arial" w:hAnsi="Arial" w:cs="Arial"/>
          <w:sz w:val="24"/>
          <w:szCs w:val="24"/>
        </w:rPr>
        <w:t xml:space="preserve">top up rates </w:t>
      </w:r>
      <w:r w:rsidRPr="001B73F1">
        <w:rPr>
          <w:rFonts w:ascii="Arial" w:hAnsi="Arial" w:cs="Arial"/>
          <w:sz w:val="24"/>
          <w:szCs w:val="24"/>
        </w:rPr>
        <w:t>are proposed.</w:t>
      </w:r>
      <w:r w:rsidR="003D4612" w:rsidRPr="001B73F1">
        <w:rPr>
          <w:rFonts w:ascii="Arial" w:hAnsi="Arial" w:cs="Arial"/>
          <w:sz w:val="24"/>
          <w:szCs w:val="24"/>
        </w:rPr>
        <w:t xml:space="preserve"> </w:t>
      </w:r>
    </w:p>
    <w:p w:rsidR="006E7FCE" w:rsidRPr="00B47A5C" w:rsidRDefault="006E7FCE" w:rsidP="00E511F3">
      <w:pPr>
        <w:pStyle w:val="ListParagraph"/>
        <w:ind w:left="0"/>
        <w:rPr>
          <w:rFonts w:ascii="Arial" w:hAnsi="Arial" w:cs="Arial"/>
          <w:b/>
          <w:color w:val="FF0000"/>
          <w:sz w:val="24"/>
          <w:szCs w:val="24"/>
          <w:u w:val="single"/>
        </w:rPr>
      </w:pPr>
    </w:p>
    <w:p w:rsidR="00471C15" w:rsidRDefault="00471C15" w:rsidP="00E511F3">
      <w:pPr>
        <w:pStyle w:val="ListParagraph"/>
        <w:ind w:left="0"/>
        <w:rPr>
          <w:rFonts w:ascii="Arial" w:hAnsi="Arial" w:cs="Arial"/>
          <w:b/>
          <w:sz w:val="24"/>
          <w:szCs w:val="24"/>
          <w:u w:val="single"/>
        </w:rPr>
      </w:pPr>
      <w:r w:rsidRPr="001B73F1">
        <w:rPr>
          <w:rFonts w:ascii="Arial" w:hAnsi="Arial" w:cs="Arial"/>
          <w:b/>
          <w:sz w:val="24"/>
          <w:szCs w:val="24"/>
          <w:u w:val="single"/>
        </w:rPr>
        <w:t>Post 16</w:t>
      </w:r>
    </w:p>
    <w:p w:rsidR="004D1DE2" w:rsidRDefault="004D1DE2" w:rsidP="00E511F3">
      <w:pPr>
        <w:pStyle w:val="ListParagraph"/>
        <w:ind w:left="0"/>
        <w:rPr>
          <w:rFonts w:ascii="Arial" w:hAnsi="Arial" w:cs="Arial"/>
          <w:b/>
          <w:sz w:val="24"/>
          <w:szCs w:val="24"/>
          <w:u w:val="single"/>
        </w:rPr>
      </w:pPr>
    </w:p>
    <w:p w:rsidR="004D1DE2" w:rsidRPr="001B73F1" w:rsidRDefault="00683ECB" w:rsidP="004D1DE2">
      <w:pPr>
        <w:pStyle w:val="ListParagraph"/>
        <w:ind w:left="0"/>
        <w:rPr>
          <w:rFonts w:ascii="Arial" w:hAnsi="Arial" w:cs="Arial"/>
          <w:sz w:val="24"/>
          <w:szCs w:val="24"/>
        </w:rPr>
      </w:pPr>
      <w:r>
        <w:rPr>
          <w:rFonts w:ascii="Arial" w:hAnsi="Arial" w:cs="Arial"/>
          <w:sz w:val="24"/>
          <w:szCs w:val="24"/>
        </w:rPr>
        <w:t>T</w:t>
      </w:r>
      <w:r w:rsidR="004D1DE2" w:rsidRPr="001B73F1">
        <w:rPr>
          <w:rFonts w:ascii="Arial" w:hAnsi="Arial" w:cs="Arial"/>
          <w:sz w:val="24"/>
          <w:szCs w:val="24"/>
        </w:rPr>
        <w:t>h</w:t>
      </w:r>
      <w:r w:rsidR="004D1DE2" w:rsidRPr="001B73F1">
        <w:rPr>
          <w:rFonts w:ascii="Arial" w:hAnsi="Arial" w:cs="Arial"/>
          <w:sz w:val="24"/>
          <w:szCs w:val="24"/>
        </w:rPr>
        <w:t>is budget remains under constant scrutiny and the current budget is considered to be sufficient to manage current demand levels and agreed costings. The budget will however need to be monitored to ensure this remains the case.</w:t>
      </w:r>
    </w:p>
    <w:p w:rsidR="004D1DE2" w:rsidRPr="00683ECB" w:rsidRDefault="004D1DE2" w:rsidP="00E511F3">
      <w:pPr>
        <w:pStyle w:val="ListParagraph"/>
        <w:ind w:left="0"/>
        <w:rPr>
          <w:rFonts w:ascii="Arial" w:hAnsi="Arial" w:cs="Arial"/>
          <w:sz w:val="24"/>
          <w:szCs w:val="24"/>
        </w:rPr>
      </w:pPr>
    </w:p>
    <w:p w:rsidR="00111560" w:rsidRPr="001B73F1" w:rsidRDefault="001B73F1" w:rsidP="00E511F3">
      <w:pPr>
        <w:pStyle w:val="ListParagraph"/>
        <w:ind w:left="0"/>
        <w:rPr>
          <w:rFonts w:ascii="Arial" w:hAnsi="Arial" w:cs="Arial"/>
          <w:sz w:val="24"/>
          <w:szCs w:val="24"/>
        </w:rPr>
      </w:pPr>
      <w:r w:rsidRPr="001B73F1">
        <w:rPr>
          <w:rFonts w:ascii="Arial" w:hAnsi="Arial" w:cs="Arial"/>
          <w:sz w:val="24"/>
          <w:szCs w:val="24"/>
        </w:rPr>
        <w:t xml:space="preserve">As with last year </w:t>
      </w:r>
      <w:r w:rsidR="00111560" w:rsidRPr="001B73F1">
        <w:rPr>
          <w:rFonts w:ascii="Arial" w:hAnsi="Arial" w:cs="Arial"/>
          <w:sz w:val="24"/>
          <w:szCs w:val="24"/>
        </w:rPr>
        <w:t xml:space="preserve">SEN transport in respect of post 16 </w:t>
      </w:r>
      <w:r w:rsidR="00537305" w:rsidRPr="001B73F1">
        <w:rPr>
          <w:rFonts w:ascii="Arial" w:hAnsi="Arial" w:cs="Arial"/>
          <w:sz w:val="24"/>
          <w:szCs w:val="24"/>
        </w:rPr>
        <w:t xml:space="preserve">is </w:t>
      </w:r>
      <w:r w:rsidR="00111560" w:rsidRPr="001B73F1">
        <w:rPr>
          <w:rFonts w:ascii="Arial" w:hAnsi="Arial" w:cs="Arial"/>
          <w:sz w:val="24"/>
          <w:szCs w:val="24"/>
        </w:rPr>
        <w:t xml:space="preserve">now allocated to this area.  </w:t>
      </w:r>
    </w:p>
    <w:p w:rsidR="00683ECB" w:rsidRDefault="00683ECB" w:rsidP="00EB6CE7">
      <w:pPr>
        <w:rPr>
          <w:rFonts w:ascii="Arial" w:hAnsi="Arial" w:cs="Arial"/>
          <w:b/>
          <w:sz w:val="24"/>
          <w:szCs w:val="24"/>
          <w:u w:val="single"/>
        </w:rPr>
      </w:pPr>
    </w:p>
    <w:p w:rsidR="00BD0DFE" w:rsidRPr="001B73F1" w:rsidRDefault="00BD0DFE" w:rsidP="00EB6CE7">
      <w:pPr>
        <w:rPr>
          <w:rFonts w:ascii="Arial" w:hAnsi="Arial" w:cs="Arial"/>
          <w:b/>
          <w:sz w:val="24"/>
          <w:szCs w:val="24"/>
          <w:u w:val="single"/>
        </w:rPr>
      </w:pPr>
      <w:r w:rsidRPr="001B73F1">
        <w:rPr>
          <w:rFonts w:ascii="Arial" w:hAnsi="Arial" w:cs="Arial"/>
          <w:b/>
          <w:sz w:val="24"/>
          <w:szCs w:val="24"/>
          <w:u w:val="single"/>
        </w:rPr>
        <w:t>SEN Services</w:t>
      </w:r>
    </w:p>
    <w:p w:rsidR="00683ECB" w:rsidRDefault="00D43082" w:rsidP="00EB6CE7">
      <w:pPr>
        <w:rPr>
          <w:rFonts w:ascii="Arial" w:hAnsi="Arial" w:cs="Arial"/>
          <w:color w:val="FF0000"/>
          <w:sz w:val="24"/>
          <w:szCs w:val="24"/>
        </w:rPr>
      </w:pPr>
      <w:r w:rsidRPr="001B73F1">
        <w:rPr>
          <w:rFonts w:ascii="Arial" w:hAnsi="Arial" w:cs="Arial"/>
          <w:sz w:val="24"/>
          <w:szCs w:val="24"/>
        </w:rPr>
        <w:t xml:space="preserve">The </w:t>
      </w:r>
      <w:r w:rsidR="00194755">
        <w:rPr>
          <w:rFonts w:ascii="Arial" w:hAnsi="Arial" w:cs="Arial"/>
          <w:sz w:val="24"/>
          <w:szCs w:val="24"/>
        </w:rPr>
        <w:t>“</w:t>
      </w:r>
      <w:r w:rsidRPr="001B73F1">
        <w:rPr>
          <w:rFonts w:ascii="Arial" w:hAnsi="Arial" w:cs="Arial"/>
          <w:sz w:val="24"/>
          <w:szCs w:val="24"/>
        </w:rPr>
        <w:t>reduction of spend</w:t>
      </w:r>
      <w:r w:rsidR="00194755">
        <w:rPr>
          <w:rFonts w:ascii="Arial" w:hAnsi="Arial" w:cs="Arial"/>
          <w:sz w:val="24"/>
          <w:szCs w:val="24"/>
        </w:rPr>
        <w:t>”</w:t>
      </w:r>
      <w:r w:rsidRPr="001B73F1">
        <w:rPr>
          <w:rFonts w:ascii="Arial" w:hAnsi="Arial" w:cs="Arial"/>
          <w:sz w:val="24"/>
          <w:szCs w:val="24"/>
        </w:rPr>
        <w:t xml:space="preserve"> in this area is down to a</w:t>
      </w:r>
      <w:r w:rsidR="00194755">
        <w:rPr>
          <w:rFonts w:ascii="Arial" w:hAnsi="Arial" w:cs="Arial"/>
          <w:sz w:val="24"/>
          <w:szCs w:val="24"/>
        </w:rPr>
        <w:t xml:space="preserve"> refining of and re-allocation of cost around early years.</w:t>
      </w:r>
    </w:p>
    <w:p w:rsidR="00BD0DFE" w:rsidRPr="001B73F1" w:rsidRDefault="00683ECB" w:rsidP="00EB6CE7">
      <w:pPr>
        <w:rPr>
          <w:rFonts w:ascii="Arial" w:hAnsi="Arial" w:cs="Arial"/>
          <w:b/>
          <w:sz w:val="24"/>
          <w:szCs w:val="24"/>
          <w:u w:val="single"/>
        </w:rPr>
      </w:pPr>
      <w:r>
        <w:rPr>
          <w:rFonts w:ascii="Arial" w:hAnsi="Arial" w:cs="Arial"/>
          <w:b/>
          <w:sz w:val="24"/>
          <w:szCs w:val="24"/>
          <w:u w:val="single"/>
        </w:rPr>
        <w:t>E</w:t>
      </w:r>
      <w:r w:rsidR="00BD0DFE" w:rsidRPr="001B73F1">
        <w:rPr>
          <w:rFonts w:ascii="Arial" w:hAnsi="Arial" w:cs="Arial"/>
          <w:b/>
          <w:sz w:val="24"/>
          <w:szCs w:val="24"/>
          <w:u w:val="single"/>
        </w:rPr>
        <w:t>arly Year / SEN Inclusion Fund</w:t>
      </w:r>
    </w:p>
    <w:p w:rsidR="00BD0DFE" w:rsidRPr="001B73F1" w:rsidRDefault="00D43082" w:rsidP="00EB6CE7">
      <w:pPr>
        <w:rPr>
          <w:rFonts w:ascii="Arial" w:hAnsi="Arial" w:cs="Arial"/>
          <w:b/>
          <w:sz w:val="24"/>
          <w:szCs w:val="24"/>
          <w:u w:val="single"/>
        </w:rPr>
      </w:pPr>
      <w:r w:rsidRPr="001B73F1">
        <w:rPr>
          <w:rFonts w:ascii="Arial" w:hAnsi="Arial" w:cs="Arial"/>
          <w:sz w:val="24"/>
          <w:szCs w:val="24"/>
        </w:rPr>
        <w:t>The increase in this area is based on projected 201</w:t>
      </w:r>
      <w:r w:rsidR="001B73F1" w:rsidRPr="001B73F1">
        <w:rPr>
          <w:rFonts w:ascii="Arial" w:hAnsi="Arial" w:cs="Arial"/>
          <w:sz w:val="24"/>
          <w:szCs w:val="24"/>
        </w:rPr>
        <w:t>8-19</w:t>
      </w:r>
      <w:r w:rsidRPr="001B73F1">
        <w:rPr>
          <w:rFonts w:ascii="Arial" w:hAnsi="Arial" w:cs="Arial"/>
          <w:sz w:val="24"/>
          <w:szCs w:val="24"/>
        </w:rPr>
        <w:t xml:space="preserve"> spend. </w:t>
      </w:r>
      <w:r w:rsidR="001B73F1" w:rsidRPr="001B73F1">
        <w:rPr>
          <w:rFonts w:ascii="Arial" w:hAnsi="Arial" w:cs="Arial"/>
          <w:sz w:val="24"/>
          <w:szCs w:val="24"/>
        </w:rPr>
        <w:t>Increased awareness in this area continues with a consequential impact on demand</w:t>
      </w:r>
      <w:r w:rsidRPr="001B73F1">
        <w:rPr>
          <w:rFonts w:ascii="Arial" w:hAnsi="Arial" w:cs="Arial"/>
          <w:sz w:val="24"/>
          <w:szCs w:val="24"/>
        </w:rPr>
        <w:t>.</w:t>
      </w:r>
    </w:p>
    <w:p w:rsidR="00AC7FBC" w:rsidRDefault="001B73F1" w:rsidP="00EB6CE7">
      <w:pPr>
        <w:rPr>
          <w:rFonts w:ascii="Arial" w:hAnsi="Arial" w:cs="Arial"/>
          <w:b/>
          <w:sz w:val="24"/>
          <w:szCs w:val="24"/>
          <w:u w:val="single"/>
        </w:rPr>
      </w:pPr>
      <w:r>
        <w:rPr>
          <w:rFonts w:ascii="Arial" w:hAnsi="Arial" w:cs="Arial"/>
          <w:b/>
          <w:sz w:val="24"/>
          <w:szCs w:val="24"/>
          <w:u w:val="single"/>
        </w:rPr>
        <w:t>ASD Provision</w:t>
      </w:r>
    </w:p>
    <w:p w:rsidR="001B73F1" w:rsidRPr="001B73F1" w:rsidRDefault="001B73F1" w:rsidP="00EB6CE7">
      <w:pPr>
        <w:rPr>
          <w:rFonts w:ascii="Arial" w:hAnsi="Arial" w:cs="Arial"/>
          <w:sz w:val="24"/>
          <w:szCs w:val="24"/>
        </w:rPr>
      </w:pPr>
      <w:r w:rsidRPr="001B73F1">
        <w:rPr>
          <w:rFonts w:ascii="Arial" w:hAnsi="Arial" w:cs="Arial"/>
          <w:sz w:val="24"/>
          <w:szCs w:val="24"/>
        </w:rPr>
        <w:t xml:space="preserve">The Council has reviewed the placements at this facility and has decided that it can reduce its commissioned place numbers by </w:t>
      </w:r>
      <w:r>
        <w:rPr>
          <w:rFonts w:ascii="Arial" w:hAnsi="Arial" w:cs="Arial"/>
          <w:sz w:val="24"/>
          <w:szCs w:val="24"/>
        </w:rPr>
        <w:t xml:space="preserve">three </w:t>
      </w:r>
      <w:r w:rsidRPr="001B73F1">
        <w:rPr>
          <w:rFonts w:ascii="Arial" w:hAnsi="Arial" w:cs="Arial"/>
          <w:sz w:val="24"/>
          <w:szCs w:val="24"/>
        </w:rPr>
        <w:t>from 1</w:t>
      </w:r>
      <w:r w:rsidRPr="001B73F1">
        <w:rPr>
          <w:rFonts w:ascii="Arial" w:hAnsi="Arial" w:cs="Arial"/>
          <w:sz w:val="24"/>
          <w:szCs w:val="24"/>
          <w:vertAlign w:val="superscript"/>
        </w:rPr>
        <w:t>st</w:t>
      </w:r>
      <w:r w:rsidRPr="001B73F1">
        <w:rPr>
          <w:rFonts w:ascii="Arial" w:hAnsi="Arial" w:cs="Arial"/>
          <w:sz w:val="24"/>
          <w:szCs w:val="24"/>
        </w:rPr>
        <w:t xml:space="preserve"> September 2019. The reduction reflects this change.</w:t>
      </w:r>
    </w:p>
    <w:p w:rsidR="0095760D" w:rsidRPr="00D20BF2" w:rsidRDefault="008B36CC" w:rsidP="00EB6CE7">
      <w:pPr>
        <w:rPr>
          <w:rFonts w:ascii="Arial" w:hAnsi="Arial" w:cs="Arial"/>
          <w:b/>
          <w:sz w:val="24"/>
          <w:szCs w:val="24"/>
          <w:u w:val="single"/>
        </w:rPr>
      </w:pPr>
      <w:r w:rsidRPr="00D20BF2">
        <w:rPr>
          <w:rFonts w:ascii="Arial" w:hAnsi="Arial" w:cs="Arial"/>
          <w:b/>
          <w:sz w:val="24"/>
          <w:szCs w:val="24"/>
          <w:u w:val="single"/>
        </w:rPr>
        <w:t>BAC’s</w:t>
      </w:r>
      <w:r w:rsidR="008823D4">
        <w:rPr>
          <w:rFonts w:ascii="Arial" w:hAnsi="Arial" w:cs="Arial"/>
          <w:b/>
          <w:sz w:val="24"/>
          <w:szCs w:val="24"/>
          <w:u w:val="single"/>
        </w:rPr>
        <w:t xml:space="preserve"> Income</w:t>
      </w:r>
    </w:p>
    <w:p w:rsidR="00D96BFF" w:rsidRPr="008823D4" w:rsidRDefault="006E7FCE" w:rsidP="00EB6CE7">
      <w:pPr>
        <w:rPr>
          <w:rFonts w:ascii="Arial" w:hAnsi="Arial" w:cs="Arial"/>
          <w:sz w:val="24"/>
          <w:szCs w:val="24"/>
        </w:rPr>
      </w:pPr>
      <w:r>
        <w:rPr>
          <w:rFonts w:ascii="Arial" w:hAnsi="Arial" w:cs="Arial"/>
          <w:sz w:val="24"/>
          <w:szCs w:val="24"/>
        </w:rPr>
        <w:t xml:space="preserve">Income from the BAC’s process continues to be collected where </w:t>
      </w:r>
      <w:r w:rsidR="006D4E0E">
        <w:rPr>
          <w:rFonts w:ascii="Arial" w:hAnsi="Arial" w:cs="Arial"/>
          <w:sz w:val="24"/>
          <w:szCs w:val="24"/>
        </w:rPr>
        <w:t xml:space="preserve">permanent </w:t>
      </w:r>
      <w:r>
        <w:rPr>
          <w:rFonts w:ascii="Arial" w:hAnsi="Arial" w:cs="Arial"/>
          <w:sz w:val="24"/>
          <w:szCs w:val="24"/>
        </w:rPr>
        <w:t xml:space="preserve">exclusions occur. </w:t>
      </w:r>
      <w:r w:rsidR="008823D4">
        <w:rPr>
          <w:rFonts w:ascii="Arial" w:hAnsi="Arial" w:cs="Arial"/>
          <w:sz w:val="24"/>
          <w:szCs w:val="24"/>
        </w:rPr>
        <w:t>Over time decisions have been made by For</w:t>
      </w:r>
      <w:r w:rsidR="00D776ED">
        <w:rPr>
          <w:rFonts w:ascii="Arial" w:hAnsi="Arial" w:cs="Arial"/>
          <w:sz w:val="24"/>
          <w:szCs w:val="24"/>
        </w:rPr>
        <w:t>u</w:t>
      </w:r>
      <w:r w:rsidR="008823D4">
        <w:rPr>
          <w:rFonts w:ascii="Arial" w:hAnsi="Arial" w:cs="Arial"/>
          <w:sz w:val="24"/>
          <w:szCs w:val="24"/>
        </w:rPr>
        <w:t>m to allocate some of this to fund specific activities. This includes a mixture of staffing</w:t>
      </w:r>
      <w:r w:rsidR="00D776ED">
        <w:rPr>
          <w:rFonts w:ascii="Arial" w:hAnsi="Arial" w:cs="Arial"/>
          <w:sz w:val="24"/>
          <w:szCs w:val="24"/>
        </w:rPr>
        <w:t xml:space="preserve">, additional </w:t>
      </w:r>
      <w:r w:rsidR="00AF27C0">
        <w:rPr>
          <w:rFonts w:ascii="Arial" w:hAnsi="Arial" w:cs="Arial"/>
          <w:sz w:val="24"/>
          <w:szCs w:val="24"/>
        </w:rPr>
        <w:t xml:space="preserve">alternative provision </w:t>
      </w:r>
      <w:r w:rsidR="00D776ED">
        <w:rPr>
          <w:rFonts w:ascii="Arial" w:hAnsi="Arial" w:cs="Arial"/>
          <w:sz w:val="24"/>
          <w:szCs w:val="24"/>
        </w:rPr>
        <w:t>places</w:t>
      </w:r>
      <w:r>
        <w:rPr>
          <w:rFonts w:ascii="Arial" w:hAnsi="Arial" w:cs="Arial"/>
          <w:sz w:val="24"/>
          <w:szCs w:val="24"/>
        </w:rPr>
        <w:t xml:space="preserve">, </w:t>
      </w:r>
      <w:r w:rsidR="008823D4">
        <w:rPr>
          <w:rFonts w:ascii="Arial" w:hAnsi="Arial" w:cs="Arial"/>
          <w:sz w:val="24"/>
          <w:szCs w:val="24"/>
        </w:rPr>
        <w:t>other provision</w:t>
      </w:r>
      <w:r w:rsidR="00D776ED">
        <w:rPr>
          <w:rFonts w:ascii="Arial" w:hAnsi="Arial" w:cs="Arial"/>
          <w:sz w:val="24"/>
          <w:szCs w:val="24"/>
        </w:rPr>
        <w:t xml:space="preserve"> in addition to the contribution to the Behaviour</w:t>
      </w:r>
      <w:r w:rsidR="00DA79DF">
        <w:rPr>
          <w:rFonts w:ascii="Arial" w:hAnsi="Arial" w:cs="Arial"/>
          <w:sz w:val="24"/>
          <w:szCs w:val="24"/>
        </w:rPr>
        <w:t xml:space="preserve"> </w:t>
      </w:r>
      <w:r w:rsidR="00D776ED">
        <w:rPr>
          <w:rFonts w:ascii="Arial" w:hAnsi="Arial" w:cs="Arial"/>
          <w:sz w:val="24"/>
          <w:szCs w:val="24"/>
        </w:rPr>
        <w:t>Service Team</w:t>
      </w:r>
      <w:r w:rsidR="006D4E0E">
        <w:rPr>
          <w:rFonts w:ascii="Arial" w:hAnsi="Arial" w:cs="Arial"/>
          <w:sz w:val="24"/>
          <w:szCs w:val="24"/>
        </w:rPr>
        <w:t xml:space="preserve"> and m</w:t>
      </w:r>
      <w:r>
        <w:rPr>
          <w:rFonts w:ascii="Arial" w:hAnsi="Arial" w:cs="Arial"/>
          <w:sz w:val="24"/>
          <w:szCs w:val="24"/>
        </w:rPr>
        <w:t xml:space="preserve">ore recently it was agreed to contribute an element of this income to fund a group of staff within the </w:t>
      </w:r>
      <w:r w:rsidR="00C858F0">
        <w:rPr>
          <w:rFonts w:ascii="Arial" w:hAnsi="Arial" w:cs="Arial"/>
          <w:sz w:val="24"/>
          <w:szCs w:val="24"/>
        </w:rPr>
        <w:t>Localities</w:t>
      </w:r>
      <w:r>
        <w:rPr>
          <w:rFonts w:ascii="Arial" w:hAnsi="Arial" w:cs="Arial"/>
          <w:sz w:val="24"/>
          <w:szCs w:val="24"/>
        </w:rPr>
        <w:t xml:space="preserve"> team</w:t>
      </w:r>
      <w:r w:rsidR="004215E9">
        <w:rPr>
          <w:rFonts w:ascii="Arial" w:hAnsi="Arial" w:cs="Arial"/>
          <w:sz w:val="24"/>
          <w:szCs w:val="24"/>
        </w:rPr>
        <w:t>.</w:t>
      </w:r>
    </w:p>
    <w:p w:rsidR="00AC7FBC" w:rsidRDefault="006D4E0E" w:rsidP="00EB6CE7">
      <w:pPr>
        <w:rPr>
          <w:rFonts w:ascii="Arial" w:hAnsi="Arial" w:cs="Arial"/>
          <w:sz w:val="24"/>
          <w:szCs w:val="24"/>
        </w:rPr>
      </w:pPr>
      <w:r>
        <w:rPr>
          <w:rFonts w:ascii="Arial" w:hAnsi="Arial" w:cs="Arial"/>
          <w:sz w:val="24"/>
          <w:szCs w:val="24"/>
        </w:rPr>
        <w:t xml:space="preserve">After many years of </w:t>
      </w:r>
      <w:r w:rsidR="001B73F1">
        <w:rPr>
          <w:rFonts w:ascii="Arial" w:hAnsi="Arial" w:cs="Arial"/>
          <w:sz w:val="24"/>
          <w:szCs w:val="24"/>
        </w:rPr>
        <w:t>financial prudence</w:t>
      </w:r>
      <w:r>
        <w:rPr>
          <w:rFonts w:ascii="Arial" w:hAnsi="Arial" w:cs="Arial"/>
          <w:sz w:val="24"/>
          <w:szCs w:val="24"/>
        </w:rPr>
        <w:t xml:space="preserve"> the Local Authority was placed in a position where it needed to use some of this income to </w:t>
      </w:r>
      <w:r w:rsidR="00AC7FBC">
        <w:rPr>
          <w:rFonts w:ascii="Arial" w:hAnsi="Arial" w:cs="Arial"/>
          <w:sz w:val="24"/>
          <w:szCs w:val="24"/>
        </w:rPr>
        <w:t>balance its high needs spend.</w:t>
      </w:r>
    </w:p>
    <w:p w:rsidR="00AC7FBC" w:rsidRPr="00A5617B" w:rsidRDefault="00AC7FBC" w:rsidP="00EB6CE7">
      <w:pPr>
        <w:rPr>
          <w:rFonts w:ascii="Arial" w:hAnsi="Arial" w:cs="Arial"/>
          <w:b/>
          <w:sz w:val="24"/>
          <w:szCs w:val="24"/>
        </w:rPr>
      </w:pPr>
      <w:r w:rsidRPr="00A5617B">
        <w:rPr>
          <w:rFonts w:ascii="Arial" w:hAnsi="Arial" w:cs="Arial"/>
          <w:b/>
          <w:sz w:val="24"/>
          <w:szCs w:val="24"/>
        </w:rPr>
        <w:t>In 2019-20 the position has worsened and to reflect an accurate budget the authority finds itself in a position of £0.346M over allocated after factoring in all of the BAC’s income (£0.6M)</w:t>
      </w:r>
      <w:r w:rsidR="00A5617B" w:rsidRPr="00A5617B">
        <w:rPr>
          <w:rFonts w:ascii="Arial" w:hAnsi="Arial" w:cs="Arial"/>
          <w:b/>
          <w:sz w:val="24"/>
          <w:szCs w:val="24"/>
        </w:rPr>
        <w:t xml:space="preserve">, the top slice from the Schools Block of </w:t>
      </w:r>
      <w:r w:rsidR="00A5617B" w:rsidRPr="00A5617B">
        <w:rPr>
          <w:rFonts w:ascii="Arial" w:hAnsi="Arial" w:cs="Arial"/>
          <w:b/>
          <w:sz w:val="24"/>
          <w:szCs w:val="24"/>
        </w:rPr>
        <w:lastRenderedPageBreak/>
        <w:t xml:space="preserve">£0.4M and the additional High </w:t>
      </w:r>
      <w:r w:rsidR="00365661">
        <w:rPr>
          <w:rFonts w:ascii="Arial" w:hAnsi="Arial" w:cs="Arial"/>
          <w:b/>
          <w:sz w:val="24"/>
          <w:szCs w:val="24"/>
        </w:rPr>
        <w:t>Needs</w:t>
      </w:r>
      <w:r w:rsidR="00365661" w:rsidRPr="00A5617B">
        <w:rPr>
          <w:rFonts w:ascii="Arial" w:hAnsi="Arial" w:cs="Arial"/>
          <w:b/>
          <w:sz w:val="24"/>
          <w:szCs w:val="24"/>
        </w:rPr>
        <w:t xml:space="preserve"> </w:t>
      </w:r>
      <w:r w:rsidR="00A5617B" w:rsidRPr="00A5617B">
        <w:rPr>
          <w:rFonts w:ascii="Arial" w:hAnsi="Arial" w:cs="Arial"/>
          <w:b/>
          <w:sz w:val="24"/>
          <w:szCs w:val="24"/>
        </w:rPr>
        <w:t>Block of £0.357M</w:t>
      </w:r>
      <w:r w:rsidRPr="00A5617B">
        <w:rPr>
          <w:rFonts w:ascii="Arial" w:hAnsi="Arial" w:cs="Arial"/>
          <w:b/>
          <w:sz w:val="24"/>
          <w:szCs w:val="24"/>
        </w:rPr>
        <w:t>. The impact of this is shown in the next section.</w:t>
      </w:r>
    </w:p>
    <w:p w:rsidR="00683ECB" w:rsidRDefault="00683ECB" w:rsidP="00EB6CE7">
      <w:pPr>
        <w:rPr>
          <w:rFonts w:ascii="Arial" w:hAnsi="Arial" w:cs="Arial"/>
          <w:b/>
          <w:sz w:val="24"/>
          <w:szCs w:val="24"/>
          <w:u w:val="single"/>
        </w:rPr>
      </w:pPr>
    </w:p>
    <w:p w:rsidR="00AC7FBC" w:rsidRPr="00AC7FBC" w:rsidRDefault="00AC7FBC" w:rsidP="00EB6CE7">
      <w:pPr>
        <w:rPr>
          <w:rFonts w:ascii="Arial" w:hAnsi="Arial" w:cs="Arial"/>
          <w:b/>
          <w:sz w:val="24"/>
          <w:szCs w:val="24"/>
          <w:u w:val="single"/>
        </w:rPr>
      </w:pPr>
      <w:r w:rsidRPr="00AC7FBC">
        <w:rPr>
          <w:rFonts w:ascii="Arial" w:hAnsi="Arial" w:cs="Arial"/>
          <w:b/>
          <w:sz w:val="24"/>
          <w:szCs w:val="24"/>
          <w:u w:val="single"/>
        </w:rPr>
        <w:t>Central DSG Contingency projected position</w:t>
      </w:r>
    </w:p>
    <w:p w:rsidR="00AC7FBC" w:rsidRDefault="00AC7FBC" w:rsidP="00EB6CE7">
      <w:pPr>
        <w:rPr>
          <w:rFonts w:ascii="Arial" w:hAnsi="Arial" w:cs="Arial"/>
          <w:sz w:val="24"/>
          <w:szCs w:val="24"/>
        </w:rPr>
      </w:pPr>
      <w:r>
        <w:rPr>
          <w:rFonts w:ascii="Arial" w:hAnsi="Arial" w:cs="Arial"/>
          <w:sz w:val="24"/>
          <w:szCs w:val="24"/>
        </w:rPr>
        <w:t>This over allocation referred to above will be met from the central DSG contingency and will clearly have an adverse impact on it. As a result it is considered necessary to advise Schools Forum of projected position. T</w:t>
      </w:r>
      <w:r w:rsidR="009F2FDB">
        <w:rPr>
          <w:rFonts w:ascii="Arial" w:hAnsi="Arial" w:cs="Arial"/>
          <w:sz w:val="24"/>
          <w:szCs w:val="24"/>
        </w:rPr>
        <w:t>his is shown in the table below:</w:t>
      </w:r>
    </w:p>
    <w:p w:rsidR="009F2FDB" w:rsidRDefault="009F2FDB" w:rsidP="00EB6CE7">
      <w:pPr>
        <w:rPr>
          <w:rFonts w:ascii="Arial" w:hAnsi="Arial" w:cs="Arial"/>
          <w:sz w:val="24"/>
          <w:szCs w:val="24"/>
        </w:rPr>
      </w:pPr>
    </w:p>
    <w:tbl>
      <w:tblPr>
        <w:tblStyle w:val="TableGrid"/>
        <w:tblW w:w="0" w:type="auto"/>
        <w:tblInd w:w="720" w:type="dxa"/>
        <w:tblLook w:val="04A0" w:firstRow="1" w:lastRow="0" w:firstColumn="1" w:lastColumn="0" w:noHBand="0" w:noVBand="1"/>
      </w:tblPr>
      <w:tblGrid>
        <w:gridCol w:w="3077"/>
        <w:gridCol w:w="2447"/>
        <w:gridCol w:w="2772"/>
      </w:tblGrid>
      <w:tr w:rsidR="009F2FDB" w:rsidRPr="00E70582" w:rsidTr="009F2FDB">
        <w:tc>
          <w:tcPr>
            <w:tcW w:w="3077" w:type="dxa"/>
          </w:tcPr>
          <w:p w:rsidR="009F2FDB" w:rsidRDefault="009F2FDB" w:rsidP="009F2FDB">
            <w:pPr>
              <w:rPr>
                <w:rFonts w:ascii="Arial" w:hAnsi="Arial" w:cs="Arial"/>
                <w:sz w:val="24"/>
                <w:szCs w:val="24"/>
              </w:rPr>
            </w:pPr>
          </w:p>
        </w:tc>
        <w:tc>
          <w:tcPr>
            <w:tcW w:w="2447" w:type="dxa"/>
          </w:tcPr>
          <w:p w:rsidR="009F2FDB" w:rsidRPr="00E70582" w:rsidRDefault="009F2FDB" w:rsidP="009F2FDB">
            <w:pPr>
              <w:jc w:val="center"/>
              <w:rPr>
                <w:rFonts w:ascii="Arial" w:hAnsi="Arial" w:cs="Arial"/>
                <w:b/>
                <w:sz w:val="24"/>
                <w:szCs w:val="24"/>
                <w:u w:val="single"/>
              </w:rPr>
            </w:pPr>
            <w:r>
              <w:rPr>
                <w:rFonts w:ascii="Arial" w:hAnsi="Arial" w:cs="Arial"/>
                <w:b/>
                <w:sz w:val="24"/>
                <w:szCs w:val="24"/>
                <w:u w:val="single"/>
              </w:rPr>
              <w:t>£’m</w:t>
            </w:r>
          </w:p>
        </w:tc>
        <w:tc>
          <w:tcPr>
            <w:tcW w:w="2772" w:type="dxa"/>
          </w:tcPr>
          <w:p w:rsidR="009F2FDB" w:rsidRPr="00E70582" w:rsidRDefault="009F2FDB" w:rsidP="009F2FDB">
            <w:pPr>
              <w:jc w:val="center"/>
              <w:rPr>
                <w:rFonts w:ascii="Arial" w:hAnsi="Arial" w:cs="Arial"/>
                <w:b/>
                <w:sz w:val="24"/>
                <w:szCs w:val="24"/>
                <w:u w:val="single"/>
              </w:rPr>
            </w:pPr>
            <w:r w:rsidRPr="00E70582">
              <w:rPr>
                <w:rFonts w:ascii="Arial" w:hAnsi="Arial" w:cs="Arial"/>
                <w:b/>
                <w:sz w:val="24"/>
                <w:szCs w:val="24"/>
                <w:u w:val="single"/>
              </w:rPr>
              <w:t>£’m</w:t>
            </w:r>
          </w:p>
        </w:tc>
      </w:tr>
      <w:tr w:rsidR="009F2FDB" w:rsidTr="009F2FDB">
        <w:tc>
          <w:tcPr>
            <w:tcW w:w="3077" w:type="dxa"/>
          </w:tcPr>
          <w:p w:rsidR="009F2FDB" w:rsidRDefault="009F2FDB" w:rsidP="009F2FDB">
            <w:pPr>
              <w:rPr>
                <w:rFonts w:ascii="Arial" w:hAnsi="Arial" w:cs="Arial"/>
                <w:sz w:val="24"/>
                <w:szCs w:val="24"/>
              </w:rPr>
            </w:pPr>
          </w:p>
        </w:tc>
        <w:tc>
          <w:tcPr>
            <w:tcW w:w="2447" w:type="dxa"/>
          </w:tcPr>
          <w:p w:rsidR="009F2FDB" w:rsidRDefault="009F2FDB" w:rsidP="009F2FDB">
            <w:pPr>
              <w:jc w:val="center"/>
              <w:rPr>
                <w:rFonts w:ascii="Arial" w:hAnsi="Arial" w:cs="Arial"/>
                <w:sz w:val="24"/>
                <w:szCs w:val="24"/>
              </w:rPr>
            </w:pPr>
          </w:p>
        </w:tc>
        <w:tc>
          <w:tcPr>
            <w:tcW w:w="2772" w:type="dxa"/>
          </w:tcPr>
          <w:p w:rsidR="009F2FDB" w:rsidRDefault="009F2FDB" w:rsidP="009F2FDB">
            <w:pPr>
              <w:jc w:val="center"/>
              <w:rPr>
                <w:rFonts w:ascii="Arial" w:hAnsi="Arial" w:cs="Arial"/>
                <w:sz w:val="24"/>
                <w:szCs w:val="24"/>
              </w:rPr>
            </w:pPr>
          </w:p>
        </w:tc>
      </w:tr>
      <w:tr w:rsidR="009F2FDB" w:rsidTr="009F2FDB">
        <w:tc>
          <w:tcPr>
            <w:tcW w:w="3077" w:type="dxa"/>
          </w:tcPr>
          <w:p w:rsidR="009F2FDB" w:rsidRDefault="009F2FDB" w:rsidP="009F2FDB">
            <w:pPr>
              <w:rPr>
                <w:rFonts w:ascii="Arial" w:hAnsi="Arial" w:cs="Arial"/>
                <w:sz w:val="24"/>
                <w:szCs w:val="24"/>
              </w:rPr>
            </w:pPr>
            <w:r>
              <w:rPr>
                <w:rFonts w:ascii="Arial" w:hAnsi="Arial" w:cs="Arial"/>
                <w:sz w:val="24"/>
                <w:szCs w:val="24"/>
              </w:rPr>
              <w:t>b/f as at the 1</w:t>
            </w:r>
            <w:r w:rsidRPr="00E70582">
              <w:rPr>
                <w:rFonts w:ascii="Arial" w:hAnsi="Arial" w:cs="Arial"/>
                <w:sz w:val="24"/>
                <w:szCs w:val="24"/>
                <w:vertAlign w:val="superscript"/>
              </w:rPr>
              <w:t>st</w:t>
            </w:r>
            <w:r>
              <w:rPr>
                <w:rFonts w:ascii="Arial" w:hAnsi="Arial" w:cs="Arial"/>
                <w:sz w:val="24"/>
                <w:szCs w:val="24"/>
              </w:rPr>
              <w:t xml:space="preserve"> April 2018 including Early Years adjustment</w:t>
            </w:r>
          </w:p>
        </w:tc>
        <w:tc>
          <w:tcPr>
            <w:tcW w:w="2447" w:type="dxa"/>
          </w:tcPr>
          <w:p w:rsidR="009F2FDB" w:rsidRDefault="009F2FDB" w:rsidP="009F2FDB">
            <w:pPr>
              <w:jc w:val="center"/>
              <w:rPr>
                <w:rFonts w:ascii="Arial" w:hAnsi="Arial" w:cs="Arial"/>
                <w:sz w:val="24"/>
                <w:szCs w:val="24"/>
              </w:rPr>
            </w:pPr>
          </w:p>
        </w:tc>
        <w:tc>
          <w:tcPr>
            <w:tcW w:w="2772" w:type="dxa"/>
          </w:tcPr>
          <w:p w:rsidR="009F2FDB" w:rsidRDefault="009F2FDB" w:rsidP="009F2FDB">
            <w:pPr>
              <w:jc w:val="center"/>
              <w:rPr>
                <w:rFonts w:ascii="Arial" w:hAnsi="Arial" w:cs="Arial"/>
                <w:sz w:val="24"/>
                <w:szCs w:val="24"/>
              </w:rPr>
            </w:pPr>
            <w:r>
              <w:rPr>
                <w:rFonts w:ascii="Arial" w:hAnsi="Arial" w:cs="Arial"/>
                <w:sz w:val="24"/>
                <w:szCs w:val="24"/>
              </w:rPr>
              <w:t>1.704</w:t>
            </w:r>
          </w:p>
        </w:tc>
      </w:tr>
      <w:tr w:rsidR="009F2FDB" w:rsidTr="009F2FDB">
        <w:tc>
          <w:tcPr>
            <w:tcW w:w="3077" w:type="dxa"/>
          </w:tcPr>
          <w:p w:rsidR="009F2FDB" w:rsidRDefault="009F2FDB" w:rsidP="009F2FDB">
            <w:pPr>
              <w:rPr>
                <w:rFonts w:ascii="Arial" w:hAnsi="Arial" w:cs="Arial"/>
                <w:sz w:val="24"/>
                <w:szCs w:val="24"/>
              </w:rPr>
            </w:pPr>
            <w:r>
              <w:rPr>
                <w:rFonts w:ascii="Arial" w:hAnsi="Arial" w:cs="Arial"/>
                <w:sz w:val="24"/>
                <w:szCs w:val="24"/>
              </w:rPr>
              <w:t xml:space="preserve">Projected </w:t>
            </w:r>
            <w:r w:rsidR="00E87556">
              <w:rPr>
                <w:rFonts w:ascii="Arial" w:hAnsi="Arial" w:cs="Arial"/>
                <w:sz w:val="24"/>
                <w:szCs w:val="24"/>
              </w:rPr>
              <w:t xml:space="preserve">HNB </w:t>
            </w:r>
            <w:r>
              <w:rPr>
                <w:rFonts w:ascii="Arial" w:hAnsi="Arial" w:cs="Arial"/>
                <w:sz w:val="24"/>
                <w:szCs w:val="24"/>
              </w:rPr>
              <w:t>2018-19 overspend</w:t>
            </w:r>
          </w:p>
        </w:tc>
        <w:tc>
          <w:tcPr>
            <w:tcW w:w="2447" w:type="dxa"/>
          </w:tcPr>
          <w:p w:rsidR="009F2FDB" w:rsidRDefault="009F2FDB" w:rsidP="00F507A5">
            <w:pPr>
              <w:jc w:val="center"/>
              <w:rPr>
                <w:rFonts w:ascii="Arial" w:hAnsi="Arial" w:cs="Arial"/>
                <w:sz w:val="24"/>
                <w:szCs w:val="24"/>
              </w:rPr>
            </w:pPr>
            <w:r>
              <w:rPr>
                <w:rFonts w:ascii="Arial" w:hAnsi="Arial" w:cs="Arial"/>
                <w:sz w:val="24"/>
                <w:szCs w:val="24"/>
              </w:rPr>
              <w:t>(1.</w:t>
            </w:r>
            <w:r w:rsidR="00F507A5">
              <w:rPr>
                <w:rFonts w:ascii="Arial" w:hAnsi="Arial" w:cs="Arial"/>
                <w:sz w:val="24"/>
                <w:szCs w:val="24"/>
              </w:rPr>
              <w:t>506</w:t>
            </w:r>
            <w:r>
              <w:rPr>
                <w:rFonts w:ascii="Arial" w:hAnsi="Arial" w:cs="Arial"/>
                <w:sz w:val="24"/>
                <w:szCs w:val="24"/>
              </w:rPr>
              <w:t>)</w:t>
            </w:r>
          </w:p>
        </w:tc>
        <w:tc>
          <w:tcPr>
            <w:tcW w:w="2772" w:type="dxa"/>
          </w:tcPr>
          <w:p w:rsidR="009F2FDB" w:rsidRDefault="009F2FDB" w:rsidP="009F2FDB">
            <w:pPr>
              <w:jc w:val="center"/>
              <w:rPr>
                <w:rFonts w:ascii="Arial" w:hAnsi="Arial" w:cs="Arial"/>
                <w:sz w:val="24"/>
                <w:szCs w:val="24"/>
              </w:rPr>
            </w:pPr>
          </w:p>
        </w:tc>
      </w:tr>
      <w:tr w:rsidR="009F2FDB" w:rsidTr="009F2FDB">
        <w:tc>
          <w:tcPr>
            <w:tcW w:w="3077" w:type="dxa"/>
          </w:tcPr>
          <w:p w:rsidR="009F2FDB" w:rsidRDefault="009F2FDB" w:rsidP="009F2FDB">
            <w:pPr>
              <w:rPr>
                <w:rFonts w:ascii="Arial" w:hAnsi="Arial" w:cs="Arial"/>
                <w:sz w:val="24"/>
                <w:szCs w:val="24"/>
              </w:rPr>
            </w:pPr>
            <w:r>
              <w:rPr>
                <w:rFonts w:ascii="Arial" w:hAnsi="Arial" w:cs="Arial"/>
                <w:sz w:val="24"/>
                <w:szCs w:val="24"/>
              </w:rPr>
              <w:t>Additional 2018-19 funding</w:t>
            </w:r>
          </w:p>
        </w:tc>
        <w:tc>
          <w:tcPr>
            <w:tcW w:w="2447" w:type="dxa"/>
          </w:tcPr>
          <w:p w:rsidR="009F2FDB" w:rsidRDefault="009F2FDB" w:rsidP="009F2FDB">
            <w:pPr>
              <w:jc w:val="center"/>
              <w:rPr>
                <w:rFonts w:ascii="Arial" w:hAnsi="Arial" w:cs="Arial"/>
                <w:sz w:val="24"/>
                <w:szCs w:val="24"/>
              </w:rPr>
            </w:pPr>
            <w:r>
              <w:rPr>
                <w:rFonts w:ascii="Arial" w:hAnsi="Arial" w:cs="Arial"/>
                <w:sz w:val="24"/>
                <w:szCs w:val="24"/>
              </w:rPr>
              <w:t>0.357</w:t>
            </w:r>
          </w:p>
        </w:tc>
        <w:tc>
          <w:tcPr>
            <w:tcW w:w="2772" w:type="dxa"/>
          </w:tcPr>
          <w:p w:rsidR="009F2FDB" w:rsidRDefault="00683ECB" w:rsidP="00F507A5">
            <w:pPr>
              <w:jc w:val="center"/>
              <w:rPr>
                <w:rFonts w:ascii="Arial" w:hAnsi="Arial" w:cs="Arial"/>
                <w:sz w:val="24"/>
                <w:szCs w:val="24"/>
              </w:rPr>
            </w:pPr>
            <w:r>
              <w:rPr>
                <w:rFonts w:ascii="Arial" w:hAnsi="Arial" w:cs="Arial"/>
                <w:sz w:val="24"/>
                <w:szCs w:val="24"/>
              </w:rPr>
              <w:t>(</w:t>
            </w:r>
            <w:r w:rsidR="00F507A5">
              <w:rPr>
                <w:rFonts w:ascii="Arial" w:hAnsi="Arial" w:cs="Arial"/>
                <w:sz w:val="24"/>
                <w:szCs w:val="24"/>
              </w:rPr>
              <w:t>1.149</w:t>
            </w:r>
            <w:r w:rsidR="00C83DC0">
              <w:rPr>
                <w:rFonts w:ascii="Arial" w:hAnsi="Arial" w:cs="Arial"/>
                <w:sz w:val="24"/>
                <w:szCs w:val="24"/>
              </w:rPr>
              <w:t>)</w:t>
            </w:r>
          </w:p>
        </w:tc>
      </w:tr>
      <w:tr w:rsidR="009F2FDB" w:rsidTr="009F2FDB">
        <w:tc>
          <w:tcPr>
            <w:tcW w:w="3077" w:type="dxa"/>
          </w:tcPr>
          <w:p w:rsidR="009F2FDB" w:rsidRDefault="009F2FDB" w:rsidP="009F2FDB">
            <w:pPr>
              <w:rPr>
                <w:rFonts w:ascii="Arial" w:hAnsi="Arial" w:cs="Arial"/>
                <w:sz w:val="24"/>
                <w:szCs w:val="24"/>
              </w:rPr>
            </w:pPr>
          </w:p>
        </w:tc>
        <w:tc>
          <w:tcPr>
            <w:tcW w:w="2447" w:type="dxa"/>
          </w:tcPr>
          <w:p w:rsidR="009F2FDB" w:rsidRDefault="009F2FDB" w:rsidP="009F2FDB">
            <w:pPr>
              <w:jc w:val="center"/>
              <w:rPr>
                <w:rFonts w:ascii="Arial" w:hAnsi="Arial" w:cs="Arial"/>
                <w:sz w:val="24"/>
                <w:szCs w:val="24"/>
              </w:rPr>
            </w:pPr>
          </w:p>
        </w:tc>
        <w:tc>
          <w:tcPr>
            <w:tcW w:w="2772" w:type="dxa"/>
          </w:tcPr>
          <w:p w:rsidR="009F2FDB" w:rsidRDefault="009F2FDB" w:rsidP="009F2FDB">
            <w:pPr>
              <w:jc w:val="center"/>
              <w:rPr>
                <w:rFonts w:ascii="Arial" w:hAnsi="Arial" w:cs="Arial"/>
                <w:sz w:val="24"/>
                <w:szCs w:val="24"/>
              </w:rPr>
            </w:pPr>
          </w:p>
        </w:tc>
      </w:tr>
      <w:tr w:rsidR="00C83DC0" w:rsidTr="009F2FDB">
        <w:tc>
          <w:tcPr>
            <w:tcW w:w="3077" w:type="dxa"/>
          </w:tcPr>
          <w:p w:rsidR="00C83DC0" w:rsidRDefault="00C83DC0" w:rsidP="009F2FDB">
            <w:pPr>
              <w:rPr>
                <w:rFonts w:ascii="Arial" w:hAnsi="Arial" w:cs="Arial"/>
                <w:sz w:val="24"/>
                <w:szCs w:val="24"/>
              </w:rPr>
            </w:pPr>
            <w:r>
              <w:rPr>
                <w:rFonts w:ascii="Arial" w:hAnsi="Arial" w:cs="Arial"/>
                <w:sz w:val="24"/>
                <w:szCs w:val="24"/>
              </w:rPr>
              <w:t>Estimated other block underspends, still to be confirmed</w:t>
            </w:r>
          </w:p>
        </w:tc>
        <w:tc>
          <w:tcPr>
            <w:tcW w:w="2447" w:type="dxa"/>
          </w:tcPr>
          <w:p w:rsidR="00C83DC0" w:rsidRDefault="00C83DC0" w:rsidP="009F2FDB">
            <w:pPr>
              <w:jc w:val="center"/>
              <w:rPr>
                <w:rFonts w:ascii="Arial" w:hAnsi="Arial" w:cs="Arial"/>
                <w:sz w:val="24"/>
                <w:szCs w:val="24"/>
              </w:rPr>
            </w:pPr>
          </w:p>
        </w:tc>
        <w:tc>
          <w:tcPr>
            <w:tcW w:w="2772" w:type="dxa"/>
          </w:tcPr>
          <w:p w:rsidR="00C83DC0" w:rsidRDefault="00C83DC0" w:rsidP="009F2FDB">
            <w:pPr>
              <w:jc w:val="center"/>
              <w:rPr>
                <w:rFonts w:ascii="Arial" w:hAnsi="Arial" w:cs="Arial"/>
                <w:sz w:val="24"/>
                <w:szCs w:val="24"/>
              </w:rPr>
            </w:pPr>
            <w:r>
              <w:rPr>
                <w:rFonts w:ascii="Arial" w:hAnsi="Arial" w:cs="Arial"/>
                <w:sz w:val="24"/>
                <w:szCs w:val="24"/>
              </w:rPr>
              <w:t>0.226</w:t>
            </w:r>
          </w:p>
        </w:tc>
      </w:tr>
      <w:tr w:rsidR="00C83DC0" w:rsidTr="009F2FDB">
        <w:tc>
          <w:tcPr>
            <w:tcW w:w="3077" w:type="dxa"/>
          </w:tcPr>
          <w:p w:rsidR="00C83DC0" w:rsidRDefault="00C83DC0" w:rsidP="009F2FDB">
            <w:pPr>
              <w:rPr>
                <w:rFonts w:ascii="Arial" w:hAnsi="Arial" w:cs="Arial"/>
                <w:sz w:val="24"/>
                <w:szCs w:val="24"/>
              </w:rPr>
            </w:pPr>
          </w:p>
        </w:tc>
        <w:tc>
          <w:tcPr>
            <w:tcW w:w="2447" w:type="dxa"/>
          </w:tcPr>
          <w:p w:rsidR="00C83DC0" w:rsidRDefault="00C83DC0" w:rsidP="009F2FDB">
            <w:pPr>
              <w:jc w:val="center"/>
              <w:rPr>
                <w:rFonts w:ascii="Arial" w:hAnsi="Arial" w:cs="Arial"/>
                <w:sz w:val="24"/>
                <w:szCs w:val="24"/>
              </w:rPr>
            </w:pPr>
          </w:p>
        </w:tc>
        <w:tc>
          <w:tcPr>
            <w:tcW w:w="2772" w:type="dxa"/>
          </w:tcPr>
          <w:p w:rsidR="00C83DC0" w:rsidRDefault="00C83DC0" w:rsidP="009F2FDB">
            <w:pPr>
              <w:jc w:val="center"/>
              <w:rPr>
                <w:rFonts w:ascii="Arial" w:hAnsi="Arial" w:cs="Arial"/>
                <w:sz w:val="24"/>
                <w:szCs w:val="24"/>
              </w:rPr>
            </w:pPr>
          </w:p>
        </w:tc>
      </w:tr>
      <w:tr w:rsidR="009F2FDB" w:rsidRPr="00E70582" w:rsidTr="009F2FDB">
        <w:tc>
          <w:tcPr>
            <w:tcW w:w="3077" w:type="dxa"/>
          </w:tcPr>
          <w:p w:rsidR="009F2FDB" w:rsidRPr="00E70582" w:rsidRDefault="009F2FDB" w:rsidP="009F2FDB">
            <w:pPr>
              <w:rPr>
                <w:rFonts w:ascii="Arial" w:hAnsi="Arial" w:cs="Arial"/>
                <w:b/>
                <w:sz w:val="24"/>
                <w:szCs w:val="24"/>
              </w:rPr>
            </w:pPr>
            <w:r w:rsidRPr="00E70582">
              <w:rPr>
                <w:rFonts w:ascii="Arial" w:hAnsi="Arial" w:cs="Arial"/>
                <w:b/>
                <w:sz w:val="24"/>
                <w:szCs w:val="24"/>
              </w:rPr>
              <w:t>Projected c/f as at the 31</w:t>
            </w:r>
            <w:r w:rsidRPr="00E70582">
              <w:rPr>
                <w:rFonts w:ascii="Arial" w:hAnsi="Arial" w:cs="Arial"/>
                <w:b/>
                <w:sz w:val="24"/>
                <w:szCs w:val="24"/>
                <w:vertAlign w:val="superscript"/>
              </w:rPr>
              <w:t>st</w:t>
            </w:r>
            <w:r w:rsidRPr="00E70582">
              <w:rPr>
                <w:rFonts w:ascii="Arial" w:hAnsi="Arial" w:cs="Arial"/>
                <w:b/>
                <w:sz w:val="24"/>
                <w:szCs w:val="24"/>
              </w:rPr>
              <w:t xml:space="preserve"> March 2019</w:t>
            </w:r>
          </w:p>
        </w:tc>
        <w:tc>
          <w:tcPr>
            <w:tcW w:w="2447" w:type="dxa"/>
          </w:tcPr>
          <w:p w:rsidR="009F2FDB" w:rsidRPr="00E70582" w:rsidRDefault="009F2FDB" w:rsidP="009F2FDB">
            <w:pPr>
              <w:jc w:val="center"/>
              <w:rPr>
                <w:rFonts w:ascii="Arial" w:hAnsi="Arial" w:cs="Arial"/>
                <w:b/>
                <w:sz w:val="24"/>
                <w:szCs w:val="24"/>
              </w:rPr>
            </w:pPr>
          </w:p>
        </w:tc>
        <w:tc>
          <w:tcPr>
            <w:tcW w:w="2772" w:type="dxa"/>
          </w:tcPr>
          <w:p w:rsidR="00C83DC0" w:rsidRDefault="009F2FDB" w:rsidP="00C83DC0">
            <w:pPr>
              <w:jc w:val="center"/>
              <w:rPr>
                <w:rFonts w:ascii="Arial" w:hAnsi="Arial" w:cs="Arial"/>
                <w:b/>
                <w:sz w:val="24"/>
                <w:szCs w:val="24"/>
              </w:rPr>
            </w:pPr>
            <w:r>
              <w:rPr>
                <w:rFonts w:ascii="Arial" w:hAnsi="Arial" w:cs="Arial"/>
                <w:b/>
                <w:sz w:val="24"/>
                <w:szCs w:val="24"/>
              </w:rPr>
              <w:t>0.</w:t>
            </w:r>
            <w:r w:rsidR="00C83DC0">
              <w:rPr>
                <w:rFonts w:ascii="Arial" w:hAnsi="Arial" w:cs="Arial"/>
                <w:b/>
                <w:sz w:val="24"/>
                <w:szCs w:val="24"/>
              </w:rPr>
              <w:t>781</w:t>
            </w:r>
          </w:p>
          <w:p w:rsidR="009F2FDB" w:rsidRPr="00E70582" w:rsidRDefault="009F2FDB" w:rsidP="00C83DC0">
            <w:pPr>
              <w:jc w:val="center"/>
              <w:rPr>
                <w:rFonts w:ascii="Arial" w:hAnsi="Arial" w:cs="Arial"/>
                <w:b/>
                <w:sz w:val="24"/>
                <w:szCs w:val="24"/>
              </w:rPr>
            </w:pPr>
          </w:p>
        </w:tc>
      </w:tr>
      <w:tr w:rsidR="009F2FDB" w:rsidRPr="00E70582" w:rsidTr="009F2FDB">
        <w:tc>
          <w:tcPr>
            <w:tcW w:w="3077" w:type="dxa"/>
          </w:tcPr>
          <w:p w:rsidR="009F2FDB" w:rsidRPr="00E70582" w:rsidRDefault="009F2FDB" w:rsidP="009F2FDB">
            <w:pPr>
              <w:rPr>
                <w:rFonts w:ascii="Arial" w:hAnsi="Arial" w:cs="Arial"/>
                <w:b/>
                <w:sz w:val="24"/>
                <w:szCs w:val="24"/>
              </w:rPr>
            </w:pPr>
          </w:p>
        </w:tc>
        <w:tc>
          <w:tcPr>
            <w:tcW w:w="2447" w:type="dxa"/>
          </w:tcPr>
          <w:p w:rsidR="009F2FDB" w:rsidRPr="00E70582" w:rsidRDefault="009F2FDB" w:rsidP="009F2FDB">
            <w:pPr>
              <w:jc w:val="center"/>
              <w:rPr>
                <w:rFonts w:ascii="Arial" w:hAnsi="Arial" w:cs="Arial"/>
                <w:b/>
                <w:sz w:val="24"/>
                <w:szCs w:val="24"/>
              </w:rPr>
            </w:pPr>
          </w:p>
        </w:tc>
        <w:tc>
          <w:tcPr>
            <w:tcW w:w="2772" w:type="dxa"/>
          </w:tcPr>
          <w:p w:rsidR="009F2FDB" w:rsidRPr="00E70582" w:rsidRDefault="009F2FDB" w:rsidP="009F2FDB">
            <w:pPr>
              <w:jc w:val="center"/>
              <w:rPr>
                <w:rFonts w:ascii="Arial" w:hAnsi="Arial" w:cs="Arial"/>
                <w:b/>
                <w:sz w:val="24"/>
                <w:szCs w:val="24"/>
              </w:rPr>
            </w:pPr>
          </w:p>
        </w:tc>
      </w:tr>
      <w:tr w:rsidR="009F2FDB" w:rsidRPr="000171FE" w:rsidTr="009F2FDB">
        <w:tc>
          <w:tcPr>
            <w:tcW w:w="3077" w:type="dxa"/>
          </w:tcPr>
          <w:p w:rsidR="009F2FDB" w:rsidRPr="000171FE" w:rsidRDefault="009F2FDB" w:rsidP="009F2FDB">
            <w:pPr>
              <w:rPr>
                <w:rFonts w:ascii="Arial" w:hAnsi="Arial" w:cs="Arial"/>
                <w:sz w:val="24"/>
                <w:szCs w:val="24"/>
              </w:rPr>
            </w:pPr>
            <w:r>
              <w:rPr>
                <w:rFonts w:ascii="Arial" w:hAnsi="Arial" w:cs="Arial"/>
                <w:sz w:val="24"/>
                <w:szCs w:val="24"/>
              </w:rPr>
              <w:t>Projected 2019-20 gross HNB over allocation</w:t>
            </w:r>
          </w:p>
        </w:tc>
        <w:tc>
          <w:tcPr>
            <w:tcW w:w="2447" w:type="dxa"/>
          </w:tcPr>
          <w:p w:rsidR="009F2FDB" w:rsidRPr="000171FE" w:rsidRDefault="009F2FDB" w:rsidP="009F2FDB">
            <w:pPr>
              <w:jc w:val="center"/>
              <w:rPr>
                <w:rFonts w:ascii="Arial" w:hAnsi="Arial" w:cs="Arial"/>
                <w:sz w:val="24"/>
                <w:szCs w:val="24"/>
              </w:rPr>
            </w:pPr>
            <w:r>
              <w:rPr>
                <w:rFonts w:ascii="Arial" w:hAnsi="Arial" w:cs="Arial"/>
                <w:sz w:val="24"/>
                <w:szCs w:val="24"/>
              </w:rPr>
              <w:t>(0.747)</w:t>
            </w:r>
          </w:p>
        </w:tc>
        <w:tc>
          <w:tcPr>
            <w:tcW w:w="2772" w:type="dxa"/>
          </w:tcPr>
          <w:p w:rsidR="009F2FDB" w:rsidRPr="000171FE" w:rsidRDefault="009F2FDB" w:rsidP="009F2FDB">
            <w:pPr>
              <w:jc w:val="center"/>
              <w:rPr>
                <w:rFonts w:ascii="Arial" w:hAnsi="Arial" w:cs="Arial"/>
                <w:sz w:val="24"/>
                <w:szCs w:val="24"/>
              </w:rPr>
            </w:pPr>
          </w:p>
        </w:tc>
      </w:tr>
      <w:tr w:rsidR="009F2FDB" w:rsidRPr="00E70582" w:rsidTr="009F2FDB">
        <w:tc>
          <w:tcPr>
            <w:tcW w:w="3077" w:type="dxa"/>
          </w:tcPr>
          <w:p w:rsidR="009F2FDB" w:rsidRPr="00E70582" w:rsidRDefault="009F2FDB" w:rsidP="009F2FDB">
            <w:pPr>
              <w:rPr>
                <w:rFonts w:ascii="Arial" w:hAnsi="Arial" w:cs="Arial"/>
                <w:b/>
                <w:sz w:val="24"/>
                <w:szCs w:val="24"/>
              </w:rPr>
            </w:pPr>
          </w:p>
        </w:tc>
        <w:tc>
          <w:tcPr>
            <w:tcW w:w="2447" w:type="dxa"/>
          </w:tcPr>
          <w:p w:rsidR="009F2FDB" w:rsidRPr="00E70582" w:rsidRDefault="009F2FDB" w:rsidP="009F2FDB">
            <w:pPr>
              <w:jc w:val="center"/>
              <w:rPr>
                <w:rFonts w:ascii="Arial" w:hAnsi="Arial" w:cs="Arial"/>
                <w:b/>
                <w:sz w:val="24"/>
                <w:szCs w:val="24"/>
              </w:rPr>
            </w:pPr>
          </w:p>
        </w:tc>
        <w:tc>
          <w:tcPr>
            <w:tcW w:w="2772" w:type="dxa"/>
          </w:tcPr>
          <w:p w:rsidR="009F2FDB" w:rsidRPr="00E70582" w:rsidRDefault="009F2FDB" w:rsidP="009F2FDB">
            <w:pPr>
              <w:jc w:val="center"/>
              <w:rPr>
                <w:rFonts w:ascii="Arial" w:hAnsi="Arial" w:cs="Arial"/>
                <w:b/>
                <w:sz w:val="24"/>
                <w:szCs w:val="24"/>
              </w:rPr>
            </w:pPr>
          </w:p>
        </w:tc>
      </w:tr>
      <w:tr w:rsidR="009F2FDB" w:rsidRPr="00E70582" w:rsidTr="009F2FDB">
        <w:tc>
          <w:tcPr>
            <w:tcW w:w="3077" w:type="dxa"/>
          </w:tcPr>
          <w:p w:rsidR="009F2FDB" w:rsidRPr="009F2FDB" w:rsidRDefault="009F2FDB" w:rsidP="009F2FDB">
            <w:pPr>
              <w:rPr>
                <w:rFonts w:ascii="Arial" w:hAnsi="Arial" w:cs="Arial"/>
                <w:sz w:val="24"/>
                <w:szCs w:val="24"/>
              </w:rPr>
            </w:pPr>
            <w:r w:rsidRPr="009F2FDB">
              <w:rPr>
                <w:rFonts w:ascii="Arial" w:hAnsi="Arial" w:cs="Arial"/>
                <w:sz w:val="24"/>
                <w:szCs w:val="24"/>
              </w:rPr>
              <w:t>Top sliced from the Schools Block</w:t>
            </w:r>
          </w:p>
        </w:tc>
        <w:tc>
          <w:tcPr>
            <w:tcW w:w="2447" w:type="dxa"/>
          </w:tcPr>
          <w:p w:rsidR="009F2FDB" w:rsidRPr="009F2FDB" w:rsidRDefault="009F2FDB" w:rsidP="009F2FDB">
            <w:pPr>
              <w:jc w:val="center"/>
              <w:rPr>
                <w:rFonts w:ascii="Arial" w:hAnsi="Arial" w:cs="Arial"/>
                <w:sz w:val="24"/>
                <w:szCs w:val="24"/>
              </w:rPr>
            </w:pPr>
            <w:r w:rsidRPr="009F2FDB">
              <w:rPr>
                <w:rFonts w:ascii="Arial" w:hAnsi="Arial" w:cs="Arial"/>
                <w:sz w:val="24"/>
                <w:szCs w:val="24"/>
              </w:rPr>
              <w:t>0.401</w:t>
            </w:r>
          </w:p>
        </w:tc>
        <w:tc>
          <w:tcPr>
            <w:tcW w:w="2772" w:type="dxa"/>
          </w:tcPr>
          <w:p w:rsidR="009F2FDB" w:rsidRPr="00E70582" w:rsidRDefault="009F2FDB" w:rsidP="009F2FDB">
            <w:pPr>
              <w:jc w:val="center"/>
              <w:rPr>
                <w:rFonts w:ascii="Arial" w:hAnsi="Arial" w:cs="Arial"/>
                <w:b/>
                <w:sz w:val="24"/>
                <w:szCs w:val="24"/>
              </w:rPr>
            </w:pPr>
            <w:r>
              <w:rPr>
                <w:rFonts w:ascii="Arial" w:hAnsi="Arial" w:cs="Arial"/>
                <w:b/>
                <w:sz w:val="24"/>
                <w:szCs w:val="24"/>
              </w:rPr>
              <w:t>(0.346)</w:t>
            </w:r>
          </w:p>
        </w:tc>
      </w:tr>
      <w:tr w:rsidR="009F2FDB" w:rsidRPr="00E70582" w:rsidTr="009F2FDB">
        <w:tc>
          <w:tcPr>
            <w:tcW w:w="3077" w:type="dxa"/>
          </w:tcPr>
          <w:p w:rsidR="009F2FDB" w:rsidRPr="00E70582" w:rsidRDefault="009F2FDB" w:rsidP="009F2FDB">
            <w:pPr>
              <w:rPr>
                <w:rFonts w:ascii="Arial" w:hAnsi="Arial" w:cs="Arial"/>
                <w:b/>
                <w:sz w:val="24"/>
                <w:szCs w:val="24"/>
              </w:rPr>
            </w:pPr>
          </w:p>
        </w:tc>
        <w:tc>
          <w:tcPr>
            <w:tcW w:w="2447" w:type="dxa"/>
          </w:tcPr>
          <w:p w:rsidR="009F2FDB" w:rsidRPr="00E70582" w:rsidRDefault="009F2FDB" w:rsidP="009F2FDB">
            <w:pPr>
              <w:jc w:val="center"/>
              <w:rPr>
                <w:rFonts w:ascii="Arial" w:hAnsi="Arial" w:cs="Arial"/>
                <w:b/>
                <w:sz w:val="24"/>
                <w:szCs w:val="24"/>
              </w:rPr>
            </w:pPr>
          </w:p>
        </w:tc>
        <w:tc>
          <w:tcPr>
            <w:tcW w:w="2772" w:type="dxa"/>
          </w:tcPr>
          <w:p w:rsidR="009F2FDB" w:rsidRPr="00E70582" w:rsidRDefault="009F2FDB" w:rsidP="009F2FDB">
            <w:pPr>
              <w:jc w:val="center"/>
              <w:rPr>
                <w:rFonts w:ascii="Arial" w:hAnsi="Arial" w:cs="Arial"/>
                <w:b/>
                <w:sz w:val="24"/>
                <w:szCs w:val="24"/>
              </w:rPr>
            </w:pPr>
          </w:p>
        </w:tc>
      </w:tr>
      <w:tr w:rsidR="009F2FDB" w:rsidRPr="00E70582" w:rsidTr="009F2FDB">
        <w:tc>
          <w:tcPr>
            <w:tcW w:w="3077" w:type="dxa"/>
          </w:tcPr>
          <w:p w:rsidR="009F2FDB" w:rsidRDefault="001B73F1" w:rsidP="009F2FDB">
            <w:pPr>
              <w:rPr>
                <w:rFonts w:ascii="Arial" w:hAnsi="Arial" w:cs="Arial"/>
                <w:b/>
                <w:sz w:val="24"/>
                <w:szCs w:val="24"/>
              </w:rPr>
            </w:pPr>
            <w:r>
              <w:rPr>
                <w:rFonts w:ascii="Arial" w:hAnsi="Arial" w:cs="Arial"/>
                <w:b/>
                <w:sz w:val="24"/>
                <w:szCs w:val="24"/>
              </w:rPr>
              <w:t xml:space="preserve">Projected </w:t>
            </w:r>
            <w:r w:rsidR="009F2FDB">
              <w:rPr>
                <w:rFonts w:ascii="Arial" w:hAnsi="Arial" w:cs="Arial"/>
                <w:b/>
                <w:sz w:val="24"/>
                <w:szCs w:val="24"/>
              </w:rPr>
              <w:t>Remaining contingency available</w:t>
            </w:r>
            <w:r>
              <w:rPr>
                <w:rFonts w:ascii="Arial" w:hAnsi="Arial" w:cs="Arial"/>
                <w:b/>
                <w:sz w:val="24"/>
                <w:szCs w:val="24"/>
              </w:rPr>
              <w:t xml:space="preserve"> as at 31</w:t>
            </w:r>
            <w:r w:rsidRPr="001B73F1">
              <w:rPr>
                <w:rFonts w:ascii="Arial" w:hAnsi="Arial" w:cs="Arial"/>
                <w:b/>
                <w:sz w:val="24"/>
                <w:szCs w:val="24"/>
                <w:vertAlign w:val="superscript"/>
              </w:rPr>
              <w:t>st</w:t>
            </w:r>
            <w:r>
              <w:rPr>
                <w:rFonts w:ascii="Arial" w:hAnsi="Arial" w:cs="Arial"/>
                <w:b/>
                <w:sz w:val="24"/>
                <w:szCs w:val="24"/>
              </w:rPr>
              <w:t xml:space="preserve"> March 2020</w:t>
            </w:r>
            <w:r w:rsidR="00E87556">
              <w:rPr>
                <w:rFonts w:ascii="Arial" w:hAnsi="Arial" w:cs="Arial"/>
                <w:b/>
                <w:sz w:val="24"/>
                <w:szCs w:val="24"/>
              </w:rPr>
              <w:t xml:space="preserve"> (subject to the allocations not being breached)</w:t>
            </w:r>
          </w:p>
        </w:tc>
        <w:tc>
          <w:tcPr>
            <w:tcW w:w="2447" w:type="dxa"/>
          </w:tcPr>
          <w:p w:rsidR="009F2FDB" w:rsidRDefault="009F2FDB" w:rsidP="009F2FDB">
            <w:pPr>
              <w:jc w:val="center"/>
              <w:rPr>
                <w:rFonts w:ascii="Arial" w:hAnsi="Arial" w:cs="Arial"/>
                <w:b/>
                <w:sz w:val="24"/>
                <w:szCs w:val="24"/>
              </w:rPr>
            </w:pPr>
          </w:p>
        </w:tc>
        <w:tc>
          <w:tcPr>
            <w:tcW w:w="2772" w:type="dxa"/>
          </w:tcPr>
          <w:p w:rsidR="009F2FDB" w:rsidRPr="00E70582" w:rsidRDefault="00A5617B" w:rsidP="00C83DC0">
            <w:pPr>
              <w:jc w:val="center"/>
              <w:rPr>
                <w:rFonts w:ascii="Arial" w:hAnsi="Arial" w:cs="Arial"/>
                <w:b/>
                <w:sz w:val="24"/>
                <w:szCs w:val="24"/>
              </w:rPr>
            </w:pPr>
            <w:r>
              <w:rPr>
                <w:rFonts w:ascii="Arial" w:hAnsi="Arial" w:cs="Arial"/>
                <w:b/>
                <w:sz w:val="24"/>
                <w:szCs w:val="24"/>
              </w:rPr>
              <w:t>0</w:t>
            </w:r>
            <w:r w:rsidR="00365661">
              <w:rPr>
                <w:rFonts w:ascii="Arial" w:hAnsi="Arial" w:cs="Arial"/>
                <w:b/>
                <w:sz w:val="24"/>
                <w:szCs w:val="24"/>
              </w:rPr>
              <w:t>.4</w:t>
            </w:r>
            <w:r w:rsidR="00C83DC0">
              <w:rPr>
                <w:rFonts w:ascii="Arial" w:hAnsi="Arial" w:cs="Arial"/>
                <w:b/>
                <w:sz w:val="24"/>
                <w:szCs w:val="24"/>
              </w:rPr>
              <w:t>35</w:t>
            </w:r>
          </w:p>
        </w:tc>
      </w:tr>
    </w:tbl>
    <w:p w:rsidR="00AC7FBC" w:rsidRDefault="00AC7FBC" w:rsidP="00EB6CE7">
      <w:pPr>
        <w:rPr>
          <w:rFonts w:ascii="Arial" w:hAnsi="Arial" w:cs="Arial"/>
          <w:sz w:val="24"/>
          <w:szCs w:val="24"/>
        </w:rPr>
      </w:pPr>
    </w:p>
    <w:p w:rsidR="00C67339" w:rsidRPr="00C67339" w:rsidRDefault="00C67339" w:rsidP="00EB6CE7">
      <w:pPr>
        <w:rPr>
          <w:rFonts w:ascii="Arial" w:hAnsi="Arial" w:cs="Arial"/>
          <w:b/>
          <w:sz w:val="24"/>
          <w:szCs w:val="24"/>
          <w:u w:val="single"/>
        </w:rPr>
      </w:pPr>
      <w:r w:rsidRPr="00C67339">
        <w:rPr>
          <w:rFonts w:ascii="Arial" w:hAnsi="Arial" w:cs="Arial"/>
          <w:b/>
          <w:sz w:val="24"/>
          <w:szCs w:val="24"/>
          <w:u w:val="single"/>
        </w:rPr>
        <w:t>Local authority Actions</w:t>
      </w:r>
    </w:p>
    <w:p w:rsidR="0063240D" w:rsidRDefault="0063240D" w:rsidP="00EB6CE7">
      <w:pPr>
        <w:rPr>
          <w:rFonts w:ascii="Arial" w:hAnsi="Arial" w:cs="Arial"/>
          <w:sz w:val="24"/>
          <w:szCs w:val="24"/>
        </w:rPr>
      </w:pPr>
      <w:r>
        <w:rPr>
          <w:rFonts w:ascii="Arial" w:hAnsi="Arial" w:cs="Arial"/>
          <w:sz w:val="24"/>
          <w:szCs w:val="24"/>
        </w:rPr>
        <w:lastRenderedPageBreak/>
        <w:t>When the Schools Block top slice position was discussed with the Schools Forum and the wider schools community a number of actions were highlighted. The current position on these is as follows:</w:t>
      </w:r>
    </w:p>
    <w:p w:rsidR="00C67339" w:rsidRDefault="0063240D" w:rsidP="0063240D">
      <w:pPr>
        <w:pStyle w:val="ListParagraph"/>
        <w:numPr>
          <w:ilvl w:val="0"/>
          <w:numId w:val="26"/>
        </w:numPr>
        <w:rPr>
          <w:rFonts w:ascii="Arial" w:hAnsi="Arial" w:cs="Arial"/>
          <w:sz w:val="24"/>
          <w:szCs w:val="24"/>
        </w:rPr>
      </w:pPr>
      <w:r>
        <w:rPr>
          <w:rFonts w:ascii="Arial" w:hAnsi="Arial" w:cs="Arial"/>
          <w:sz w:val="24"/>
          <w:szCs w:val="24"/>
        </w:rPr>
        <w:t>Agency placement review</w:t>
      </w:r>
    </w:p>
    <w:p w:rsidR="005E2A73" w:rsidRDefault="005E2A73" w:rsidP="005E2A73">
      <w:pPr>
        <w:pStyle w:val="ListParagraph"/>
        <w:jc w:val="both"/>
        <w:rPr>
          <w:rFonts w:ascii="Arial" w:hAnsi="Arial" w:cs="Arial"/>
          <w:sz w:val="24"/>
          <w:szCs w:val="24"/>
        </w:rPr>
      </w:pPr>
    </w:p>
    <w:p w:rsidR="005E2A73" w:rsidRDefault="005E2A73" w:rsidP="005E2A73">
      <w:pPr>
        <w:pStyle w:val="ListParagraph"/>
        <w:jc w:val="both"/>
        <w:rPr>
          <w:rFonts w:ascii="Arial" w:hAnsi="Arial" w:cs="Arial"/>
          <w:sz w:val="24"/>
          <w:szCs w:val="24"/>
        </w:rPr>
      </w:pPr>
      <w:r>
        <w:rPr>
          <w:rFonts w:ascii="Arial" w:hAnsi="Arial" w:cs="Arial"/>
          <w:sz w:val="24"/>
          <w:szCs w:val="24"/>
        </w:rPr>
        <w:t xml:space="preserve">This on-going action of </w:t>
      </w:r>
      <w:r w:rsidRPr="005E2A73">
        <w:rPr>
          <w:rFonts w:ascii="Arial" w:hAnsi="Arial" w:cs="Arial"/>
          <w:sz w:val="24"/>
          <w:szCs w:val="24"/>
        </w:rPr>
        <w:t xml:space="preserve">reviewing a number of out of area placements to assess and determine if some children and young people can be brought back into the local area are built into system processes.  Positive decisions on these cases are always on the basis of the change in placement being of no detriment to the child/young person and will have to consider a number of factors including the ability to access local educational provision. </w:t>
      </w:r>
    </w:p>
    <w:p w:rsidR="005E2A73" w:rsidRPr="005E2A73" w:rsidRDefault="005E2A73" w:rsidP="005E2A73">
      <w:pPr>
        <w:pStyle w:val="ListParagraph"/>
        <w:jc w:val="both"/>
        <w:rPr>
          <w:rFonts w:ascii="Arial" w:hAnsi="Arial" w:cs="Arial"/>
          <w:b/>
          <w:sz w:val="24"/>
          <w:szCs w:val="24"/>
          <w:u w:val="single"/>
        </w:rPr>
      </w:pPr>
    </w:p>
    <w:p w:rsidR="0063240D" w:rsidRDefault="0063240D" w:rsidP="0063240D">
      <w:pPr>
        <w:pStyle w:val="ListParagraph"/>
        <w:numPr>
          <w:ilvl w:val="0"/>
          <w:numId w:val="26"/>
        </w:numPr>
        <w:rPr>
          <w:rFonts w:ascii="Arial" w:hAnsi="Arial" w:cs="Arial"/>
          <w:sz w:val="24"/>
          <w:szCs w:val="24"/>
        </w:rPr>
      </w:pPr>
      <w:r>
        <w:rPr>
          <w:rFonts w:ascii="Arial" w:hAnsi="Arial" w:cs="Arial"/>
          <w:sz w:val="24"/>
          <w:szCs w:val="24"/>
        </w:rPr>
        <w:t>Valuing Care</w:t>
      </w:r>
    </w:p>
    <w:p w:rsidR="005E2A73" w:rsidRPr="005E2A73" w:rsidRDefault="005E2A73" w:rsidP="005E2A73">
      <w:pPr>
        <w:ind w:left="720"/>
        <w:rPr>
          <w:rFonts w:ascii="Arial" w:hAnsi="Arial" w:cs="Arial"/>
          <w:sz w:val="24"/>
          <w:szCs w:val="24"/>
        </w:rPr>
      </w:pPr>
      <w:r>
        <w:rPr>
          <w:rFonts w:ascii="Arial" w:hAnsi="Arial" w:cs="Arial"/>
          <w:sz w:val="24"/>
          <w:szCs w:val="24"/>
        </w:rPr>
        <w:t>The consultants have finished their work and are preparing their final report</w:t>
      </w:r>
      <w:r w:rsidR="001D2DE6">
        <w:rPr>
          <w:rFonts w:ascii="Arial" w:hAnsi="Arial" w:cs="Arial"/>
          <w:sz w:val="24"/>
          <w:szCs w:val="24"/>
        </w:rPr>
        <w:t xml:space="preserve">. </w:t>
      </w:r>
    </w:p>
    <w:p w:rsidR="0063240D" w:rsidRDefault="0063240D" w:rsidP="0063240D">
      <w:pPr>
        <w:pStyle w:val="ListParagraph"/>
        <w:numPr>
          <w:ilvl w:val="0"/>
          <w:numId w:val="26"/>
        </w:numPr>
        <w:rPr>
          <w:rFonts w:ascii="Arial" w:hAnsi="Arial" w:cs="Arial"/>
          <w:sz w:val="24"/>
          <w:szCs w:val="24"/>
        </w:rPr>
      </w:pPr>
      <w:r>
        <w:rPr>
          <w:rFonts w:ascii="Arial" w:hAnsi="Arial" w:cs="Arial"/>
          <w:sz w:val="24"/>
          <w:szCs w:val="24"/>
        </w:rPr>
        <w:t>0-19 phase 2 (SEN Review)</w:t>
      </w:r>
    </w:p>
    <w:p w:rsidR="00E87556" w:rsidRDefault="005E2A73" w:rsidP="00E87556">
      <w:pPr>
        <w:ind w:left="720"/>
        <w:rPr>
          <w:rFonts w:ascii="Arial" w:hAnsi="Arial" w:cs="Arial"/>
          <w:sz w:val="24"/>
          <w:szCs w:val="24"/>
        </w:rPr>
      </w:pPr>
      <w:r>
        <w:rPr>
          <w:rFonts w:ascii="Arial" w:hAnsi="Arial" w:cs="Arial"/>
          <w:sz w:val="24"/>
          <w:szCs w:val="24"/>
        </w:rPr>
        <w:t>Consultants are currently undertaking this review</w:t>
      </w:r>
      <w:r w:rsidR="001D2DE6">
        <w:rPr>
          <w:rFonts w:ascii="Arial" w:hAnsi="Arial" w:cs="Arial"/>
          <w:sz w:val="24"/>
          <w:szCs w:val="24"/>
        </w:rPr>
        <w:t xml:space="preserve">. </w:t>
      </w:r>
    </w:p>
    <w:p w:rsidR="0063240D" w:rsidRDefault="0063240D" w:rsidP="00E87556">
      <w:pPr>
        <w:pStyle w:val="ListParagraph"/>
        <w:numPr>
          <w:ilvl w:val="0"/>
          <w:numId w:val="26"/>
        </w:numPr>
        <w:rPr>
          <w:rFonts w:ascii="Arial" w:hAnsi="Arial" w:cs="Arial"/>
          <w:sz w:val="24"/>
          <w:szCs w:val="24"/>
        </w:rPr>
      </w:pPr>
      <w:r w:rsidRPr="00E87556">
        <w:rPr>
          <w:rFonts w:ascii="Arial" w:hAnsi="Arial" w:cs="Arial"/>
          <w:sz w:val="24"/>
          <w:szCs w:val="24"/>
        </w:rPr>
        <w:t>Educational facility</w:t>
      </w:r>
    </w:p>
    <w:p w:rsidR="00E87556" w:rsidRPr="00E87556" w:rsidRDefault="00E87556" w:rsidP="00E87556">
      <w:pPr>
        <w:ind w:left="720"/>
        <w:rPr>
          <w:rFonts w:ascii="Arial" w:hAnsi="Arial" w:cs="Arial"/>
          <w:sz w:val="24"/>
          <w:szCs w:val="24"/>
        </w:rPr>
      </w:pPr>
      <w:r>
        <w:rPr>
          <w:rFonts w:ascii="Arial" w:hAnsi="Arial" w:cs="Arial"/>
          <w:sz w:val="24"/>
          <w:szCs w:val="24"/>
        </w:rPr>
        <w:t>This project remains on-going.</w:t>
      </w:r>
    </w:p>
    <w:p w:rsidR="00E87556" w:rsidRDefault="00E87556" w:rsidP="00EB6CE7">
      <w:pPr>
        <w:rPr>
          <w:rFonts w:ascii="Arial" w:hAnsi="Arial" w:cs="Arial"/>
          <w:b/>
          <w:sz w:val="24"/>
          <w:szCs w:val="24"/>
          <w:u w:val="single"/>
        </w:rPr>
      </w:pPr>
    </w:p>
    <w:p w:rsidR="00C67339" w:rsidRPr="00C67339" w:rsidRDefault="00C67339" w:rsidP="00EB6CE7">
      <w:pPr>
        <w:rPr>
          <w:rFonts w:ascii="Arial" w:hAnsi="Arial" w:cs="Arial"/>
          <w:b/>
          <w:sz w:val="24"/>
          <w:szCs w:val="24"/>
          <w:u w:val="single"/>
        </w:rPr>
      </w:pPr>
      <w:r w:rsidRPr="00C67339">
        <w:rPr>
          <w:rFonts w:ascii="Arial" w:hAnsi="Arial" w:cs="Arial"/>
          <w:b/>
          <w:sz w:val="24"/>
          <w:szCs w:val="24"/>
          <w:u w:val="single"/>
        </w:rPr>
        <w:t>Overall conclusions</w:t>
      </w:r>
    </w:p>
    <w:p w:rsidR="00C67339" w:rsidRDefault="00C67339" w:rsidP="00EB6CE7">
      <w:pPr>
        <w:rPr>
          <w:rFonts w:ascii="Arial" w:hAnsi="Arial" w:cs="Arial"/>
          <w:sz w:val="24"/>
          <w:szCs w:val="24"/>
        </w:rPr>
      </w:pPr>
      <w:r>
        <w:rPr>
          <w:rFonts w:ascii="Arial" w:hAnsi="Arial" w:cs="Arial"/>
          <w:sz w:val="24"/>
          <w:szCs w:val="24"/>
        </w:rPr>
        <w:lastRenderedPageBreak/>
        <w:t>The position in respect of the High needs Block is and will remain very challenging. The Schools Forum paper (ITEM 21/18)</w:t>
      </w:r>
      <w:r w:rsidR="008A6243">
        <w:rPr>
          <w:rFonts w:ascii="Arial" w:hAnsi="Arial" w:cs="Arial"/>
          <w:sz w:val="24"/>
          <w:szCs w:val="24"/>
        </w:rPr>
        <w:t xml:space="preserve"> highlighted the significant increase in demand and the financial impact of this. This paper updates the central DSG contingency table and the position shows that </w:t>
      </w:r>
      <w:r w:rsidR="00E87556">
        <w:rPr>
          <w:rFonts w:ascii="Arial" w:hAnsi="Arial" w:cs="Arial"/>
          <w:sz w:val="24"/>
          <w:szCs w:val="24"/>
        </w:rPr>
        <w:t xml:space="preserve">in the absence of the top slice </w:t>
      </w:r>
      <w:r w:rsidR="008A6243">
        <w:rPr>
          <w:rFonts w:ascii="Arial" w:hAnsi="Arial" w:cs="Arial"/>
          <w:sz w:val="24"/>
          <w:szCs w:val="24"/>
        </w:rPr>
        <w:t>th</w:t>
      </w:r>
      <w:r w:rsidR="00E87556">
        <w:rPr>
          <w:rFonts w:ascii="Arial" w:hAnsi="Arial" w:cs="Arial"/>
          <w:sz w:val="24"/>
          <w:szCs w:val="24"/>
        </w:rPr>
        <w:t>i</w:t>
      </w:r>
      <w:r w:rsidR="008A6243">
        <w:rPr>
          <w:rFonts w:ascii="Arial" w:hAnsi="Arial" w:cs="Arial"/>
          <w:sz w:val="24"/>
          <w:szCs w:val="24"/>
        </w:rPr>
        <w:t xml:space="preserve">s </w:t>
      </w:r>
      <w:r w:rsidR="00E87556">
        <w:rPr>
          <w:rFonts w:ascii="Arial" w:hAnsi="Arial" w:cs="Arial"/>
          <w:sz w:val="24"/>
          <w:szCs w:val="24"/>
        </w:rPr>
        <w:t xml:space="preserve">would almost have been fully utilised by the </w:t>
      </w:r>
      <w:r w:rsidR="008A6243">
        <w:rPr>
          <w:rFonts w:ascii="Arial" w:hAnsi="Arial" w:cs="Arial"/>
          <w:sz w:val="24"/>
          <w:szCs w:val="24"/>
        </w:rPr>
        <w:t>31</w:t>
      </w:r>
      <w:r w:rsidR="008A6243" w:rsidRPr="008A6243">
        <w:rPr>
          <w:rFonts w:ascii="Arial" w:hAnsi="Arial" w:cs="Arial"/>
          <w:sz w:val="24"/>
          <w:szCs w:val="24"/>
          <w:vertAlign w:val="superscript"/>
        </w:rPr>
        <w:t>st</w:t>
      </w:r>
      <w:r w:rsidR="008A6243">
        <w:rPr>
          <w:rFonts w:ascii="Arial" w:hAnsi="Arial" w:cs="Arial"/>
          <w:sz w:val="24"/>
          <w:szCs w:val="24"/>
        </w:rPr>
        <w:t xml:space="preserve"> March 2020.</w:t>
      </w:r>
    </w:p>
    <w:p w:rsidR="009F2FDB" w:rsidRDefault="008A6243" w:rsidP="00EB6CE7">
      <w:pPr>
        <w:rPr>
          <w:rFonts w:ascii="Arial" w:hAnsi="Arial" w:cs="Arial"/>
          <w:sz w:val="24"/>
          <w:szCs w:val="24"/>
        </w:rPr>
      </w:pPr>
      <w:r>
        <w:rPr>
          <w:rFonts w:ascii="Arial" w:hAnsi="Arial" w:cs="Arial"/>
          <w:sz w:val="24"/>
          <w:szCs w:val="24"/>
        </w:rPr>
        <w:t xml:space="preserve">Whilst the additional High Needs Block and the Schools Block top slice is welcome </w:t>
      </w:r>
      <w:r w:rsidR="00E87556">
        <w:rPr>
          <w:rFonts w:ascii="Arial" w:hAnsi="Arial" w:cs="Arial"/>
          <w:sz w:val="24"/>
          <w:szCs w:val="24"/>
        </w:rPr>
        <w:t xml:space="preserve">it does not resolve the problem. </w:t>
      </w:r>
      <w:bookmarkStart w:id="0" w:name="_GoBack"/>
      <w:bookmarkEnd w:id="0"/>
      <w:r>
        <w:rPr>
          <w:rFonts w:ascii="Arial" w:hAnsi="Arial" w:cs="Arial"/>
          <w:sz w:val="24"/>
          <w:szCs w:val="24"/>
        </w:rPr>
        <w:t>Whilst it is recognised that specialist providers are facing financial pressures themselves this paper does not factor in any increase in rates. The Council considers that it is unable to increase rates given the general and increasing fragility on the central DSG contingency position.</w:t>
      </w:r>
      <w:r w:rsidR="00AC7FBC">
        <w:rPr>
          <w:rFonts w:ascii="Arial" w:hAnsi="Arial" w:cs="Arial"/>
          <w:sz w:val="24"/>
          <w:szCs w:val="24"/>
        </w:rPr>
        <w:t xml:space="preserve"> </w:t>
      </w:r>
    </w:p>
    <w:p w:rsidR="007239E3" w:rsidRDefault="007239E3" w:rsidP="00EB6CE7">
      <w:pPr>
        <w:rPr>
          <w:rFonts w:ascii="Arial" w:hAnsi="Arial" w:cs="Arial"/>
          <w:b/>
          <w:sz w:val="24"/>
          <w:szCs w:val="24"/>
          <w:u w:val="single"/>
        </w:rPr>
      </w:pPr>
    </w:p>
    <w:p w:rsidR="00EB6CE7" w:rsidRPr="00D20BF2" w:rsidRDefault="00EB6CE7" w:rsidP="00EB6CE7">
      <w:pPr>
        <w:rPr>
          <w:rFonts w:ascii="Arial" w:hAnsi="Arial" w:cs="Arial"/>
          <w:b/>
          <w:sz w:val="24"/>
          <w:szCs w:val="24"/>
          <w:u w:val="single"/>
        </w:rPr>
      </w:pPr>
      <w:r w:rsidRPr="00D20BF2">
        <w:rPr>
          <w:rFonts w:ascii="Arial" w:hAnsi="Arial" w:cs="Arial"/>
          <w:b/>
          <w:sz w:val="24"/>
          <w:szCs w:val="24"/>
          <w:u w:val="single"/>
        </w:rPr>
        <w:t>Recommendation</w:t>
      </w:r>
    </w:p>
    <w:p w:rsidR="00386BBE" w:rsidRPr="00386BBE" w:rsidRDefault="00386BBE" w:rsidP="00386BBE">
      <w:pPr>
        <w:rPr>
          <w:rFonts w:ascii="Arial" w:hAnsi="Arial" w:cs="Arial"/>
          <w:sz w:val="24"/>
          <w:szCs w:val="24"/>
        </w:rPr>
      </w:pPr>
      <w:r w:rsidRPr="00386BBE">
        <w:rPr>
          <w:rFonts w:ascii="Arial" w:hAnsi="Arial" w:cs="Arial"/>
          <w:sz w:val="24"/>
          <w:szCs w:val="24"/>
        </w:rPr>
        <w:t xml:space="preserve">The setting of the </w:t>
      </w:r>
      <w:r>
        <w:rPr>
          <w:rFonts w:ascii="Arial" w:hAnsi="Arial" w:cs="Arial"/>
          <w:sz w:val="24"/>
          <w:szCs w:val="24"/>
        </w:rPr>
        <w:t xml:space="preserve">High Needs Block allocation </w:t>
      </w:r>
      <w:r w:rsidRPr="00386BBE">
        <w:rPr>
          <w:rFonts w:ascii="Arial" w:hAnsi="Arial" w:cs="Arial"/>
          <w:sz w:val="24"/>
          <w:szCs w:val="24"/>
        </w:rPr>
        <w:t>does not require a decision from the Schools Forum and the report is for information and noting only.</w:t>
      </w:r>
    </w:p>
    <w:p w:rsidR="00EB6CE7" w:rsidRPr="00D20BF2" w:rsidRDefault="00EB6CE7" w:rsidP="00EB6CE7">
      <w:pPr>
        <w:rPr>
          <w:rFonts w:ascii="Arial" w:hAnsi="Arial" w:cs="Arial"/>
          <w:sz w:val="24"/>
          <w:szCs w:val="24"/>
        </w:rPr>
      </w:pPr>
    </w:p>
    <w:p w:rsidR="003161A9" w:rsidRDefault="00EB6CE7" w:rsidP="0021361C">
      <w:pPr>
        <w:rPr>
          <w:rFonts w:ascii="Arial" w:eastAsia="Calibri" w:hAnsi="Arial" w:cs="Arial"/>
          <w:b/>
          <w:color w:val="FF0000"/>
          <w:sz w:val="24"/>
          <w:szCs w:val="24"/>
          <w:u w:val="single"/>
        </w:rPr>
      </w:pPr>
      <w:r w:rsidRPr="00D20BF2">
        <w:rPr>
          <w:rFonts w:ascii="Arial" w:hAnsi="Arial" w:cs="Arial"/>
          <w:sz w:val="24"/>
          <w:szCs w:val="24"/>
        </w:rPr>
        <w:t xml:space="preserve">Contact Officer:  </w:t>
      </w:r>
      <w:r w:rsidRPr="00D20BF2">
        <w:rPr>
          <w:rFonts w:ascii="Arial" w:eastAsia="Calibri" w:hAnsi="Arial" w:cs="Arial"/>
          <w:sz w:val="24"/>
          <w:szCs w:val="24"/>
        </w:rPr>
        <w:t xml:space="preserve">David </w:t>
      </w:r>
      <w:r w:rsidR="006D4E0E" w:rsidRPr="00D20BF2">
        <w:rPr>
          <w:rFonts w:ascii="Arial" w:eastAsia="Calibri" w:hAnsi="Arial" w:cs="Arial"/>
          <w:sz w:val="24"/>
          <w:szCs w:val="24"/>
        </w:rPr>
        <w:t>Kirven -</w:t>
      </w:r>
      <w:r w:rsidRPr="00D20BF2">
        <w:rPr>
          <w:rFonts w:ascii="Arial" w:eastAsia="Calibri" w:hAnsi="Arial" w:cs="Arial"/>
          <w:sz w:val="24"/>
          <w:szCs w:val="24"/>
        </w:rPr>
        <w:t xml:space="preserve"> S</w:t>
      </w:r>
      <w:r w:rsidR="00DA44D3">
        <w:rPr>
          <w:rFonts w:ascii="Arial" w:eastAsia="Calibri" w:hAnsi="Arial" w:cs="Arial"/>
          <w:sz w:val="24"/>
          <w:szCs w:val="24"/>
        </w:rPr>
        <w:t>trategic Lead – Business Partnering</w:t>
      </w:r>
    </w:p>
    <w:p w:rsidR="003161A9" w:rsidRDefault="003161A9" w:rsidP="004725D2">
      <w:pPr>
        <w:jc w:val="center"/>
        <w:rPr>
          <w:rFonts w:ascii="Arial" w:eastAsia="Calibri" w:hAnsi="Arial" w:cs="Arial"/>
          <w:b/>
          <w:color w:val="FF0000"/>
          <w:sz w:val="24"/>
          <w:szCs w:val="24"/>
          <w:u w:val="single"/>
        </w:rPr>
      </w:pPr>
    </w:p>
    <w:sectPr w:rsidR="003161A9">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1826" w:rsidRDefault="00D91826" w:rsidP="00130D9B">
      <w:pPr>
        <w:spacing w:after="0" w:line="240" w:lineRule="auto"/>
      </w:pPr>
      <w:r>
        <w:separator/>
      </w:r>
    </w:p>
  </w:endnote>
  <w:endnote w:type="continuationSeparator" w:id="0">
    <w:p w:rsidR="00D91826" w:rsidRDefault="00D91826" w:rsidP="00130D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7975364"/>
      <w:docPartObj>
        <w:docPartGallery w:val="Page Numbers (Bottom of Page)"/>
        <w:docPartUnique/>
      </w:docPartObj>
    </w:sdtPr>
    <w:sdtEndPr>
      <w:rPr>
        <w:noProof/>
      </w:rPr>
    </w:sdtEndPr>
    <w:sdtContent>
      <w:p w:rsidR="009F2FDB" w:rsidRDefault="009F2FDB">
        <w:pPr>
          <w:pStyle w:val="Footer"/>
          <w:jc w:val="right"/>
        </w:pPr>
        <w:r>
          <w:fldChar w:fldCharType="begin"/>
        </w:r>
        <w:r>
          <w:instrText xml:space="preserve"> PAGE   \* MERGEFORMAT </w:instrText>
        </w:r>
        <w:r>
          <w:fldChar w:fldCharType="separate"/>
        </w:r>
        <w:r w:rsidR="00E87556">
          <w:rPr>
            <w:noProof/>
          </w:rPr>
          <w:t>6</w:t>
        </w:r>
        <w:r>
          <w:rPr>
            <w:noProof/>
          </w:rPr>
          <w:fldChar w:fldCharType="end"/>
        </w:r>
      </w:p>
    </w:sdtContent>
  </w:sdt>
  <w:p w:rsidR="009F2FDB" w:rsidRDefault="009F2F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1826" w:rsidRDefault="00D91826" w:rsidP="00130D9B">
      <w:pPr>
        <w:spacing w:after="0" w:line="240" w:lineRule="auto"/>
      </w:pPr>
      <w:r>
        <w:separator/>
      </w:r>
    </w:p>
  </w:footnote>
  <w:footnote w:type="continuationSeparator" w:id="0">
    <w:p w:rsidR="00D91826" w:rsidRDefault="00D91826" w:rsidP="00130D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2FDB" w:rsidRPr="00130D9B" w:rsidRDefault="009F2FDB" w:rsidP="00130D9B">
    <w:pPr>
      <w:pStyle w:val="Header"/>
      <w:jc w:val="right"/>
      <w:rPr>
        <w:rFonts w:ascii="Arial" w:hAnsi="Arial" w:cs="Arial"/>
        <w:sz w:val="28"/>
        <w:szCs w:val="28"/>
      </w:rPr>
    </w:pPr>
    <w:r w:rsidRPr="00130D9B">
      <w:rPr>
        <w:rFonts w:ascii="Arial" w:hAnsi="Arial" w:cs="Arial"/>
        <w:sz w:val="28"/>
        <w:szCs w:val="28"/>
      </w:rPr>
      <w:t xml:space="preserve">ITEM </w:t>
    </w:r>
    <w:r>
      <w:rPr>
        <w:rFonts w:ascii="Arial" w:hAnsi="Arial" w:cs="Arial"/>
        <w:sz w:val="28"/>
        <w:szCs w:val="28"/>
      </w:rPr>
      <w:t>5</w:t>
    </w:r>
    <w:r w:rsidRPr="00130D9B">
      <w:rPr>
        <w:rFonts w:ascii="Arial" w:hAnsi="Arial" w:cs="Arial"/>
        <w:sz w:val="28"/>
        <w:szCs w:val="28"/>
      </w:rPr>
      <w:t>/1</w:t>
    </w:r>
    <w:r>
      <w:rPr>
        <w:rFonts w:ascii="Arial" w:hAnsi="Arial" w:cs="Arial"/>
        <w:sz w:val="28"/>
        <w:szCs w:val="28"/>
      </w:rPr>
      <w:t>9</w:t>
    </w:r>
  </w:p>
  <w:p w:rsidR="009F2FDB" w:rsidRDefault="009F2F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B2B04"/>
    <w:multiLevelType w:val="hybridMultilevel"/>
    <w:tmpl w:val="5C58F6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0590051"/>
    <w:multiLevelType w:val="hybridMultilevel"/>
    <w:tmpl w:val="8BD8772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F6C5761"/>
    <w:multiLevelType w:val="hybridMultilevel"/>
    <w:tmpl w:val="E57ED0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2E63DCA"/>
    <w:multiLevelType w:val="hybridMultilevel"/>
    <w:tmpl w:val="745C80B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AA84F3C"/>
    <w:multiLevelType w:val="hybridMultilevel"/>
    <w:tmpl w:val="5C58F6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DC41F1E"/>
    <w:multiLevelType w:val="hybridMultilevel"/>
    <w:tmpl w:val="D6A4F6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7D570D"/>
    <w:multiLevelType w:val="hybridMultilevel"/>
    <w:tmpl w:val="628E7FD4"/>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7" w15:restartNumberingAfterBreak="0">
    <w:nsid w:val="1ED74EE3"/>
    <w:multiLevelType w:val="hybridMultilevel"/>
    <w:tmpl w:val="5C58F6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F117D08"/>
    <w:multiLevelType w:val="hybridMultilevel"/>
    <w:tmpl w:val="E3EEAF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81E49B6"/>
    <w:multiLevelType w:val="hybridMultilevel"/>
    <w:tmpl w:val="1A687D3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2D56030B"/>
    <w:multiLevelType w:val="hybridMultilevel"/>
    <w:tmpl w:val="49AA69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7F024CD"/>
    <w:multiLevelType w:val="hybridMultilevel"/>
    <w:tmpl w:val="4E8A7E50"/>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3E7541EF"/>
    <w:multiLevelType w:val="hybridMultilevel"/>
    <w:tmpl w:val="D24A1C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26C7E73"/>
    <w:multiLevelType w:val="hybridMultilevel"/>
    <w:tmpl w:val="BAACF9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9BA2825"/>
    <w:multiLevelType w:val="hybridMultilevel"/>
    <w:tmpl w:val="BFFA8F4E"/>
    <w:lvl w:ilvl="0" w:tplc="0809000F">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15" w15:restartNumberingAfterBreak="0">
    <w:nsid w:val="4D23720E"/>
    <w:multiLevelType w:val="hybridMultilevel"/>
    <w:tmpl w:val="8E68D8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4503AB8"/>
    <w:multiLevelType w:val="multilevel"/>
    <w:tmpl w:val="AC72226C"/>
    <w:styleLink w:val="LFO12"/>
    <w:lvl w:ilvl="0">
      <w:numFmt w:val="bullet"/>
      <w:pStyle w:val="DfES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7" w15:restartNumberingAfterBreak="0">
    <w:nsid w:val="5DD630E0"/>
    <w:multiLevelType w:val="hybridMultilevel"/>
    <w:tmpl w:val="7FA8F694"/>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18" w15:restartNumberingAfterBreak="0">
    <w:nsid w:val="67306510"/>
    <w:multiLevelType w:val="hybridMultilevel"/>
    <w:tmpl w:val="66FC72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788A1F01"/>
    <w:multiLevelType w:val="hybridMultilevel"/>
    <w:tmpl w:val="1AFC7CA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7A2D7231"/>
    <w:multiLevelType w:val="hybridMultilevel"/>
    <w:tmpl w:val="56BE4E0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AF440C6"/>
    <w:multiLevelType w:val="hybridMultilevel"/>
    <w:tmpl w:val="79623EC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7DE9377B"/>
    <w:multiLevelType w:val="hybridMultilevel"/>
    <w:tmpl w:val="660425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22"/>
  </w:num>
  <w:num w:numId="3">
    <w:abstractNumId w:val="1"/>
  </w:num>
  <w:num w:numId="4">
    <w:abstractNumId w:val="18"/>
  </w:num>
  <w:num w:numId="5">
    <w:abstractNumId w:val="7"/>
  </w:num>
  <w:num w:numId="6">
    <w:abstractNumId w:val="5"/>
  </w:num>
  <w:num w:numId="7">
    <w:abstractNumId w:val="12"/>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0"/>
  </w:num>
  <w:num w:numId="11">
    <w:abstractNumId w:val="4"/>
  </w:num>
  <w:num w:numId="12">
    <w:abstractNumId w:val="14"/>
  </w:num>
  <w:num w:numId="13">
    <w:abstractNumId w:val="21"/>
  </w:num>
  <w:num w:numId="14">
    <w:abstractNumId w:val="13"/>
  </w:num>
  <w:num w:numId="15">
    <w:abstractNumId w:val="9"/>
  </w:num>
  <w:num w:numId="16">
    <w:abstractNumId w:val="17"/>
  </w:num>
  <w:num w:numId="17">
    <w:abstractNumId w:val="20"/>
  </w:num>
  <w:num w:numId="18">
    <w:abstractNumId w:val="19"/>
  </w:num>
  <w:num w:numId="19">
    <w:abstractNumId w:val="11"/>
  </w:num>
  <w:num w:numId="20">
    <w:abstractNumId w:val="3"/>
  </w:num>
  <w:num w:numId="21">
    <w:abstractNumId w:val="5"/>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num>
  <w:num w:numId="24">
    <w:abstractNumId w:val="15"/>
  </w:num>
  <w:num w:numId="25">
    <w:abstractNumId w:val="16"/>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FD6"/>
    <w:rsid w:val="0006751D"/>
    <w:rsid w:val="0007310A"/>
    <w:rsid w:val="00090DAB"/>
    <w:rsid w:val="000A5702"/>
    <w:rsid w:val="000A66EC"/>
    <w:rsid w:val="000E0E0D"/>
    <w:rsid w:val="000E54EA"/>
    <w:rsid w:val="00105C1F"/>
    <w:rsid w:val="00111560"/>
    <w:rsid w:val="00130D9B"/>
    <w:rsid w:val="00194755"/>
    <w:rsid w:val="001B3A21"/>
    <w:rsid w:val="001B73F1"/>
    <w:rsid w:val="001B78FA"/>
    <w:rsid w:val="001C3F02"/>
    <w:rsid w:val="001D2DE6"/>
    <w:rsid w:val="0021361C"/>
    <w:rsid w:val="0022137D"/>
    <w:rsid w:val="002354DC"/>
    <w:rsid w:val="00250770"/>
    <w:rsid w:val="0025381F"/>
    <w:rsid w:val="00265521"/>
    <w:rsid w:val="00277504"/>
    <w:rsid w:val="00286E36"/>
    <w:rsid w:val="00291D67"/>
    <w:rsid w:val="002A63CF"/>
    <w:rsid w:val="002D7EEE"/>
    <w:rsid w:val="002E28CD"/>
    <w:rsid w:val="002E6793"/>
    <w:rsid w:val="002F0940"/>
    <w:rsid w:val="003161A9"/>
    <w:rsid w:val="00317FFA"/>
    <w:rsid w:val="0035369F"/>
    <w:rsid w:val="00356883"/>
    <w:rsid w:val="0036156F"/>
    <w:rsid w:val="00365661"/>
    <w:rsid w:val="00386BBE"/>
    <w:rsid w:val="003A691D"/>
    <w:rsid w:val="003C1334"/>
    <w:rsid w:val="003D4612"/>
    <w:rsid w:val="003F61B3"/>
    <w:rsid w:val="00401BE4"/>
    <w:rsid w:val="00407BF3"/>
    <w:rsid w:val="004215E9"/>
    <w:rsid w:val="00446FA3"/>
    <w:rsid w:val="004506DF"/>
    <w:rsid w:val="004575A4"/>
    <w:rsid w:val="00471C15"/>
    <w:rsid w:val="004725D2"/>
    <w:rsid w:val="00475C64"/>
    <w:rsid w:val="004866F2"/>
    <w:rsid w:val="00495B3C"/>
    <w:rsid w:val="004A2ABA"/>
    <w:rsid w:val="004B27A0"/>
    <w:rsid w:val="004C497B"/>
    <w:rsid w:val="004D1DE2"/>
    <w:rsid w:val="004D3A7A"/>
    <w:rsid w:val="004D4DEA"/>
    <w:rsid w:val="004F0E4D"/>
    <w:rsid w:val="00505CBD"/>
    <w:rsid w:val="0052285B"/>
    <w:rsid w:val="00523C4F"/>
    <w:rsid w:val="005262B1"/>
    <w:rsid w:val="00537222"/>
    <w:rsid w:val="00537305"/>
    <w:rsid w:val="00537F63"/>
    <w:rsid w:val="00540D0F"/>
    <w:rsid w:val="00553FD6"/>
    <w:rsid w:val="00556634"/>
    <w:rsid w:val="00566679"/>
    <w:rsid w:val="00573437"/>
    <w:rsid w:val="005738B4"/>
    <w:rsid w:val="005800E7"/>
    <w:rsid w:val="005B56B4"/>
    <w:rsid w:val="005C16A9"/>
    <w:rsid w:val="005D4717"/>
    <w:rsid w:val="005E2A73"/>
    <w:rsid w:val="005F4A4B"/>
    <w:rsid w:val="00617055"/>
    <w:rsid w:val="00631C25"/>
    <w:rsid w:val="0063240D"/>
    <w:rsid w:val="006459EE"/>
    <w:rsid w:val="00647A63"/>
    <w:rsid w:val="0066080F"/>
    <w:rsid w:val="006617F9"/>
    <w:rsid w:val="006620FC"/>
    <w:rsid w:val="0066653A"/>
    <w:rsid w:val="0067098B"/>
    <w:rsid w:val="00671B02"/>
    <w:rsid w:val="00681345"/>
    <w:rsid w:val="00683ECB"/>
    <w:rsid w:val="00687EA9"/>
    <w:rsid w:val="006B0A22"/>
    <w:rsid w:val="006C03EB"/>
    <w:rsid w:val="006C2A51"/>
    <w:rsid w:val="006D4E0E"/>
    <w:rsid w:val="006E0F48"/>
    <w:rsid w:val="006E7FCE"/>
    <w:rsid w:val="006F64D9"/>
    <w:rsid w:val="007068C5"/>
    <w:rsid w:val="00712D69"/>
    <w:rsid w:val="007239E3"/>
    <w:rsid w:val="007266FF"/>
    <w:rsid w:val="00774C18"/>
    <w:rsid w:val="007E79E5"/>
    <w:rsid w:val="00817E85"/>
    <w:rsid w:val="00825C7D"/>
    <w:rsid w:val="00857826"/>
    <w:rsid w:val="00881587"/>
    <w:rsid w:val="008823D4"/>
    <w:rsid w:val="008A6243"/>
    <w:rsid w:val="008A7D8F"/>
    <w:rsid w:val="008B36CC"/>
    <w:rsid w:val="008C2B4B"/>
    <w:rsid w:val="008C345F"/>
    <w:rsid w:val="008E6976"/>
    <w:rsid w:val="008F3BC3"/>
    <w:rsid w:val="008F6074"/>
    <w:rsid w:val="0090261F"/>
    <w:rsid w:val="00923724"/>
    <w:rsid w:val="00925909"/>
    <w:rsid w:val="00941435"/>
    <w:rsid w:val="00944984"/>
    <w:rsid w:val="0095760D"/>
    <w:rsid w:val="0097055B"/>
    <w:rsid w:val="009A1010"/>
    <w:rsid w:val="009A2F70"/>
    <w:rsid w:val="009A789D"/>
    <w:rsid w:val="009B33BF"/>
    <w:rsid w:val="009C3DEB"/>
    <w:rsid w:val="009C79FA"/>
    <w:rsid w:val="009D2AFF"/>
    <w:rsid w:val="009E3B60"/>
    <w:rsid w:val="009F2FDB"/>
    <w:rsid w:val="00A00E8B"/>
    <w:rsid w:val="00A3342E"/>
    <w:rsid w:val="00A5617B"/>
    <w:rsid w:val="00A73E70"/>
    <w:rsid w:val="00AA56C4"/>
    <w:rsid w:val="00AB6DDE"/>
    <w:rsid w:val="00AB6EEA"/>
    <w:rsid w:val="00AC7FBC"/>
    <w:rsid w:val="00AD02BA"/>
    <w:rsid w:val="00AD666D"/>
    <w:rsid w:val="00AE33F2"/>
    <w:rsid w:val="00AF11FE"/>
    <w:rsid w:val="00AF13AD"/>
    <w:rsid w:val="00AF27C0"/>
    <w:rsid w:val="00B11CD4"/>
    <w:rsid w:val="00B13207"/>
    <w:rsid w:val="00B32498"/>
    <w:rsid w:val="00B47A5C"/>
    <w:rsid w:val="00B64246"/>
    <w:rsid w:val="00B75C85"/>
    <w:rsid w:val="00BA1575"/>
    <w:rsid w:val="00BB6B9D"/>
    <w:rsid w:val="00BD0DFE"/>
    <w:rsid w:val="00BD7CE6"/>
    <w:rsid w:val="00C10A1B"/>
    <w:rsid w:val="00C67339"/>
    <w:rsid w:val="00C83DC0"/>
    <w:rsid w:val="00C858F0"/>
    <w:rsid w:val="00C94417"/>
    <w:rsid w:val="00C9543B"/>
    <w:rsid w:val="00CD594C"/>
    <w:rsid w:val="00D101F8"/>
    <w:rsid w:val="00D15735"/>
    <w:rsid w:val="00D20BF2"/>
    <w:rsid w:val="00D21B61"/>
    <w:rsid w:val="00D318AB"/>
    <w:rsid w:val="00D413BB"/>
    <w:rsid w:val="00D43082"/>
    <w:rsid w:val="00D56345"/>
    <w:rsid w:val="00D75146"/>
    <w:rsid w:val="00D776ED"/>
    <w:rsid w:val="00D81667"/>
    <w:rsid w:val="00D91826"/>
    <w:rsid w:val="00D91958"/>
    <w:rsid w:val="00D96BFF"/>
    <w:rsid w:val="00DA16A3"/>
    <w:rsid w:val="00DA44D3"/>
    <w:rsid w:val="00DA5C4D"/>
    <w:rsid w:val="00DA6F99"/>
    <w:rsid w:val="00DA79DF"/>
    <w:rsid w:val="00DB7F45"/>
    <w:rsid w:val="00DE47B3"/>
    <w:rsid w:val="00E15192"/>
    <w:rsid w:val="00E511F3"/>
    <w:rsid w:val="00E87556"/>
    <w:rsid w:val="00E8796A"/>
    <w:rsid w:val="00E91A76"/>
    <w:rsid w:val="00E9294D"/>
    <w:rsid w:val="00E94D9F"/>
    <w:rsid w:val="00E97F3A"/>
    <w:rsid w:val="00EA04A4"/>
    <w:rsid w:val="00EA4515"/>
    <w:rsid w:val="00EB2A03"/>
    <w:rsid w:val="00EB6CE7"/>
    <w:rsid w:val="00ED019A"/>
    <w:rsid w:val="00ED6BD0"/>
    <w:rsid w:val="00EF1E43"/>
    <w:rsid w:val="00F102D8"/>
    <w:rsid w:val="00F13C7D"/>
    <w:rsid w:val="00F16BA0"/>
    <w:rsid w:val="00F35238"/>
    <w:rsid w:val="00F4047A"/>
    <w:rsid w:val="00F42917"/>
    <w:rsid w:val="00F507A5"/>
    <w:rsid w:val="00F5577E"/>
    <w:rsid w:val="00F648AD"/>
    <w:rsid w:val="00F65246"/>
    <w:rsid w:val="00F66F26"/>
    <w:rsid w:val="00F96AFF"/>
    <w:rsid w:val="00FD2A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3A7B1"/>
  <w15:docId w15:val="{C6024BEA-3BF8-44D5-82BF-4E02B10FD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3FD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3FD6"/>
    <w:pPr>
      <w:ind w:left="720"/>
      <w:contextualSpacing/>
    </w:pPr>
  </w:style>
  <w:style w:type="table" w:styleId="TableGrid">
    <w:name w:val="Table Grid"/>
    <w:basedOn w:val="TableNormal"/>
    <w:uiPriority w:val="59"/>
    <w:rsid w:val="00523C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25C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5C7D"/>
    <w:rPr>
      <w:rFonts w:ascii="Tahoma" w:hAnsi="Tahoma" w:cs="Tahoma"/>
      <w:sz w:val="16"/>
      <w:szCs w:val="16"/>
    </w:rPr>
  </w:style>
  <w:style w:type="character" w:styleId="Hyperlink">
    <w:name w:val="Hyperlink"/>
    <w:basedOn w:val="DefaultParagraphFont"/>
    <w:unhideWhenUsed/>
    <w:rsid w:val="00A3342E"/>
    <w:rPr>
      <w:color w:val="0000FF"/>
      <w:u w:val="single"/>
    </w:rPr>
  </w:style>
  <w:style w:type="paragraph" w:customStyle="1" w:styleId="DfESBullets">
    <w:name w:val="DfESBullets"/>
    <w:basedOn w:val="Normal"/>
    <w:rsid w:val="00AF13AD"/>
    <w:pPr>
      <w:widowControl w:val="0"/>
      <w:numPr>
        <w:numId w:val="25"/>
      </w:numPr>
      <w:suppressAutoHyphens/>
      <w:overflowPunct w:val="0"/>
      <w:autoSpaceDE w:val="0"/>
      <w:autoSpaceDN w:val="0"/>
      <w:spacing w:after="240" w:line="240" w:lineRule="auto"/>
      <w:textAlignment w:val="baseline"/>
    </w:pPr>
    <w:rPr>
      <w:rFonts w:ascii="Arial" w:eastAsia="Times New Roman" w:hAnsi="Arial" w:cs="Times New Roman"/>
      <w:sz w:val="24"/>
      <w:szCs w:val="20"/>
    </w:rPr>
  </w:style>
  <w:style w:type="numbering" w:customStyle="1" w:styleId="LFO12">
    <w:name w:val="LFO12"/>
    <w:basedOn w:val="NoList"/>
    <w:rsid w:val="00AF13AD"/>
    <w:pPr>
      <w:numPr>
        <w:numId w:val="25"/>
      </w:numPr>
    </w:pPr>
  </w:style>
  <w:style w:type="paragraph" w:styleId="Header">
    <w:name w:val="header"/>
    <w:basedOn w:val="Normal"/>
    <w:link w:val="HeaderChar"/>
    <w:uiPriority w:val="99"/>
    <w:unhideWhenUsed/>
    <w:rsid w:val="00130D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0D9B"/>
  </w:style>
  <w:style w:type="paragraph" w:styleId="Footer">
    <w:name w:val="footer"/>
    <w:basedOn w:val="Normal"/>
    <w:link w:val="FooterChar"/>
    <w:uiPriority w:val="99"/>
    <w:unhideWhenUsed/>
    <w:rsid w:val="00130D9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0D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272432">
      <w:bodyDiv w:val="1"/>
      <w:marLeft w:val="0"/>
      <w:marRight w:val="0"/>
      <w:marTop w:val="0"/>
      <w:marBottom w:val="0"/>
      <w:divBdr>
        <w:top w:val="none" w:sz="0" w:space="0" w:color="auto"/>
        <w:left w:val="none" w:sz="0" w:space="0" w:color="auto"/>
        <w:bottom w:val="none" w:sz="0" w:space="0" w:color="auto"/>
        <w:right w:val="none" w:sz="0" w:space="0" w:color="auto"/>
      </w:divBdr>
    </w:div>
    <w:div w:id="283392791">
      <w:bodyDiv w:val="1"/>
      <w:marLeft w:val="0"/>
      <w:marRight w:val="0"/>
      <w:marTop w:val="0"/>
      <w:marBottom w:val="0"/>
      <w:divBdr>
        <w:top w:val="none" w:sz="0" w:space="0" w:color="auto"/>
        <w:left w:val="none" w:sz="0" w:space="0" w:color="auto"/>
        <w:bottom w:val="none" w:sz="0" w:space="0" w:color="auto"/>
        <w:right w:val="none" w:sz="0" w:space="0" w:color="auto"/>
      </w:divBdr>
    </w:div>
    <w:div w:id="600993700">
      <w:bodyDiv w:val="1"/>
      <w:marLeft w:val="0"/>
      <w:marRight w:val="0"/>
      <w:marTop w:val="0"/>
      <w:marBottom w:val="0"/>
      <w:divBdr>
        <w:top w:val="none" w:sz="0" w:space="0" w:color="auto"/>
        <w:left w:val="none" w:sz="0" w:space="0" w:color="auto"/>
        <w:bottom w:val="none" w:sz="0" w:space="0" w:color="auto"/>
        <w:right w:val="none" w:sz="0" w:space="0" w:color="auto"/>
      </w:divBdr>
    </w:div>
    <w:div w:id="991255360">
      <w:bodyDiv w:val="1"/>
      <w:marLeft w:val="0"/>
      <w:marRight w:val="0"/>
      <w:marTop w:val="0"/>
      <w:marBottom w:val="0"/>
      <w:divBdr>
        <w:top w:val="none" w:sz="0" w:space="0" w:color="auto"/>
        <w:left w:val="none" w:sz="0" w:space="0" w:color="auto"/>
        <w:bottom w:val="none" w:sz="0" w:space="0" w:color="auto"/>
        <w:right w:val="none" w:sz="0" w:space="0" w:color="auto"/>
      </w:divBdr>
    </w:div>
    <w:div w:id="1139107735">
      <w:bodyDiv w:val="1"/>
      <w:marLeft w:val="0"/>
      <w:marRight w:val="0"/>
      <w:marTop w:val="0"/>
      <w:marBottom w:val="0"/>
      <w:divBdr>
        <w:top w:val="none" w:sz="0" w:space="0" w:color="auto"/>
        <w:left w:val="none" w:sz="0" w:space="0" w:color="auto"/>
        <w:bottom w:val="none" w:sz="0" w:space="0" w:color="auto"/>
        <w:right w:val="none" w:sz="0" w:space="0" w:color="auto"/>
      </w:divBdr>
    </w:div>
    <w:div w:id="1256136643">
      <w:bodyDiv w:val="1"/>
      <w:marLeft w:val="0"/>
      <w:marRight w:val="0"/>
      <w:marTop w:val="0"/>
      <w:marBottom w:val="0"/>
      <w:divBdr>
        <w:top w:val="none" w:sz="0" w:space="0" w:color="auto"/>
        <w:left w:val="none" w:sz="0" w:space="0" w:color="auto"/>
        <w:bottom w:val="none" w:sz="0" w:space="0" w:color="auto"/>
        <w:right w:val="none" w:sz="0" w:space="0" w:color="auto"/>
      </w:divBdr>
    </w:div>
    <w:div w:id="1413309754">
      <w:bodyDiv w:val="1"/>
      <w:marLeft w:val="0"/>
      <w:marRight w:val="0"/>
      <w:marTop w:val="0"/>
      <w:marBottom w:val="0"/>
      <w:divBdr>
        <w:top w:val="none" w:sz="0" w:space="0" w:color="auto"/>
        <w:left w:val="none" w:sz="0" w:space="0" w:color="auto"/>
        <w:bottom w:val="none" w:sz="0" w:space="0" w:color="auto"/>
        <w:right w:val="none" w:sz="0" w:space="0" w:color="auto"/>
      </w:divBdr>
    </w:div>
    <w:div w:id="1555309907">
      <w:bodyDiv w:val="1"/>
      <w:marLeft w:val="0"/>
      <w:marRight w:val="0"/>
      <w:marTop w:val="0"/>
      <w:marBottom w:val="0"/>
      <w:divBdr>
        <w:top w:val="none" w:sz="0" w:space="0" w:color="auto"/>
        <w:left w:val="none" w:sz="0" w:space="0" w:color="auto"/>
        <w:bottom w:val="none" w:sz="0" w:space="0" w:color="auto"/>
        <w:right w:val="none" w:sz="0" w:space="0" w:color="auto"/>
      </w:divBdr>
    </w:div>
    <w:div w:id="2011640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6841FF-5569-4DCF-A2BA-A67B76FE2B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1480</Words>
  <Characters>8440</Characters>
  <Application>Microsoft Office Word</Application>
  <DocSecurity>4</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North East Lincolnshire Council</Company>
  <LinksUpToDate>false</LinksUpToDate>
  <CharactersWithSpaces>9901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Kirven, Dave</dc:creator>
  <cp:lastModifiedBy>Dave Kirven (NLBC)</cp:lastModifiedBy>
  <cp:revision>2</cp:revision>
  <cp:lastPrinted>2018-03-06T16:24:00Z</cp:lastPrinted>
  <dcterms:created xsi:type="dcterms:W3CDTF">2019-03-13T10:49:00Z</dcterms:created>
  <dcterms:modified xsi:type="dcterms:W3CDTF">2019-03-13T10:49:00Z</dcterms:modified>
</cp:coreProperties>
</file>