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0B7" w:rsidRPr="007056BF" w:rsidRDefault="008120B7" w:rsidP="008120B7">
      <w:pPr>
        <w:jc w:val="center"/>
        <w:rPr>
          <w:rFonts w:ascii="Arial" w:hAnsi="Arial" w:cs="Arial"/>
          <w:b/>
          <w:sz w:val="24"/>
          <w:szCs w:val="24"/>
          <w:u w:val="single"/>
        </w:rPr>
      </w:pPr>
      <w:r w:rsidRPr="007056BF">
        <w:rPr>
          <w:rFonts w:ascii="Arial" w:hAnsi="Arial" w:cs="Arial"/>
          <w:b/>
          <w:sz w:val="24"/>
          <w:szCs w:val="24"/>
          <w:u w:val="single"/>
        </w:rPr>
        <w:t xml:space="preserve">SCHOOLS FORUM MEETING – </w:t>
      </w:r>
      <w:r w:rsidR="00CE786F" w:rsidRPr="007056BF">
        <w:rPr>
          <w:rFonts w:ascii="Arial" w:hAnsi="Arial" w:cs="Arial"/>
          <w:b/>
          <w:sz w:val="24"/>
          <w:szCs w:val="24"/>
          <w:u w:val="single"/>
        </w:rPr>
        <w:t>21</w:t>
      </w:r>
      <w:r w:rsidR="00CE786F" w:rsidRPr="007056BF">
        <w:rPr>
          <w:rFonts w:ascii="Arial" w:hAnsi="Arial" w:cs="Arial"/>
          <w:b/>
          <w:sz w:val="24"/>
          <w:szCs w:val="24"/>
          <w:u w:val="single"/>
          <w:vertAlign w:val="superscript"/>
        </w:rPr>
        <w:t>ST</w:t>
      </w:r>
      <w:r w:rsidR="00CE786F" w:rsidRPr="007056BF">
        <w:rPr>
          <w:rFonts w:ascii="Arial" w:hAnsi="Arial" w:cs="Arial"/>
          <w:b/>
          <w:sz w:val="24"/>
          <w:szCs w:val="24"/>
          <w:u w:val="single"/>
        </w:rPr>
        <w:t xml:space="preserve"> SEPTEMBER</w:t>
      </w:r>
      <w:r w:rsidR="001D39C4" w:rsidRPr="007056BF">
        <w:rPr>
          <w:rFonts w:ascii="Arial" w:hAnsi="Arial" w:cs="Arial"/>
          <w:b/>
          <w:sz w:val="24"/>
          <w:szCs w:val="24"/>
          <w:u w:val="single"/>
        </w:rPr>
        <w:t xml:space="preserve"> 201</w:t>
      </w:r>
      <w:r w:rsidR="00CE786F" w:rsidRPr="007056BF">
        <w:rPr>
          <w:rFonts w:ascii="Arial" w:hAnsi="Arial" w:cs="Arial"/>
          <w:b/>
          <w:sz w:val="24"/>
          <w:szCs w:val="24"/>
          <w:u w:val="single"/>
        </w:rPr>
        <w:t>7</w:t>
      </w:r>
    </w:p>
    <w:p w:rsidR="008120B7" w:rsidRPr="007056BF" w:rsidRDefault="008120B7" w:rsidP="008120B7">
      <w:pPr>
        <w:jc w:val="center"/>
        <w:rPr>
          <w:rFonts w:ascii="Arial" w:hAnsi="Arial" w:cs="Arial"/>
          <w:b/>
          <w:sz w:val="24"/>
          <w:szCs w:val="24"/>
          <w:u w:val="single"/>
        </w:rPr>
      </w:pPr>
      <w:r w:rsidRPr="007056BF">
        <w:rPr>
          <w:rFonts w:ascii="Arial" w:hAnsi="Arial" w:cs="Arial"/>
          <w:b/>
          <w:sz w:val="24"/>
          <w:szCs w:val="24"/>
          <w:u w:val="single"/>
        </w:rPr>
        <w:t>201</w:t>
      </w:r>
      <w:r w:rsidR="00CE786F" w:rsidRPr="007056BF">
        <w:rPr>
          <w:rFonts w:ascii="Arial" w:hAnsi="Arial" w:cs="Arial"/>
          <w:b/>
          <w:sz w:val="24"/>
          <w:szCs w:val="24"/>
          <w:u w:val="single"/>
        </w:rPr>
        <w:t>6</w:t>
      </w:r>
      <w:r w:rsidRPr="007056BF">
        <w:rPr>
          <w:rFonts w:ascii="Arial" w:hAnsi="Arial" w:cs="Arial"/>
          <w:b/>
          <w:sz w:val="24"/>
          <w:szCs w:val="24"/>
          <w:u w:val="single"/>
        </w:rPr>
        <w:t>-1</w:t>
      </w:r>
      <w:r w:rsidR="00CE786F" w:rsidRPr="007056BF">
        <w:rPr>
          <w:rFonts w:ascii="Arial" w:hAnsi="Arial" w:cs="Arial"/>
          <w:b/>
          <w:sz w:val="24"/>
          <w:szCs w:val="24"/>
          <w:u w:val="single"/>
        </w:rPr>
        <w:t>7</w:t>
      </w:r>
      <w:r w:rsidRPr="007056BF">
        <w:rPr>
          <w:rFonts w:ascii="Arial" w:hAnsi="Arial" w:cs="Arial"/>
          <w:b/>
          <w:sz w:val="24"/>
          <w:szCs w:val="24"/>
          <w:u w:val="single"/>
        </w:rPr>
        <w:t xml:space="preserve"> Dedicated Schools Grant (DSG) Outturn position and Contingency Balance</w:t>
      </w:r>
    </w:p>
    <w:p w:rsidR="008120B7" w:rsidRPr="007056BF" w:rsidRDefault="008120B7" w:rsidP="008120B7">
      <w:pPr>
        <w:rPr>
          <w:rFonts w:ascii="Arial" w:hAnsi="Arial" w:cs="Arial"/>
          <w:b/>
          <w:sz w:val="24"/>
          <w:szCs w:val="24"/>
          <w:u w:val="single"/>
        </w:rPr>
      </w:pPr>
      <w:r w:rsidRPr="007056BF">
        <w:rPr>
          <w:rFonts w:ascii="Arial" w:hAnsi="Arial" w:cs="Arial"/>
          <w:b/>
          <w:sz w:val="24"/>
          <w:szCs w:val="24"/>
          <w:u w:val="single"/>
        </w:rPr>
        <w:t>Introduction</w:t>
      </w:r>
    </w:p>
    <w:p w:rsidR="008120B7" w:rsidRPr="007056BF" w:rsidRDefault="008120B7" w:rsidP="008120B7">
      <w:pPr>
        <w:rPr>
          <w:rFonts w:ascii="Arial" w:hAnsi="Arial" w:cs="Arial"/>
          <w:sz w:val="24"/>
          <w:szCs w:val="24"/>
        </w:rPr>
      </w:pPr>
      <w:r w:rsidRPr="007056BF">
        <w:rPr>
          <w:rFonts w:ascii="Arial" w:hAnsi="Arial" w:cs="Arial"/>
          <w:sz w:val="24"/>
          <w:szCs w:val="24"/>
        </w:rPr>
        <w:t>The purpose of this report is to advise School Forum members on the 201</w:t>
      </w:r>
      <w:r w:rsidR="00CE786F" w:rsidRPr="007056BF">
        <w:rPr>
          <w:rFonts w:ascii="Arial" w:hAnsi="Arial" w:cs="Arial"/>
          <w:sz w:val="24"/>
          <w:szCs w:val="24"/>
        </w:rPr>
        <w:t>6</w:t>
      </w:r>
      <w:r w:rsidRPr="007056BF">
        <w:rPr>
          <w:rFonts w:ascii="Arial" w:hAnsi="Arial" w:cs="Arial"/>
          <w:sz w:val="24"/>
          <w:szCs w:val="24"/>
        </w:rPr>
        <w:t>-1</w:t>
      </w:r>
      <w:r w:rsidR="00CE786F" w:rsidRPr="007056BF">
        <w:rPr>
          <w:rFonts w:ascii="Arial" w:hAnsi="Arial" w:cs="Arial"/>
          <w:sz w:val="24"/>
          <w:szCs w:val="24"/>
        </w:rPr>
        <w:t>7</w:t>
      </w:r>
      <w:r w:rsidRPr="007056BF">
        <w:rPr>
          <w:rFonts w:ascii="Arial" w:hAnsi="Arial" w:cs="Arial"/>
          <w:sz w:val="24"/>
          <w:szCs w:val="24"/>
        </w:rPr>
        <w:t xml:space="preserve"> DSG outturn position and overall contingency balance.</w:t>
      </w:r>
    </w:p>
    <w:p w:rsidR="008120B7" w:rsidRPr="007056BF" w:rsidRDefault="008120B7" w:rsidP="008120B7">
      <w:pPr>
        <w:rPr>
          <w:rFonts w:ascii="Arial" w:hAnsi="Arial" w:cs="Arial"/>
          <w:b/>
          <w:sz w:val="24"/>
          <w:szCs w:val="24"/>
          <w:u w:val="single"/>
        </w:rPr>
      </w:pPr>
      <w:r w:rsidRPr="007056BF">
        <w:rPr>
          <w:rFonts w:ascii="Arial" w:hAnsi="Arial" w:cs="Arial"/>
          <w:b/>
          <w:sz w:val="24"/>
          <w:szCs w:val="24"/>
          <w:u w:val="single"/>
        </w:rPr>
        <w:t>Background - DSG 201</w:t>
      </w:r>
      <w:r w:rsidR="00CE786F" w:rsidRPr="007056BF">
        <w:rPr>
          <w:rFonts w:ascii="Arial" w:hAnsi="Arial" w:cs="Arial"/>
          <w:b/>
          <w:sz w:val="24"/>
          <w:szCs w:val="24"/>
          <w:u w:val="single"/>
        </w:rPr>
        <w:t>6</w:t>
      </w:r>
      <w:r w:rsidRPr="007056BF">
        <w:rPr>
          <w:rFonts w:ascii="Arial" w:hAnsi="Arial" w:cs="Arial"/>
          <w:b/>
          <w:sz w:val="24"/>
          <w:szCs w:val="24"/>
          <w:u w:val="single"/>
        </w:rPr>
        <w:t>-1</w:t>
      </w:r>
      <w:r w:rsidR="00CE786F" w:rsidRPr="007056BF">
        <w:rPr>
          <w:rFonts w:ascii="Arial" w:hAnsi="Arial" w:cs="Arial"/>
          <w:b/>
          <w:sz w:val="24"/>
          <w:szCs w:val="24"/>
          <w:u w:val="single"/>
        </w:rPr>
        <w:t>7</w:t>
      </w:r>
      <w:r w:rsidRPr="007056BF">
        <w:rPr>
          <w:rFonts w:ascii="Arial" w:hAnsi="Arial" w:cs="Arial"/>
          <w:b/>
          <w:sz w:val="24"/>
          <w:szCs w:val="24"/>
          <w:u w:val="single"/>
        </w:rPr>
        <w:t xml:space="preserve"> Outturn position</w:t>
      </w:r>
    </w:p>
    <w:p w:rsidR="008120B7" w:rsidRPr="007056BF" w:rsidRDefault="008120B7" w:rsidP="008120B7">
      <w:pPr>
        <w:rPr>
          <w:rFonts w:ascii="Arial" w:hAnsi="Arial" w:cs="Arial"/>
          <w:sz w:val="24"/>
          <w:szCs w:val="24"/>
        </w:rPr>
      </w:pPr>
      <w:r w:rsidRPr="007056BF">
        <w:rPr>
          <w:rFonts w:ascii="Arial" w:hAnsi="Arial" w:cs="Arial"/>
          <w:sz w:val="24"/>
          <w:szCs w:val="24"/>
        </w:rPr>
        <w:t xml:space="preserve">As members are aware </w:t>
      </w:r>
      <w:r w:rsidR="009B4DED" w:rsidRPr="007056BF">
        <w:rPr>
          <w:rFonts w:ascii="Arial" w:hAnsi="Arial" w:cs="Arial"/>
          <w:sz w:val="24"/>
          <w:szCs w:val="24"/>
        </w:rPr>
        <w:t>f</w:t>
      </w:r>
      <w:r w:rsidRPr="007056BF">
        <w:rPr>
          <w:rFonts w:ascii="Arial" w:hAnsi="Arial" w:cs="Arial"/>
          <w:sz w:val="24"/>
          <w:szCs w:val="24"/>
        </w:rPr>
        <w:t>rom the beginning of the 2013-14 financial year the DSG is split into notional blocks which are:</w:t>
      </w:r>
    </w:p>
    <w:p w:rsidR="008120B7" w:rsidRPr="007056BF" w:rsidRDefault="008120B7" w:rsidP="008120B7">
      <w:pPr>
        <w:pStyle w:val="ListParagraph"/>
        <w:numPr>
          <w:ilvl w:val="0"/>
          <w:numId w:val="1"/>
        </w:numPr>
        <w:rPr>
          <w:rFonts w:ascii="Arial" w:hAnsi="Arial" w:cs="Arial"/>
          <w:sz w:val="24"/>
          <w:szCs w:val="24"/>
        </w:rPr>
      </w:pPr>
      <w:r w:rsidRPr="007056BF">
        <w:rPr>
          <w:rFonts w:ascii="Arial" w:hAnsi="Arial" w:cs="Arial"/>
          <w:sz w:val="24"/>
          <w:szCs w:val="24"/>
        </w:rPr>
        <w:t>Schools Block</w:t>
      </w:r>
    </w:p>
    <w:p w:rsidR="008120B7" w:rsidRPr="007056BF" w:rsidRDefault="008120B7" w:rsidP="008120B7">
      <w:pPr>
        <w:pStyle w:val="ListParagraph"/>
        <w:numPr>
          <w:ilvl w:val="0"/>
          <w:numId w:val="1"/>
        </w:numPr>
        <w:rPr>
          <w:rFonts w:ascii="Arial" w:hAnsi="Arial" w:cs="Arial"/>
          <w:sz w:val="24"/>
          <w:szCs w:val="24"/>
        </w:rPr>
      </w:pPr>
      <w:r w:rsidRPr="007056BF">
        <w:rPr>
          <w:rFonts w:ascii="Arial" w:hAnsi="Arial" w:cs="Arial"/>
          <w:sz w:val="24"/>
          <w:szCs w:val="24"/>
        </w:rPr>
        <w:t>High Needs Block</w:t>
      </w:r>
    </w:p>
    <w:p w:rsidR="008120B7" w:rsidRPr="007056BF" w:rsidRDefault="008120B7" w:rsidP="008120B7">
      <w:pPr>
        <w:pStyle w:val="ListParagraph"/>
        <w:numPr>
          <w:ilvl w:val="0"/>
          <w:numId w:val="1"/>
        </w:numPr>
        <w:rPr>
          <w:rFonts w:ascii="Arial" w:hAnsi="Arial" w:cs="Arial"/>
          <w:sz w:val="24"/>
          <w:szCs w:val="24"/>
        </w:rPr>
      </w:pPr>
      <w:r w:rsidRPr="007056BF">
        <w:rPr>
          <w:rFonts w:ascii="Arial" w:hAnsi="Arial" w:cs="Arial"/>
          <w:sz w:val="24"/>
          <w:szCs w:val="24"/>
        </w:rPr>
        <w:t>Early Years Block</w:t>
      </w:r>
    </w:p>
    <w:p w:rsidR="008120B7" w:rsidRPr="007056BF" w:rsidRDefault="008120B7" w:rsidP="008120B7">
      <w:pPr>
        <w:rPr>
          <w:rFonts w:ascii="Arial" w:hAnsi="Arial" w:cs="Arial"/>
          <w:sz w:val="24"/>
          <w:szCs w:val="24"/>
        </w:rPr>
      </w:pPr>
      <w:r w:rsidRPr="007056BF">
        <w:rPr>
          <w:rFonts w:ascii="Arial" w:hAnsi="Arial" w:cs="Arial"/>
          <w:sz w:val="24"/>
          <w:szCs w:val="24"/>
        </w:rPr>
        <w:t>Whilst the blocks are notional and it is possible to move funding between blocks to reflect the needs, pressures and priorities of the geographical area it is now appropriate to report the outturn position with reference to the notional blocks.</w:t>
      </w:r>
    </w:p>
    <w:p w:rsidR="00CE786F" w:rsidRPr="007056BF" w:rsidRDefault="00CE786F" w:rsidP="008120B7">
      <w:pPr>
        <w:rPr>
          <w:rFonts w:ascii="Arial" w:hAnsi="Arial" w:cs="Arial"/>
          <w:sz w:val="24"/>
          <w:szCs w:val="24"/>
        </w:rPr>
      </w:pPr>
      <w:r w:rsidRPr="007056BF">
        <w:rPr>
          <w:rFonts w:ascii="Arial" w:hAnsi="Arial" w:cs="Arial"/>
          <w:sz w:val="24"/>
          <w:szCs w:val="24"/>
        </w:rPr>
        <w:t>The ability to continue to move funding between the notional blocks has become more restrictive and will become more so. Early Years funding is now participation based so wh</w:t>
      </w:r>
      <w:r w:rsidR="004C5D54" w:rsidRPr="007056BF">
        <w:rPr>
          <w:rFonts w:ascii="Arial" w:hAnsi="Arial" w:cs="Arial"/>
          <w:sz w:val="24"/>
          <w:szCs w:val="24"/>
        </w:rPr>
        <w:t>ere</w:t>
      </w:r>
      <w:r w:rsidRPr="007056BF">
        <w:rPr>
          <w:rFonts w:ascii="Arial" w:hAnsi="Arial" w:cs="Arial"/>
          <w:sz w:val="24"/>
          <w:szCs w:val="24"/>
        </w:rPr>
        <w:t xml:space="preserve"> funding </w:t>
      </w:r>
      <w:r w:rsidR="004C5D54" w:rsidRPr="007056BF">
        <w:rPr>
          <w:rFonts w:ascii="Arial" w:hAnsi="Arial" w:cs="Arial"/>
          <w:sz w:val="24"/>
          <w:szCs w:val="24"/>
        </w:rPr>
        <w:t>is</w:t>
      </w:r>
      <w:r w:rsidRPr="007056BF">
        <w:rPr>
          <w:rFonts w:ascii="Arial" w:hAnsi="Arial" w:cs="Arial"/>
          <w:sz w:val="24"/>
          <w:szCs w:val="24"/>
        </w:rPr>
        <w:t xml:space="preserve"> received for </w:t>
      </w:r>
      <w:r w:rsidR="004C5D54" w:rsidRPr="007056BF">
        <w:rPr>
          <w:rFonts w:ascii="Arial" w:hAnsi="Arial" w:cs="Arial"/>
          <w:sz w:val="24"/>
          <w:szCs w:val="24"/>
        </w:rPr>
        <w:t xml:space="preserve">a </w:t>
      </w:r>
      <w:r w:rsidRPr="007056BF">
        <w:rPr>
          <w:rFonts w:ascii="Arial" w:hAnsi="Arial" w:cs="Arial"/>
          <w:sz w:val="24"/>
          <w:szCs w:val="24"/>
        </w:rPr>
        <w:t>number</w:t>
      </w:r>
      <w:r w:rsidR="004C5D54" w:rsidRPr="007056BF">
        <w:rPr>
          <w:rFonts w:ascii="Arial" w:hAnsi="Arial" w:cs="Arial"/>
          <w:sz w:val="24"/>
          <w:szCs w:val="24"/>
        </w:rPr>
        <w:t xml:space="preserve"> of hours that exceeds actual </w:t>
      </w:r>
      <w:r w:rsidRPr="007056BF">
        <w:rPr>
          <w:rFonts w:ascii="Arial" w:hAnsi="Arial" w:cs="Arial"/>
          <w:sz w:val="24"/>
          <w:szCs w:val="24"/>
        </w:rPr>
        <w:t>take up t</w:t>
      </w:r>
      <w:r w:rsidR="00085B04" w:rsidRPr="007056BF">
        <w:rPr>
          <w:rFonts w:ascii="Arial" w:hAnsi="Arial" w:cs="Arial"/>
          <w:sz w:val="24"/>
          <w:szCs w:val="24"/>
        </w:rPr>
        <w:t>his will be re</w:t>
      </w:r>
      <w:r w:rsidRPr="007056BF">
        <w:rPr>
          <w:rFonts w:ascii="Arial" w:hAnsi="Arial" w:cs="Arial"/>
          <w:sz w:val="24"/>
          <w:szCs w:val="24"/>
        </w:rPr>
        <w:t>couped by the E</w:t>
      </w:r>
      <w:r w:rsidR="005C1788">
        <w:rPr>
          <w:rFonts w:ascii="Arial" w:hAnsi="Arial" w:cs="Arial"/>
          <w:sz w:val="24"/>
          <w:szCs w:val="24"/>
        </w:rPr>
        <w:t>S</w:t>
      </w:r>
      <w:r w:rsidRPr="007056BF">
        <w:rPr>
          <w:rFonts w:ascii="Arial" w:hAnsi="Arial" w:cs="Arial"/>
          <w:sz w:val="24"/>
          <w:szCs w:val="24"/>
        </w:rPr>
        <w:t xml:space="preserve">FA </w:t>
      </w:r>
      <w:r w:rsidR="004C5D54" w:rsidRPr="007056BF">
        <w:rPr>
          <w:rFonts w:ascii="Arial" w:hAnsi="Arial" w:cs="Arial"/>
          <w:sz w:val="24"/>
          <w:szCs w:val="24"/>
        </w:rPr>
        <w:t>or v</w:t>
      </w:r>
      <w:r w:rsidR="00DA1FF2">
        <w:rPr>
          <w:rFonts w:ascii="Arial" w:hAnsi="Arial" w:cs="Arial"/>
          <w:sz w:val="24"/>
          <w:szCs w:val="24"/>
        </w:rPr>
        <w:t>ice</w:t>
      </w:r>
      <w:r w:rsidRPr="007056BF">
        <w:rPr>
          <w:rFonts w:ascii="Arial" w:hAnsi="Arial" w:cs="Arial"/>
          <w:sz w:val="24"/>
          <w:szCs w:val="24"/>
        </w:rPr>
        <w:t xml:space="preserve"> versa. In addition current consultation proposals around the National funding Formula for Schools will, if implemented as proposed, result in the Schools Block being fully distributed. If implemented this will in effect end any chances to switch funding although the proposals are indicating that with the Schools Forum permission </w:t>
      </w:r>
      <w:r w:rsidR="004C5D54" w:rsidRPr="007056BF">
        <w:rPr>
          <w:rFonts w:ascii="Arial" w:hAnsi="Arial" w:cs="Arial"/>
          <w:sz w:val="24"/>
          <w:szCs w:val="24"/>
        </w:rPr>
        <w:t>and consultation with all schools it will be possible to t</w:t>
      </w:r>
      <w:r w:rsidRPr="007056BF">
        <w:rPr>
          <w:rFonts w:ascii="Arial" w:hAnsi="Arial" w:cs="Arial"/>
          <w:sz w:val="24"/>
          <w:szCs w:val="24"/>
        </w:rPr>
        <w:t xml:space="preserve">ransfer funds from the Schools Block to the High Needs Block  </w:t>
      </w:r>
    </w:p>
    <w:p w:rsidR="008120B7" w:rsidRPr="007056BF" w:rsidRDefault="008120B7" w:rsidP="008120B7">
      <w:pPr>
        <w:rPr>
          <w:rFonts w:ascii="Arial" w:hAnsi="Arial" w:cs="Arial"/>
          <w:b/>
          <w:sz w:val="24"/>
          <w:szCs w:val="24"/>
          <w:u w:val="single"/>
        </w:rPr>
      </w:pPr>
      <w:r w:rsidRPr="007056BF">
        <w:rPr>
          <w:rFonts w:ascii="Arial" w:hAnsi="Arial" w:cs="Arial"/>
          <w:b/>
          <w:sz w:val="24"/>
          <w:szCs w:val="24"/>
          <w:u w:val="single"/>
        </w:rPr>
        <w:t>DSG 201</w:t>
      </w:r>
      <w:r w:rsidR="00CE786F" w:rsidRPr="007056BF">
        <w:rPr>
          <w:rFonts w:ascii="Arial" w:hAnsi="Arial" w:cs="Arial"/>
          <w:b/>
          <w:sz w:val="24"/>
          <w:szCs w:val="24"/>
          <w:u w:val="single"/>
        </w:rPr>
        <w:t>6</w:t>
      </w:r>
      <w:r w:rsidRPr="007056BF">
        <w:rPr>
          <w:rFonts w:ascii="Arial" w:hAnsi="Arial" w:cs="Arial"/>
          <w:b/>
          <w:sz w:val="24"/>
          <w:szCs w:val="24"/>
          <w:u w:val="single"/>
        </w:rPr>
        <w:t>-1</w:t>
      </w:r>
      <w:r w:rsidR="00CE786F" w:rsidRPr="007056BF">
        <w:rPr>
          <w:rFonts w:ascii="Arial" w:hAnsi="Arial" w:cs="Arial"/>
          <w:b/>
          <w:sz w:val="24"/>
          <w:szCs w:val="24"/>
          <w:u w:val="single"/>
        </w:rPr>
        <w:t>7</w:t>
      </w:r>
      <w:r w:rsidRPr="007056BF">
        <w:rPr>
          <w:rFonts w:ascii="Arial" w:hAnsi="Arial" w:cs="Arial"/>
          <w:b/>
          <w:sz w:val="24"/>
          <w:szCs w:val="24"/>
          <w:u w:val="single"/>
        </w:rPr>
        <w:t xml:space="preserve"> Outturn position</w:t>
      </w:r>
    </w:p>
    <w:p w:rsidR="008120B7" w:rsidRPr="007056BF" w:rsidRDefault="008120B7" w:rsidP="008120B7">
      <w:pPr>
        <w:rPr>
          <w:rFonts w:ascii="Arial" w:hAnsi="Arial" w:cs="Arial"/>
          <w:sz w:val="24"/>
          <w:szCs w:val="24"/>
        </w:rPr>
      </w:pPr>
      <w:r w:rsidRPr="007056BF">
        <w:rPr>
          <w:rFonts w:ascii="Arial" w:hAnsi="Arial" w:cs="Arial"/>
          <w:sz w:val="24"/>
          <w:szCs w:val="24"/>
        </w:rPr>
        <w:t>The outturn position for each of the notional blocks together with an explanation of the main reasons for the variances is shown below:</w:t>
      </w:r>
    </w:p>
    <w:p w:rsidR="008120B7" w:rsidRPr="007056BF" w:rsidRDefault="008120B7" w:rsidP="008120B7">
      <w:pPr>
        <w:rPr>
          <w:rFonts w:ascii="Arial" w:hAnsi="Arial" w:cs="Arial"/>
          <w:b/>
          <w:sz w:val="24"/>
          <w:szCs w:val="24"/>
          <w:u w:val="single"/>
        </w:rPr>
      </w:pPr>
      <w:r w:rsidRPr="007056BF">
        <w:rPr>
          <w:rFonts w:ascii="Arial" w:hAnsi="Arial" w:cs="Arial"/>
          <w:b/>
          <w:sz w:val="24"/>
          <w:szCs w:val="24"/>
          <w:u w:val="single"/>
        </w:rPr>
        <w:t>Schools Block</w:t>
      </w:r>
    </w:p>
    <w:p w:rsidR="008120B7" w:rsidRPr="007056BF" w:rsidRDefault="008120B7" w:rsidP="008120B7">
      <w:pPr>
        <w:rPr>
          <w:rFonts w:ascii="Arial" w:hAnsi="Arial" w:cs="Arial"/>
          <w:sz w:val="24"/>
          <w:szCs w:val="24"/>
        </w:rPr>
      </w:pPr>
      <w:r w:rsidRPr="007056BF">
        <w:rPr>
          <w:rFonts w:ascii="Arial" w:hAnsi="Arial" w:cs="Arial"/>
          <w:sz w:val="24"/>
          <w:szCs w:val="24"/>
        </w:rPr>
        <w:t xml:space="preserve">The outturn position for the Schools Block </w:t>
      </w:r>
      <w:r w:rsidR="001D39C4" w:rsidRPr="007056BF">
        <w:rPr>
          <w:rFonts w:ascii="Arial" w:hAnsi="Arial" w:cs="Arial"/>
          <w:sz w:val="24"/>
          <w:szCs w:val="24"/>
        </w:rPr>
        <w:t xml:space="preserve">is an </w:t>
      </w:r>
      <w:r w:rsidRPr="007056BF">
        <w:rPr>
          <w:rFonts w:ascii="Arial" w:hAnsi="Arial" w:cs="Arial"/>
          <w:sz w:val="24"/>
          <w:szCs w:val="24"/>
        </w:rPr>
        <w:t>under</w:t>
      </w:r>
      <w:r w:rsidR="001D39C4" w:rsidRPr="007056BF">
        <w:rPr>
          <w:rFonts w:ascii="Arial" w:hAnsi="Arial" w:cs="Arial"/>
          <w:sz w:val="24"/>
          <w:szCs w:val="24"/>
        </w:rPr>
        <w:t xml:space="preserve"> </w:t>
      </w:r>
      <w:r w:rsidRPr="007056BF">
        <w:rPr>
          <w:rFonts w:ascii="Arial" w:hAnsi="Arial" w:cs="Arial"/>
          <w:sz w:val="24"/>
          <w:szCs w:val="24"/>
        </w:rPr>
        <w:t>spen</w:t>
      </w:r>
      <w:r w:rsidR="001D39C4" w:rsidRPr="007056BF">
        <w:rPr>
          <w:rFonts w:ascii="Arial" w:hAnsi="Arial" w:cs="Arial"/>
          <w:sz w:val="24"/>
          <w:szCs w:val="24"/>
        </w:rPr>
        <w:t>d of</w:t>
      </w:r>
      <w:r w:rsidRPr="007056BF">
        <w:rPr>
          <w:rFonts w:ascii="Arial" w:hAnsi="Arial" w:cs="Arial"/>
          <w:sz w:val="24"/>
          <w:szCs w:val="24"/>
        </w:rPr>
        <w:t xml:space="preserve"> £0.</w:t>
      </w:r>
      <w:r w:rsidR="004C5D54" w:rsidRPr="007056BF">
        <w:rPr>
          <w:rFonts w:ascii="Arial" w:hAnsi="Arial" w:cs="Arial"/>
          <w:sz w:val="24"/>
          <w:szCs w:val="24"/>
        </w:rPr>
        <w:t>4</w:t>
      </w:r>
      <w:r w:rsidR="0084376D">
        <w:rPr>
          <w:rFonts w:ascii="Arial" w:hAnsi="Arial" w:cs="Arial"/>
          <w:sz w:val="24"/>
          <w:szCs w:val="24"/>
        </w:rPr>
        <w:t>43</w:t>
      </w:r>
      <w:r w:rsidR="007056BF">
        <w:rPr>
          <w:rFonts w:ascii="Arial" w:hAnsi="Arial" w:cs="Arial"/>
          <w:sz w:val="24"/>
          <w:szCs w:val="24"/>
        </w:rPr>
        <w:t>m</w:t>
      </w:r>
      <w:r w:rsidRPr="007056BF">
        <w:rPr>
          <w:rFonts w:ascii="Arial" w:hAnsi="Arial" w:cs="Arial"/>
          <w:sz w:val="24"/>
          <w:szCs w:val="24"/>
        </w:rPr>
        <w:t xml:space="preserve">. The main reasons for this </w:t>
      </w:r>
      <w:r w:rsidR="001D39C4" w:rsidRPr="007056BF">
        <w:rPr>
          <w:rFonts w:ascii="Arial" w:hAnsi="Arial" w:cs="Arial"/>
          <w:sz w:val="24"/>
          <w:szCs w:val="24"/>
        </w:rPr>
        <w:t>are</w:t>
      </w:r>
      <w:r w:rsidRPr="007056BF">
        <w:rPr>
          <w:rFonts w:ascii="Arial" w:hAnsi="Arial" w:cs="Arial"/>
          <w:sz w:val="24"/>
          <w:szCs w:val="24"/>
        </w:rPr>
        <w:t>:</w:t>
      </w:r>
    </w:p>
    <w:tbl>
      <w:tblPr>
        <w:tblStyle w:val="TableGrid"/>
        <w:tblW w:w="0" w:type="auto"/>
        <w:tblLook w:val="04A0" w:firstRow="1" w:lastRow="0" w:firstColumn="1" w:lastColumn="0" w:noHBand="0" w:noVBand="1"/>
      </w:tblPr>
      <w:tblGrid>
        <w:gridCol w:w="3080"/>
        <w:gridCol w:w="3081"/>
        <w:gridCol w:w="3081"/>
      </w:tblGrid>
      <w:tr w:rsidR="007056BF" w:rsidRPr="007056BF" w:rsidTr="008120B7">
        <w:tc>
          <w:tcPr>
            <w:tcW w:w="3080" w:type="dxa"/>
            <w:tcBorders>
              <w:top w:val="single" w:sz="4" w:space="0" w:color="auto"/>
              <w:left w:val="single" w:sz="4" w:space="0" w:color="auto"/>
              <w:bottom w:val="single" w:sz="4" w:space="0" w:color="auto"/>
              <w:right w:val="single" w:sz="4" w:space="0" w:color="auto"/>
            </w:tcBorders>
            <w:hideMark/>
          </w:tcPr>
          <w:p w:rsidR="008120B7" w:rsidRPr="007056BF" w:rsidRDefault="008120B7">
            <w:pPr>
              <w:jc w:val="center"/>
              <w:rPr>
                <w:rFonts w:ascii="Arial" w:hAnsi="Arial" w:cs="Arial"/>
                <w:b/>
                <w:sz w:val="24"/>
                <w:szCs w:val="24"/>
                <w:u w:val="single"/>
              </w:rPr>
            </w:pPr>
            <w:r w:rsidRPr="007056BF">
              <w:rPr>
                <w:rFonts w:ascii="Arial" w:hAnsi="Arial" w:cs="Arial"/>
                <w:b/>
                <w:sz w:val="24"/>
                <w:szCs w:val="24"/>
                <w:u w:val="single"/>
              </w:rPr>
              <w:t>Spend</w:t>
            </w:r>
          </w:p>
        </w:tc>
        <w:tc>
          <w:tcPr>
            <w:tcW w:w="3081" w:type="dxa"/>
            <w:tcBorders>
              <w:top w:val="single" w:sz="4" w:space="0" w:color="auto"/>
              <w:left w:val="single" w:sz="4" w:space="0" w:color="auto"/>
              <w:bottom w:val="single" w:sz="4" w:space="0" w:color="auto"/>
              <w:right w:val="single" w:sz="4" w:space="0" w:color="auto"/>
            </w:tcBorders>
            <w:hideMark/>
          </w:tcPr>
          <w:p w:rsidR="008120B7" w:rsidRPr="007056BF" w:rsidRDefault="008120B7" w:rsidP="007056BF">
            <w:pPr>
              <w:jc w:val="center"/>
              <w:rPr>
                <w:rFonts w:ascii="Arial" w:hAnsi="Arial" w:cs="Arial"/>
                <w:b/>
                <w:sz w:val="24"/>
                <w:szCs w:val="24"/>
                <w:u w:val="single"/>
              </w:rPr>
            </w:pPr>
            <w:r w:rsidRPr="007056BF">
              <w:rPr>
                <w:rFonts w:ascii="Arial" w:hAnsi="Arial" w:cs="Arial"/>
                <w:b/>
                <w:sz w:val="24"/>
                <w:szCs w:val="24"/>
                <w:u w:val="single"/>
              </w:rPr>
              <w:t>Variance £</w:t>
            </w:r>
            <w:r w:rsidR="003C6B26" w:rsidRPr="007056BF">
              <w:rPr>
                <w:rFonts w:ascii="Arial" w:hAnsi="Arial" w:cs="Arial"/>
                <w:b/>
                <w:sz w:val="24"/>
                <w:szCs w:val="24"/>
                <w:u w:val="single"/>
              </w:rPr>
              <w:t>’</w:t>
            </w:r>
            <w:r w:rsidR="007056BF">
              <w:rPr>
                <w:rFonts w:ascii="Arial" w:hAnsi="Arial" w:cs="Arial"/>
                <w:b/>
                <w:sz w:val="24"/>
                <w:szCs w:val="24"/>
                <w:u w:val="single"/>
              </w:rPr>
              <w:t>m</w:t>
            </w:r>
          </w:p>
        </w:tc>
        <w:tc>
          <w:tcPr>
            <w:tcW w:w="3081" w:type="dxa"/>
            <w:tcBorders>
              <w:top w:val="single" w:sz="4" w:space="0" w:color="auto"/>
              <w:left w:val="single" w:sz="4" w:space="0" w:color="auto"/>
              <w:bottom w:val="single" w:sz="4" w:space="0" w:color="auto"/>
              <w:right w:val="single" w:sz="4" w:space="0" w:color="auto"/>
            </w:tcBorders>
            <w:hideMark/>
          </w:tcPr>
          <w:p w:rsidR="008120B7" w:rsidRPr="007056BF" w:rsidRDefault="008120B7">
            <w:pPr>
              <w:jc w:val="center"/>
              <w:rPr>
                <w:rFonts w:ascii="Arial" w:hAnsi="Arial" w:cs="Arial"/>
                <w:b/>
                <w:sz w:val="24"/>
                <w:szCs w:val="24"/>
                <w:u w:val="single"/>
              </w:rPr>
            </w:pPr>
            <w:r w:rsidRPr="007056BF">
              <w:rPr>
                <w:rFonts w:ascii="Arial" w:hAnsi="Arial" w:cs="Arial"/>
                <w:b/>
                <w:sz w:val="24"/>
                <w:szCs w:val="24"/>
                <w:u w:val="single"/>
              </w:rPr>
              <w:t>Reason</w:t>
            </w:r>
          </w:p>
        </w:tc>
      </w:tr>
      <w:tr w:rsidR="007056BF" w:rsidRPr="007056BF" w:rsidTr="008120B7">
        <w:tc>
          <w:tcPr>
            <w:tcW w:w="3080" w:type="dxa"/>
            <w:tcBorders>
              <w:top w:val="single" w:sz="4" w:space="0" w:color="auto"/>
              <w:left w:val="single" w:sz="4" w:space="0" w:color="auto"/>
              <w:bottom w:val="single" w:sz="4" w:space="0" w:color="auto"/>
              <w:right w:val="single" w:sz="4" w:space="0" w:color="auto"/>
            </w:tcBorders>
          </w:tcPr>
          <w:p w:rsidR="008120B7" w:rsidRPr="007056BF" w:rsidRDefault="008120B7">
            <w:pPr>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rsidR="008120B7" w:rsidRPr="007056BF" w:rsidRDefault="008120B7">
            <w:pPr>
              <w:jc w:val="center"/>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rsidR="008120B7" w:rsidRPr="007056BF" w:rsidRDefault="008120B7">
            <w:pPr>
              <w:rPr>
                <w:rFonts w:ascii="Arial" w:hAnsi="Arial" w:cs="Arial"/>
                <w:sz w:val="24"/>
                <w:szCs w:val="24"/>
              </w:rPr>
            </w:pPr>
          </w:p>
        </w:tc>
      </w:tr>
      <w:tr w:rsidR="007056BF" w:rsidRPr="007056BF" w:rsidTr="008120B7">
        <w:tc>
          <w:tcPr>
            <w:tcW w:w="3080" w:type="dxa"/>
            <w:tcBorders>
              <w:top w:val="single" w:sz="4" w:space="0" w:color="auto"/>
              <w:left w:val="single" w:sz="4" w:space="0" w:color="auto"/>
              <w:bottom w:val="single" w:sz="4" w:space="0" w:color="auto"/>
              <w:right w:val="single" w:sz="4" w:space="0" w:color="auto"/>
            </w:tcBorders>
            <w:hideMark/>
          </w:tcPr>
          <w:p w:rsidR="00E620EE" w:rsidRPr="007056BF" w:rsidRDefault="009B4DED" w:rsidP="009B4DED">
            <w:pPr>
              <w:rPr>
                <w:rFonts w:ascii="Arial" w:hAnsi="Arial" w:cs="Arial"/>
                <w:sz w:val="24"/>
                <w:szCs w:val="24"/>
              </w:rPr>
            </w:pPr>
            <w:r w:rsidRPr="007056BF">
              <w:rPr>
                <w:rFonts w:ascii="Arial" w:hAnsi="Arial" w:cs="Arial"/>
                <w:sz w:val="24"/>
                <w:szCs w:val="24"/>
              </w:rPr>
              <w:t>Under-allocated DSG, contingencies not required and de-delegated</w:t>
            </w:r>
            <w:r w:rsidR="00E620EE" w:rsidRPr="007056BF">
              <w:rPr>
                <w:rFonts w:ascii="Arial" w:hAnsi="Arial" w:cs="Arial"/>
                <w:sz w:val="24"/>
                <w:szCs w:val="24"/>
              </w:rPr>
              <w:t xml:space="preserve"> budgets</w:t>
            </w:r>
            <w:r w:rsidRPr="007056BF">
              <w:rPr>
                <w:rFonts w:ascii="Arial" w:hAnsi="Arial" w:cs="Arial"/>
                <w:sz w:val="24"/>
                <w:szCs w:val="24"/>
              </w:rPr>
              <w:t>.</w:t>
            </w:r>
          </w:p>
        </w:tc>
        <w:tc>
          <w:tcPr>
            <w:tcW w:w="3081" w:type="dxa"/>
            <w:tcBorders>
              <w:top w:val="single" w:sz="4" w:space="0" w:color="auto"/>
              <w:left w:val="single" w:sz="4" w:space="0" w:color="auto"/>
              <w:bottom w:val="single" w:sz="4" w:space="0" w:color="auto"/>
              <w:right w:val="single" w:sz="4" w:space="0" w:color="auto"/>
            </w:tcBorders>
            <w:hideMark/>
          </w:tcPr>
          <w:p w:rsidR="00E620EE" w:rsidRPr="007056BF" w:rsidRDefault="00E620EE" w:rsidP="0084376D">
            <w:pPr>
              <w:jc w:val="center"/>
              <w:rPr>
                <w:rFonts w:ascii="Arial" w:hAnsi="Arial" w:cs="Arial"/>
                <w:sz w:val="24"/>
                <w:szCs w:val="24"/>
              </w:rPr>
            </w:pPr>
            <w:r w:rsidRPr="007056BF">
              <w:rPr>
                <w:rFonts w:ascii="Arial" w:hAnsi="Arial" w:cs="Arial"/>
                <w:sz w:val="24"/>
                <w:szCs w:val="24"/>
              </w:rPr>
              <w:t>(0.</w:t>
            </w:r>
            <w:r w:rsidR="0084376D">
              <w:rPr>
                <w:rFonts w:ascii="Arial" w:hAnsi="Arial" w:cs="Arial"/>
                <w:sz w:val="24"/>
                <w:szCs w:val="24"/>
              </w:rPr>
              <w:t>374</w:t>
            </w:r>
            <w:r w:rsidRPr="007056BF">
              <w:rPr>
                <w:rFonts w:ascii="Arial" w:hAnsi="Arial" w:cs="Arial"/>
                <w:sz w:val="24"/>
                <w:szCs w:val="24"/>
              </w:rPr>
              <w:t>)</w:t>
            </w:r>
          </w:p>
        </w:tc>
        <w:tc>
          <w:tcPr>
            <w:tcW w:w="3081" w:type="dxa"/>
            <w:tcBorders>
              <w:top w:val="single" w:sz="4" w:space="0" w:color="auto"/>
              <w:left w:val="single" w:sz="4" w:space="0" w:color="auto"/>
              <w:bottom w:val="single" w:sz="4" w:space="0" w:color="auto"/>
              <w:right w:val="single" w:sz="4" w:space="0" w:color="auto"/>
            </w:tcBorders>
            <w:hideMark/>
          </w:tcPr>
          <w:p w:rsidR="00E620EE" w:rsidRPr="007056BF" w:rsidRDefault="00E620EE" w:rsidP="004C5D54">
            <w:pPr>
              <w:rPr>
                <w:rFonts w:ascii="Arial" w:hAnsi="Arial" w:cs="Arial"/>
                <w:sz w:val="24"/>
                <w:szCs w:val="24"/>
              </w:rPr>
            </w:pPr>
            <w:r w:rsidRPr="007056BF">
              <w:rPr>
                <w:rFonts w:ascii="Arial" w:hAnsi="Arial" w:cs="Arial"/>
                <w:sz w:val="24"/>
                <w:szCs w:val="24"/>
              </w:rPr>
              <w:t xml:space="preserve">This amount is comprised of a number of items. The main one being the under allocation of the Schools </w:t>
            </w:r>
            <w:r w:rsidRPr="007056BF">
              <w:rPr>
                <w:rFonts w:ascii="Arial" w:hAnsi="Arial" w:cs="Arial"/>
                <w:sz w:val="24"/>
                <w:szCs w:val="24"/>
              </w:rPr>
              <w:lastRenderedPageBreak/>
              <w:t>Block when setting the 201</w:t>
            </w:r>
            <w:r w:rsidR="004C5D54" w:rsidRPr="007056BF">
              <w:rPr>
                <w:rFonts w:ascii="Arial" w:hAnsi="Arial" w:cs="Arial"/>
                <w:sz w:val="24"/>
                <w:szCs w:val="24"/>
              </w:rPr>
              <w:t>6</w:t>
            </w:r>
            <w:r w:rsidRPr="007056BF">
              <w:rPr>
                <w:rFonts w:ascii="Arial" w:hAnsi="Arial" w:cs="Arial"/>
                <w:sz w:val="24"/>
                <w:szCs w:val="24"/>
              </w:rPr>
              <w:t>-1</w:t>
            </w:r>
            <w:r w:rsidR="004C5D54" w:rsidRPr="007056BF">
              <w:rPr>
                <w:rFonts w:ascii="Arial" w:hAnsi="Arial" w:cs="Arial"/>
                <w:sz w:val="24"/>
                <w:szCs w:val="24"/>
              </w:rPr>
              <w:t>7</w:t>
            </w:r>
            <w:r w:rsidRPr="007056BF">
              <w:rPr>
                <w:rFonts w:ascii="Arial" w:hAnsi="Arial" w:cs="Arial"/>
                <w:sz w:val="24"/>
                <w:szCs w:val="24"/>
              </w:rPr>
              <w:t xml:space="preserve"> Schools Funding Formula. This</w:t>
            </w:r>
            <w:r w:rsidR="00A52788" w:rsidRPr="007056BF">
              <w:rPr>
                <w:rFonts w:ascii="Arial" w:hAnsi="Arial" w:cs="Arial"/>
                <w:sz w:val="24"/>
                <w:szCs w:val="24"/>
              </w:rPr>
              <w:t xml:space="preserve"> </w:t>
            </w:r>
            <w:r w:rsidRPr="007056BF">
              <w:rPr>
                <w:rFonts w:ascii="Arial" w:hAnsi="Arial" w:cs="Arial"/>
                <w:sz w:val="24"/>
                <w:szCs w:val="24"/>
              </w:rPr>
              <w:t>amounted to £0.</w:t>
            </w:r>
            <w:r w:rsidR="004C5D54" w:rsidRPr="007056BF">
              <w:rPr>
                <w:rFonts w:ascii="Arial" w:hAnsi="Arial" w:cs="Arial"/>
                <w:sz w:val="24"/>
                <w:szCs w:val="24"/>
              </w:rPr>
              <w:t>225m.</w:t>
            </w:r>
          </w:p>
        </w:tc>
      </w:tr>
      <w:tr w:rsidR="007056BF" w:rsidRPr="007056BF" w:rsidTr="008120B7">
        <w:tc>
          <w:tcPr>
            <w:tcW w:w="3080" w:type="dxa"/>
            <w:tcBorders>
              <w:top w:val="single" w:sz="4" w:space="0" w:color="auto"/>
              <w:left w:val="single" w:sz="4" w:space="0" w:color="auto"/>
              <w:bottom w:val="single" w:sz="4" w:space="0" w:color="auto"/>
              <w:right w:val="single" w:sz="4" w:space="0" w:color="auto"/>
            </w:tcBorders>
            <w:hideMark/>
          </w:tcPr>
          <w:p w:rsidR="00E620EE" w:rsidRPr="007056BF" w:rsidRDefault="00E620EE" w:rsidP="004C5D54">
            <w:pPr>
              <w:rPr>
                <w:rFonts w:ascii="Arial" w:hAnsi="Arial" w:cs="Arial"/>
                <w:sz w:val="24"/>
                <w:szCs w:val="24"/>
              </w:rPr>
            </w:pPr>
            <w:r w:rsidRPr="007056BF">
              <w:rPr>
                <w:rFonts w:ascii="Arial" w:hAnsi="Arial" w:cs="Arial"/>
                <w:sz w:val="24"/>
                <w:szCs w:val="24"/>
              </w:rPr>
              <w:lastRenderedPageBreak/>
              <w:t>Growth and Falling Rolls</w:t>
            </w:r>
          </w:p>
        </w:tc>
        <w:tc>
          <w:tcPr>
            <w:tcW w:w="3081" w:type="dxa"/>
            <w:tcBorders>
              <w:top w:val="single" w:sz="4" w:space="0" w:color="auto"/>
              <w:left w:val="single" w:sz="4" w:space="0" w:color="auto"/>
              <w:bottom w:val="single" w:sz="4" w:space="0" w:color="auto"/>
              <w:right w:val="single" w:sz="4" w:space="0" w:color="auto"/>
            </w:tcBorders>
            <w:hideMark/>
          </w:tcPr>
          <w:p w:rsidR="00E620EE" w:rsidRPr="007056BF" w:rsidRDefault="00E620EE" w:rsidP="004C5D54">
            <w:pPr>
              <w:jc w:val="center"/>
              <w:rPr>
                <w:rFonts w:ascii="Arial" w:hAnsi="Arial" w:cs="Arial"/>
                <w:sz w:val="24"/>
                <w:szCs w:val="24"/>
              </w:rPr>
            </w:pPr>
            <w:r w:rsidRPr="007056BF">
              <w:rPr>
                <w:rFonts w:ascii="Arial" w:hAnsi="Arial" w:cs="Arial"/>
                <w:sz w:val="24"/>
                <w:szCs w:val="24"/>
              </w:rPr>
              <w:t>(0.0</w:t>
            </w:r>
            <w:r w:rsidR="004C5D54" w:rsidRPr="007056BF">
              <w:rPr>
                <w:rFonts w:ascii="Arial" w:hAnsi="Arial" w:cs="Arial"/>
                <w:sz w:val="24"/>
                <w:szCs w:val="24"/>
              </w:rPr>
              <w:t>95</w:t>
            </w:r>
            <w:r w:rsidRPr="007056BF">
              <w:rPr>
                <w:rFonts w:ascii="Arial" w:hAnsi="Arial" w:cs="Arial"/>
                <w:sz w:val="24"/>
                <w:szCs w:val="24"/>
              </w:rPr>
              <w:t>)</w:t>
            </w:r>
          </w:p>
        </w:tc>
        <w:tc>
          <w:tcPr>
            <w:tcW w:w="3081" w:type="dxa"/>
            <w:tcBorders>
              <w:top w:val="single" w:sz="4" w:space="0" w:color="auto"/>
              <w:left w:val="single" w:sz="4" w:space="0" w:color="auto"/>
              <w:bottom w:val="single" w:sz="4" w:space="0" w:color="auto"/>
              <w:right w:val="single" w:sz="4" w:space="0" w:color="auto"/>
            </w:tcBorders>
            <w:hideMark/>
          </w:tcPr>
          <w:p w:rsidR="00E620EE" w:rsidRPr="007056BF" w:rsidRDefault="009B4DED" w:rsidP="004C5D54">
            <w:pPr>
              <w:rPr>
                <w:rFonts w:ascii="Arial" w:hAnsi="Arial" w:cs="Arial"/>
                <w:sz w:val="24"/>
                <w:szCs w:val="24"/>
              </w:rPr>
            </w:pPr>
            <w:r w:rsidRPr="007056BF">
              <w:rPr>
                <w:rFonts w:ascii="Arial" w:hAnsi="Arial" w:cs="Arial"/>
                <w:sz w:val="24"/>
                <w:szCs w:val="24"/>
              </w:rPr>
              <w:t xml:space="preserve">During the year </w:t>
            </w:r>
            <w:r w:rsidR="004C5D54" w:rsidRPr="007056BF">
              <w:rPr>
                <w:rFonts w:ascii="Arial" w:hAnsi="Arial" w:cs="Arial"/>
                <w:sz w:val="24"/>
                <w:szCs w:val="24"/>
              </w:rPr>
              <w:t xml:space="preserve">there were a number of enquiries to access these funds  however only one met the qualifying criteria. </w:t>
            </w:r>
          </w:p>
        </w:tc>
      </w:tr>
      <w:tr w:rsidR="007056BF" w:rsidRPr="007056BF" w:rsidTr="008120B7">
        <w:tc>
          <w:tcPr>
            <w:tcW w:w="3080" w:type="dxa"/>
            <w:tcBorders>
              <w:top w:val="single" w:sz="4" w:space="0" w:color="auto"/>
              <w:left w:val="single" w:sz="4" w:space="0" w:color="auto"/>
              <w:bottom w:val="single" w:sz="4" w:space="0" w:color="auto"/>
              <w:right w:val="single" w:sz="4" w:space="0" w:color="auto"/>
            </w:tcBorders>
          </w:tcPr>
          <w:p w:rsidR="00E620EE" w:rsidRPr="007056BF" w:rsidRDefault="00E620EE" w:rsidP="00E620EE">
            <w:pPr>
              <w:rPr>
                <w:rFonts w:ascii="Arial" w:hAnsi="Arial" w:cs="Arial"/>
                <w:sz w:val="24"/>
                <w:szCs w:val="24"/>
                <w:highlight w:val="yellow"/>
              </w:rPr>
            </w:pPr>
            <w:r w:rsidRPr="007056BF">
              <w:rPr>
                <w:rFonts w:ascii="Arial" w:hAnsi="Arial" w:cs="Arial"/>
                <w:sz w:val="24"/>
                <w:szCs w:val="24"/>
              </w:rPr>
              <w:t>Other</w:t>
            </w:r>
          </w:p>
        </w:tc>
        <w:tc>
          <w:tcPr>
            <w:tcW w:w="3081" w:type="dxa"/>
            <w:tcBorders>
              <w:top w:val="single" w:sz="4" w:space="0" w:color="auto"/>
              <w:left w:val="single" w:sz="4" w:space="0" w:color="auto"/>
              <w:bottom w:val="single" w:sz="4" w:space="0" w:color="auto"/>
              <w:right w:val="single" w:sz="4" w:space="0" w:color="auto"/>
            </w:tcBorders>
          </w:tcPr>
          <w:p w:rsidR="00E620EE" w:rsidRPr="007056BF" w:rsidRDefault="00E620EE" w:rsidP="004C5D54">
            <w:pPr>
              <w:jc w:val="center"/>
              <w:rPr>
                <w:rFonts w:ascii="Arial" w:hAnsi="Arial" w:cs="Arial"/>
                <w:sz w:val="24"/>
                <w:szCs w:val="24"/>
              </w:rPr>
            </w:pPr>
            <w:r w:rsidRPr="007056BF">
              <w:rPr>
                <w:rFonts w:ascii="Arial" w:hAnsi="Arial" w:cs="Arial"/>
                <w:sz w:val="24"/>
                <w:szCs w:val="24"/>
              </w:rPr>
              <w:t>0.02</w:t>
            </w:r>
            <w:r w:rsidR="0084376D">
              <w:rPr>
                <w:rFonts w:ascii="Arial" w:hAnsi="Arial" w:cs="Arial"/>
                <w:sz w:val="24"/>
                <w:szCs w:val="24"/>
              </w:rPr>
              <w:t>6</w:t>
            </w:r>
          </w:p>
        </w:tc>
        <w:tc>
          <w:tcPr>
            <w:tcW w:w="3081" w:type="dxa"/>
            <w:tcBorders>
              <w:top w:val="single" w:sz="4" w:space="0" w:color="auto"/>
              <w:left w:val="single" w:sz="4" w:space="0" w:color="auto"/>
              <w:bottom w:val="single" w:sz="4" w:space="0" w:color="auto"/>
              <w:right w:val="single" w:sz="4" w:space="0" w:color="auto"/>
            </w:tcBorders>
          </w:tcPr>
          <w:p w:rsidR="00E620EE" w:rsidRPr="007056BF" w:rsidRDefault="00E620EE" w:rsidP="00A36198">
            <w:pPr>
              <w:rPr>
                <w:rFonts w:ascii="Arial" w:hAnsi="Arial" w:cs="Arial"/>
                <w:sz w:val="24"/>
                <w:szCs w:val="24"/>
              </w:rPr>
            </w:pPr>
          </w:p>
        </w:tc>
      </w:tr>
      <w:tr w:rsidR="007056BF" w:rsidRPr="007056BF" w:rsidTr="008120B7">
        <w:tc>
          <w:tcPr>
            <w:tcW w:w="3080" w:type="dxa"/>
            <w:tcBorders>
              <w:top w:val="single" w:sz="4" w:space="0" w:color="auto"/>
              <w:left w:val="single" w:sz="4" w:space="0" w:color="auto"/>
              <w:bottom w:val="single" w:sz="4" w:space="0" w:color="auto"/>
              <w:right w:val="single" w:sz="4" w:space="0" w:color="auto"/>
            </w:tcBorders>
          </w:tcPr>
          <w:p w:rsidR="00E620EE" w:rsidRPr="007056BF" w:rsidRDefault="00E620EE">
            <w:pPr>
              <w:rPr>
                <w:rFonts w:ascii="Arial" w:hAnsi="Arial" w:cs="Arial"/>
                <w:sz w:val="24"/>
                <w:szCs w:val="24"/>
              </w:rPr>
            </w:pPr>
            <w:r w:rsidRPr="007056BF">
              <w:rPr>
                <w:rFonts w:ascii="Arial" w:hAnsi="Arial" w:cs="Arial"/>
                <w:b/>
                <w:sz w:val="24"/>
                <w:szCs w:val="24"/>
              </w:rPr>
              <w:t>TOTAL</w:t>
            </w:r>
          </w:p>
        </w:tc>
        <w:tc>
          <w:tcPr>
            <w:tcW w:w="3081" w:type="dxa"/>
            <w:tcBorders>
              <w:top w:val="single" w:sz="4" w:space="0" w:color="auto"/>
              <w:left w:val="single" w:sz="4" w:space="0" w:color="auto"/>
              <w:bottom w:val="single" w:sz="4" w:space="0" w:color="auto"/>
              <w:right w:val="single" w:sz="4" w:space="0" w:color="auto"/>
            </w:tcBorders>
          </w:tcPr>
          <w:p w:rsidR="00E620EE" w:rsidRPr="007056BF" w:rsidRDefault="00E620EE" w:rsidP="0084376D">
            <w:pPr>
              <w:jc w:val="center"/>
              <w:rPr>
                <w:rFonts w:ascii="Arial" w:hAnsi="Arial" w:cs="Arial"/>
                <w:sz w:val="24"/>
                <w:szCs w:val="24"/>
              </w:rPr>
            </w:pPr>
            <w:r w:rsidRPr="007056BF">
              <w:rPr>
                <w:rFonts w:ascii="Arial" w:hAnsi="Arial" w:cs="Arial"/>
                <w:b/>
                <w:sz w:val="24"/>
                <w:szCs w:val="24"/>
              </w:rPr>
              <w:t>(0.</w:t>
            </w:r>
            <w:r w:rsidR="004C5D54" w:rsidRPr="007056BF">
              <w:rPr>
                <w:rFonts w:ascii="Arial" w:hAnsi="Arial" w:cs="Arial"/>
                <w:b/>
                <w:sz w:val="24"/>
                <w:szCs w:val="24"/>
              </w:rPr>
              <w:t>4</w:t>
            </w:r>
            <w:r w:rsidR="0084376D">
              <w:rPr>
                <w:rFonts w:ascii="Arial" w:hAnsi="Arial" w:cs="Arial"/>
                <w:b/>
                <w:sz w:val="24"/>
                <w:szCs w:val="24"/>
              </w:rPr>
              <w:t>43</w:t>
            </w:r>
            <w:r w:rsidRPr="007056BF">
              <w:rPr>
                <w:rFonts w:ascii="Arial" w:hAnsi="Arial" w:cs="Arial"/>
                <w:b/>
                <w:sz w:val="24"/>
                <w:szCs w:val="24"/>
              </w:rPr>
              <w:t>)</w:t>
            </w:r>
          </w:p>
        </w:tc>
        <w:tc>
          <w:tcPr>
            <w:tcW w:w="3081" w:type="dxa"/>
            <w:tcBorders>
              <w:top w:val="single" w:sz="4" w:space="0" w:color="auto"/>
              <w:left w:val="single" w:sz="4" w:space="0" w:color="auto"/>
              <w:bottom w:val="single" w:sz="4" w:space="0" w:color="auto"/>
              <w:right w:val="single" w:sz="4" w:space="0" w:color="auto"/>
            </w:tcBorders>
          </w:tcPr>
          <w:p w:rsidR="00E620EE" w:rsidRPr="007056BF" w:rsidRDefault="00E620EE">
            <w:pPr>
              <w:rPr>
                <w:rFonts w:ascii="Arial" w:hAnsi="Arial" w:cs="Arial"/>
                <w:sz w:val="24"/>
                <w:szCs w:val="24"/>
              </w:rPr>
            </w:pPr>
          </w:p>
        </w:tc>
      </w:tr>
    </w:tbl>
    <w:p w:rsidR="008120B7" w:rsidRPr="007056BF" w:rsidRDefault="008120B7" w:rsidP="008120B7">
      <w:pPr>
        <w:rPr>
          <w:rFonts w:ascii="Arial" w:hAnsi="Arial" w:cs="Arial"/>
          <w:b/>
          <w:sz w:val="24"/>
          <w:szCs w:val="24"/>
          <w:u w:val="single"/>
        </w:rPr>
      </w:pPr>
    </w:p>
    <w:p w:rsidR="008120B7" w:rsidRPr="007056BF" w:rsidRDefault="008120B7" w:rsidP="008120B7">
      <w:pPr>
        <w:rPr>
          <w:rFonts w:ascii="Arial" w:hAnsi="Arial" w:cs="Arial"/>
          <w:sz w:val="24"/>
          <w:szCs w:val="24"/>
        </w:rPr>
      </w:pPr>
      <w:r w:rsidRPr="007056BF">
        <w:rPr>
          <w:rFonts w:ascii="Arial" w:hAnsi="Arial" w:cs="Arial"/>
          <w:sz w:val="24"/>
          <w:szCs w:val="24"/>
        </w:rPr>
        <w:t xml:space="preserve">In accordance with the regulations and guidance </w:t>
      </w:r>
      <w:r w:rsidR="001D39C4" w:rsidRPr="007056BF">
        <w:rPr>
          <w:rFonts w:ascii="Arial" w:hAnsi="Arial" w:cs="Arial"/>
          <w:sz w:val="24"/>
          <w:szCs w:val="24"/>
        </w:rPr>
        <w:t xml:space="preserve">the above </w:t>
      </w:r>
      <w:r w:rsidR="004C5D54" w:rsidRPr="007056BF">
        <w:rPr>
          <w:rFonts w:ascii="Arial" w:hAnsi="Arial" w:cs="Arial"/>
          <w:sz w:val="24"/>
          <w:szCs w:val="24"/>
        </w:rPr>
        <w:t xml:space="preserve">projected underspends </w:t>
      </w:r>
      <w:r w:rsidR="009B4DED" w:rsidRPr="007056BF">
        <w:rPr>
          <w:rFonts w:ascii="Arial" w:hAnsi="Arial" w:cs="Arial"/>
          <w:sz w:val="24"/>
          <w:szCs w:val="24"/>
        </w:rPr>
        <w:t>w</w:t>
      </w:r>
      <w:r w:rsidR="004C5D54" w:rsidRPr="007056BF">
        <w:rPr>
          <w:rFonts w:ascii="Arial" w:hAnsi="Arial" w:cs="Arial"/>
          <w:sz w:val="24"/>
          <w:szCs w:val="24"/>
        </w:rPr>
        <w:t>ere</w:t>
      </w:r>
      <w:r w:rsidR="009B4DED" w:rsidRPr="007056BF">
        <w:rPr>
          <w:rFonts w:ascii="Arial" w:hAnsi="Arial" w:cs="Arial"/>
          <w:sz w:val="24"/>
          <w:szCs w:val="24"/>
        </w:rPr>
        <w:t xml:space="preserve"> considered when determining the amount to be </w:t>
      </w:r>
      <w:r w:rsidR="001D39C4" w:rsidRPr="007056BF">
        <w:rPr>
          <w:rFonts w:ascii="Arial" w:hAnsi="Arial" w:cs="Arial"/>
          <w:sz w:val="24"/>
          <w:szCs w:val="24"/>
        </w:rPr>
        <w:t xml:space="preserve">fed back into the schools funding formula for </w:t>
      </w:r>
      <w:r w:rsidRPr="007056BF">
        <w:rPr>
          <w:rFonts w:ascii="Arial" w:hAnsi="Arial" w:cs="Arial"/>
          <w:sz w:val="24"/>
          <w:szCs w:val="24"/>
        </w:rPr>
        <w:t>201</w:t>
      </w:r>
      <w:r w:rsidR="00A36198" w:rsidRPr="007056BF">
        <w:rPr>
          <w:rFonts w:ascii="Arial" w:hAnsi="Arial" w:cs="Arial"/>
          <w:sz w:val="24"/>
          <w:szCs w:val="24"/>
        </w:rPr>
        <w:t>6-17</w:t>
      </w:r>
      <w:r w:rsidR="004C5D54" w:rsidRPr="007056BF">
        <w:rPr>
          <w:rFonts w:ascii="Arial" w:hAnsi="Arial" w:cs="Arial"/>
          <w:sz w:val="24"/>
          <w:szCs w:val="24"/>
        </w:rPr>
        <w:t xml:space="preserve"> as a one-off payment</w:t>
      </w:r>
      <w:r w:rsidR="009B4DED" w:rsidRPr="007056BF">
        <w:rPr>
          <w:rFonts w:ascii="Arial" w:hAnsi="Arial" w:cs="Arial"/>
          <w:sz w:val="24"/>
          <w:szCs w:val="24"/>
        </w:rPr>
        <w:t>. An amount of</w:t>
      </w:r>
      <w:r w:rsidR="001D39C4" w:rsidRPr="007056BF">
        <w:rPr>
          <w:rFonts w:ascii="Arial" w:hAnsi="Arial" w:cs="Arial"/>
          <w:sz w:val="24"/>
          <w:szCs w:val="24"/>
        </w:rPr>
        <w:t xml:space="preserve"> </w:t>
      </w:r>
      <w:r w:rsidR="009B4DED" w:rsidRPr="007056BF">
        <w:rPr>
          <w:rFonts w:ascii="Arial" w:hAnsi="Arial" w:cs="Arial"/>
          <w:sz w:val="24"/>
          <w:szCs w:val="24"/>
        </w:rPr>
        <w:t>£2.</w:t>
      </w:r>
      <w:r w:rsidR="0084376D">
        <w:rPr>
          <w:rFonts w:ascii="Arial" w:hAnsi="Arial" w:cs="Arial"/>
          <w:sz w:val="24"/>
          <w:szCs w:val="24"/>
        </w:rPr>
        <w:t>477</w:t>
      </w:r>
      <w:r w:rsidR="009B4DED" w:rsidRPr="007056BF">
        <w:rPr>
          <w:rFonts w:ascii="Arial" w:hAnsi="Arial" w:cs="Arial"/>
          <w:sz w:val="24"/>
          <w:szCs w:val="24"/>
        </w:rPr>
        <w:t xml:space="preserve">m was agreed as a </w:t>
      </w:r>
      <w:r w:rsidR="001D39C4" w:rsidRPr="007056BF">
        <w:rPr>
          <w:rFonts w:ascii="Arial" w:hAnsi="Arial" w:cs="Arial"/>
          <w:sz w:val="24"/>
          <w:szCs w:val="24"/>
        </w:rPr>
        <w:t>one-off payment to schools</w:t>
      </w:r>
      <w:r w:rsidR="00E558D5" w:rsidRPr="007056BF">
        <w:rPr>
          <w:rFonts w:ascii="Arial" w:hAnsi="Arial" w:cs="Arial"/>
          <w:sz w:val="24"/>
          <w:szCs w:val="24"/>
        </w:rPr>
        <w:t xml:space="preserve"> and academies</w:t>
      </w:r>
      <w:r w:rsidR="007056BF" w:rsidRPr="007056BF">
        <w:rPr>
          <w:rFonts w:ascii="Arial" w:hAnsi="Arial" w:cs="Arial"/>
          <w:sz w:val="24"/>
          <w:szCs w:val="24"/>
        </w:rPr>
        <w:t xml:space="preserve"> for the 2016-17 financial year</w:t>
      </w:r>
      <w:r w:rsidRPr="007056BF">
        <w:rPr>
          <w:rFonts w:ascii="Arial" w:hAnsi="Arial" w:cs="Arial"/>
          <w:sz w:val="24"/>
          <w:szCs w:val="24"/>
        </w:rPr>
        <w:t>.</w:t>
      </w:r>
    </w:p>
    <w:p w:rsidR="008120B7" w:rsidRPr="00F66A9A" w:rsidRDefault="008120B7" w:rsidP="008120B7">
      <w:pPr>
        <w:rPr>
          <w:rFonts w:ascii="Arial" w:hAnsi="Arial" w:cs="Arial"/>
          <w:b/>
          <w:sz w:val="24"/>
          <w:szCs w:val="24"/>
          <w:u w:val="single"/>
        </w:rPr>
      </w:pPr>
      <w:r w:rsidRPr="00F66A9A">
        <w:rPr>
          <w:rFonts w:ascii="Arial" w:hAnsi="Arial" w:cs="Arial"/>
          <w:b/>
          <w:sz w:val="24"/>
          <w:szCs w:val="24"/>
          <w:u w:val="single"/>
        </w:rPr>
        <w:t>High Needs Block</w:t>
      </w:r>
    </w:p>
    <w:p w:rsidR="008120B7" w:rsidRPr="00F66A9A" w:rsidRDefault="008120B7" w:rsidP="008120B7">
      <w:pPr>
        <w:rPr>
          <w:rFonts w:ascii="Arial" w:hAnsi="Arial" w:cs="Arial"/>
          <w:sz w:val="24"/>
          <w:szCs w:val="24"/>
        </w:rPr>
      </w:pPr>
      <w:r w:rsidRPr="00F66A9A">
        <w:rPr>
          <w:rFonts w:ascii="Arial" w:hAnsi="Arial" w:cs="Arial"/>
          <w:sz w:val="24"/>
          <w:szCs w:val="24"/>
        </w:rPr>
        <w:t>The outturn position for the High Needs Block is an under spend of £</w:t>
      </w:r>
      <w:r w:rsidR="00540C8F" w:rsidRPr="00F66A9A">
        <w:rPr>
          <w:rFonts w:ascii="Arial" w:hAnsi="Arial" w:cs="Arial"/>
          <w:sz w:val="24"/>
          <w:szCs w:val="24"/>
        </w:rPr>
        <w:t>0</w:t>
      </w:r>
      <w:r w:rsidRPr="00F66A9A">
        <w:rPr>
          <w:rFonts w:ascii="Arial" w:hAnsi="Arial" w:cs="Arial"/>
          <w:sz w:val="24"/>
          <w:szCs w:val="24"/>
        </w:rPr>
        <w:t>.</w:t>
      </w:r>
      <w:r w:rsidR="00085B04">
        <w:rPr>
          <w:rFonts w:ascii="Arial" w:hAnsi="Arial" w:cs="Arial"/>
          <w:sz w:val="24"/>
          <w:szCs w:val="24"/>
        </w:rPr>
        <w:t>5</w:t>
      </w:r>
      <w:r w:rsidR="009438F4">
        <w:rPr>
          <w:rFonts w:ascii="Arial" w:hAnsi="Arial" w:cs="Arial"/>
          <w:sz w:val="24"/>
          <w:szCs w:val="24"/>
        </w:rPr>
        <w:t>10</w:t>
      </w:r>
      <w:r w:rsidR="003C6B26" w:rsidRPr="00F66A9A">
        <w:rPr>
          <w:rFonts w:ascii="Arial" w:hAnsi="Arial" w:cs="Arial"/>
          <w:sz w:val="24"/>
          <w:szCs w:val="24"/>
        </w:rPr>
        <w:t>m</w:t>
      </w:r>
      <w:r w:rsidRPr="00F66A9A">
        <w:rPr>
          <w:rFonts w:ascii="Arial" w:hAnsi="Arial" w:cs="Arial"/>
          <w:sz w:val="24"/>
          <w:szCs w:val="24"/>
        </w:rPr>
        <w:t xml:space="preserve">. The main reasons for this </w:t>
      </w:r>
      <w:r w:rsidR="00296831" w:rsidRPr="00F66A9A">
        <w:rPr>
          <w:rFonts w:ascii="Arial" w:hAnsi="Arial" w:cs="Arial"/>
          <w:sz w:val="24"/>
          <w:szCs w:val="24"/>
        </w:rPr>
        <w:t>are</w:t>
      </w:r>
      <w:r w:rsidRPr="00F66A9A">
        <w:rPr>
          <w:rFonts w:ascii="Arial" w:hAnsi="Arial" w:cs="Arial"/>
          <w:sz w:val="24"/>
          <w:szCs w:val="24"/>
        </w:rPr>
        <w:t>:</w:t>
      </w:r>
    </w:p>
    <w:tbl>
      <w:tblPr>
        <w:tblStyle w:val="TableGrid"/>
        <w:tblW w:w="0" w:type="auto"/>
        <w:tblLook w:val="04A0" w:firstRow="1" w:lastRow="0" w:firstColumn="1" w:lastColumn="0" w:noHBand="0" w:noVBand="1"/>
      </w:tblPr>
      <w:tblGrid>
        <w:gridCol w:w="3080"/>
        <w:gridCol w:w="3081"/>
        <w:gridCol w:w="3081"/>
      </w:tblGrid>
      <w:tr w:rsidR="00F66A9A" w:rsidRPr="00F66A9A" w:rsidTr="008120B7">
        <w:tc>
          <w:tcPr>
            <w:tcW w:w="3080" w:type="dxa"/>
            <w:tcBorders>
              <w:top w:val="single" w:sz="4" w:space="0" w:color="auto"/>
              <w:left w:val="single" w:sz="4" w:space="0" w:color="auto"/>
              <w:bottom w:val="single" w:sz="4" w:space="0" w:color="auto"/>
              <w:right w:val="single" w:sz="4" w:space="0" w:color="auto"/>
            </w:tcBorders>
            <w:hideMark/>
          </w:tcPr>
          <w:p w:rsidR="008120B7" w:rsidRPr="00F66A9A" w:rsidRDefault="008120B7">
            <w:pPr>
              <w:jc w:val="center"/>
              <w:rPr>
                <w:rFonts w:ascii="Arial" w:hAnsi="Arial" w:cs="Arial"/>
                <w:b/>
                <w:sz w:val="24"/>
                <w:szCs w:val="24"/>
                <w:u w:val="single"/>
              </w:rPr>
            </w:pPr>
            <w:r w:rsidRPr="00F66A9A">
              <w:rPr>
                <w:rFonts w:ascii="Arial" w:hAnsi="Arial" w:cs="Arial"/>
                <w:b/>
                <w:sz w:val="24"/>
                <w:szCs w:val="24"/>
                <w:u w:val="single"/>
              </w:rPr>
              <w:t>Service</w:t>
            </w:r>
          </w:p>
        </w:tc>
        <w:tc>
          <w:tcPr>
            <w:tcW w:w="3081" w:type="dxa"/>
            <w:tcBorders>
              <w:top w:val="single" w:sz="4" w:space="0" w:color="auto"/>
              <w:left w:val="single" w:sz="4" w:space="0" w:color="auto"/>
              <w:bottom w:val="single" w:sz="4" w:space="0" w:color="auto"/>
              <w:right w:val="single" w:sz="4" w:space="0" w:color="auto"/>
            </w:tcBorders>
            <w:hideMark/>
          </w:tcPr>
          <w:p w:rsidR="008120B7" w:rsidRPr="00F66A9A" w:rsidRDefault="008120B7" w:rsidP="007056BF">
            <w:pPr>
              <w:jc w:val="center"/>
              <w:rPr>
                <w:rFonts w:ascii="Arial" w:hAnsi="Arial" w:cs="Arial"/>
                <w:b/>
                <w:sz w:val="24"/>
                <w:szCs w:val="24"/>
                <w:u w:val="single"/>
              </w:rPr>
            </w:pPr>
            <w:r w:rsidRPr="00F66A9A">
              <w:rPr>
                <w:rFonts w:ascii="Arial" w:hAnsi="Arial" w:cs="Arial"/>
                <w:b/>
                <w:sz w:val="24"/>
                <w:szCs w:val="24"/>
                <w:u w:val="single"/>
              </w:rPr>
              <w:t>Variance £</w:t>
            </w:r>
            <w:r w:rsidR="003C6B26" w:rsidRPr="00F66A9A">
              <w:rPr>
                <w:rFonts w:ascii="Arial" w:hAnsi="Arial" w:cs="Arial"/>
                <w:b/>
                <w:sz w:val="24"/>
                <w:szCs w:val="24"/>
                <w:u w:val="single"/>
              </w:rPr>
              <w:t>’</w:t>
            </w:r>
            <w:r w:rsidR="007056BF">
              <w:rPr>
                <w:rFonts w:ascii="Arial" w:hAnsi="Arial" w:cs="Arial"/>
                <w:b/>
                <w:sz w:val="24"/>
                <w:szCs w:val="24"/>
                <w:u w:val="single"/>
              </w:rPr>
              <w:t>m</w:t>
            </w:r>
          </w:p>
        </w:tc>
        <w:tc>
          <w:tcPr>
            <w:tcW w:w="3081" w:type="dxa"/>
            <w:tcBorders>
              <w:top w:val="single" w:sz="4" w:space="0" w:color="auto"/>
              <w:left w:val="single" w:sz="4" w:space="0" w:color="auto"/>
              <w:bottom w:val="single" w:sz="4" w:space="0" w:color="auto"/>
              <w:right w:val="single" w:sz="4" w:space="0" w:color="auto"/>
            </w:tcBorders>
            <w:hideMark/>
          </w:tcPr>
          <w:p w:rsidR="008120B7" w:rsidRPr="00F66A9A" w:rsidRDefault="008120B7">
            <w:pPr>
              <w:jc w:val="center"/>
              <w:rPr>
                <w:rFonts w:ascii="Arial" w:hAnsi="Arial" w:cs="Arial"/>
                <w:b/>
                <w:sz w:val="24"/>
                <w:szCs w:val="24"/>
                <w:u w:val="single"/>
              </w:rPr>
            </w:pPr>
            <w:r w:rsidRPr="00F66A9A">
              <w:rPr>
                <w:rFonts w:ascii="Arial" w:hAnsi="Arial" w:cs="Arial"/>
                <w:b/>
                <w:sz w:val="24"/>
                <w:szCs w:val="24"/>
                <w:u w:val="single"/>
              </w:rPr>
              <w:t>Reason</w:t>
            </w:r>
          </w:p>
        </w:tc>
      </w:tr>
      <w:tr w:rsidR="00F66A9A" w:rsidRPr="00F66A9A" w:rsidTr="008120B7">
        <w:tc>
          <w:tcPr>
            <w:tcW w:w="3080" w:type="dxa"/>
            <w:tcBorders>
              <w:top w:val="single" w:sz="4" w:space="0" w:color="auto"/>
              <w:left w:val="single" w:sz="4" w:space="0" w:color="auto"/>
              <w:bottom w:val="single" w:sz="4" w:space="0" w:color="auto"/>
              <w:right w:val="single" w:sz="4" w:space="0" w:color="auto"/>
            </w:tcBorders>
          </w:tcPr>
          <w:p w:rsidR="008120B7" w:rsidRPr="00F66A9A" w:rsidRDefault="008120B7">
            <w:pPr>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rsidR="008120B7" w:rsidRPr="00F66A9A" w:rsidRDefault="008120B7">
            <w:pPr>
              <w:jc w:val="center"/>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rsidR="008120B7" w:rsidRPr="00F66A9A" w:rsidRDefault="008120B7">
            <w:pPr>
              <w:rPr>
                <w:rFonts w:ascii="Arial" w:hAnsi="Arial" w:cs="Arial"/>
                <w:sz w:val="24"/>
                <w:szCs w:val="24"/>
              </w:rPr>
            </w:pPr>
          </w:p>
        </w:tc>
      </w:tr>
      <w:tr w:rsidR="00F66A9A" w:rsidRPr="00F66A9A" w:rsidTr="008120B7">
        <w:tc>
          <w:tcPr>
            <w:tcW w:w="3080" w:type="dxa"/>
            <w:tcBorders>
              <w:top w:val="single" w:sz="4" w:space="0" w:color="auto"/>
              <w:left w:val="single" w:sz="4" w:space="0" w:color="auto"/>
              <w:bottom w:val="single" w:sz="4" w:space="0" w:color="auto"/>
              <w:right w:val="single" w:sz="4" w:space="0" w:color="auto"/>
            </w:tcBorders>
            <w:hideMark/>
          </w:tcPr>
          <w:p w:rsidR="008120B7" w:rsidRPr="00F66A9A" w:rsidRDefault="008120B7">
            <w:pPr>
              <w:rPr>
                <w:rFonts w:ascii="Arial" w:hAnsi="Arial" w:cs="Arial"/>
                <w:sz w:val="24"/>
                <w:szCs w:val="24"/>
              </w:rPr>
            </w:pPr>
            <w:r w:rsidRPr="00F66A9A">
              <w:rPr>
                <w:rFonts w:ascii="Arial" w:hAnsi="Arial" w:cs="Arial"/>
                <w:sz w:val="24"/>
                <w:szCs w:val="24"/>
              </w:rPr>
              <w:t>Alternative Provision</w:t>
            </w:r>
          </w:p>
        </w:tc>
        <w:tc>
          <w:tcPr>
            <w:tcW w:w="3081" w:type="dxa"/>
            <w:tcBorders>
              <w:top w:val="single" w:sz="4" w:space="0" w:color="auto"/>
              <w:left w:val="single" w:sz="4" w:space="0" w:color="auto"/>
              <w:bottom w:val="single" w:sz="4" w:space="0" w:color="auto"/>
              <w:right w:val="single" w:sz="4" w:space="0" w:color="auto"/>
            </w:tcBorders>
            <w:hideMark/>
          </w:tcPr>
          <w:p w:rsidR="008120B7" w:rsidRPr="00F66A9A" w:rsidRDefault="00085B04" w:rsidP="00230467">
            <w:pPr>
              <w:jc w:val="center"/>
              <w:rPr>
                <w:rFonts w:ascii="Arial" w:hAnsi="Arial" w:cs="Arial"/>
                <w:sz w:val="24"/>
                <w:szCs w:val="24"/>
              </w:rPr>
            </w:pPr>
            <w:r>
              <w:rPr>
                <w:rFonts w:ascii="Arial" w:hAnsi="Arial" w:cs="Arial"/>
                <w:sz w:val="24"/>
                <w:szCs w:val="24"/>
              </w:rPr>
              <w:t>(</w:t>
            </w:r>
            <w:r w:rsidR="008776D7" w:rsidRPr="00F66A9A">
              <w:rPr>
                <w:rFonts w:ascii="Arial" w:hAnsi="Arial" w:cs="Arial"/>
                <w:sz w:val="24"/>
                <w:szCs w:val="24"/>
              </w:rPr>
              <w:t>0.</w:t>
            </w:r>
            <w:r w:rsidR="00230467">
              <w:rPr>
                <w:rFonts w:ascii="Arial" w:hAnsi="Arial" w:cs="Arial"/>
                <w:sz w:val="24"/>
                <w:szCs w:val="24"/>
              </w:rPr>
              <w:t>061</w:t>
            </w:r>
            <w:r>
              <w:rPr>
                <w:rFonts w:ascii="Arial" w:hAnsi="Arial" w:cs="Arial"/>
                <w:sz w:val="24"/>
                <w:szCs w:val="24"/>
              </w:rPr>
              <w:t>)</w:t>
            </w:r>
          </w:p>
        </w:tc>
        <w:tc>
          <w:tcPr>
            <w:tcW w:w="3081" w:type="dxa"/>
            <w:tcBorders>
              <w:top w:val="single" w:sz="4" w:space="0" w:color="auto"/>
              <w:left w:val="single" w:sz="4" w:space="0" w:color="auto"/>
              <w:bottom w:val="single" w:sz="4" w:space="0" w:color="auto"/>
              <w:right w:val="single" w:sz="4" w:space="0" w:color="auto"/>
            </w:tcBorders>
            <w:hideMark/>
          </w:tcPr>
          <w:p w:rsidR="008120B7" w:rsidRPr="00085B04" w:rsidRDefault="00230467" w:rsidP="005C1788">
            <w:pPr>
              <w:rPr>
                <w:rFonts w:ascii="Arial" w:hAnsi="Arial" w:cs="Arial"/>
                <w:color w:val="FF0000"/>
                <w:sz w:val="24"/>
                <w:szCs w:val="24"/>
              </w:rPr>
            </w:pPr>
            <w:r>
              <w:rPr>
                <w:rFonts w:ascii="Arial" w:hAnsi="Arial" w:cs="Arial"/>
                <w:sz w:val="24"/>
                <w:szCs w:val="24"/>
              </w:rPr>
              <w:t>Budget r</w:t>
            </w:r>
            <w:r w:rsidRPr="00230467">
              <w:rPr>
                <w:rFonts w:ascii="Arial" w:hAnsi="Arial" w:cs="Arial"/>
                <w:sz w:val="24"/>
                <w:szCs w:val="24"/>
              </w:rPr>
              <w:t>efinements over the years ha</w:t>
            </w:r>
            <w:r w:rsidR="005C1788">
              <w:rPr>
                <w:rFonts w:ascii="Arial" w:hAnsi="Arial" w:cs="Arial"/>
                <w:sz w:val="24"/>
                <w:szCs w:val="24"/>
              </w:rPr>
              <w:t>ve</w:t>
            </w:r>
            <w:r w:rsidRPr="00230467">
              <w:rPr>
                <w:rFonts w:ascii="Arial" w:hAnsi="Arial" w:cs="Arial"/>
                <w:sz w:val="24"/>
                <w:szCs w:val="24"/>
              </w:rPr>
              <w:t xml:space="preserve"> resulted in a more realistic budget projection.</w:t>
            </w:r>
          </w:p>
        </w:tc>
      </w:tr>
      <w:tr w:rsidR="00F66A9A" w:rsidRPr="00F66A9A" w:rsidTr="00ED6CE7">
        <w:trPr>
          <w:trHeight w:val="3114"/>
        </w:trPr>
        <w:tc>
          <w:tcPr>
            <w:tcW w:w="3080" w:type="dxa"/>
            <w:tcBorders>
              <w:top w:val="single" w:sz="4" w:space="0" w:color="auto"/>
              <w:left w:val="single" w:sz="4" w:space="0" w:color="auto"/>
              <w:bottom w:val="single" w:sz="4" w:space="0" w:color="auto"/>
              <w:right w:val="single" w:sz="4" w:space="0" w:color="auto"/>
            </w:tcBorders>
            <w:hideMark/>
          </w:tcPr>
          <w:p w:rsidR="008120B7" w:rsidRPr="00F66A9A" w:rsidRDefault="008120B7">
            <w:pPr>
              <w:rPr>
                <w:rFonts w:ascii="Arial" w:hAnsi="Arial" w:cs="Arial"/>
                <w:sz w:val="24"/>
                <w:szCs w:val="24"/>
              </w:rPr>
            </w:pPr>
            <w:r w:rsidRPr="00F66A9A">
              <w:rPr>
                <w:rFonts w:ascii="Arial" w:hAnsi="Arial" w:cs="Arial"/>
                <w:sz w:val="24"/>
                <w:szCs w:val="24"/>
              </w:rPr>
              <w:t>SEN</w:t>
            </w:r>
            <w:r w:rsidR="00B63F7E" w:rsidRPr="00F66A9A">
              <w:rPr>
                <w:rFonts w:ascii="Arial" w:hAnsi="Arial" w:cs="Arial"/>
                <w:sz w:val="24"/>
                <w:szCs w:val="24"/>
              </w:rPr>
              <w:t xml:space="preserve"> Services</w:t>
            </w:r>
          </w:p>
        </w:tc>
        <w:tc>
          <w:tcPr>
            <w:tcW w:w="3081" w:type="dxa"/>
            <w:tcBorders>
              <w:top w:val="single" w:sz="4" w:space="0" w:color="auto"/>
              <w:left w:val="single" w:sz="4" w:space="0" w:color="auto"/>
              <w:bottom w:val="single" w:sz="4" w:space="0" w:color="auto"/>
              <w:right w:val="single" w:sz="4" w:space="0" w:color="auto"/>
            </w:tcBorders>
            <w:hideMark/>
          </w:tcPr>
          <w:p w:rsidR="008120B7" w:rsidRPr="00F66A9A" w:rsidRDefault="008776D7" w:rsidP="00230467">
            <w:pPr>
              <w:jc w:val="center"/>
              <w:rPr>
                <w:rFonts w:ascii="Arial" w:hAnsi="Arial" w:cs="Arial"/>
                <w:sz w:val="24"/>
                <w:szCs w:val="24"/>
              </w:rPr>
            </w:pPr>
            <w:r w:rsidRPr="00F66A9A">
              <w:rPr>
                <w:rFonts w:ascii="Arial" w:hAnsi="Arial" w:cs="Arial"/>
                <w:sz w:val="24"/>
                <w:szCs w:val="24"/>
              </w:rPr>
              <w:t>(</w:t>
            </w:r>
            <w:r w:rsidR="008120B7" w:rsidRPr="00F66A9A">
              <w:rPr>
                <w:rFonts w:ascii="Arial" w:hAnsi="Arial" w:cs="Arial"/>
                <w:sz w:val="24"/>
                <w:szCs w:val="24"/>
              </w:rPr>
              <w:t>0.</w:t>
            </w:r>
            <w:r w:rsidR="00230467">
              <w:rPr>
                <w:rFonts w:ascii="Arial" w:hAnsi="Arial" w:cs="Arial"/>
                <w:sz w:val="24"/>
                <w:szCs w:val="24"/>
              </w:rPr>
              <w:t>677</w:t>
            </w:r>
            <w:r w:rsidRPr="00F66A9A">
              <w:rPr>
                <w:rFonts w:ascii="Arial" w:hAnsi="Arial" w:cs="Arial"/>
                <w:sz w:val="24"/>
                <w:szCs w:val="24"/>
              </w:rPr>
              <w:t>)</w:t>
            </w:r>
            <w:r w:rsidR="00DC4552" w:rsidRPr="00F66A9A">
              <w:rPr>
                <w:rFonts w:ascii="Arial" w:hAnsi="Arial" w:cs="Arial"/>
                <w:sz w:val="24"/>
                <w:szCs w:val="24"/>
              </w:rPr>
              <w:t xml:space="preserve"> </w:t>
            </w:r>
          </w:p>
        </w:tc>
        <w:tc>
          <w:tcPr>
            <w:tcW w:w="3081" w:type="dxa"/>
            <w:tcBorders>
              <w:top w:val="single" w:sz="4" w:space="0" w:color="auto"/>
              <w:left w:val="single" w:sz="4" w:space="0" w:color="auto"/>
              <w:bottom w:val="single" w:sz="4" w:space="0" w:color="auto"/>
              <w:right w:val="single" w:sz="4" w:space="0" w:color="auto"/>
            </w:tcBorders>
            <w:hideMark/>
          </w:tcPr>
          <w:p w:rsidR="008120B7" w:rsidRPr="00230467" w:rsidRDefault="00C96E90" w:rsidP="005C1788">
            <w:pPr>
              <w:rPr>
                <w:rFonts w:ascii="Arial" w:hAnsi="Arial" w:cs="Arial"/>
                <w:sz w:val="24"/>
                <w:szCs w:val="24"/>
              </w:rPr>
            </w:pPr>
            <w:r w:rsidRPr="00230467">
              <w:rPr>
                <w:rFonts w:ascii="Arial" w:hAnsi="Arial" w:cs="Arial"/>
                <w:sz w:val="24"/>
                <w:szCs w:val="24"/>
              </w:rPr>
              <w:t>This significant underspend has been brought about by a number of factors</w:t>
            </w:r>
            <w:r w:rsidR="005C1788">
              <w:rPr>
                <w:rFonts w:ascii="Arial" w:hAnsi="Arial" w:cs="Arial"/>
                <w:sz w:val="24"/>
                <w:szCs w:val="24"/>
              </w:rPr>
              <w:t>. The main one of these is</w:t>
            </w:r>
            <w:r w:rsidR="00B17D59" w:rsidRPr="00230467">
              <w:rPr>
                <w:rFonts w:ascii="Arial" w:hAnsi="Arial" w:cs="Arial"/>
                <w:sz w:val="24"/>
                <w:szCs w:val="24"/>
              </w:rPr>
              <w:t xml:space="preserve"> </w:t>
            </w:r>
            <w:r w:rsidRPr="00230467">
              <w:rPr>
                <w:rFonts w:ascii="Arial" w:hAnsi="Arial" w:cs="Arial"/>
                <w:sz w:val="24"/>
                <w:szCs w:val="24"/>
              </w:rPr>
              <w:t xml:space="preserve">the BAC’s income </w:t>
            </w:r>
            <w:r w:rsidR="005C1788">
              <w:rPr>
                <w:rFonts w:ascii="Arial" w:hAnsi="Arial" w:cs="Arial"/>
                <w:sz w:val="24"/>
                <w:szCs w:val="24"/>
              </w:rPr>
              <w:t xml:space="preserve">of </w:t>
            </w:r>
            <w:r w:rsidRPr="00230467">
              <w:rPr>
                <w:rFonts w:ascii="Arial" w:hAnsi="Arial" w:cs="Arial"/>
                <w:sz w:val="24"/>
                <w:szCs w:val="24"/>
              </w:rPr>
              <w:t>£0.</w:t>
            </w:r>
            <w:r w:rsidR="00230467" w:rsidRPr="00230467">
              <w:rPr>
                <w:rFonts w:ascii="Arial" w:hAnsi="Arial" w:cs="Arial"/>
                <w:sz w:val="24"/>
                <w:szCs w:val="24"/>
              </w:rPr>
              <w:t>495</w:t>
            </w:r>
            <w:r w:rsidR="00852E95" w:rsidRPr="00230467">
              <w:rPr>
                <w:rFonts w:ascii="Arial" w:hAnsi="Arial" w:cs="Arial"/>
                <w:sz w:val="24"/>
                <w:szCs w:val="24"/>
              </w:rPr>
              <w:t xml:space="preserve">m. </w:t>
            </w:r>
            <w:r w:rsidR="00230467" w:rsidRPr="00230467">
              <w:rPr>
                <w:rFonts w:ascii="Arial" w:hAnsi="Arial" w:cs="Arial"/>
                <w:sz w:val="24"/>
                <w:szCs w:val="24"/>
              </w:rPr>
              <w:t>T</w:t>
            </w:r>
            <w:r w:rsidR="00C059DF" w:rsidRPr="00230467">
              <w:rPr>
                <w:rFonts w:ascii="Arial" w:hAnsi="Arial" w:cs="Arial"/>
                <w:sz w:val="24"/>
                <w:szCs w:val="24"/>
              </w:rPr>
              <w:t>he remaining underspend was due to a number of in year vacancies across the SEN service teams.</w:t>
            </w:r>
          </w:p>
        </w:tc>
      </w:tr>
      <w:tr w:rsidR="00F66A9A" w:rsidRPr="00F66A9A" w:rsidTr="008120B7">
        <w:tc>
          <w:tcPr>
            <w:tcW w:w="3080" w:type="dxa"/>
            <w:tcBorders>
              <w:top w:val="single" w:sz="4" w:space="0" w:color="auto"/>
              <w:left w:val="single" w:sz="4" w:space="0" w:color="auto"/>
              <w:bottom w:val="single" w:sz="4" w:space="0" w:color="auto"/>
              <w:right w:val="single" w:sz="4" w:space="0" w:color="auto"/>
            </w:tcBorders>
            <w:hideMark/>
          </w:tcPr>
          <w:p w:rsidR="008120B7" w:rsidRPr="00F66A9A" w:rsidRDefault="006945B7" w:rsidP="006945B7">
            <w:pPr>
              <w:rPr>
                <w:rFonts w:ascii="Arial" w:hAnsi="Arial" w:cs="Arial"/>
                <w:sz w:val="24"/>
                <w:szCs w:val="24"/>
              </w:rPr>
            </w:pPr>
            <w:r w:rsidRPr="00F66A9A">
              <w:rPr>
                <w:rFonts w:ascii="Arial" w:hAnsi="Arial" w:cs="Arial"/>
                <w:sz w:val="24"/>
                <w:szCs w:val="24"/>
              </w:rPr>
              <w:t>Agency Placements</w:t>
            </w:r>
          </w:p>
        </w:tc>
        <w:tc>
          <w:tcPr>
            <w:tcW w:w="3081" w:type="dxa"/>
            <w:tcBorders>
              <w:top w:val="single" w:sz="4" w:space="0" w:color="auto"/>
              <w:left w:val="single" w:sz="4" w:space="0" w:color="auto"/>
              <w:bottom w:val="single" w:sz="4" w:space="0" w:color="auto"/>
              <w:right w:val="single" w:sz="4" w:space="0" w:color="auto"/>
            </w:tcBorders>
            <w:hideMark/>
          </w:tcPr>
          <w:p w:rsidR="008120B7" w:rsidRPr="00F66A9A" w:rsidRDefault="00817FDB" w:rsidP="00230467">
            <w:pPr>
              <w:jc w:val="center"/>
              <w:rPr>
                <w:rFonts w:ascii="Arial" w:hAnsi="Arial" w:cs="Arial"/>
                <w:sz w:val="24"/>
                <w:szCs w:val="24"/>
              </w:rPr>
            </w:pPr>
            <w:r w:rsidRPr="00F66A9A">
              <w:rPr>
                <w:rFonts w:ascii="Arial" w:hAnsi="Arial" w:cs="Arial"/>
                <w:sz w:val="24"/>
                <w:szCs w:val="24"/>
              </w:rPr>
              <w:t>0.</w:t>
            </w:r>
            <w:r w:rsidR="00230467">
              <w:rPr>
                <w:rFonts w:ascii="Arial" w:hAnsi="Arial" w:cs="Arial"/>
                <w:sz w:val="24"/>
                <w:szCs w:val="24"/>
              </w:rPr>
              <w:t>452</w:t>
            </w:r>
          </w:p>
        </w:tc>
        <w:tc>
          <w:tcPr>
            <w:tcW w:w="3081" w:type="dxa"/>
            <w:tcBorders>
              <w:top w:val="single" w:sz="4" w:space="0" w:color="auto"/>
              <w:left w:val="single" w:sz="4" w:space="0" w:color="auto"/>
              <w:bottom w:val="single" w:sz="4" w:space="0" w:color="auto"/>
              <w:right w:val="single" w:sz="4" w:space="0" w:color="auto"/>
            </w:tcBorders>
            <w:hideMark/>
          </w:tcPr>
          <w:p w:rsidR="008120B7" w:rsidRPr="00230467" w:rsidRDefault="00B17D59" w:rsidP="00230467">
            <w:pPr>
              <w:rPr>
                <w:rFonts w:ascii="Arial" w:hAnsi="Arial" w:cs="Arial"/>
                <w:sz w:val="24"/>
                <w:szCs w:val="24"/>
              </w:rPr>
            </w:pPr>
            <w:r w:rsidRPr="00230467">
              <w:rPr>
                <w:rFonts w:ascii="Arial" w:hAnsi="Arial" w:cs="Arial"/>
                <w:sz w:val="24"/>
                <w:szCs w:val="24"/>
              </w:rPr>
              <w:t xml:space="preserve">An </w:t>
            </w:r>
            <w:r w:rsidR="00230467" w:rsidRPr="00230467">
              <w:rPr>
                <w:rFonts w:ascii="Arial" w:hAnsi="Arial" w:cs="Arial"/>
                <w:sz w:val="24"/>
                <w:szCs w:val="24"/>
              </w:rPr>
              <w:t>over</w:t>
            </w:r>
            <w:r w:rsidRPr="00230467">
              <w:rPr>
                <w:rFonts w:ascii="Arial" w:hAnsi="Arial" w:cs="Arial"/>
                <w:sz w:val="24"/>
                <w:szCs w:val="24"/>
              </w:rPr>
              <w:t xml:space="preserve"> spend on the original budget has arisen due to </w:t>
            </w:r>
            <w:r w:rsidR="00230467" w:rsidRPr="00230467">
              <w:rPr>
                <w:rFonts w:ascii="Arial" w:hAnsi="Arial" w:cs="Arial"/>
                <w:sz w:val="24"/>
                <w:szCs w:val="24"/>
              </w:rPr>
              <w:t>increased out of area costs.</w:t>
            </w:r>
            <w:r w:rsidRPr="00230467">
              <w:rPr>
                <w:rFonts w:ascii="Arial" w:hAnsi="Arial" w:cs="Arial"/>
                <w:sz w:val="24"/>
                <w:szCs w:val="24"/>
              </w:rPr>
              <w:t>.</w:t>
            </w:r>
          </w:p>
        </w:tc>
      </w:tr>
      <w:tr w:rsidR="00F66A9A" w:rsidRPr="00F66A9A" w:rsidTr="008776D7">
        <w:trPr>
          <w:trHeight w:val="1804"/>
        </w:trPr>
        <w:tc>
          <w:tcPr>
            <w:tcW w:w="3080" w:type="dxa"/>
            <w:tcBorders>
              <w:top w:val="single" w:sz="4" w:space="0" w:color="auto"/>
              <w:left w:val="single" w:sz="4" w:space="0" w:color="auto"/>
              <w:bottom w:val="single" w:sz="4" w:space="0" w:color="auto"/>
              <w:right w:val="single" w:sz="4" w:space="0" w:color="auto"/>
            </w:tcBorders>
            <w:hideMark/>
          </w:tcPr>
          <w:p w:rsidR="008120B7" w:rsidRPr="00F66A9A" w:rsidRDefault="006945B7" w:rsidP="006945B7">
            <w:pPr>
              <w:rPr>
                <w:rFonts w:ascii="Arial" w:hAnsi="Arial" w:cs="Arial"/>
                <w:sz w:val="24"/>
                <w:szCs w:val="24"/>
              </w:rPr>
            </w:pPr>
            <w:r w:rsidRPr="00F66A9A">
              <w:rPr>
                <w:rFonts w:ascii="Arial" w:hAnsi="Arial" w:cs="Arial"/>
                <w:sz w:val="24"/>
                <w:szCs w:val="24"/>
              </w:rPr>
              <w:lastRenderedPageBreak/>
              <w:t>Post 16</w:t>
            </w:r>
          </w:p>
        </w:tc>
        <w:tc>
          <w:tcPr>
            <w:tcW w:w="3081" w:type="dxa"/>
            <w:tcBorders>
              <w:top w:val="single" w:sz="4" w:space="0" w:color="auto"/>
              <w:left w:val="single" w:sz="4" w:space="0" w:color="auto"/>
              <w:bottom w:val="single" w:sz="4" w:space="0" w:color="auto"/>
              <w:right w:val="single" w:sz="4" w:space="0" w:color="auto"/>
            </w:tcBorders>
            <w:hideMark/>
          </w:tcPr>
          <w:p w:rsidR="008120B7" w:rsidRPr="00F66A9A" w:rsidRDefault="00085B04" w:rsidP="00230467">
            <w:pPr>
              <w:jc w:val="center"/>
              <w:rPr>
                <w:rFonts w:ascii="Arial" w:hAnsi="Arial" w:cs="Arial"/>
                <w:sz w:val="24"/>
                <w:szCs w:val="24"/>
              </w:rPr>
            </w:pPr>
            <w:r>
              <w:rPr>
                <w:rFonts w:ascii="Arial" w:hAnsi="Arial" w:cs="Arial"/>
                <w:sz w:val="24"/>
                <w:szCs w:val="24"/>
              </w:rPr>
              <w:t>(</w:t>
            </w:r>
            <w:r w:rsidR="008120B7" w:rsidRPr="00F66A9A">
              <w:rPr>
                <w:rFonts w:ascii="Arial" w:hAnsi="Arial" w:cs="Arial"/>
                <w:sz w:val="24"/>
                <w:szCs w:val="24"/>
              </w:rPr>
              <w:t>0.</w:t>
            </w:r>
            <w:r w:rsidR="00230467">
              <w:rPr>
                <w:rFonts w:ascii="Arial" w:hAnsi="Arial" w:cs="Arial"/>
                <w:sz w:val="24"/>
                <w:szCs w:val="24"/>
              </w:rPr>
              <w:t>013</w:t>
            </w:r>
            <w:r>
              <w:rPr>
                <w:rFonts w:ascii="Arial" w:hAnsi="Arial" w:cs="Arial"/>
                <w:sz w:val="24"/>
                <w:szCs w:val="24"/>
              </w:rPr>
              <w:t>)</w:t>
            </w:r>
          </w:p>
        </w:tc>
        <w:tc>
          <w:tcPr>
            <w:tcW w:w="3081" w:type="dxa"/>
            <w:tcBorders>
              <w:top w:val="single" w:sz="4" w:space="0" w:color="auto"/>
              <w:left w:val="single" w:sz="4" w:space="0" w:color="auto"/>
              <w:bottom w:val="single" w:sz="4" w:space="0" w:color="auto"/>
              <w:right w:val="single" w:sz="4" w:space="0" w:color="auto"/>
            </w:tcBorders>
            <w:hideMark/>
          </w:tcPr>
          <w:p w:rsidR="008120B7" w:rsidRPr="00230467" w:rsidRDefault="00230467" w:rsidP="00230467">
            <w:pPr>
              <w:rPr>
                <w:rFonts w:ascii="Arial" w:hAnsi="Arial" w:cs="Arial"/>
                <w:sz w:val="24"/>
                <w:szCs w:val="24"/>
              </w:rPr>
            </w:pPr>
            <w:r>
              <w:rPr>
                <w:rFonts w:ascii="Arial" w:hAnsi="Arial" w:cs="Arial"/>
                <w:sz w:val="24"/>
                <w:szCs w:val="24"/>
              </w:rPr>
              <w:t>Budget r</w:t>
            </w:r>
            <w:r w:rsidRPr="00230467">
              <w:rPr>
                <w:rFonts w:ascii="Arial" w:hAnsi="Arial" w:cs="Arial"/>
                <w:sz w:val="24"/>
                <w:szCs w:val="24"/>
              </w:rPr>
              <w:t>efinements over the years has resulted in a more realistic budget projection.</w:t>
            </w:r>
          </w:p>
        </w:tc>
      </w:tr>
      <w:tr w:rsidR="00F66A9A" w:rsidRPr="00F66A9A" w:rsidTr="008120B7">
        <w:tc>
          <w:tcPr>
            <w:tcW w:w="3080" w:type="dxa"/>
            <w:tcBorders>
              <w:top w:val="single" w:sz="4" w:space="0" w:color="auto"/>
              <w:left w:val="single" w:sz="4" w:space="0" w:color="auto"/>
              <w:bottom w:val="single" w:sz="4" w:space="0" w:color="auto"/>
              <w:right w:val="single" w:sz="4" w:space="0" w:color="auto"/>
            </w:tcBorders>
            <w:hideMark/>
          </w:tcPr>
          <w:p w:rsidR="008120B7" w:rsidRPr="00F66A9A" w:rsidRDefault="008120B7">
            <w:pPr>
              <w:rPr>
                <w:rFonts w:ascii="Arial" w:hAnsi="Arial" w:cs="Arial"/>
                <w:sz w:val="24"/>
                <w:szCs w:val="24"/>
              </w:rPr>
            </w:pPr>
            <w:r w:rsidRPr="00F66A9A">
              <w:rPr>
                <w:rFonts w:ascii="Arial" w:hAnsi="Arial" w:cs="Arial"/>
                <w:sz w:val="24"/>
                <w:szCs w:val="24"/>
              </w:rPr>
              <w:t>Other</w:t>
            </w:r>
          </w:p>
        </w:tc>
        <w:tc>
          <w:tcPr>
            <w:tcW w:w="3081" w:type="dxa"/>
            <w:tcBorders>
              <w:top w:val="single" w:sz="4" w:space="0" w:color="auto"/>
              <w:left w:val="single" w:sz="4" w:space="0" w:color="auto"/>
              <w:bottom w:val="single" w:sz="4" w:space="0" w:color="auto"/>
              <w:right w:val="single" w:sz="4" w:space="0" w:color="auto"/>
            </w:tcBorders>
            <w:hideMark/>
          </w:tcPr>
          <w:p w:rsidR="008120B7" w:rsidRPr="00F66A9A" w:rsidRDefault="008776D7" w:rsidP="00230467">
            <w:pPr>
              <w:jc w:val="center"/>
              <w:rPr>
                <w:rFonts w:ascii="Arial" w:hAnsi="Arial" w:cs="Arial"/>
                <w:sz w:val="24"/>
                <w:szCs w:val="24"/>
              </w:rPr>
            </w:pPr>
            <w:r w:rsidRPr="00F66A9A">
              <w:rPr>
                <w:rFonts w:ascii="Arial" w:hAnsi="Arial" w:cs="Arial"/>
                <w:sz w:val="24"/>
                <w:szCs w:val="24"/>
              </w:rPr>
              <w:t>(0.</w:t>
            </w:r>
            <w:r w:rsidR="00230467">
              <w:rPr>
                <w:rFonts w:ascii="Arial" w:hAnsi="Arial" w:cs="Arial"/>
                <w:sz w:val="24"/>
                <w:szCs w:val="24"/>
              </w:rPr>
              <w:t>211</w:t>
            </w:r>
            <w:r w:rsidRPr="00F66A9A">
              <w:rPr>
                <w:rFonts w:ascii="Arial" w:hAnsi="Arial" w:cs="Arial"/>
                <w:sz w:val="24"/>
                <w:szCs w:val="24"/>
              </w:rPr>
              <w:t>)</w:t>
            </w:r>
          </w:p>
        </w:tc>
        <w:tc>
          <w:tcPr>
            <w:tcW w:w="3081" w:type="dxa"/>
            <w:tcBorders>
              <w:top w:val="single" w:sz="4" w:space="0" w:color="auto"/>
              <w:left w:val="single" w:sz="4" w:space="0" w:color="auto"/>
              <w:bottom w:val="single" w:sz="4" w:space="0" w:color="auto"/>
              <w:right w:val="single" w:sz="4" w:space="0" w:color="auto"/>
            </w:tcBorders>
          </w:tcPr>
          <w:p w:rsidR="008120B7" w:rsidRPr="00230467" w:rsidRDefault="00230467" w:rsidP="00230467">
            <w:pPr>
              <w:rPr>
                <w:rFonts w:ascii="Arial" w:hAnsi="Arial" w:cs="Arial"/>
                <w:sz w:val="24"/>
                <w:szCs w:val="24"/>
              </w:rPr>
            </w:pPr>
            <w:r w:rsidRPr="00230467">
              <w:rPr>
                <w:rFonts w:ascii="Arial" w:hAnsi="Arial" w:cs="Arial"/>
                <w:sz w:val="24"/>
                <w:szCs w:val="24"/>
              </w:rPr>
              <w:t>In 2016-17 the HNB was original</w:t>
            </w:r>
            <w:r>
              <w:rPr>
                <w:rFonts w:ascii="Arial" w:hAnsi="Arial" w:cs="Arial"/>
                <w:sz w:val="24"/>
                <w:szCs w:val="24"/>
              </w:rPr>
              <w:t>ly</w:t>
            </w:r>
            <w:r w:rsidRPr="00230467">
              <w:rPr>
                <w:rFonts w:ascii="Arial" w:hAnsi="Arial" w:cs="Arial"/>
                <w:sz w:val="24"/>
                <w:szCs w:val="24"/>
              </w:rPr>
              <w:t xml:space="preserve"> unallocated by £75k. In July 201</w:t>
            </w:r>
            <w:r>
              <w:rPr>
                <w:rFonts w:ascii="Arial" w:hAnsi="Arial" w:cs="Arial"/>
                <w:sz w:val="24"/>
                <w:szCs w:val="24"/>
              </w:rPr>
              <w:t>6</w:t>
            </w:r>
            <w:r w:rsidRPr="00230467">
              <w:rPr>
                <w:rFonts w:ascii="Arial" w:hAnsi="Arial" w:cs="Arial"/>
                <w:sz w:val="24"/>
                <w:szCs w:val="24"/>
              </w:rPr>
              <w:t xml:space="preserve"> a late adjustment increasing the HNB by £150k was notified by the </w:t>
            </w:r>
            <w:proofErr w:type="spellStart"/>
            <w:r w:rsidRPr="00230467">
              <w:rPr>
                <w:rFonts w:ascii="Arial" w:hAnsi="Arial" w:cs="Arial"/>
                <w:sz w:val="24"/>
                <w:szCs w:val="24"/>
              </w:rPr>
              <w:t>DfE</w:t>
            </w:r>
            <w:proofErr w:type="spellEnd"/>
            <w:r w:rsidRPr="00230467">
              <w:rPr>
                <w:rFonts w:ascii="Arial" w:hAnsi="Arial" w:cs="Arial"/>
                <w:sz w:val="24"/>
                <w:szCs w:val="24"/>
              </w:rPr>
              <w:t>.</w:t>
            </w:r>
          </w:p>
        </w:tc>
      </w:tr>
      <w:tr w:rsidR="00F66A9A" w:rsidRPr="00F66A9A" w:rsidTr="008120B7">
        <w:tc>
          <w:tcPr>
            <w:tcW w:w="3080" w:type="dxa"/>
            <w:tcBorders>
              <w:top w:val="single" w:sz="4" w:space="0" w:color="auto"/>
              <w:left w:val="single" w:sz="4" w:space="0" w:color="auto"/>
              <w:bottom w:val="single" w:sz="4" w:space="0" w:color="auto"/>
              <w:right w:val="single" w:sz="4" w:space="0" w:color="auto"/>
            </w:tcBorders>
          </w:tcPr>
          <w:p w:rsidR="008120B7" w:rsidRPr="00F66A9A" w:rsidRDefault="008120B7">
            <w:pPr>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rsidR="008120B7" w:rsidRPr="00F66A9A" w:rsidRDefault="008120B7">
            <w:pPr>
              <w:jc w:val="center"/>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rsidR="008120B7" w:rsidRPr="00F66A9A" w:rsidRDefault="008120B7">
            <w:pPr>
              <w:rPr>
                <w:rFonts w:ascii="Arial" w:hAnsi="Arial" w:cs="Arial"/>
                <w:sz w:val="24"/>
                <w:szCs w:val="24"/>
              </w:rPr>
            </w:pPr>
          </w:p>
        </w:tc>
      </w:tr>
      <w:tr w:rsidR="00F66A9A" w:rsidRPr="00F66A9A" w:rsidTr="008120B7">
        <w:tc>
          <w:tcPr>
            <w:tcW w:w="3080" w:type="dxa"/>
            <w:tcBorders>
              <w:top w:val="single" w:sz="4" w:space="0" w:color="auto"/>
              <w:left w:val="single" w:sz="4" w:space="0" w:color="auto"/>
              <w:bottom w:val="single" w:sz="4" w:space="0" w:color="auto"/>
              <w:right w:val="single" w:sz="4" w:space="0" w:color="auto"/>
            </w:tcBorders>
            <w:hideMark/>
          </w:tcPr>
          <w:p w:rsidR="008120B7" w:rsidRPr="00F66A9A" w:rsidRDefault="008120B7">
            <w:pPr>
              <w:rPr>
                <w:rFonts w:ascii="Arial" w:hAnsi="Arial" w:cs="Arial"/>
                <w:b/>
                <w:sz w:val="24"/>
                <w:szCs w:val="24"/>
              </w:rPr>
            </w:pPr>
            <w:r w:rsidRPr="00F66A9A">
              <w:rPr>
                <w:rFonts w:ascii="Arial" w:hAnsi="Arial" w:cs="Arial"/>
                <w:b/>
                <w:sz w:val="24"/>
                <w:szCs w:val="24"/>
              </w:rPr>
              <w:t>TOTAL</w:t>
            </w:r>
          </w:p>
        </w:tc>
        <w:tc>
          <w:tcPr>
            <w:tcW w:w="3081" w:type="dxa"/>
            <w:tcBorders>
              <w:top w:val="single" w:sz="4" w:space="0" w:color="auto"/>
              <w:left w:val="single" w:sz="4" w:space="0" w:color="auto"/>
              <w:bottom w:val="single" w:sz="4" w:space="0" w:color="auto"/>
              <w:right w:val="single" w:sz="4" w:space="0" w:color="auto"/>
            </w:tcBorders>
            <w:hideMark/>
          </w:tcPr>
          <w:p w:rsidR="008120B7" w:rsidRPr="00F66A9A" w:rsidRDefault="00540C8F" w:rsidP="0033417D">
            <w:pPr>
              <w:jc w:val="center"/>
              <w:rPr>
                <w:rFonts w:ascii="Arial" w:hAnsi="Arial" w:cs="Arial"/>
                <w:b/>
                <w:sz w:val="24"/>
                <w:szCs w:val="24"/>
              </w:rPr>
            </w:pPr>
            <w:r w:rsidRPr="00F66A9A">
              <w:rPr>
                <w:rFonts w:ascii="Arial" w:hAnsi="Arial" w:cs="Arial"/>
                <w:b/>
                <w:sz w:val="24"/>
                <w:szCs w:val="24"/>
              </w:rPr>
              <w:t>(0.</w:t>
            </w:r>
            <w:r w:rsidR="00085B04">
              <w:rPr>
                <w:rFonts w:ascii="Arial" w:hAnsi="Arial" w:cs="Arial"/>
                <w:b/>
                <w:sz w:val="24"/>
                <w:szCs w:val="24"/>
              </w:rPr>
              <w:t>5</w:t>
            </w:r>
            <w:r w:rsidR="0033417D">
              <w:rPr>
                <w:rFonts w:ascii="Arial" w:hAnsi="Arial" w:cs="Arial"/>
                <w:b/>
                <w:sz w:val="24"/>
                <w:szCs w:val="24"/>
              </w:rPr>
              <w:t>10</w:t>
            </w:r>
            <w:r w:rsidR="008120B7" w:rsidRPr="00F66A9A">
              <w:rPr>
                <w:rFonts w:ascii="Arial" w:hAnsi="Arial" w:cs="Arial"/>
                <w:b/>
                <w:sz w:val="24"/>
                <w:szCs w:val="24"/>
              </w:rPr>
              <w:t>)</w:t>
            </w:r>
          </w:p>
        </w:tc>
        <w:tc>
          <w:tcPr>
            <w:tcW w:w="3081" w:type="dxa"/>
            <w:tcBorders>
              <w:top w:val="single" w:sz="4" w:space="0" w:color="auto"/>
              <w:left w:val="single" w:sz="4" w:space="0" w:color="auto"/>
              <w:bottom w:val="single" w:sz="4" w:space="0" w:color="auto"/>
              <w:right w:val="single" w:sz="4" w:space="0" w:color="auto"/>
            </w:tcBorders>
          </w:tcPr>
          <w:p w:rsidR="008120B7" w:rsidRPr="00F66A9A" w:rsidRDefault="008120B7">
            <w:pPr>
              <w:rPr>
                <w:rFonts w:ascii="Arial" w:hAnsi="Arial" w:cs="Arial"/>
                <w:sz w:val="24"/>
                <w:szCs w:val="24"/>
              </w:rPr>
            </w:pPr>
          </w:p>
        </w:tc>
      </w:tr>
    </w:tbl>
    <w:p w:rsidR="004C5D54" w:rsidRDefault="004C5D54" w:rsidP="008120B7">
      <w:pPr>
        <w:rPr>
          <w:rFonts w:ascii="Arial" w:hAnsi="Arial" w:cs="Arial"/>
          <w:sz w:val="24"/>
          <w:szCs w:val="24"/>
        </w:rPr>
      </w:pPr>
    </w:p>
    <w:p w:rsidR="00CF7818" w:rsidRPr="00085B04" w:rsidRDefault="0009223C" w:rsidP="008120B7">
      <w:pPr>
        <w:rPr>
          <w:rFonts w:ascii="Arial" w:hAnsi="Arial" w:cs="Arial"/>
          <w:sz w:val="24"/>
          <w:szCs w:val="24"/>
        </w:rPr>
      </w:pPr>
      <w:r w:rsidRPr="00085B04">
        <w:rPr>
          <w:rFonts w:ascii="Arial" w:hAnsi="Arial" w:cs="Arial"/>
          <w:sz w:val="24"/>
          <w:szCs w:val="24"/>
        </w:rPr>
        <w:t>Further detail budget information on the outturn of the above service areas is provided at Appendix A.</w:t>
      </w:r>
    </w:p>
    <w:p w:rsidR="008120B7" w:rsidRPr="00085B04" w:rsidRDefault="008120B7" w:rsidP="008120B7">
      <w:pPr>
        <w:rPr>
          <w:rFonts w:ascii="Arial" w:hAnsi="Arial" w:cs="Arial"/>
          <w:b/>
          <w:sz w:val="24"/>
          <w:szCs w:val="24"/>
          <w:u w:val="single"/>
        </w:rPr>
      </w:pPr>
      <w:r w:rsidRPr="00085B04">
        <w:rPr>
          <w:rFonts w:ascii="Arial" w:hAnsi="Arial" w:cs="Arial"/>
          <w:b/>
          <w:sz w:val="24"/>
          <w:szCs w:val="24"/>
          <w:u w:val="single"/>
        </w:rPr>
        <w:t>Early Years</w:t>
      </w:r>
    </w:p>
    <w:p w:rsidR="008120B7" w:rsidRPr="00085B04" w:rsidRDefault="008120B7" w:rsidP="008120B7">
      <w:pPr>
        <w:rPr>
          <w:rFonts w:ascii="Arial" w:hAnsi="Arial" w:cs="Arial"/>
          <w:sz w:val="24"/>
          <w:szCs w:val="24"/>
        </w:rPr>
      </w:pPr>
      <w:r w:rsidRPr="00085B04">
        <w:rPr>
          <w:rFonts w:ascii="Arial" w:hAnsi="Arial" w:cs="Arial"/>
          <w:sz w:val="24"/>
          <w:szCs w:val="24"/>
        </w:rPr>
        <w:t>The outturn position for the Early Years Block is a net under spend of £</w:t>
      </w:r>
      <w:r w:rsidR="00415CAA" w:rsidRPr="00085B04">
        <w:rPr>
          <w:rFonts w:ascii="Arial" w:hAnsi="Arial" w:cs="Arial"/>
          <w:sz w:val="24"/>
          <w:szCs w:val="24"/>
        </w:rPr>
        <w:t>0</w:t>
      </w:r>
      <w:r w:rsidRPr="00085B04">
        <w:rPr>
          <w:rFonts w:ascii="Arial" w:hAnsi="Arial" w:cs="Arial"/>
          <w:sz w:val="24"/>
          <w:szCs w:val="24"/>
        </w:rPr>
        <w:t>.</w:t>
      </w:r>
      <w:r w:rsidR="00415CAA" w:rsidRPr="00085B04">
        <w:rPr>
          <w:rFonts w:ascii="Arial" w:hAnsi="Arial" w:cs="Arial"/>
          <w:sz w:val="24"/>
          <w:szCs w:val="24"/>
        </w:rPr>
        <w:t>0</w:t>
      </w:r>
      <w:r w:rsidR="00BD45A9" w:rsidRPr="00085B04">
        <w:rPr>
          <w:rFonts w:ascii="Arial" w:hAnsi="Arial" w:cs="Arial"/>
          <w:sz w:val="24"/>
          <w:szCs w:val="24"/>
        </w:rPr>
        <w:t>79</w:t>
      </w:r>
      <w:r w:rsidR="003C6B26" w:rsidRPr="00085B04">
        <w:rPr>
          <w:rFonts w:ascii="Arial" w:hAnsi="Arial" w:cs="Arial"/>
          <w:sz w:val="24"/>
          <w:szCs w:val="24"/>
        </w:rPr>
        <w:t>m</w:t>
      </w:r>
      <w:r w:rsidRPr="00085B04">
        <w:rPr>
          <w:rFonts w:ascii="Arial" w:hAnsi="Arial" w:cs="Arial"/>
          <w:sz w:val="24"/>
          <w:szCs w:val="24"/>
        </w:rPr>
        <w:t xml:space="preserve">. </w:t>
      </w:r>
      <w:r w:rsidR="00415CAA" w:rsidRPr="00085B04">
        <w:rPr>
          <w:rFonts w:ascii="Arial" w:hAnsi="Arial" w:cs="Arial"/>
          <w:sz w:val="24"/>
          <w:szCs w:val="24"/>
        </w:rPr>
        <w:t xml:space="preserve">Given the immaterial sum no further explanation is </w:t>
      </w:r>
      <w:r w:rsidR="00C83AF5" w:rsidRPr="00085B04">
        <w:rPr>
          <w:rFonts w:ascii="Arial" w:hAnsi="Arial" w:cs="Arial"/>
          <w:sz w:val="24"/>
          <w:szCs w:val="24"/>
        </w:rPr>
        <w:t>provided</w:t>
      </w:r>
      <w:r w:rsidR="00415CAA" w:rsidRPr="00085B04">
        <w:rPr>
          <w:rFonts w:ascii="Arial" w:hAnsi="Arial" w:cs="Arial"/>
          <w:sz w:val="24"/>
          <w:szCs w:val="24"/>
        </w:rPr>
        <w:t xml:space="preserve">. The underspend is </w:t>
      </w:r>
      <w:r w:rsidR="00BD45A9" w:rsidRPr="00085B04">
        <w:rPr>
          <w:rFonts w:ascii="Arial" w:hAnsi="Arial" w:cs="Arial"/>
          <w:sz w:val="24"/>
          <w:szCs w:val="24"/>
        </w:rPr>
        <w:t xml:space="preserve">broadly similar with the </w:t>
      </w:r>
      <w:r w:rsidR="00415CAA" w:rsidRPr="00085B04">
        <w:rPr>
          <w:rFonts w:ascii="Arial" w:hAnsi="Arial" w:cs="Arial"/>
          <w:sz w:val="24"/>
          <w:szCs w:val="24"/>
        </w:rPr>
        <w:t>previous year</w:t>
      </w:r>
      <w:r w:rsidR="00BD45A9" w:rsidRPr="00085B04">
        <w:rPr>
          <w:rFonts w:ascii="Arial" w:hAnsi="Arial" w:cs="Arial"/>
          <w:sz w:val="24"/>
          <w:szCs w:val="24"/>
        </w:rPr>
        <w:t xml:space="preserve"> and reflects a year end accrual of £0.16</w:t>
      </w:r>
      <w:r w:rsidR="0084376D">
        <w:rPr>
          <w:rFonts w:ascii="Arial" w:hAnsi="Arial" w:cs="Arial"/>
          <w:sz w:val="24"/>
          <w:szCs w:val="24"/>
        </w:rPr>
        <w:t>0</w:t>
      </w:r>
      <w:r w:rsidR="00BD45A9" w:rsidRPr="00085B04">
        <w:rPr>
          <w:rFonts w:ascii="Arial" w:hAnsi="Arial" w:cs="Arial"/>
          <w:sz w:val="24"/>
          <w:szCs w:val="24"/>
        </w:rPr>
        <w:t xml:space="preserve">m which will be recouped by the </w:t>
      </w:r>
      <w:r w:rsidR="00C83AF5" w:rsidRPr="00085B04">
        <w:rPr>
          <w:rFonts w:ascii="Arial" w:hAnsi="Arial" w:cs="Arial"/>
          <w:sz w:val="24"/>
          <w:szCs w:val="24"/>
        </w:rPr>
        <w:t>Education &amp; Skills Funding Agency  (</w:t>
      </w:r>
      <w:r w:rsidR="00BD45A9" w:rsidRPr="00085B04">
        <w:rPr>
          <w:rFonts w:ascii="Arial" w:hAnsi="Arial" w:cs="Arial"/>
          <w:sz w:val="24"/>
          <w:szCs w:val="24"/>
        </w:rPr>
        <w:t>ESFA</w:t>
      </w:r>
      <w:r w:rsidR="00C83AF5" w:rsidRPr="00085B04">
        <w:rPr>
          <w:rFonts w:ascii="Arial" w:hAnsi="Arial" w:cs="Arial"/>
          <w:sz w:val="24"/>
          <w:szCs w:val="24"/>
        </w:rPr>
        <w:t>)</w:t>
      </w:r>
      <w:r w:rsidR="00BD45A9" w:rsidRPr="00085B04">
        <w:rPr>
          <w:rFonts w:ascii="Arial" w:hAnsi="Arial" w:cs="Arial"/>
          <w:sz w:val="24"/>
          <w:szCs w:val="24"/>
        </w:rPr>
        <w:t>.</w:t>
      </w:r>
      <w:r w:rsidR="00415CAA" w:rsidRPr="00085B04">
        <w:rPr>
          <w:rFonts w:ascii="Arial" w:hAnsi="Arial" w:cs="Arial"/>
          <w:sz w:val="24"/>
          <w:szCs w:val="24"/>
        </w:rPr>
        <w:t xml:space="preserve"> </w:t>
      </w:r>
    </w:p>
    <w:p w:rsidR="008120B7" w:rsidRPr="00085B04" w:rsidRDefault="008120B7" w:rsidP="008120B7">
      <w:pPr>
        <w:rPr>
          <w:rFonts w:ascii="Arial" w:hAnsi="Arial" w:cs="Arial"/>
          <w:b/>
          <w:sz w:val="24"/>
          <w:szCs w:val="24"/>
          <w:u w:val="single"/>
        </w:rPr>
      </w:pPr>
      <w:r w:rsidRPr="00085B04">
        <w:rPr>
          <w:rFonts w:ascii="Arial" w:hAnsi="Arial" w:cs="Arial"/>
          <w:b/>
          <w:sz w:val="24"/>
          <w:szCs w:val="24"/>
          <w:u w:val="single"/>
        </w:rPr>
        <w:t>Contingency Balance</w:t>
      </w:r>
    </w:p>
    <w:p w:rsidR="008120B7" w:rsidRPr="00085B04" w:rsidRDefault="008120B7" w:rsidP="008120B7">
      <w:pPr>
        <w:jc w:val="both"/>
        <w:rPr>
          <w:rFonts w:ascii="Arial" w:hAnsi="Arial" w:cs="Arial"/>
          <w:sz w:val="24"/>
          <w:szCs w:val="24"/>
        </w:rPr>
      </w:pPr>
      <w:r w:rsidRPr="00085B04">
        <w:rPr>
          <w:rFonts w:ascii="Arial" w:hAnsi="Arial" w:cs="Arial"/>
          <w:sz w:val="24"/>
          <w:szCs w:val="24"/>
        </w:rPr>
        <w:t>In determining the level of balances to be retained a number of factors need to be considered and a balance struck between ensuring the DSG allocation is spen</w:t>
      </w:r>
      <w:r w:rsidR="00296831" w:rsidRPr="00085B04">
        <w:rPr>
          <w:rFonts w:ascii="Arial" w:hAnsi="Arial" w:cs="Arial"/>
          <w:sz w:val="24"/>
          <w:szCs w:val="24"/>
        </w:rPr>
        <w:t>t</w:t>
      </w:r>
      <w:r w:rsidRPr="00085B04">
        <w:rPr>
          <w:rFonts w:ascii="Arial" w:hAnsi="Arial" w:cs="Arial"/>
          <w:sz w:val="24"/>
          <w:szCs w:val="24"/>
        </w:rPr>
        <w:t xml:space="preserve"> on the children of today </w:t>
      </w:r>
      <w:r w:rsidR="00FA676D">
        <w:rPr>
          <w:rFonts w:ascii="Arial" w:hAnsi="Arial" w:cs="Arial"/>
          <w:sz w:val="24"/>
          <w:szCs w:val="24"/>
        </w:rPr>
        <w:t>and</w:t>
      </w:r>
      <w:r w:rsidRPr="00085B04">
        <w:rPr>
          <w:rFonts w:ascii="Arial" w:hAnsi="Arial" w:cs="Arial"/>
          <w:sz w:val="24"/>
          <w:szCs w:val="24"/>
        </w:rPr>
        <w:t xml:space="preserve"> there being sufficient funds to meet any unforeseen costs without hav</w:t>
      </w:r>
      <w:r w:rsidR="007A34BD">
        <w:rPr>
          <w:rFonts w:ascii="Arial" w:hAnsi="Arial" w:cs="Arial"/>
          <w:sz w:val="24"/>
          <w:szCs w:val="24"/>
        </w:rPr>
        <w:t>ing</w:t>
      </w:r>
      <w:r w:rsidRPr="00085B04">
        <w:rPr>
          <w:rFonts w:ascii="Arial" w:hAnsi="Arial" w:cs="Arial"/>
          <w:sz w:val="24"/>
          <w:szCs w:val="24"/>
        </w:rPr>
        <w:t xml:space="preserve"> to reduce individual allocations in future years.</w:t>
      </w:r>
    </w:p>
    <w:p w:rsidR="00AB2A24" w:rsidRPr="00085B04" w:rsidRDefault="008120B7" w:rsidP="008120B7">
      <w:pPr>
        <w:jc w:val="both"/>
        <w:rPr>
          <w:rFonts w:ascii="Arial" w:hAnsi="Arial" w:cs="Arial"/>
          <w:sz w:val="24"/>
          <w:szCs w:val="24"/>
        </w:rPr>
      </w:pPr>
      <w:r w:rsidRPr="00085B04">
        <w:rPr>
          <w:rFonts w:ascii="Arial" w:hAnsi="Arial" w:cs="Arial"/>
          <w:sz w:val="24"/>
          <w:szCs w:val="24"/>
        </w:rPr>
        <w:t xml:space="preserve">In recent years the balances held have been substantial, this approach was recommended by officers and supported by the Schools Forum members. The rationale for this was predominantly around the potential turbulence and uncertainty caused by the move to the new funding system. However during this time a number of one off payments have been made to schools as were felt appropriate and prudent at the time. </w:t>
      </w:r>
    </w:p>
    <w:p w:rsidR="00AB2A24" w:rsidRPr="00085B04" w:rsidRDefault="00AB2A24" w:rsidP="008120B7">
      <w:pPr>
        <w:jc w:val="both"/>
        <w:rPr>
          <w:rFonts w:ascii="Arial" w:hAnsi="Arial" w:cs="Arial"/>
          <w:sz w:val="24"/>
          <w:szCs w:val="24"/>
        </w:rPr>
      </w:pPr>
      <w:r w:rsidRPr="00085B04">
        <w:rPr>
          <w:rFonts w:ascii="Arial" w:hAnsi="Arial" w:cs="Arial"/>
          <w:sz w:val="24"/>
          <w:szCs w:val="24"/>
        </w:rPr>
        <w:t xml:space="preserve">This position remains the same </w:t>
      </w:r>
      <w:r w:rsidR="00C83AF5" w:rsidRPr="00085B04">
        <w:rPr>
          <w:rFonts w:ascii="Arial" w:hAnsi="Arial" w:cs="Arial"/>
          <w:sz w:val="24"/>
          <w:szCs w:val="24"/>
        </w:rPr>
        <w:t>with the funding position still not clear. Recent announcements have suggested increases for all schools but the impact and the detail remain to be seen</w:t>
      </w:r>
      <w:r w:rsidR="000B787C">
        <w:rPr>
          <w:rFonts w:ascii="Arial" w:hAnsi="Arial" w:cs="Arial"/>
          <w:sz w:val="24"/>
          <w:szCs w:val="24"/>
        </w:rPr>
        <w:t>.</w:t>
      </w:r>
    </w:p>
    <w:p w:rsidR="008120B7" w:rsidRPr="00085B04" w:rsidRDefault="008120B7" w:rsidP="00E671BA">
      <w:pPr>
        <w:jc w:val="both"/>
        <w:rPr>
          <w:rFonts w:ascii="Arial" w:hAnsi="Arial" w:cs="Arial"/>
          <w:sz w:val="24"/>
          <w:szCs w:val="24"/>
        </w:rPr>
      </w:pPr>
      <w:r w:rsidRPr="00085B04">
        <w:rPr>
          <w:rFonts w:ascii="Arial" w:hAnsi="Arial" w:cs="Arial"/>
          <w:sz w:val="24"/>
          <w:szCs w:val="24"/>
        </w:rPr>
        <w:t xml:space="preserve">The level of </w:t>
      </w:r>
      <w:r w:rsidR="00E671BA" w:rsidRPr="00085B04">
        <w:rPr>
          <w:rFonts w:ascii="Arial" w:hAnsi="Arial" w:cs="Arial"/>
          <w:sz w:val="24"/>
          <w:szCs w:val="24"/>
        </w:rPr>
        <w:t xml:space="preserve">DSG </w:t>
      </w:r>
      <w:r w:rsidRPr="00085B04">
        <w:rPr>
          <w:rFonts w:ascii="Arial" w:hAnsi="Arial" w:cs="Arial"/>
          <w:sz w:val="24"/>
          <w:szCs w:val="24"/>
        </w:rPr>
        <w:t>reserves held by Local Authorit</w:t>
      </w:r>
      <w:r w:rsidR="00DA1FF2">
        <w:rPr>
          <w:rFonts w:ascii="Arial" w:hAnsi="Arial" w:cs="Arial"/>
          <w:sz w:val="24"/>
          <w:szCs w:val="24"/>
        </w:rPr>
        <w:t>ies</w:t>
      </w:r>
      <w:r w:rsidRPr="00085B04">
        <w:rPr>
          <w:rFonts w:ascii="Arial" w:hAnsi="Arial" w:cs="Arial"/>
          <w:sz w:val="24"/>
          <w:szCs w:val="24"/>
        </w:rPr>
        <w:t xml:space="preserve"> </w:t>
      </w:r>
      <w:r w:rsidR="00E671BA" w:rsidRPr="00085B04">
        <w:rPr>
          <w:rFonts w:ascii="Arial" w:hAnsi="Arial" w:cs="Arial"/>
          <w:sz w:val="24"/>
          <w:szCs w:val="24"/>
        </w:rPr>
        <w:t xml:space="preserve">continue to be </w:t>
      </w:r>
      <w:r w:rsidR="009B4DED" w:rsidRPr="00085B04">
        <w:rPr>
          <w:rFonts w:ascii="Arial" w:hAnsi="Arial" w:cs="Arial"/>
          <w:sz w:val="24"/>
          <w:szCs w:val="24"/>
        </w:rPr>
        <w:t>monitored</w:t>
      </w:r>
      <w:r w:rsidRPr="00085B04">
        <w:rPr>
          <w:rFonts w:ascii="Arial" w:hAnsi="Arial" w:cs="Arial"/>
          <w:sz w:val="24"/>
          <w:szCs w:val="24"/>
        </w:rPr>
        <w:t xml:space="preserve"> by the E</w:t>
      </w:r>
      <w:r w:rsidR="00C83AF5" w:rsidRPr="00085B04">
        <w:rPr>
          <w:rFonts w:ascii="Arial" w:hAnsi="Arial" w:cs="Arial"/>
          <w:sz w:val="24"/>
          <w:szCs w:val="24"/>
        </w:rPr>
        <w:t>S</w:t>
      </w:r>
      <w:r w:rsidRPr="00085B04">
        <w:rPr>
          <w:rFonts w:ascii="Arial" w:hAnsi="Arial" w:cs="Arial"/>
          <w:sz w:val="24"/>
          <w:szCs w:val="24"/>
        </w:rPr>
        <w:t xml:space="preserve">FA and </w:t>
      </w:r>
      <w:r w:rsidR="00237407" w:rsidRPr="00085B04">
        <w:rPr>
          <w:rFonts w:ascii="Arial" w:hAnsi="Arial" w:cs="Arial"/>
          <w:sz w:val="24"/>
          <w:szCs w:val="24"/>
        </w:rPr>
        <w:t xml:space="preserve">the </w:t>
      </w:r>
      <w:r w:rsidRPr="00085B04">
        <w:rPr>
          <w:rFonts w:ascii="Arial" w:hAnsi="Arial" w:cs="Arial"/>
          <w:sz w:val="24"/>
          <w:szCs w:val="24"/>
        </w:rPr>
        <w:t>guidance that this should be no more than 5%</w:t>
      </w:r>
      <w:r w:rsidR="00237407" w:rsidRPr="00085B04">
        <w:rPr>
          <w:rFonts w:ascii="Arial" w:hAnsi="Arial" w:cs="Arial"/>
          <w:sz w:val="24"/>
          <w:szCs w:val="24"/>
        </w:rPr>
        <w:t xml:space="preserve"> remains in place</w:t>
      </w:r>
      <w:r w:rsidRPr="00085B04">
        <w:rPr>
          <w:rFonts w:ascii="Arial" w:hAnsi="Arial" w:cs="Arial"/>
          <w:sz w:val="24"/>
          <w:szCs w:val="24"/>
        </w:rPr>
        <w:t xml:space="preserve">. Whilst the 5% is not prescriptive LA’s will need to explain why they are holding </w:t>
      </w:r>
      <w:r w:rsidRPr="00085B04">
        <w:rPr>
          <w:rFonts w:ascii="Arial" w:hAnsi="Arial" w:cs="Arial"/>
          <w:sz w:val="24"/>
          <w:szCs w:val="24"/>
        </w:rPr>
        <w:lastRenderedPageBreak/>
        <w:t>amounts over and above this level</w:t>
      </w:r>
      <w:r w:rsidR="00E671BA" w:rsidRPr="00085B04">
        <w:rPr>
          <w:rFonts w:ascii="Arial" w:hAnsi="Arial" w:cs="Arial"/>
          <w:sz w:val="24"/>
          <w:szCs w:val="24"/>
        </w:rPr>
        <w:t>.</w:t>
      </w:r>
      <w:r w:rsidR="00AB2A24" w:rsidRPr="00085B04">
        <w:rPr>
          <w:rFonts w:ascii="Arial" w:hAnsi="Arial" w:cs="Arial"/>
          <w:sz w:val="24"/>
          <w:szCs w:val="24"/>
        </w:rPr>
        <w:t xml:space="preserve"> Based on the final DSG </w:t>
      </w:r>
      <w:r w:rsidR="002B604F" w:rsidRPr="00085B04">
        <w:rPr>
          <w:rFonts w:ascii="Arial" w:hAnsi="Arial" w:cs="Arial"/>
          <w:sz w:val="24"/>
          <w:szCs w:val="24"/>
        </w:rPr>
        <w:t xml:space="preserve">for 2016-17 of £28.89m </w:t>
      </w:r>
      <w:r w:rsidR="00AB2A24" w:rsidRPr="00085B04">
        <w:rPr>
          <w:rFonts w:ascii="Arial" w:hAnsi="Arial" w:cs="Arial"/>
          <w:sz w:val="24"/>
          <w:szCs w:val="24"/>
        </w:rPr>
        <w:t>this would equate to £</w:t>
      </w:r>
      <w:r w:rsidR="002B604F" w:rsidRPr="00085B04">
        <w:rPr>
          <w:rFonts w:ascii="Arial" w:hAnsi="Arial" w:cs="Arial"/>
          <w:sz w:val="24"/>
          <w:szCs w:val="24"/>
        </w:rPr>
        <w:t>1.444m.</w:t>
      </w:r>
    </w:p>
    <w:p w:rsidR="008120B7" w:rsidRPr="00085B04" w:rsidRDefault="008120B7" w:rsidP="008120B7">
      <w:pPr>
        <w:rPr>
          <w:rFonts w:ascii="Arial" w:hAnsi="Arial" w:cs="Arial"/>
          <w:b/>
          <w:sz w:val="24"/>
          <w:szCs w:val="24"/>
          <w:u w:val="single"/>
        </w:rPr>
      </w:pPr>
      <w:r w:rsidRPr="00085B04">
        <w:rPr>
          <w:rFonts w:ascii="Arial" w:hAnsi="Arial" w:cs="Arial"/>
          <w:b/>
          <w:sz w:val="24"/>
          <w:szCs w:val="24"/>
          <w:u w:val="single"/>
        </w:rPr>
        <w:t>Contingency Balance as at 31</w:t>
      </w:r>
      <w:r w:rsidRPr="00085B04">
        <w:rPr>
          <w:rFonts w:ascii="Arial" w:hAnsi="Arial" w:cs="Arial"/>
          <w:b/>
          <w:sz w:val="24"/>
          <w:szCs w:val="24"/>
          <w:u w:val="single"/>
          <w:vertAlign w:val="superscript"/>
        </w:rPr>
        <w:t xml:space="preserve">st </w:t>
      </w:r>
      <w:r w:rsidRPr="00085B04">
        <w:rPr>
          <w:rFonts w:ascii="Arial" w:hAnsi="Arial" w:cs="Arial"/>
          <w:b/>
          <w:sz w:val="24"/>
          <w:szCs w:val="24"/>
          <w:u w:val="single"/>
        </w:rPr>
        <w:t xml:space="preserve">March </w:t>
      </w:r>
      <w:r w:rsidR="0059668A" w:rsidRPr="00085B04">
        <w:rPr>
          <w:rFonts w:ascii="Arial" w:hAnsi="Arial" w:cs="Arial"/>
          <w:b/>
          <w:sz w:val="24"/>
          <w:szCs w:val="24"/>
          <w:u w:val="single"/>
        </w:rPr>
        <w:t>2017</w:t>
      </w:r>
    </w:p>
    <w:p w:rsidR="008120B7" w:rsidRPr="00085B04" w:rsidRDefault="008120B7" w:rsidP="008120B7">
      <w:pPr>
        <w:jc w:val="both"/>
        <w:rPr>
          <w:rFonts w:ascii="Arial" w:hAnsi="Arial" w:cs="Arial"/>
          <w:sz w:val="24"/>
          <w:szCs w:val="24"/>
        </w:rPr>
      </w:pPr>
      <w:r w:rsidRPr="00085B04">
        <w:rPr>
          <w:rFonts w:ascii="Arial" w:hAnsi="Arial" w:cs="Arial"/>
          <w:sz w:val="24"/>
          <w:szCs w:val="24"/>
        </w:rPr>
        <w:t>At the start of the financial year the DSG contingency balance brought forward was £</w:t>
      </w:r>
      <w:r w:rsidR="0059668A" w:rsidRPr="00085B04">
        <w:rPr>
          <w:rFonts w:ascii="Arial" w:hAnsi="Arial" w:cs="Arial"/>
          <w:sz w:val="24"/>
          <w:szCs w:val="24"/>
        </w:rPr>
        <w:t>5.407</w:t>
      </w:r>
      <w:r w:rsidR="007056BF">
        <w:rPr>
          <w:rFonts w:ascii="Arial" w:hAnsi="Arial" w:cs="Arial"/>
          <w:sz w:val="24"/>
          <w:szCs w:val="24"/>
        </w:rPr>
        <w:t>m</w:t>
      </w:r>
      <w:r w:rsidRPr="00085B04">
        <w:rPr>
          <w:rFonts w:ascii="Arial" w:hAnsi="Arial" w:cs="Arial"/>
          <w:sz w:val="24"/>
          <w:szCs w:val="24"/>
        </w:rPr>
        <w:t>. From this amount officers, in conjunction with the Schools Forum allocated £</w:t>
      </w:r>
      <w:r w:rsidR="00C07828" w:rsidRPr="00085B04">
        <w:rPr>
          <w:rFonts w:ascii="Arial" w:hAnsi="Arial" w:cs="Arial"/>
          <w:sz w:val="24"/>
          <w:szCs w:val="24"/>
        </w:rPr>
        <w:t>2</w:t>
      </w:r>
      <w:r w:rsidRPr="00085B04">
        <w:rPr>
          <w:rFonts w:ascii="Arial" w:hAnsi="Arial" w:cs="Arial"/>
          <w:sz w:val="24"/>
          <w:szCs w:val="24"/>
        </w:rPr>
        <w:t>.</w:t>
      </w:r>
      <w:r w:rsidR="009164F6" w:rsidRPr="00085B04">
        <w:rPr>
          <w:rFonts w:ascii="Arial" w:hAnsi="Arial" w:cs="Arial"/>
          <w:sz w:val="24"/>
          <w:szCs w:val="24"/>
        </w:rPr>
        <w:t xml:space="preserve">477m </w:t>
      </w:r>
      <w:r w:rsidRPr="00085B04">
        <w:rPr>
          <w:rFonts w:ascii="Arial" w:hAnsi="Arial" w:cs="Arial"/>
          <w:sz w:val="24"/>
          <w:szCs w:val="24"/>
        </w:rPr>
        <w:t xml:space="preserve">as a one-off payment to all schools through the </w:t>
      </w:r>
      <w:r w:rsidR="0059668A" w:rsidRPr="00085B04">
        <w:rPr>
          <w:rFonts w:ascii="Arial" w:hAnsi="Arial" w:cs="Arial"/>
          <w:sz w:val="24"/>
          <w:szCs w:val="24"/>
        </w:rPr>
        <w:t>2016</w:t>
      </w:r>
      <w:r w:rsidRPr="00085B04">
        <w:rPr>
          <w:rFonts w:ascii="Arial" w:hAnsi="Arial" w:cs="Arial"/>
          <w:sz w:val="24"/>
          <w:szCs w:val="24"/>
        </w:rPr>
        <w:t>-</w:t>
      </w:r>
      <w:r w:rsidR="0059668A" w:rsidRPr="00085B04">
        <w:rPr>
          <w:rFonts w:ascii="Arial" w:hAnsi="Arial" w:cs="Arial"/>
          <w:sz w:val="24"/>
          <w:szCs w:val="24"/>
        </w:rPr>
        <w:t xml:space="preserve">17 </w:t>
      </w:r>
      <w:r w:rsidRPr="00085B04">
        <w:rPr>
          <w:rFonts w:ascii="Arial" w:hAnsi="Arial" w:cs="Arial"/>
          <w:sz w:val="24"/>
          <w:szCs w:val="24"/>
        </w:rPr>
        <w:t xml:space="preserve">Funding Formula </w:t>
      </w:r>
      <w:r w:rsidR="00E671BA" w:rsidRPr="00085B04">
        <w:rPr>
          <w:rFonts w:ascii="Arial" w:hAnsi="Arial" w:cs="Arial"/>
          <w:sz w:val="24"/>
          <w:szCs w:val="24"/>
        </w:rPr>
        <w:t xml:space="preserve">and a </w:t>
      </w:r>
      <w:r w:rsidR="00C07828" w:rsidRPr="00085B04">
        <w:rPr>
          <w:rFonts w:ascii="Arial" w:hAnsi="Arial" w:cs="Arial"/>
          <w:sz w:val="24"/>
          <w:szCs w:val="24"/>
        </w:rPr>
        <w:t xml:space="preserve">number of </w:t>
      </w:r>
      <w:r w:rsidR="00C83AF5" w:rsidRPr="00085B04">
        <w:rPr>
          <w:rFonts w:ascii="Arial" w:hAnsi="Arial" w:cs="Arial"/>
          <w:sz w:val="24"/>
          <w:szCs w:val="24"/>
        </w:rPr>
        <w:t xml:space="preserve">further </w:t>
      </w:r>
      <w:r w:rsidR="00C07828" w:rsidRPr="00085B04">
        <w:rPr>
          <w:rFonts w:ascii="Arial" w:hAnsi="Arial" w:cs="Arial"/>
          <w:sz w:val="24"/>
          <w:szCs w:val="24"/>
        </w:rPr>
        <w:t xml:space="preserve">one-off in year payments </w:t>
      </w:r>
      <w:r w:rsidRPr="00085B04">
        <w:rPr>
          <w:rFonts w:ascii="Arial" w:hAnsi="Arial" w:cs="Arial"/>
          <w:sz w:val="24"/>
          <w:szCs w:val="24"/>
        </w:rPr>
        <w:t>reduce</w:t>
      </w:r>
      <w:r w:rsidR="00E671BA" w:rsidRPr="00085B04">
        <w:rPr>
          <w:rFonts w:ascii="Arial" w:hAnsi="Arial" w:cs="Arial"/>
          <w:sz w:val="24"/>
          <w:szCs w:val="24"/>
        </w:rPr>
        <w:t>d</w:t>
      </w:r>
      <w:r w:rsidRPr="00085B04">
        <w:rPr>
          <w:rFonts w:ascii="Arial" w:hAnsi="Arial" w:cs="Arial"/>
          <w:sz w:val="24"/>
          <w:szCs w:val="24"/>
        </w:rPr>
        <w:t xml:space="preserve"> the balance to £</w:t>
      </w:r>
      <w:r w:rsidR="0059668A" w:rsidRPr="00085B04">
        <w:rPr>
          <w:rFonts w:ascii="Arial" w:hAnsi="Arial" w:cs="Arial"/>
          <w:sz w:val="24"/>
          <w:szCs w:val="24"/>
        </w:rPr>
        <w:t>2.6</w:t>
      </w:r>
      <w:r w:rsidR="009164F6" w:rsidRPr="00085B04">
        <w:rPr>
          <w:rFonts w:ascii="Arial" w:hAnsi="Arial" w:cs="Arial"/>
          <w:sz w:val="24"/>
          <w:szCs w:val="24"/>
        </w:rPr>
        <w:t>80</w:t>
      </w:r>
      <w:r w:rsidR="007056BF">
        <w:rPr>
          <w:rFonts w:ascii="Arial" w:hAnsi="Arial" w:cs="Arial"/>
          <w:sz w:val="24"/>
          <w:szCs w:val="24"/>
        </w:rPr>
        <w:t>m</w:t>
      </w:r>
      <w:r w:rsidRPr="00085B04">
        <w:rPr>
          <w:rFonts w:ascii="Arial" w:hAnsi="Arial" w:cs="Arial"/>
          <w:sz w:val="24"/>
          <w:szCs w:val="24"/>
        </w:rPr>
        <w:t>.</w:t>
      </w:r>
      <w:r w:rsidR="00B578A5" w:rsidRPr="00085B04">
        <w:rPr>
          <w:rFonts w:ascii="Arial" w:hAnsi="Arial" w:cs="Arial"/>
          <w:sz w:val="24"/>
          <w:szCs w:val="24"/>
        </w:rPr>
        <w:t xml:space="preserve"> The unaudited DSG underspend for the financial year is </w:t>
      </w:r>
      <w:r w:rsidR="00B578A5" w:rsidRPr="0084376D">
        <w:rPr>
          <w:rFonts w:ascii="Arial" w:hAnsi="Arial" w:cs="Arial"/>
          <w:sz w:val="24"/>
          <w:szCs w:val="24"/>
        </w:rPr>
        <w:t>£1</w:t>
      </w:r>
      <w:r w:rsidR="007056BF" w:rsidRPr="0084376D">
        <w:rPr>
          <w:rFonts w:ascii="Arial" w:hAnsi="Arial" w:cs="Arial"/>
          <w:sz w:val="24"/>
          <w:szCs w:val="24"/>
        </w:rPr>
        <w:t>.</w:t>
      </w:r>
      <w:r w:rsidR="009164F6" w:rsidRPr="0084376D">
        <w:rPr>
          <w:rFonts w:ascii="Arial" w:hAnsi="Arial" w:cs="Arial"/>
          <w:sz w:val="24"/>
          <w:szCs w:val="24"/>
        </w:rPr>
        <w:t>032m</w:t>
      </w:r>
      <w:r w:rsidR="00B578A5" w:rsidRPr="0084376D">
        <w:rPr>
          <w:rFonts w:ascii="Arial" w:hAnsi="Arial" w:cs="Arial"/>
          <w:sz w:val="24"/>
          <w:szCs w:val="24"/>
        </w:rPr>
        <w:t>.</w:t>
      </w:r>
    </w:p>
    <w:p w:rsidR="008120B7" w:rsidRPr="00085B04" w:rsidRDefault="008120B7" w:rsidP="008120B7">
      <w:pPr>
        <w:jc w:val="both"/>
        <w:rPr>
          <w:rFonts w:ascii="Arial" w:hAnsi="Arial" w:cs="Arial"/>
          <w:sz w:val="24"/>
          <w:szCs w:val="24"/>
        </w:rPr>
      </w:pPr>
      <w:r w:rsidRPr="00085B04">
        <w:rPr>
          <w:rFonts w:ascii="Arial" w:hAnsi="Arial" w:cs="Arial"/>
          <w:sz w:val="24"/>
          <w:szCs w:val="24"/>
        </w:rPr>
        <w:t>The balance in contingency as at the 31</w:t>
      </w:r>
      <w:r w:rsidRPr="00085B04">
        <w:rPr>
          <w:rFonts w:ascii="Arial" w:hAnsi="Arial" w:cs="Arial"/>
          <w:sz w:val="24"/>
          <w:szCs w:val="24"/>
          <w:vertAlign w:val="superscript"/>
        </w:rPr>
        <w:t>st</w:t>
      </w:r>
      <w:r w:rsidRPr="00085B04">
        <w:rPr>
          <w:rFonts w:ascii="Arial" w:hAnsi="Arial" w:cs="Arial"/>
          <w:sz w:val="24"/>
          <w:szCs w:val="24"/>
        </w:rPr>
        <w:t xml:space="preserve"> March </w:t>
      </w:r>
      <w:r w:rsidR="0059668A" w:rsidRPr="00085B04">
        <w:rPr>
          <w:rFonts w:ascii="Arial" w:hAnsi="Arial" w:cs="Arial"/>
          <w:sz w:val="24"/>
          <w:szCs w:val="24"/>
        </w:rPr>
        <w:t xml:space="preserve">2017 </w:t>
      </w:r>
      <w:r w:rsidRPr="00085B04">
        <w:rPr>
          <w:rFonts w:ascii="Arial" w:hAnsi="Arial" w:cs="Arial"/>
          <w:sz w:val="24"/>
          <w:szCs w:val="24"/>
        </w:rPr>
        <w:t>is therefore £</w:t>
      </w:r>
      <w:r w:rsidR="00265381" w:rsidRPr="00085B04">
        <w:rPr>
          <w:rFonts w:ascii="Arial" w:hAnsi="Arial" w:cs="Arial"/>
          <w:sz w:val="24"/>
          <w:szCs w:val="24"/>
        </w:rPr>
        <w:t>3.712</w:t>
      </w:r>
      <w:r w:rsidR="00B578A5" w:rsidRPr="00085B04">
        <w:rPr>
          <w:rFonts w:ascii="Arial" w:hAnsi="Arial" w:cs="Arial"/>
          <w:sz w:val="24"/>
          <w:szCs w:val="24"/>
        </w:rPr>
        <w:t>m</w:t>
      </w:r>
      <w:r w:rsidRPr="00085B04">
        <w:rPr>
          <w:rFonts w:ascii="Arial" w:hAnsi="Arial" w:cs="Arial"/>
          <w:sz w:val="24"/>
          <w:szCs w:val="24"/>
        </w:rPr>
        <w:t>. This is demonstrated in tabular form below:</w:t>
      </w:r>
    </w:p>
    <w:tbl>
      <w:tblPr>
        <w:tblStyle w:val="TableGrid"/>
        <w:tblW w:w="0" w:type="auto"/>
        <w:tblLook w:val="04A0" w:firstRow="1" w:lastRow="0" w:firstColumn="1" w:lastColumn="0" w:noHBand="0" w:noVBand="1"/>
      </w:tblPr>
      <w:tblGrid>
        <w:gridCol w:w="3080"/>
        <w:gridCol w:w="3081"/>
        <w:gridCol w:w="3081"/>
      </w:tblGrid>
      <w:tr w:rsidR="00085B04" w:rsidRPr="00085B04" w:rsidTr="008120B7">
        <w:tc>
          <w:tcPr>
            <w:tcW w:w="3080" w:type="dxa"/>
            <w:tcBorders>
              <w:top w:val="single" w:sz="4" w:space="0" w:color="auto"/>
              <w:left w:val="single" w:sz="4" w:space="0" w:color="auto"/>
              <w:bottom w:val="single" w:sz="4" w:space="0" w:color="auto"/>
              <w:right w:val="single" w:sz="4" w:space="0" w:color="auto"/>
            </w:tcBorders>
          </w:tcPr>
          <w:p w:rsidR="008120B7" w:rsidRPr="00085B04" w:rsidRDefault="008120B7">
            <w:pPr>
              <w:jc w:val="both"/>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hideMark/>
          </w:tcPr>
          <w:p w:rsidR="008120B7" w:rsidRPr="00085B04" w:rsidRDefault="008120B7">
            <w:pPr>
              <w:jc w:val="center"/>
              <w:rPr>
                <w:rFonts w:ascii="Arial" w:hAnsi="Arial" w:cs="Arial"/>
                <w:b/>
                <w:sz w:val="24"/>
                <w:szCs w:val="24"/>
                <w:u w:val="single"/>
              </w:rPr>
            </w:pPr>
            <w:r w:rsidRPr="00085B04">
              <w:rPr>
                <w:rFonts w:ascii="Arial" w:hAnsi="Arial" w:cs="Arial"/>
                <w:b/>
                <w:sz w:val="24"/>
                <w:szCs w:val="24"/>
                <w:u w:val="single"/>
              </w:rPr>
              <w:t>£’m</w:t>
            </w:r>
          </w:p>
        </w:tc>
        <w:tc>
          <w:tcPr>
            <w:tcW w:w="3081" w:type="dxa"/>
            <w:tcBorders>
              <w:top w:val="single" w:sz="4" w:space="0" w:color="auto"/>
              <w:left w:val="single" w:sz="4" w:space="0" w:color="auto"/>
              <w:bottom w:val="single" w:sz="4" w:space="0" w:color="auto"/>
              <w:right w:val="single" w:sz="4" w:space="0" w:color="auto"/>
            </w:tcBorders>
            <w:hideMark/>
          </w:tcPr>
          <w:p w:rsidR="008120B7" w:rsidRPr="00085B04" w:rsidRDefault="008120B7">
            <w:pPr>
              <w:jc w:val="center"/>
              <w:rPr>
                <w:rFonts w:ascii="Arial" w:hAnsi="Arial" w:cs="Arial"/>
                <w:sz w:val="24"/>
                <w:szCs w:val="24"/>
              </w:rPr>
            </w:pPr>
            <w:r w:rsidRPr="00085B04">
              <w:rPr>
                <w:rFonts w:ascii="Arial" w:hAnsi="Arial" w:cs="Arial"/>
                <w:b/>
                <w:sz w:val="24"/>
                <w:szCs w:val="24"/>
                <w:u w:val="single"/>
              </w:rPr>
              <w:t>£’m</w:t>
            </w:r>
          </w:p>
        </w:tc>
      </w:tr>
      <w:tr w:rsidR="00085B04" w:rsidRPr="00085B04" w:rsidTr="008120B7">
        <w:tc>
          <w:tcPr>
            <w:tcW w:w="3080" w:type="dxa"/>
            <w:tcBorders>
              <w:top w:val="single" w:sz="4" w:space="0" w:color="auto"/>
              <w:left w:val="single" w:sz="4" w:space="0" w:color="auto"/>
              <w:bottom w:val="single" w:sz="4" w:space="0" w:color="auto"/>
              <w:right w:val="single" w:sz="4" w:space="0" w:color="auto"/>
            </w:tcBorders>
          </w:tcPr>
          <w:p w:rsidR="008120B7" w:rsidRPr="00085B04" w:rsidRDefault="008120B7">
            <w:pPr>
              <w:jc w:val="both"/>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rsidR="008120B7" w:rsidRPr="00085B04" w:rsidRDefault="008120B7">
            <w:pPr>
              <w:jc w:val="both"/>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rsidR="008120B7" w:rsidRPr="00085B04" w:rsidRDefault="008120B7">
            <w:pPr>
              <w:jc w:val="both"/>
              <w:rPr>
                <w:rFonts w:ascii="Arial" w:hAnsi="Arial" w:cs="Arial"/>
                <w:sz w:val="24"/>
                <w:szCs w:val="24"/>
              </w:rPr>
            </w:pPr>
          </w:p>
        </w:tc>
      </w:tr>
      <w:tr w:rsidR="00085B04" w:rsidRPr="00085B04" w:rsidTr="008120B7">
        <w:tc>
          <w:tcPr>
            <w:tcW w:w="3080" w:type="dxa"/>
            <w:tcBorders>
              <w:top w:val="single" w:sz="4" w:space="0" w:color="auto"/>
              <w:left w:val="single" w:sz="4" w:space="0" w:color="auto"/>
              <w:bottom w:val="single" w:sz="4" w:space="0" w:color="auto"/>
              <w:right w:val="single" w:sz="4" w:space="0" w:color="auto"/>
            </w:tcBorders>
            <w:hideMark/>
          </w:tcPr>
          <w:p w:rsidR="008120B7" w:rsidRPr="00085B04" w:rsidRDefault="008120B7" w:rsidP="001D2C70">
            <w:pPr>
              <w:rPr>
                <w:rFonts w:ascii="Arial" w:hAnsi="Arial" w:cs="Arial"/>
                <w:b/>
                <w:sz w:val="24"/>
                <w:szCs w:val="24"/>
              </w:rPr>
            </w:pPr>
            <w:r w:rsidRPr="00085B04">
              <w:rPr>
                <w:rFonts w:ascii="Arial" w:hAnsi="Arial" w:cs="Arial"/>
                <w:b/>
                <w:sz w:val="24"/>
                <w:szCs w:val="24"/>
              </w:rPr>
              <w:t xml:space="preserve">DSG Contingency as at the 1 April </w:t>
            </w:r>
            <w:r w:rsidR="00E558D5" w:rsidRPr="00085B04">
              <w:rPr>
                <w:rFonts w:ascii="Arial" w:hAnsi="Arial" w:cs="Arial"/>
                <w:b/>
                <w:sz w:val="24"/>
                <w:szCs w:val="24"/>
              </w:rPr>
              <w:t>201</w:t>
            </w:r>
            <w:r w:rsidR="00817FDB" w:rsidRPr="00085B04">
              <w:rPr>
                <w:rFonts w:ascii="Arial" w:hAnsi="Arial" w:cs="Arial"/>
                <w:b/>
                <w:sz w:val="24"/>
                <w:szCs w:val="24"/>
              </w:rPr>
              <w:t xml:space="preserve">6 </w:t>
            </w:r>
          </w:p>
        </w:tc>
        <w:tc>
          <w:tcPr>
            <w:tcW w:w="3081" w:type="dxa"/>
            <w:tcBorders>
              <w:top w:val="single" w:sz="4" w:space="0" w:color="auto"/>
              <w:left w:val="single" w:sz="4" w:space="0" w:color="auto"/>
              <w:bottom w:val="single" w:sz="4" w:space="0" w:color="auto"/>
              <w:right w:val="single" w:sz="4" w:space="0" w:color="auto"/>
            </w:tcBorders>
          </w:tcPr>
          <w:p w:rsidR="008120B7" w:rsidRPr="00085B04" w:rsidRDefault="008120B7">
            <w:pPr>
              <w:jc w:val="both"/>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hideMark/>
          </w:tcPr>
          <w:p w:rsidR="008120B7" w:rsidRPr="00085B04" w:rsidRDefault="0059668A" w:rsidP="00237407">
            <w:pPr>
              <w:jc w:val="center"/>
              <w:rPr>
                <w:rFonts w:ascii="Arial" w:hAnsi="Arial" w:cs="Arial"/>
                <w:sz w:val="24"/>
                <w:szCs w:val="24"/>
              </w:rPr>
            </w:pPr>
            <w:r w:rsidRPr="00085B04">
              <w:rPr>
                <w:rFonts w:ascii="Arial" w:hAnsi="Arial" w:cs="Arial"/>
                <w:sz w:val="24"/>
                <w:szCs w:val="24"/>
              </w:rPr>
              <w:t>5.407</w:t>
            </w:r>
          </w:p>
        </w:tc>
      </w:tr>
      <w:tr w:rsidR="00085B04" w:rsidRPr="00085B04" w:rsidTr="008120B7">
        <w:tc>
          <w:tcPr>
            <w:tcW w:w="3080" w:type="dxa"/>
            <w:tcBorders>
              <w:top w:val="single" w:sz="4" w:space="0" w:color="auto"/>
              <w:left w:val="single" w:sz="4" w:space="0" w:color="auto"/>
              <w:bottom w:val="single" w:sz="4" w:space="0" w:color="auto"/>
              <w:right w:val="single" w:sz="4" w:space="0" w:color="auto"/>
            </w:tcBorders>
            <w:hideMark/>
          </w:tcPr>
          <w:p w:rsidR="008120B7" w:rsidRPr="00085B04" w:rsidRDefault="008120B7" w:rsidP="0059668A">
            <w:pPr>
              <w:jc w:val="both"/>
              <w:rPr>
                <w:rFonts w:ascii="Arial" w:hAnsi="Arial" w:cs="Arial"/>
                <w:sz w:val="24"/>
                <w:szCs w:val="24"/>
              </w:rPr>
            </w:pPr>
            <w:r w:rsidRPr="00085B04">
              <w:rPr>
                <w:rFonts w:ascii="Arial" w:hAnsi="Arial" w:cs="Arial"/>
                <w:sz w:val="24"/>
                <w:szCs w:val="24"/>
              </w:rPr>
              <w:t xml:space="preserve">Less: One off payment added to the </w:t>
            </w:r>
            <w:r w:rsidR="0059668A" w:rsidRPr="00085B04">
              <w:rPr>
                <w:rFonts w:ascii="Arial" w:hAnsi="Arial" w:cs="Arial"/>
                <w:sz w:val="24"/>
                <w:szCs w:val="24"/>
              </w:rPr>
              <w:t>2016</w:t>
            </w:r>
            <w:r w:rsidRPr="00085B04">
              <w:rPr>
                <w:rFonts w:ascii="Arial" w:hAnsi="Arial" w:cs="Arial"/>
                <w:sz w:val="24"/>
                <w:szCs w:val="24"/>
              </w:rPr>
              <w:t>-</w:t>
            </w:r>
            <w:r w:rsidR="0059668A" w:rsidRPr="00085B04">
              <w:rPr>
                <w:rFonts w:ascii="Arial" w:hAnsi="Arial" w:cs="Arial"/>
                <w:sz w:val="24"/>
                <w:szCs w:val="24"/>
              </w:rPr>
              <w:t xml:space="preserve">17 </w:t>
            </w:r>
            <w:r w:rsidRPr="00085B04">
              <w:rPr>
                <w:rFonts w:ascii="Arial" w:hAnsi="Arial" w:cs="Arial"/>
                <w:sz w:val="24"/>
                <w:szCs w:val="24"/>
              </w:rPr>
              <w:t>funding formula</w:t>
            </w:r>
          </w:p>
        </w:tc>
        <w:tc>
          <w:tcPr>
            <w:tcW w:w="3081" w:type="dxa"/>
            <w:tcBorders>
              <w:top w:val="single" w:sz="4" w:space="0" w:color="auto"/>
              <w:left w:val="single" w:sz="4" w:space="0" w:color="auto"/>
              <w:bottom w:val="single" w:sz="4" w:space="0" w:color="auto"/>
              <w:right w:val="single" w:sz="4" w:space="0" w:color="auto"/>
            </w:tcBorders>
            <w:hideMark/>
          </w:tcPr>
          <w:p w:rsidR="008120B7" w:rsidRPr="00085B04" w:rsidRDefault="008120B7" w:rsidP="000B5054">
            <w:pPr>
              <w:jc w:val="center"/>
              <w:rPr>
                <w:rFonts w:ascii="Arial" w:hAnsi="Arial" w:cs="Arial"/>
                <w:sz w:val="24"/>
                <w:szCs w:val="24"/>
              </w:rPr>
            </w:pPr>
            <w:r w:rsidRPr="00085B04">
              <w:rPr>
                <w:rFonts w:ascii="Arial" w:hAnsi="Arial" w:cs="Arial"/>
                <w:sz w:val="24"/>
                <w:szCs w:val="24"/>
              </w:rPr>
              <w:t>(</w:t>
            </w:r>
            <w:r w:rsidR="00CF44F5" w:rsidRPr="00085B04">
              <w:rPr>
                <w:rFonts w:ascii="Arial" w:hAnsi="Arial" w:cs="Arial"/>
                <w:sz w:val="24"/>
                <w:szCs w:val="24"/>
              </w:rPr>
              <w:t>2</w:t>
            </w:r>
            <w:r w:rsidRPr="00085B04">
              <w:rPr>
                <w:rFonts w:ascii="Arial" w:hAnsi="Arial" w:cs="Arial"/>
                <w:sz w:val="24"/>
                <w:szCs w:val="24"/>
              </w:rPr>
              <w:t>.</w:t>
            </w:r>
            <w:r w:rsidR="000B5054" w:rsidRPr="00085B04">
              <w:rPr>
                <w:rFonts w:ascii="Arial" w:hAnsi="Arial" w:cs="Arial"/>
                <w:sz w:val="24"/>
                <w:szCs w:val="24"/>
              </w:rPr>
              <w:t>477</w:t>
            </w:r>
            <w:r w:rsidRPr="00085B04">
              <w:rPr>
                <w:rFonts w:ascii="Arial" w:hAnsi="Arial" w:cs="Arial"/>
                <w:sz w:val="24"/>
                <w:szCs w:val="24"/>
              </w:rPr>
              <w:t>)</w:t>
            </w:r>
          </w:p>
        </w:tc>
        <w:tc>
          <w:tcPr>
            <w:tcW w:w="3081" w:type="dxa"/>
            <w:tcBorders>
              <w:top w:val="single" w:sz="4" w:space="0" w:color="auto"/>
              <w:left w:val="single" w:sz="4" w:space="0" w:color="auto"/>
              <w:bottom w:val="single" w:sz="4" w:space="0" w:color="auto"/>
              <w:right w:val="single" w:sz="4" w:space="0" w:color="auto"/>
            </w:tcBorders>
          </w:tcPr>
          <w:p w:rsidR="008120B7" w:rsidRPr="00085B04" w:rsidRDefault="008120B7">
            <w:pPr>
              <w:jc w:val="both"/>
              <w:rPr>
                <w:rFonts w:ascii="Arial" w:hAnsi="Arial" w:cs="Arial"/>
                <w:sz w:val="24"/>
                <w:szCs w:val="24"/>
              </w:rPr>
            </w:pPr>
          </w:p>
        </w:tc>
      </w:tr>
      <w:tr w:rsidR="00085B04" w:rsidRPr="00085B04" w:rsidTr="008120B7">
        <w:tc>
          <w:tcPr>
            <w:tcW w:w="3080" w:type="dxa"/>
            <w:tcBorders>
              <w:top w:val="single" w:sz="4" w:space="0" w:color="auto"/>
              <w:left w:val="single" w:sz="4" w:space="0" w:color="auto"/>
              <w:bottom w:val="single" w:sz="4" w:space="0" w:color="auto"/>
              <w:right w:val="single" w:sz="4" w:space="0" w:color="auto"/>
            </w:tcBorders>
          </w:tcPr>
          <w:p w:rsidR="00872FEC" w:rsidRPr="00085B04" w:rsidRDefault="00872FEC" w:rsidP="0059668A">
            <w:pPr>
              <w:jc w:val="both"/>
              <w:rPr>
                <w:rFonts w:ascii="Arial" w:hAnsi="Arial" w:cs="Arial"/>
                <w:sz w:val="24"/>
                <w:szCs w:val="24"/>
              </w:rPr>
            </w:pPr>
            <w:r w:rsidRPr="00085B04">
              <w:rPr>
                <w:rFonts w:ascii="Arial" w:hAnsi="Arial" w:cs="Arial"/>
                <w:sz w:val="24"/>
                <w:szCs w:val="24"/>
              </w:rPr>
              <w:t xml:space="preserve">Less: </w:t>
            </w:r>
            <w:r w:rsidR="0059668A" w:rsidRPr="00085B04">
              <w:rPr>
                <w:rFonts w:ascii="Arial" w:hAnsi="Arial" w:cs="Arial"/>
                <w:sz w:val="24"/>
                <w:szCs w:val="24"/>
              </w:rPr>
              <w:t xml:space="preserve">Second </w:t>
            </w:r>
            <w:r w:rsidRPr="00085B04">
              <w:rPr>
                <w:rFonts w:ascii="Arial" w:hAnsi="Arial" w:cs="Arial"/>
                <w:sz w:val="24"/>
                <w:szCs w:val="24"/>
              </w:rPr>
              <w:t>year payment of the 2 year early years play worker programme</w:t>
            </w:r>
          </w:p>
        </w:tc>
        <w:tc>
          <w:tcPr>
            <w:tcW w:w="3081" w:type="dxa"/>
            <w:tcBorders>
              <w:top w:val="single" w:sz="4" w:space="0" w:color="auto"/>
              <w:left w:val="single" w:sz="4" w:space="0" w:color="auto"/>
              <w:bottom w:val="single" w:sz="4" w:space="0" w:color="auto"/>
              <w:right w:val="single" w:sz="4" w:space="0" w:color="auto"/>
            </w:tcBorders>
          </w:tcPr>
          <w:p w:rsidR="00872FEC" w:rsidRPr="00085B04" w:rsidRDefault="00872FEC" w:rsidP="00CF44F5">
            <w:pPr>
              <w:jc w:val="center"/>
              <w:rPr>
                <w:rFonts w:ascii="Arial" w:hAnsi="Arial" w:cs="Arial"/>
                <w:sz w:val="24"/>
                <w:szCs w:val="24"/>
              </w:rPr>
            </w:pPr>
            <w:r w:rsidRPr="00085B04">
              <w:rPr>
                <w:rFonts w:ascii="Arial" w:hAnsi="Arial" w:cs="Arial"/>
                <w:sz w:val="24"/>
                <w:szCs w:val="24"/>
              </w:rPr>
              <w:t>(0.250)</w:t>
            </w:r>
          </w:p>
        </w:tc>
        <w:tc>
          <w:tcPr>
            <w:tcW w:w="3081" w:type="dxa"/>
            <w:tcBorders>
              <w:top w:val="single" w:sz="4" w:space="0" w:color="auto"/>
              <w:left w:val="single" w:sz="4" w:space="0" w:color="auto"/>
              <w:bottom w:val="single" w:sz="4" w:space="0" w:color="auto"/>
              <w:right w:val="single" w:sz="4" w:space="0" w:color="auto"/>
            </w:tcBorders>
          </w:tcPr>
          <w:p w:rsidR="00872FEC" w:rsidRPr="00085B04" w:rsidRDefault="00872FEC">
            <w:pPr>
              <w:jc w:val="center"/>
              <w:rPr>
                <w:rFonts w:ascii="Arial" w:hAnsi="Arial" w:cs="Arial"/>
                <w:sz w:val="24"/>
                <w:szCs w:val="24"/>
              </w:rPr>
            </w:pPr>
          </w:p>
        </w:tc>
      </w:tr>
      <w:tr w:rsidR="00085B04" w:rsidRPr="00085B04" w:rsidTr="008120B7">
        <w:tc>
          <w:tcPr>
            <w:tcW w:w="3080" w:type="dxa"/>
            <w:tcBorders>
              <w:top w:val="single" w:sz="4" w:space="0" w:color="auto"/>
              <w:left w:val="single" w:sz="4" w:space="0" w:color="auto"/>
              <w:bottom w:val="single" w:sz="4" w:space="0" w:color="auto"/>
              <w:right w:val="single" w:sz="4" w:space="0" w:color="auto"/>
            </w:tcBorders>
          </w:tcPr>
          <w:p w:rsidR="008120B7" w:rsidRPr="00085B04" w:rsidRDefault="0084376D" w:rsidP="0084376D">
            <w:pPr>
              <w:jc w:val="both"/>
              <w:rPr>
                <w:rFonts w:ascii="Arial" w:hAnsi="Arial" w:cs="Arial"/>
                <w:sz w:val="24"/>
                <w:szCs w:val="24"/>
              </w:rPr>
            </w:pPr>
            <w:r w:rsidRPr="00085B04">
              <w:rPr>
                <w:rFonts w:ascii="Arial" w:hAnsi="Arial" w:cs="Arial"/>
                <w:sz w:val="24"/>
                <w:szCs w:val="24"/>
              </w:rPr>
              <w:t>2016</w:t>
            </w:r>
            <w:r>
              <w:rPr>
                <w:rFonts w:ascii="Arial" w:hAnsi="Arial" w:cs="Arial"/>
                <w:sz w:val="24"/>
                <w:szCs w:val="24"/>
              </w:rPr>
              <w:t>-</w:t>
            </w:r>
            <w:r w:rsidRPr="00085B04">
              <w:rPr>
                <w:rFonts w:ascii="Arial" w:hAnsi="Arial" w:cs="Arial"/>
                <w:sz w:val="24"/>
                <w:szCs w:val="24"/>
              </w:rPr>
              <w:t xml:space="preserve">17 net in year </w:t>
            </w:r>
            <w:r>
              <w:rPr>
                <w:rFonts w:ascii="Arial" w:hAnsi="Arial" w:cs="Arial"/>
                <w:sz w:val="24"/>
                <w:szCs w:val="24"/>
              </w:rPr>
              <w:t xml:space="preserve">Schools Block </w:t>
            </w:r>
            <w:r w:rsidRPr="00085B04">
              <w:rPr>
                <w:rFonts w:ascii="Arial" w:hAnsi="Arial" w:cs="Arial"/>
                <w:sz w:val="24"/>
                <w:szCs w:val="24"/>
              </w:rPr>
              <w:t>underspend</w:t>
            </w:r>
          </w:p>
        </w:tc>
        <w:tc>
          <w:tcPr>
            <w:tcW w:w="3081" w:type="dxa"/>
            <w:tcBorders>
              <w:top w:val="single" w:sz="4" w:space="0" w:color="auto"/>
              <w:left w:val="single" w:sz="4" w:space="0" w:color="auto"/>
              <w:bottom w:val="single" w:sz="4" w:space="0" w:color="auto"/>
              <w:right w:val="single" w:sz="4" w:space="0" w:color="auto"/>
            </w:tcBorders>
          </w:tcPr>
          <w:p w:rsidR="008120B7" w:rsidRPr="00085B04" w:rsidRDefault="00265381" w:rsidP="0084376D">
            <w:pPr>
              <w:jc w:val="center"/>
              <w:rPr>
                <w:rFonts w:ascii="Arial" w:hAnsi="Arial" w:cs="Arial"/>
                <w:sz w:val="24"/>
                <w:szCs w:val="24"/>
              </w:rPr>
            </w:pPr>
            <w:r w:rsidRPr="00085B04">
              <w:rPr>
                <w:rFonts w:ascii="Arial" w:hAnsi="Arial" w:cs="Arial"/>
                <w:sz w:val="24"/>
                <w:szCs w:val="24"/>
              </w:rPr>
              <w:t>0.</w:t>
            </w:r>
            <w:r w:rsidR="0084376D">
              <w:rPr>
                <w:rFonts w:ascii="Arial" w:hAnsi="Arial" w:cs="Arial"/>
                <w:sz w:val="24"/>
                <w:szCs w:val="24"/>
              </w:rPr>
              <w:t>443</w:t>
            </w:r>
          </w:p>
        </w:tc>
        <w:tc>
          <w:tcPr>
            <w:tcW w:w="3081" w:type="dxa"/>
            <w:tcBorders>
              <w:top w:val="single" w:sz="4" w:space="0" w:color="auto"/>
              <w:left w:val="single" w:sz="4" w:space="0" w:color="auto"/>
              <w:bottom w:val="single" w:sz="4" w:space="0" w:color="auto"/>
              <w:right w:val="single" w:sz="4" w:space="0" w:color="auto"/>
            </w:tcBorders>
            <w:hideMark/>
          </w:tcPr>
          <w:p w:rsidR="008120B7" w:rsidRPr="00085B04" w:rsidRDefault="008120B7">
            <w:pPr>
              <w:jc w:val="center"/>
              <w:rPr>
                <w:rFonts w:ascii="Arial" w:hAnsi="Arial" w:cs="Arial"/>
                <w:sz w:val="24"/>
                <w:szCs w:val="24"/>
              </w:rPr>
            </w:pPr>
          </w:p>
        </w:tc>
      </w:tr>
      <w:tr w:rsidR="00085B04" w:rsidRPr="00085B04" w:rsidTr="008120B7">
        <w:tc>
          <w:tcPr>
            <w:tcW w:w="3080" w:type="dxa"/>
            <w:tcBorders>
              <w:top w:val="single" w:sz="4" w:space="0" w:color="auto"/>
              <w:left w:val="single" w:sz="4" w:space="0" w:color="auto"/>
              <w:bottom w:val="single" w:sz="4" w:space="0" w:color="auto"/>
              <w:right w:val="single" w:sz="4" w:space="0" w:color="auto"/>
            </w:tcBorders>
            <w:hideMark/>
          </w:tcPr>
          <w:p w:rsidR="008120B7" w:rsidRPr="00085B04" w:rsidRDefault="008120B7" w:rsidP="0084376D">
            <w:pPr>
              <w:jc w:val="both"/>
              <w:rPr>
                <w:rFonts w:ascii="Arial" w:hAnsi="Arial" w:cs="Arial"/>
                <w:sz w:val="24"/>
                <w:szCs w:val="24"/>
              </w:rPr>
            </w:pPr>
            <w:r w:rsidRPr="00085B04">
              <w:rPr>
                <w:rFonts w:ascii="Arial" w:hAnsi="Arial" w:cs="Arial"/>
                <w:sz w:val="24"/>
                <w:szCs w:val="24"/>
              </w:rPr>
              <w:t>201</w:t>
            </w:r>
            <w:r w:rsidR="0059668A" w:rsidRPr="00085B04">
              <w:rPr>
                <w:rFonts w:ascii="Arial" w:hAnsi="Arial" w:cs="Arial"/>
                <w:sz w:val="24"/>
                <w:szCs w:val="24"/>
              </w:rPr>
              <w:t>6</w:t>
            </w:r>
            <w:r w:rsidR="0084376D">
              <w:rPr>
                <w:rFonts w:ascii="Arial" w:hAnsi="Arial" w:cs="Arial"/>
                <w:sz w:val="24"/>
                <w:szCs w:val="24"/>
              </w:rPr>
              <w:t>-</w:t>
            </w:r>
            <w:r w:rsidR="0059668A" w:rsidRPr="00085B04">
              <w:rPr>
                <w:rFonts w:ascii="Arial" w:hAnsi="Arial" w:cs="Arial"/>
                <w:sz w:val="24"/>
                <w:szCs w:val="24"/>
              </w:rPr>
              <w:t xml:space="preserve">17 </w:t>
            </w:r>
            <w:r w:rsidRPr="00085B04">
              <w:rPr>
                <w:rFonts w:ascii="Arial" w:hAnsi="Arial" w:cs="Arial"/>
                <w:sz w:val="24"/>
                <w:szCs w:val="24"/>
              </w:rPr>
              <w:t xml:space="preserve">net in year </w:t>
            </w:r>
            <w:r w:rsidR="0084376D">
              <w:rPr>
                <w:rFonts w:ascii="Arial" w:hAnsi="Arial" w:cs="Arial"/>
                <w:sz w:val="24"/>
                <w:szCs w:val="24"/>
              </w:rPr>
              <w:t xml:space="preserve">HNB </w:t>
            </w:r>
            <w:r w:rsidRPr="00085B04">
              <w:rPr>
                <w:rFonts w:ascii="Arial" w:hAnsi="Arial" w:cs="Arial"/>
                <w:sz w:val="24"/>
                <w:szCs w:val="24"/>
              </w:rPr>
              <w:t>underspend</w:t>
            </w:r>
          </w:p>
        </w:tc>
        <w:tc>
          <w:tcPr>
            <w:tcW w:w="3081" w:type="dxa"/>
            <w:tcBorders>
              <w:top w:val="single" w:sz="4" w:space="0" w:color="auto"/>
              <w:left w:val="single" w:sz="4" w:space="0" w:color="auto"/>
              <w:bottom w:val="single" w:sz="4" w:space="0" w:color="auto"/>
              <w:right w:val="single" w:sz="4" w:space="0" w:color="auto"/>
            </w:tcBorders>
          </w:tcPr>
          <w:p w:rsidR="008120B7" w:rsidRPr="00085B04" w:rsidRDefault="0059668A" w:rsidP="000B5054">
            <w:pPr>
              <w:jc w:val="center"/>
              <w:rPr>
                <w:rFonts w:ascii="Arial" w:hAnsi="Arial" w:cs="Arial"/>
                <w:sz w:val="24"/>
                <w:szCs w:val="24"/>
              </w:rPr>
            </w:pPr>
            <w:r w:rsidRPr="00085B04">
              <w:rPr>
                <w:rFonts w:ascii="Arial" w:hAnsi="Arial" w:cs="Arial"/>
                <w:sz w:val="24"/>
                <w:szCs w:val="24"/>
              </w:rPr>
              <w:t>0.</w:t>
            </w:r>
            <w:r w:rsidR="000B5054" w:rsidRPr="00085B04">
              <w:rPr>
                <w:rFonts w:ascii="Arial" w:hAnsi="Arial" w:cs="Arial"/>
                <w:sz w:val="24"/>
                <w:szCs w:val="24"/>
              </w:rPr>
              <w:t>510</w:t>
            </w:r>
          </w:p>
        </w:tc>
        <w:tc>
          <w:tcPr>
            <w:tcW w:w="3081" w:type="dxa"/>
            <w:tcBorders>
              <w:top w:val="single" w:sz="4" w:space="0" w:color="auto"/>
              <w:left w:val="single" w:sz="4" w:space="0" w:color="auto"/>
              <w:bottom w:val="single" w:sz="4" w:space="0" w:color="auto"/>
              <w:right w:val="single" w:sz="4" w:space="0" w:color="auto"/>
            </w:tcBorders>
            <w:hideMark/>
          </w:tcPr>
          <w:p w:rsidR="008120B7" w:rsidRPr="00085B04" w:rsidRDefault="008120B7" w:rsidP="00265381">
            <w:pPr>
              <w:jc w:val="center"/>
              <w:rPr>
                <w:rFonts w:ascii="Arial" w:hAnsi="Arial" w:cs="Arial"/>
                <w:sz w:val="24"/>
                <w:szCs w:val="24"/>
              </w:rPr>
            </w:pPr>
          </w:p>
        </w:tc>
      </w:tr>
      <w:tr w:rsidR="0084376D" w:rsidRPr="00085B04" w:rsidTr="008120B7">
        <w:tc>
          <w:tcPr>
            <w:tcW w:w="3080" w:type="dxa"/>
            <w:tcBorders>
              <w:top w:val="single" w:sz="4" w:space="0" w:color="auto"/>
              <w:left w:val="single" w:sz="4" w:space="0" w:color="auto"/>
              <w:bottom w:val="single" w:sz="4" w:space="0" w:color="auto"/>
              <w:right w:val="single" w:sz="4" w:space="0" w:color="auto"/>
            </w:tcBorders>
          </w:tcPr>
          <w:p w:rsidR="0084376D" w:rsidRPr="00085B04" w:rsidRDefault="0084376D" w:rsidP="0084376D">
            <w:pPr>
              <w:jc w:val="both"/>
              <w:rPr>
                <w:rFonts w:ascii="Arial" w:hAnsi="Arial" w:cs="Arial"/>
                <w:b/>
                <w:sz w:val="24"/>
                <w:szCs w:val="24"/>
              </w:rPr>
            </w:pPr>
            <w:r w:rsidRPr="00085B04">
              <w:rPr>
                <w:rFonts w:ascii="Arial" w:hAnsi="Arial" w:cs="Arial"/>
                <w:sz w:val="24"/>
                <w:szCs w:val="24"/>
              </w:rPr>
              <w:t>2016</w:t>
            </w:r>
            <w:r>
              <w:rPr>
                <w:rFonts w:ascii="Arial" w:hAnsi="Arial" w:cs="Arial"/>
                <w:sz w:val="24"/>
                <w:szCs w:val="24"/>
              </w:rPr>
              <w:t>-</w:t>
            </w:r>
            <w:r w:rsidRPr="00085B04">
              <w:rPr>
                <w:rFonts w:ascii="Arial" w:hAnsi="Arial" w:cs="Arial"/>
                <w:sz w:val="24"/>
                <w:szCs w:val="24"/>
              </w:rPr>
              <w:t xml:space="preserve">17 net in year </w:t>
            </w:r>
            <w:r>
              <w:rPr>
                <w:rFonts w:ascii="Arial" w:hAnsi="Arial" w:cs="Arial"/>
                <w:sz w:val="24"/>
                <w:szCs w:val="24"/>
              </w:rPr>
              <w:t xml:space="preserve">Early Years </w:t>
            </w:r>
            <w:r w:rsidRPr="00085B04">
              <w:rPr>
                <w:rFonts w:ascii="Arial" w:hAnsi="Arial" w:cs="Arial"/>
                <w:sz w:val="24"/>
                <w:szCs w:val="24"/>
              </w:rPr>
              <w:t>underspend</w:t>
            </w:r>
          </w:p>
        </w:tc>
        <w:tc>
          <w:tcPr>
            <w:tcW w:w="3081" w:type="dxa"/>
            <w:tcBorders>
              <w:top w:val="single" w:sz="4" w:space="0" w:color="auto"/>
              <w:left w:val="single" w:sz="4" w:space="0" w:color="auto"/>
              <w:bottom w:val="single" w:sz="4" w:space="0" w:color="auto"/>
              <w:right w:val="single" w:sz="4" w:space="0" w:color="auto"/>
            </w:tcBorders>
          </w:tcPr>
          <w:p w:rsidR="0084376D" w:rsidRPr="0084376D" w:rsidRDefault="0084376D" w:rsidP="0084376D">
            <w:pPr>
              <w:jc w:val="center"/>
              <w:rPr>
                <w:rFonts w:ascii="Arial" w:hAnsi="Arial" w:cs="Arial"/>
                <w:sz w:val="24"/>
                <w:szCs w:val="24"/>
              </w:rPr>
            </w:pPr>
            <w:r w:rsidRPr="0084376D">
              <w:rPr>
                <w:rFonts w:ascii="Arial" w:hAnsi="Arial" w:cs="Arial"/>
                <w:sz w:val="24"/>
                <w:szCs w:val="24"/>
              </w:rPr>
              <w:t>0.079</w:t>
            </w:r>
          </w:p>
        </w:tc>
        <w:tc>
          <w:tcPr>
            <w:tcW w:w="3081" w:type="dxa"/>
            <w:tcBorders>
              <w:top w:val="single" w:sz="4" w:space="0" w:color="auto"/>
              <w:left w:val="single" w:sz="4" w:space="0" w:color="auto"/>
              <w:bottom w:val="single" w:sz="4" w:space="0" w:color="auto"/>
              <w:right w:val="single" w:sz="4" w:space="0" w:color="auto"/>
            </w:tcBorders>
          </w:tcPr>
          <w:p w:rsidR="0084376D" w:rsidRPr="00085B04" w:rsidRDefault="0084376D" w:rsidP="00872FEC">
            <w:pPr>
              <w:jc w:val="center"/>
              <w:rPr>
                <w:rFonts w:ascii="Arial" w:hAnsi="Arial" w:cs="Arial"/>
                <w:b/>
                <w:sz w:val="24"/>
                <w:szCs w:val="24"/>
              </w:rPr>
            </w:pPr>
          </w:p>
        </w:tc>
      </w:tr>
      <w:tr w:rsidR="008120B7" w:rsidRPr="00085B04" w:rsidTr="008120B7">
        <w:tc>
          <w:tcPr>
            <w:tcW w:w="3080" w:type="dxa"/>
            <w:tcBorders>
              <w:top w:val="single" w:sz="4" w:space="0" w:color="auto"/>
              <w:left w:val="single" w:sz="4" w:space="0" w:color="auto"/>
              <w:bottom w:val="single" w:sz="4" w:space="0" w:color="auto"/>
              <w:right w:val="single" w:sz="4" w:space="0" w:color="auto"/>
            </w:tcBorders>
            <w:hideMark/>
          </w:tcPr>
          <w:p w:rsidR="008120B7" w:rsidRPr="00085B04" w:rsidRDefault="008120B7" w:rsidP="00CF44F5">
            <w:pPr>
              <w:jc w:val="both"/>
              <w:rPr>
                <w:rFonts w:ascii="Arial" w:hAnsi="Arial" w:cs="Arial"/>
                <w:b/>
                <w:sz w:val="24"/>
                <w:szCs w:val="24"/>
              </w:rPr>
            </w:pPr>
            <w:r w:rsidRPr="00085B04">
              <w:rPr>
                <w:rFonts w:ascii="Arial" w:hAnsi="Arial" w:cs="Arial"/>
                <w:b/>
                <w:sz w:val="24"/>
                <w:szCs w:val="24"/>
              </w:rPr>
              <w:t xml:space="preserve">DSG Contingency as at the 31 March </w:t>
            </w:r>
            <w:r w:rsidR="008E7B96" w:rsidRPr="00085B04">
              <w:rPr>
                <w:rFonts w:ascii="Arial" w:hAnsi="Arial" w:cs="Arial"/>
                <w:b/>
                <w:sz w:val="24"/>
                <w:szCs w:val="24"/>
              </w:rPr>
              <w:t>201</w:t>
            </w:r>
            <w:r w:rsidR="007A34BD">
              <w:rPr>
                <w:rFonts w:ascii="Arial" w:hAnsi="Arial" w:cs="Arial"/>
                <w:b/>
                <w:sz w:val="24"/>
                <w:szCs w:val="24"/>
              </w:rPr>
              <w:t>7</w:t>
            </w:r>
          </w:p>
        </w:tc>
        <w:tc>
          <w:tcPr>
            <w:tcW w:w="3081" w:type="dxa"/>
            <w:tcBorders>
              <w:top w:val="single" w:sz="4" w:space="0" w:color="auto"/>
              <w:left w:val="single" w:sz="4" w:space="0" w:color="auto"/>
              <w:bottom w:val="single" w:sz="4" w:space="0" w:color="auto"/>
              <w:right w:val="single" w:sz="4" w:space="0" w:color="auto"/>
            </w:tcBorders>
          </w:tcPr>
          <w:p w:rsidR="008120B7" w:rsidRPr="00085B04" w:rsidRDefault="008120B7">
            <w:pPr>
              <w:jc w:val="both"/>
              <w:rPr>
                <w:rFonts w:ascii="Arial" w:hAnsi="Arial" w:cs="Arial"/>
                <w:b/>
                <w:sz w:val="24"/>
                <w:szCs w:val="24"/>
              </w:rPr>
            </w:pPr>
          </w:p>
        </w:tc>
        <w:tc>
          <w:tcPr>
            <w:tcW w:w="3081" w:type="dxa"/>
            <w:tcBorders>
              <w:top w:val="single" w:sz="4" w:space="0" w:color="auto"/>
              <w:left w:val="single" w:sz="4" w:space="0" w:color="auto"/>
              <w:bottom w:val="single" w:sz="4" w:space="0" w:color="auto"/>
              <w:right w:val="single" w:sz="4" w:space="0" w:color="auto"/>
            </w:tcBorders>
            <w:hideMark/>
          </w:tcPr>
          <w:p w:rsidR="008120B7" w:rsidRPr="00085B04" w:rsidRDefault="0059668A" w:rsidP="00872FEC">
            <w:pPr>
              <w:jc w:val="center"/>
              <w:rPr>
                <w:rFonts w:ascii="Arial" w:hAnsi="Arial" w:cs="Arial"/>
                <w:b/>
                <w:sz w:val="24"/>
                <w:szCs w:val="24"/>
              </w:rPr>
            </w:pPr>
            <w:r w:rsidRPr="00085B04">
              <w:rPr>
                <w:rFonts w:ascii="Arial" w:hAnsi="Arial" w:cs="Arial"/>
                <w:b/>
                <w:sz w:val="24"/>
                <w:szCs w:val="24"/>
              </w:rPr>
              <w:t>3.712</w:t>
            </w:r>
          </w:p>
        </w:tc>
      </w:tr>
    </w:tbl>
    <w:p w:rsidR="008120B7" w:rsidRPr="00085B04" w:rsidRDefault="008120B7" w:rsidP="008120B7">
      <w:pPr>
        <w:jc w:val="both"/>
        <w:rPr>
          <w:rFonts w:ascii="Arial" w:hAnsi="Arial" w:cs="Arial"/>
          <w:sz w:val="24"/>
          <w:szCs w:val="24"/>
        </w:rPr>
      </w:pPr>
    </w:p>
    <w:p w:rsidR="008E7B96" w:rsidRPr="00085B04" w:rsidRDefault="00237407" w:rsidP="008120B7">
      <w:pPr>
        <w:jc w:val="both"/>
        <w:rPr>
          <w:rFonts w:ascii="Arial" w:hAnsi="Arial" w:cs="Arial"/>
          <w:sz w:val="24"/>
          <w:szCs w:val="24"/>
        </w:rPr>
      </w:pPr>
      <w:r w:rsidRPr="00085B04">
        <w:rPr>
          <w:rFonts w:ascii="Arial" w:hAnsi="Arial" w:cs="Arial"/>
          <w:sz w:val="24"/>
          <w:szCs w:val="24"/>
        </w:rPr>
        <w:t>C</w:t>
      </w:r>
      <w:r w:rsidR="00E42744" w:rsidRPr="00085B04">
        <w:rPr>
          <w:rFonts w:ascii="Arial" w:hAnsi="Arial" w:cs="Arial"/>
          <w:sz w:val="24"/>
          <w:szCs w:val="24"/>
        </w:rPr>
        <w:t xml:space="preserve">ommitments have already been entered into </w:t>
      </w:r>
      <w:r w:rsidRPr="00085B04">
        <w:rPr>
          <w:rFonts w:ascii="Arial" w:hAnsi="Arial" w:cs="Arial"/>
          <w:sz w:val="24"/>
          <w:szCs w:val="24"/>
        </w:rPr>
        <w:t xml:space="preserve">in respect of </w:t>
      </w:r>
      <w:r w:rsidR="00132A9A" w:rsidRPr="00085B04">
        <w:rPr>
          <w:rFonts w:ascii="Arial" w:hAnsi="Arial" w:cs="Arial"/>
          <w:sz w:val="24"/>
          <w:szCs w:val="24"/>
        </w:rPr>
        <w:t>2017</w:t>
      </w:r>
      <w:r w:rsidRPr="00085B04">
        <w:rPr>
          <w:rFonts w:ascii="Arial" w:hAnsi="Arial" w:cs="Arial"/>
          <w:sz w:val="24"/>
          <w:szCs w:val="24"/>
        </w:rPr>
        <w:t>-</w:t>
      </w:r>
      <w:r w:rsidR="00132A9A" w:rsidRPr="00085B04">
        <w:rPr>
          <w:rFonts w:ascii="Arial" w:hAnsi="Arial" w:cs="Arial"/>
          <w:sz w:val="24"/>
          <w:szCs w:val="24"/>
        </w:rPr>
        <w:t xml:space="preserve">18 </w:t>
      </w:r>
      <w:r w:rsidRPr="00085B04">
        <w:rPr>
          <w:rFonts w:ascii="Arial" w:hAnsi="Arial" w:cs="Arial"/>
          <w:sz w:val="24"/>
          <w:szCs w:val="24"/>
        </w:rPr>
        <w:t>which are not reflected in the above figure of £</w:t>
      </w:r>
      <w:r w:rsidR="00132A9A" w:rsidRPr="00085B04">
        <w:rPr>
          <w:rFonts w:ascii="Arial" w:hAnsi="Arial" w:cs="Arial"/>
          <w:sz w:val="24"/>
          <w:szCs w:val="24"/>
        </w:rPr>
        <w:t>3.712</w:t>
      </w:r>
      <w:r w:rsidRPr="00085B04">
        <w:rPr>
          <w:rFonts w:ascii="Arial" w:hAnsi="Arial" w:cs="Arial"/>
          <w:sz w:val="24"/>
          <w:szCs w:val="24"/>
        </w:rPr>
        <w:t>m</w:t>
      </w:r>
      <w:r w:rsidR="00085B04" w:rsidRPr="00085B04">
        <w:rPr>
          <w:rFonts w:ascii="Arial" w:hAnsi="Arial" w:cs="Arial"/>
          <w:sz w:val="24"/>
          <w:szCs w:val="24"/>
        </w:rPr>
        <w:t xml:space="preserve">. These are </w:t>
      </w:r>
      <w:r w:rsidRPr="00085B04">
        <w:rPr>
          <w:rFonts w:ascii="Arial" w:hAnsi="Arial" w:cs="Arial"/>
          <w:sz w:val="24"/>
          <w:szCs w:val="24"/>
        </w:rPr>
        <w:t>detailed below</w:t>
      </w:r>
      <w:r w:rsidR="00E42744" w:rsidRPr="00085B04">
        <w:rPr>
          <w:rFonts w:ascii="Arial" w:hAnsi="Arial" w:cs="Arial"/>
          <w:sz w:val="24"/>
          <w:szCs w:val="24"/>
        </w:rPr>
        <w:t>:</w:t>
      </w:r>
    </w:p>
    <w:p w:rsidR="00E42744" w:rsidRPr="00085B04" w:rsidRDefault="00E42744" w:rsidP="00A76A10">
      <w:pPr>
        <w:pStyle w:val="ListParagraph"/>
        <w:numPr>
          <w:ilvl w:val="0"/>
          <w:numId w:val="6"/>
        </w:numPr>
        <w:jc w:val="both"/>
        <w:rPr>
          <w:rFonts w:ascii="Arial" w:hAnsi="Arial" w:cs="Arial"/>
          <w:sz w:val="24"/>
          <w:szCs w:val="24"/>
        </w:rPr>
      </w:pPr>
      <w:r w:rsidRPr="00085B04">
        <w:rPr>
          <w:rFonts w:ascii="Arial" w:hAnsi="Arial" w:cs="Arial"/>
          <w:sz w:val="24"/>
          <w:szCs w:val="24"/>
        </w:rPr>
        <w:t>A one-off payment to all maintained schools and academies totalling £</w:t>
      </w:r>
      <w:r w:rsidR="00132A9A" w:rsidRPr="00085B04">
        <w:rPr>
          <w:rFonts w:ascii="Arial" w:hAnsi="Arial" w:cs="Arial"/>
          <w:sz w:val="24"/>
          <w:szCs w:val="24"/>
        </w:rPr>
        <w:t>1.9</w:t>
      </w:r>
      <w:r w:rsidRPr="00085B04">
        <w:rPr>
          <w:rFonts w:ascii="Arial" w:hAnsi="Arial" w:cs="Arial"/>
          <w:sz w:val="24"/>
          <w:szCs w:val="24"/>
        </w:rPr>
        <w:t xml:space="preserve">m through the </w:t>
      </w:r>
      <w:r w:rsidR="00132A9A" w:rsidRPr="00085B04">
        <w:rPr>
          <w:rFonts w:ascii="Arial" w:hAnsi="Arial" w:cs="Arial"/>
          <w:sz w:val="24"/>
          <w:szCs w:val="24"/>
        </w:rPr>
        <w:t>2017</w:t>
      </w:r>
      <w:r w:rsidRPr="00085B04">
        <w:rPr>
          <w:rFonts w:ascii="Arial" w:hAnsi="Arial" w:cs="Arial"/>
          <w:sz w:val="24"/>
          <w:szCs w:val="24"/>
        </w:rPr>
        <w:t>-</w:t>
      </w:r>
      <w:r w:rsidR="00132A9A" w:rsidRPr="00085B04">
        <w:rPr>
          <w:rFonts w:ascii="Arial" w:hAnsi="Arial" w:cs="Arial"/>
          <w:sz w:val="24"/>
          <w:szCs w:val="24"/>
        </w:rPr>
        <w:t xml:space="preserve">18 </w:t>
      </w:r>
      <w:r w:rsidRPr="00085B04">
        <w:rPr>
          <w:rFonts w:ascii="Arial" w:hAnsi="Arial" w:cs="Arial"/>
          <w:sz w:val="24"/>
          <w:szCs w:val="24"/>
        </w:rPr>
        <w:t>funding formula.</w:t>
      </w:r>
    </w:p>
    <w:p w:rsidR="00E42744" w:rsidRPr="00085B04" w:rsidRDefault="00E42744" w:rsidP="00A76A10">
      <w:pPr>
        <w:pStyle w:val="ListParagraph"/>
        <w:jc w:val="both"/>
        <w:rPr>
          <w:rFonts w:ascii="Arial" w:hAnsi="Arial" w:cs="Arial"/>
          <w:sz w:val="24"/>
          <w:szCs w:val="24"/>
        </w:rPr>
      </w:pPr>
    </w:p>
    <w:p w:rsidR="00E42744" w:rsidRPr="00085B04" w:rsidRDefault="00E42744" w:rsidP="00A738DE">
      <w:pPr>
        <w:pStyle w:val="ListParagraph"/>
        <w:numPr>
          <w:ilvl w:val="0"/>
          <w:numId w:val="6"/>
        </w:numPr>
        <w:jc w:val="both"/>
        <w:rPr>
          <w:rFonts w:ascii="Arial" w:hAnsi="Arial" w:cs="Arial"/>
          <w:sz w:val="24"/>
          <w:szCs w:val="24"/>
        </w:rPr>
      </w:pPr>
      <w:r w:rsidRPr="00085B04">
        <w:rPr>
          <w:rFonts w:ascii="Arial" w:hAnsi="Arial" w:cs="Arial"/>
          <w:sz w:val="24"/>
          <w:szCs w:val="24"/>
        </w:rPr>
        <w:t>£0.</w:t>
      </w:r>
      <w:r w:rsidR="00CF44F5" w:rsidRPr="00085B04">
        <w:rPr>
          <w:rFonts w:ascii="Arial" w:hAnsi="Arial" w:cs="Arial"/>
          <w:sz w:val="24"/>
          <w:szCs w:val="24"/>
        </w:rPr>
        <w:t>25</w:t>
      </w:r>
      <w:r w:rsidRPr="00085B04">
        <w:rPr>
          <w:rFonts w:ascii="Arial" w:hAnsi="Arial" w:cs="Arial"/>
          <w:sz w:val="24"/>
          <w:szCs w:val="24"/>
        </w:rPr>
        <w:t xml:space="preserve">0m to fund </w:t>
      </w:r>
      <w:r w:rsidR="00CF44F5" w:rsidRPr="00085B04">
        <w:rPr>
          <w:rFonts w:ascii="Arial" w:hAnsi="Arial" w:cs="Arial"/>
          <w:sz w:val="24"/>
          <w:szCs w:val="24"/>
        </w:rPr>
        <w:t xml:space="preserve">the </w:t>
      </w:r>
      <w:r w:rsidR="00132A9A" w:rsidRPr="00085B04">
        <w:rPr>
          <w:rFonts w:ascii="Arial" w:hAnsi="Arial" w:cs="Arial"/>
          <w:sz w:val="24"/>
          <w:szCs w:val="24"/>
        </w:rPr>
        <w:t xml:space="preserve">3rd </w:t>
      </w:r>
      <w:r w:rsidR="00CF44F5" w:rsidRPr="00085B04">
        <w:rPr>
          <w:rFonts w:ascii="Arial" w:hAnsi="Arial" w:cs="Arial"/>
          <w:sz w:val="24"/>
          <w:szCs w:val="24"/>
        </w:rPr>
        <w:t xml:space="preserve">year of the </w:t>
      </w:r>
      <w:r w:rsidRPr="00085B04">
        <w:rPr>
          <w:rFonts w:ascii="Arial" w:hAnsi="Arial" w:cs="Arial"/>
          <w:sz w:val="24"/>
          <w:szCs w:val="24"/>
        </w:rPr>
        <w:t xml:space="preserve">early years play workers </w:t>
      </w:r>
      <w:r w:rsidR="00CF44F5" w:rsidRPr="00085B04">
        <w:rPr>
          <w:rFonts w:ascii="Arial" w:hAnsi="Arial" w:cs="Arial"/>
          <w:sz w:val="24"/>
          <w:szCs w:val="24"/>
        </w:rPr>
        <w:t>programme agreed by the Schools Forum.</w:t>
      </w:r>
    </w:p>
    <w:p w:rsidR="00132A9A" w:rsidRPr="00085B04" w:rsidRDefault="00132A9A" w:rsidP="00085B04">
      <w:pPr>
        <w:pStyle w:val="ListParagraph"/>
        <w:rPr>
          <w:rFonts w:ascii="Arial" w:hAnsi="Arial" w:cs="Arial"/>
          <w:sz w:val="24"/>
          <w:szCs w:val="24"/>
        </w:rPr>
      </w:pPr>
    </w:p>
    <w:p w:rsidR="00132A9A" w:rsidRPr="00085B04" w:rsidRDefault="00132A9A" w:rsidP="00A738DE">
      <w:pPr>
        <w:pStyle w:val="ListParagraph"/>
        <w:numPr>
          <w:ilvl w:val="0"/>
          <w:numId w:val="6"/>
        </w:numPr>
        <w:jc w:val="both"/>
        <w:rPr>
          <w:rFonts w:ascii="Arial" w:hAnsi="Arial" w:cs="Arial"/>
          <w:sz w:val="24"/>
          <w:szCs w:val="24"/>
        </w:rPr>
      </w:pPr>
      <w:r w:rsidRPr="00085B04">
        <w:rPr>
          <w:rFonts w:ascii="Arial" w:hAnsi="Arial" w:cs="Arial"/>
          <w:sz w:val="24"/>
          <w:szCs w:val="24"/>
        </w:rPr>
        <w:t xml:space="preserve">£0.150m Growth and </w:t>
      </w:r>
      <w:r w:rsidR="00085B04" w:rsidRPr="00085B04">
        <w:rPr>
          <w:rFonts w:ascii="Arial" w:hAnsi="Arial" w:cs="Arial"/>
          <w:sz w:val="24"/>
          <w:szCs w:val="24"/>
        </w:rPr>
        <w:t>F</w:t>
      </w:r>
      <w:r w:rsidRPr="00085B04">
        <w:rPr>
          <w:rFonts w:ascii="Arial" w:hAnsi="Arial" w:cs="Arial"/>
          <w:sz w:val="24"/>
          <w:szCs w:val="24"/>
        </w:rPr>
        <w:t xml:space="preserve">alling </w:t>
      </w:r>
      <w:r w:rsidR="001F646E">
        <w:rPr>
          <w:rFonts w:ascii="Arial" w:hAnsi="Arial" w:cs="Arial"/>
          <w:sz w:val="24"/>
          <w:szCs w:val="24"/>
        </w:rPr>
        <w:t>R</w:t>
      </w:r>
      <w:r w:rsidRPr="00085B04">
        <w:rPr>
          <w:rFonts w:ascii="Arial" w:hAnsi="Arial" w:cs="Arial"/>
          <w:sz w:val="24"/>
          <w:szCs w:val="24"/>
        </w:rPr>
        <w:t>olls</w:t>
      </w:r>
      <w:r w:rsidR="00085B04" w:rsidRPr="00085B04">
        <w:rPr>
          <w:rFonts w:ascii="Arial" w:hAnsi="Arial" w:cs="Arial"/>
          <w:sz w:val="24"/>
          <w:szCs w:val="24"/>
        </w:rPr>
        <w:t xml:space="preserve"> additional contingency</w:t>
      </w:r>
    </w:p>
    <w:p w:rsidR="008E7B96" w:rsidRPr="00085B04" w:rsidRDefault="00E42744" w:rsidP="00840D55">
      <w:pPr>
        <w:jc w:val="both"/>
        <w:rPr>
          <w:rFonts w:ascii="Arial" w:hAnsi="Arial" w:cs="Arial"/>
          <w:sz w:val="24"/>
          <w:szCs w:val="24"/>
        </w:rPr>
      </w:pPr>
      <w:r w:rsidRPr="00085B04">
        <w:rPr>
          <w:rFonts w:ascii="Arial" w:hAnsi="Arial" w:cs="Arial"/>
          <w:sz w:val="24"/>
          <w:szCs w:val="24"/>
        </w:rPr>
        <w:t xml:space="preserve">The uncommitted amount </w:t>
      </w:r>
      <w:r w:rsidR="00573A10" w:rsidRPr="00085B04">
        <w:rPr>
          <w:rFonts w:ascii="Arial" w:hAnsi="Arial" w:cs="Arial"/>
          <w:sz w:val="24"/>
          <w:szCs w:val="24"/>
        </w:rPr>
        <w:t>remaining of £</w:t>
      </w:r>
      <w:r w:rsidR="00132A9A" w:rsidRPr="00085B04">
        <w:rPr>
          <w:rFonts w:ascii="Arial" w:hAnsi="Arial" w:cs="Arial"/>
          <w:sz w:val="24"/>
          <w:szCs w:val="24"/>
        </w:rPr>
        <w:t>1.412</w:t>
      </w:r>
      <w:r w:rsidR="00872FEC" w:rsidRPr="00085B04">
        <w:rPr>
          <w:rFonts w:ascii="Arial" w:hAnsi="Arial" w:cs="Arial"/>
          <w:sz w:val="24"/>
          <w:szCs w:val="24"/>
        </w:rPr>
        <w:t>m</w:t>
      </w:r>
      <w:r w:rsidR="00573A10" w:rsidRPr="00085B04">
        <w:rPr>
          <w:rFonts w:ascii="Arial" w:hAnsi="Arial" w:cs="Arial"/>
          <w:sz w:val="24"/>
          <w:szCs w:val="24"/>
        </w:rPr>
        <w:t xml:space="preserve"> is </w:t>
      </w:r>
      <w:r w:rsidR="00132A9A" w:rsidRPr="00085B04">
        <w:rPr>
          <w:rFonts w:ascii="Arial" w:hAnsi="Arial" w:cs="Arial"/>
          <w:sz w:val="24"/>
          <w:szCs w:val="24"/>
        </w:rPr>
        <w:t>just below</w:t>
      </w:r>
      <w:r w:rsidR="00573A10" w:rsidRPr="00085B04">
        <w:rPr>
          <w:rFonts w:ascii="Arial" w:hAnsi="Arial" w:cs="Arial"/>
          <w:sz w:val="24"/>
          <w:szCs w:val="24"/>
        </w:rPr>
        <w:t xml:space="preserve"> the 5% balance</w:t>
      </w:r>
      <w:r w:rsidR="00132A9A" w:rsidRPr="00085B04">
        <w:rPr>
          <w:rFonts w:ascii="Arial" w:hAnsi="Arial" w:cs="Arial"/>
          <w:sz w:val="24"/>
          <w:szCs w:val="24"/>
        </w:rPr>
        <w:t xml:space="preserve"> of the current</w:t>
      </w:r>
      <w:r w:rsidR="000E4E7B" w:rsidRPr="00085B04">
        <w:rPr>
          <w:rFonts w:ascii="Arial" w:hAnsi="Arial" w:cs="Arial"/>
          <w:sz w:val="24"/>
          <w:szCs w:val="24"/>
        </w:rPr>
        <w:t xml:space="preserve"> 2017-18 </w:t>
      </w:r>
      <w:r w:rsidR="00132A9A" w:rsidRPr="00085B04">
        <w:rPr>
          <w:rFonts w:ascii="Arial" w:hAnsi="Arial" w:cs="Arial"/>
          <w:sz w:val="24"/>
          <w:szCs w:val="24"/>
        </w:rPr>
        <w:t>DSG allocation of £28.742m</w:t>
      </w:r>
      <w:r w:rsidR="00573A10" w:rsidRPr="00085B04">
        <w:rPr>
          <w:rFonts w:ascii="Arial" w:hAnsi="Arial" w:cs="Arial"/>
          <w:sz w:val="24"/>
          <w:szCs w:val="24"/>
        </w:rPr>
        <w:t xml:space="preserve">. </w:t>
      </w:r>
    </w:p>
    <w:p w:rsidR="007A34BD" w:rsidRDefault="007A34BD" w:rsidP="00A76A10">
      <w:pPr>
        <w:jc w:val="both"/>
        <w:rPr>
          <w:rFonts w:ascii="Arial" w:hAnsi="Arial" w:cs="Arial"/>
          <w:b/>
          <w:sz w:val="24"/>
          <w:szCs w:val="24"/>
          <w:u w:val="single"/>
        </w:rPr>
      </w:pPr>
    </w:p>
    <w:p w:rsidR="008120B7" w:rsidRPr="00085B04" w:rsidRDefault="008120B7" w:rsidP="00A76A10">
      <w:pPr>
        <w:jc w:val="both"/>
        <w:rPr>
          <w:rFonts w:ascii="Arial" w:hAnsi="Arial" w:cs="Arial"/>
          <w:b/>
          <w:sz w:val="24"/>
          <w:szCs w:val="24"/>
          <w:u w:val="single"/>
        </w:rPr>
      </w:pPr>
      <w:r w:rsidRPr="00085B04">
        <w:rPr>
          <w:rFonts w:ascii="Arial" w:hAnsi="Arial" w:cs="Arial"/>
          <w:b/>
          <w:sz w:val="24"/>
          <w:szCs w:val="24"/>
          <w:u w:val="single"/>
        </w:rPr>
        <w:t>Recommendations</w:t>
      </w:r>
    </w:p>
    <w:p w:rsidR="00573A10" w:rsidRPr="00085B04" w:rsidRDefault="00085B04" w:rsidP="00085B04">
      <w:pPr>
        <w:rPr>
          <w:rFonts w:ascii="Arial" w:hAnsi="Arial" w:cs="Arial"/>
          <w:sz w:val="24"/>
          <w:szCs w:val="24"/>
        </w:rPr>
      </w:pPr>
      <w:r>
        <w:rPr>
          <w:rFonts w:ascii="Arial" w:hAnsi="Arial" w:cs="Arial"/>
          <w:sz w:val="24"/>
          <w:szCs w:val="24"/>
        </w:rPr>
        <w:t xml:space="preserve">It is recommended that </w:t>
      </w:r>
      <w:r w:rsidR="008120B7" w:rsidRPr="00085B04">
        <w:rPr>
          <w:rFonts w:ascii="Arial" w:hAnsi="Arial" w:cs="Arial"/>
          <w:sz w:val="24"/>
          <w:szCs w:val="24"/>
        </w:rPr>
        <w:t xml:space="preserve">Schools Forum note the </w:t>
      </w:r>
      <w:r w:rsidR="000E4E7B" w:rsidRPr="00085B04">
        <w:rPr>
          <w:rFonts w:ascii="Arial" w:hAnsi="Arial" w:cs="Arial"/>
          <w:sz w:val="24"/>
          <w:szCs w:val="24"/>
        </w:rPr>
        <w:t>2016</w:t>
      </w:r>
      <w:r w:rsidR="008120B7" w:rsidRPr="00085B04">
        <w:rPr>
          <w:rFonts w:ascii="Arial" w:hAnsi="Arial" w:cs="Arial"/>
          <w:sz w:val="24"/>
          <w:szCs w:val="24"/>
        </w:rPr>
        <w:t>-</w:t>
      </w:r>
      <w:r w:rsidR="000E4E7B" w:rsidRPr="00085B04">
        <w:rPr>
          <w:rFonts w:ascii="Arial" w:hAnsi="Arial" w:cs="Arial"/>
          <w:sz w:val="24"/>
          <w:szCs w:val="24"/>
        </w:rPr>
        <w:t xml:space="preserve">17 </w:t>
      </w:r>
      <w:r w:rsidR="008120B7" w:rsidRPr="00085B04">
        <w:rPr>
          <w:rFonts w:ascii="Arial" w:hAnsi="Arial" w:cs="Arial"/>
          <w:sz w:val="24"/>
          <w:szCs w:val="24"/>
        </w:rPr>
        <w:t>DSG outturn position.</w:t>
      </w:r>
    </w:p>
    <w:p w:rsidR="00237407" w:rsidRPr="00085B04" w:rsidRDefault="00237407" w:rsidP="00237407">
      <w:pPr>
        <w:pStyle w:val="ListParagraph"/>
        <w:rPr>
          <w:rFonts w:ascii="Arial" w:hAnsi="Arial" w:cs="Arial"/>
          <w:sz w:val="24"/>
          <w:szCs w:val="24"/>
        </w:rPr>
      </w:pPr>
    </w:p>
    <w:p w:rsidR="008120B7" w:rsidRPr="00085B04" w:rsidRDefault="008120B7" w:rsidP="008120B7">
      <w:pPr>
        <w:rPr>
          <w:rFonts w:ascii="Arial" w:hAnsi="Arial" w:cs="Arial"/>
          <w:sz w:val="24"/>
          <w:szCs w:val="24"/>
        </w:rPr>
      </w:pPr>
    </w:p>
    <w:p w:rsidR="008120B7" w:rsidRPr="00085B04" w:rsidRDefault="008120B7" w:rsidP="008120B7">
      <w:pPr>
        <w:pStyle w:val="ListParagraph"/>
        <w:ind w:left="0"/>
        <w:rPr>
          <w:rFonts w:ascii="Arial" w:hAnsi="Arial" w:cs="Arial"/>
          <w:sz w:val="24"/>
          <w:szCs w:val="24"/>
        </w:rPr>
      </w:pPr>
      <w:r w:rsidRPr="00085B04">
        <w:rPr>
          <w:rFonts w:ascii="Arial" w:hAnsi="Arial" w:cs="Arial"/>
          <w:sz w:val="24"/>
          <w:szCs w:val="24"/>
        </w:rPr>
        <w:t>Contact Officer: David Kirven, S</w:t>
      </w:r>
      <w:r w:rsidR="00E02B40" w:rsidRPr="00085B04">
        <w:rPr>
          <w:rFonts w:ascii="Arial" w:hAnsi="Arial" w:cs="Arial"/>
          <w:sz w:val="24"/>
          <w:szCs w:val="24"/>
        </w:rPr>
        <w:t>trategic Lead</w:t>
      </w:r>
      <w:r w:rsidRPr="00085B04">
        <w:rPr>
          <w:rFonts w:ascii="Arial" w:hAnsi="Arial" w:cs="Arial"/>
          <w:sz w:val="24"/>
          <w:szCs w:val="24"/>
        </w:rPr>
        <w:t xml:space="preserve"> –</w:t>
      </w:r>
      <w:r w:rsidR="003C6B26" w:rsidRPr="00085B04">
        <w:rPr>
          <w:rFonts w:ascii="Arial" w:hAnsi="Arial" w:cs="Arial"/>
          <w:sz w:val="24"/>
          <w:szCs w:val="24"/>
        </w:rPr>
        <w:t>Business Partnering</w:t>
      </w:r>
      <w:r w:rsidRPr="00085B04">
        <w:rPr>
          <w:rFonts w:ascii="Arial" w:hAnsi="Arial" w:cs="Arial"/>
          <w:sz w:val="24"/>
          <w:szCs w:val="24"/>
        </w:rPr>
        <w:t>.</w:t>
      </w:r>
    </w:p>
    <w:p w:rsidR="00722CCF" w:rsidRPr="00085B04" w:rsidRDefault="00722CCF"/>
    <w:p w:rsidR="00A76A10" w:rsidRPr="00085B04" w:rsidRDefault="00A76A10"/>
    <w:p w:rsidR="00A76A10" w:rsidRPr="00085B04" w:rsidRDefault="00A76A10"/>
    <w:p w:rsidR="00A76A10" w:rsidRPr="00085B04" w:rsidRDefault="00A76A10"/>
    <w:p w:rsidR="00A76A10" w:rsidRPr="00085B04" w:rsidRDefault="00A76A10"/>
    <w:p w:rsidR="00A76A10" w:rsidRPr="00085B04" w:rsidRDefault="00A76A10"/>
    <w:p w:rsidR="00A76A10" w:rsidRPr="00085B04" w:rsidRDefault="00A76A10"/>
    <w:p w:rsidR="00A76A10" w:rsidRPr="00085B04" w:rsidRDefault="00A76A10"/>
    <w:p w:rsidR="00EB103B" w:rsidRPr="00085B04" w:rsidRDefault="00EB103B"/>
    <w:p w:rsidR="00EB103B" w:rsidRPr="00085B04" w:rsidRDefault="00EB103B"/>
    <w:p w:rsidR="00EB103B" w:rsidRDefault="00EB103B"/>
    <w:p w:rsidR="00085B04" w:rsidRDefault="00085B04"/>
    <w:p w:rsidR="00085B04" w:rsidRDefault="00085B04"/>
    <w:p w:rsidR="00085B04" w:rsidRDefault="00085B04"/>
    <w:p w:rsidR="00085B04" w:rsidRDefault="00085B04"/>
    <w:p w:rsidR="00085B04" w:rsidRDefault="00085B04"/>
    <w:p w:rsidR="002A70BC" w:rsidRDefault="002A70BC">
      <w:bookmarkStart w:id="0" w:name="_GoBack"/>
      <w:bookmarkEnd w:id="0"/>
    </w:p>
    <w:p w:rsidR="00085B04" w:rsidRDefault="00085B04"/>
    <w:p w:rsidR="00085B04" w:rsidRDefault="00085B04"/>
    <w:p w:rsidR="00085B04" w:rsidRDefault="00085B04"/>
    <w:p w:rsidR="00085B04" w:rsidRPr="00085B04" w:rsidRDefault="00085B04"/>
    <w:p w:rsidR="00A76A10" w:rsidRPr="00085B04" w:rsidRDefault="00A76A10" w:rsidP="00A76A10">
      <w:pPr>
        <w:jc w:val="right"/>
        <w:rPr>
          <w:rFonts w:ascii="Arial" w:hAnsi="Arial" w:cs="Arial"/>
          <w:b/>
          <w:color w:val="FF0000"/>
          <w:sz w:val="24"/>
          <w:szCs w:val="24"/>
          <w:u w:val="single"/>
        </w:rPr>
      </w:pPr>
      <w:r w:rsidRPr="00085B04">
        <w:rPr>
          <w:rFonts w:ascii="Arial" w:hAnsi="Arial" w:cs="Arial"/>
          <w:b/>
          <w:sz w:val="24"/>
          <w:szCs w:val="24"/>
          <w:u w:val="single"/>
        </w:rPr>
        <w:lastRenderedPageBreak/>
        <w:t>Appendix A</w:t>
      </w:r>
    </w:p>
    <w:p w:rsidR="00A76A10" w:rsidRPr="00085B04" w:rsidRDefault="00A76A10" w:rsidP="00A76A10">
      <w:pPr>
        <w:jc w:val="center"/>
        <w:rPr>
          <w:rFonts w:ascii="Arial" w:hAnsi="Arial" w:cs="Arial"/>
          <w:b/>
          <w:sz w:val="24"/>
          <w:szCs w:val="24"/>
          <w:u w:val="single"/>
        </w:rPr>
      </w:pPr>
      <w:r w:rsidRPr="00085B04">
        <w:rPr>
          <w:rFonts w:ascii="Arial" w:hAnsi="Arial" w:cs="Arial"/>
          <w:b/>
          <w:sz w:val="24"/>
          <w:szCs w:val="24"/>
          <w:u w:val="single"/>
        </w:rPr>
        <w:t>HIGH NEEDS BLOCK 201</w:t>
      </w:r>
      <w:r w:rsidR="00085B04" w:rsidRPr="00085B04">
        <w:rPr>
          <w:rFonts w:ascii="Arial" w:hAnsi="Arial" w:cs="Arial"/>
          <w:b/>
          <w:sz w:val="24"/>
          <w:szCs w:val="24"/>
          <w:u w:val="single"/>
        </w:rPr>
        <w:t>6</w:t>
      </w:r>
      <w:r w:rsidR="00237407" w:rsidRPr="00085B04">
        <w:rPr>
          <w:rFonts w:ascii="Arial" w:hAnsi="Arial" w:cs="Arial"/>
          <w:b/>
          <w:sz w:val="24"/>
          <w:szCs w:val="24"/>
          <w:u w:val="single"/>
        </w:rPr>
        <w:t>-1</w:t>
      </w:r>
      <w:r w:rsidR="00085B04" w:rsidRPr="00085B04">
        <w:rPr>
          <w:rFonts w:ascii="Arial" w:hAnsi="Arial" w:cs="Arial"/>
          <w:b/>
          <w:sz w:val="24"/>
          <w:szCs w:val="24"/>
          <w:u w:val="single"/>
        </w:rPr>
        <w:t>7</w:t>
      </w:r>
      <w:r w:rsidRPr="00085B04">
        <w:rPr>
          <w:rFonts w:ascii="Arial" w:hAnsi="Arial" w:cs="Arial"/>
          <w:b/>
          <w:sz w:val="24"/>
          <w:szCs w:val="24"/>
          <w:u w:val="single"/>
        </w:rPr>
        <w:t xml:space="preserve"> OUTTURN POSITION</w:t>
      </w:r>
    </w:p>
    <w:p w:rsidR="00085B04" w:rsidRPr="00085B04" w:rsidRDefault="00085B04" w:rsidP="00A76A10">
      <w:pPr>
        <w:jc w:val="center"/>
        <w:rPr>
          <w:rFonts w:ascii="Arial" w:hAnsi="Arial" w:cs="Arial"/>
          <w:b/>
          <w:color w:val="FF0000"/>
          <w:sz w:val="24"/>
          <w:szCs w:val="24"/>
          <w:u w:val="single"/>
        </w:rPr>
      </w:pPr>
    </w:p>
    <w:tbl>
      <w:tblPr>
        <w:tblStyle w:val="TableGrid"/>
        <w:tblW w:w="0" w:type="auto"/>
        <w:tblLook w:val="04A0" w:firstRow="1" w:lastRow="0" w:firstColumn="1" w:lastColumn="0" w:noHBand="0" w:noVBand="1"/>
      </w:tblPr>
      <w:tblGrid>
        <w:gridCol w:w="2310"/>
        <w:gridCol w:w="2310"/>
        <w:gridCol w:w="2311"/>
        <w:gridCol w:w="2311"/>
      </w:tblGrid>
      <w:tr w:rsidR="00085B04" w:rsidRPr="00085B04" w:rsidTr="00A76A10">
        <w:tc>
          <w:tcPr>
            <w:tcW w:w="2310" w:type="dxa"/>
          </w:tcPr>
          <w:p w:rsidR="00A76A10" w:rsidRPr="009438F4" w:rsidRDefault="00A76A10" w:rsidP="00A76A10">
            <w:pPr>
              <w:jc w:val="center"/>
              <w:rPr>
                <w:rFonts w:ascii="Arial" w:hAnsi="Arial" w:cs="Arial"/>
                <w:b/>
                <w:sz w:val="24"/>
                <w:szCs w:val="24"/>
                <w:u w:val="single"/>
              </w:rPr>
            </w:pPr>
            <w:r w:rsidRPr="009438F4">
              <w:rPr>
                <w:rFonts w:ascii="Arial" w:hAnsi="Arial" w:cs="Arial"/>
                <w:b/>
                <w:sz w:val="24"/>
                <w:szCs w:val="24"/>
                <w:u w:val="single"/>
              </w:rPr>
              <w:t>SERVICE</w:t>
            </w:r>
          </w:p>
        </w:tc>
        <w:tc>
          <w:tcPr>
            <w:tcW w:w="2310" w:type="dxa"/>
          </w:tcPr>
          <w:p w:rsidR="00A76A10" w:rsidRPr="009438F4" w:rsidRDefault="00A76A10" w:rsidP="00A76A10">
            <w:pPr>
              <w:jc w:val="center"/>
              <w:rPr>
                <w:rFonts w:ascii="Arial" w:hAnsi="Arial" w:cs="Arial"/>
                <w:b/>
                <w:sz w:val="24"/>
                <w:szCs w:val="24"/>
                <w:u w:val="single"/>
              </w:rPr>
            </w:pPr>
            <w:r w:rsidRPr="009438F4">
              <w:rPr>
                <w:rFonts w:ascii="Arial" w:hAnsi="Arial" w:cs="Arial"/>
                <w:b/>
                <w:sz w:val="24"/>
                <w:szCs w:val="24"/>
                <w:u w:val="single"/>
              </w:rPr>
              <w:t>BUDGET £’m</w:t>
            </w:r>
          </w:p>
        </w:tc>
        <w:tc>
          <w:tcPr>
            <w:tcW w:w="2311" w:type="dxa"/>
          </w:tcPr>
          <w:p w:rsidR="00A76A10" w:rsidRPr="009438F4" w:rsidRDefault="00A76A10" w:rsidP="00A76A10">
            <w:pPr>
              <w:jc w:val="center"/>
              <w:rPr>
                <w:rFonts w:ascii="Arial" w:hAnsi="Arial" w:cs="Arial"/>
                <w:b/>
                <w:sz w:val="24"/>
                <w:szCs w:val="24"/>
                <w:u w:val="single"/>
              </w:rPr>
            </w:pPr>
            <w:r w:rsidRPr="009438F4">
              <w:rPr>
                <w:rFonts w:ascii="Arial" w:hAnsi="Arial" w:cs="Arial"/>
                <w:b/>
                <w:sz w:val="24"/>
                <w:szCs w:val="24"/>
                <w:u w:val="single"/>
              </w:rPr>
              <w:t>OUTTURN £’m</w:t>
            </w:r>
          </w:p>
        </w:tc>
        <w:tc>
          <w:tcPr>
            <w:tcW w:w="2311" w:type="dxa"/>
          </w:tcPr>
          <w:p w:rsidR="00A76A10" w:rsidRPr="009438F4" w:rsidRDefault="00A76A10" w:rsidP="00A76A10">
            <w:pPr>
              <w:jc w:val="center"/>
              <w:rPr>
                <w:rFonts w:ascii="Arial" w:hAnsi="Arial" w:cs="Arial"/>
                <w:b/>
                <w:sz w:val="24"/>
                <w:szCs w:val="24"/>
                <w:u w:val="single"/>
              </w:rPr>
            </w:pPr>
            <w:r w:rsidRPr="009438F4">
              <w:rPr>
                <w:rFonts w:ascii="Arial" w:hAnsi="Arial" w:cs="Arial"/>
                <w:b/>
                <w:sz w:val="24"/>
                <w:szCs w:val="24"/>
                <w:u w:val="single"/>
              </w:rPr>
              <w:t>VARIANCE £’m</w:t>
            </w:r>
          </w:p>
        </w:tc>
      </w:tr>
      <w:tr w:rsidR="00085B04" w:rsidRPr="00085B04" w:rsidTr="00A76A10">
        <w:tc>
          <w:tcPr>
            <w:tcW w:w="2310" w:type="dxa"/>
          </w:tcPr>
          <w:p w:rsidR="00A76A10" w:rsidRPr="009438F4" w:rsidRDefault="00A76A10" w:rsidP="00A76A10">
            <w:pPr>
              <w:jc w:val="center"/>
              <w:rPr>
                <w:rFonts w:ascii="Arial" w:hAnsi="Arial" w:cs="Arial"/>
                <w:b/>
                <w:sz w:val="24"/>
                <w:szCs w:val="24"/>
                <w:u w:val="single"/>
              </w:rPr>
            </w:pPr>
          </w:p>
        </w:tc>
        <w:tc>
          <w:tcPr>
            <w:tcW w:w="2310" w:type="dxa"/>
          </w:tcPr>
          <w:p w:rsidR="00A76A10" w:rsidRPr="00085B04" w:rsidRDefault="00A76A10" w:rsidP="00A76A10">
            <w:pPr>
              <w:jc w:val="center"/>
              <w:rPr>
                <w:rFonts w:ascii="Arial" w:hAnsi="Arial" w:cs="Arial"/>
                <w:b/>
                <w:color w:val="FF0000"/>
                <w:sz w:val="24"/>
                <w:szCs w:val="24"/>
                <w:u w:val="single"/>
              </w:rPr>
            </w:pPr>
          </w:p>
        </w:tc>
        <w:tc>
          <w:tcPr>
            <w:tcW w:w="2311" w:type="dxa"/>
          </w:tcPr>
          <w:p w:rsidR="00A76A10" w:rsidRPr="00085B04" w:rsidRDefault="00A76A10" w:rsidP="00A76A10">
            <w:pPr>
              <w:jc w:val="center"/>
              <w:rPr>
                <w:rFonts w:ascii="Arial" w:hAnsi="Arial" w:cs="Arial"/>
                <w:b/>
                <w:color w:val="FF0000"/>
                <w:sz w:val="24"/>
                <w:szCs w:val="24"/>
                <w:u w:val="single"/>
              </w:rPr>
            </w:pPr>
          </w:p>
        </w:tc>
        <w:tc>
          <w:tcPr>
            <w:tcW w:w="2311" w:type="dxa"/>
          </w:tcPr>
          <w:p w:rsidR="00A76A10" w:rsidRPr="00085B04" w:rsidRDefault="00A76A10" w:rsidP="00A76A10">
            <w:pPr>
              <w:jc w:val="center"/>
              <w:rPr>
                <w:rFonts w:ascii="Arial" w:hAnsi="Arial" w:cs="Arial"/>
                <w:b/>
                <w:color w:val="FF0000"/>
                <w:sz w:val="24"/>
                <w:szCs w:val="24"/>
                <w:u w:val="single"/>
              </w:rPr>
            </w:pPr>
          </w:p>
        </w:tc>
      </w:tr>
      <w:tr w:rsidR="00085B04" w:rsidRPr="00085B04" w:rsidTr="00A76A10">
        <w:tc>
          <w:tcPr>
            <w:tcW w:w="2310" w:type="dxa"/>
          </w:tcPr>
          <w:p w:rsidR="00A76A10" w:rsidRPr="009438F4" w:rsidRDefault="00A76A10" w:rsidP="00A76A10">
            <w:pPr>
              <w:jc w:val="center"/>
              <w:rPr>
                <w:rFonts w:ascii="Arial" w:hAnsi="Arial" w:cs="Arial"/>
                <w:sz w:val="24"/>
                <w:szCs w:val="24"/>
              </w:rPr>
            </w:pPr>
            <w:r w:rsidRPr="009438F4">
              <w:rPr>
                <w:rFonts w:ascii="Arial" w:hAnsi="Arial" w:cs="Arial"/>
                <w:sz w:val="24"/>
                <w:szCs w:val="24"/>
              </w:rPr>
              <w:t>Alternative Provision</w:t>
            </w:r>
          </w:p>
        </w:tc>
        <w:tc>
          <w:tcPr>
            <w:tcW w:w="2310" w:type="dxa"/>
          </w:tcPr>
          <w:p w:rsidR="00A76A10" w:rsidRPr="009438F4" w:rsidRDefault="00FA676D" w:rsidP="00FA676D">
            <w:pPr>
              <w:jc w:val="center"/>
              <w:rPr>
                <w:rFonts w:ascii="Arial" w:hAnsi="Arial" w:cs="Arial"/>
                <w:sz w:val="24"/>
                <w:szCs w:val="24"/>
              </w:rPr>
            </w:pPr>
            <w:r>
              <w:rPr>
                <w:rFonts w:ascii="Arial" w:hAnsi="Arial" w:cs="Arial"/>
                <w:sz w:val="24"/>
                <w:szCs w:val="24"/>
              </w:rPr>
              <w:t>1.442</w:t>
            </w:r>
          </w:p>
        </w:tc>
        <w:tc>
          <w:tcPr>
            <w:tcW w:w="2311" w:type="dxa"/>
          </w:tcPr>
          <w:p w:rsidR="00A76A10" w:rsidRPr="009438F4" w:rsidRDefault="00FA676D" w:rsidP="00A76A10">
            <w:pPr>
              <w:jc w:val="center"/>
              <w:rPr>
                <w:rFonts w:ascii="Arial" w:hAnsi="Arial" w:cs="Arial"/>
                <w:sz w:val="24"/>
                <w:szCs w:val="24"/>
              </w:rPr>
            </w:pPr>
            <w:r>
              <w:rPr>
                <w:rFonts w:ascii="Arial" w:hAnsi="Arial" w:cs="Arial"/>
                <w:sz w:val="24"/>
                <w:szCs w:val="24"/>
              </w:rPr>
              <w:t>1.381</w:t>
            </w:r>
          </w:p>
        </w:tc>
        <w:tc>
          <w:tcPr>
            <w:tcW w:w="2311" w:type="dxa"/>
          </w:tcPr>
          <w:p w:rsidR="00A76A10" w:rsidRPr="00FA676D" w:rsidRDefault="009438F4" w:rsidP="00230467">
            <w:pPr>
              <w:jc w:val="center"/>
              <w:rPr>
                <w:rFonts w:ascii="Arial" w:hAnsi="Arial" w:cs="Arial"/>
                <w:sz w:val="24"/>
                <w:szCs w:val="24"/>
              </w:rPr>
            </w:pPr>
            <w:r w:rsidRPr="00FA676D">
              <w:rPr>
                <w:rFonts w:ascii="Arial" w:hAnsi="Arial" w:cs="Arial"/>
                <w:sz w:val="24"/>
                <w:szCs w:val="24"/>
              </w:rPr>
              <w:t>(0.0</w:t>
            </w:r>
            <w:r w:rsidR="00230467" w:rsidRPr="00FA676D">
              <w:rPr>
                <w:rFonts w:ascii="Arial" w:hAnsi="Arial" w:cs="Arial"/>
                <w:sz w:val="24"/>
                <w:szCs w:val="24"/>
              </w:rPr>
              <w:t>61</w:t>
            </w:r>
            <w:r w:rsidRPr="00FA676D">
              <w:rPr>
                <w:rFonts w:ascii="Arial" w:hAnsi="Arial" w:cs="Arial"/>
                <w:sz w:val="24"/>
                <w:szCs w:val="24"/>
              </w:rPr>
              <w:t>)</w:t>
            </w:r>
          </w:p>
        </w:tc>
      </w:tr>
      <w:tr w:rsidR="00085B04" w:rsidRPr="00085B04" w:rsidTr="00A76A10">
        <w:tc>
          <w:tcPr>
            <w:tcW w:w="2310" w:type="dxa"/>
          </w:tcPr>
          <w:p w:rsidR="00A76A10" w:rsidRPr="009438F4" w:rsidRDefault="00A76A10" w:rsidP="00A76A10">
            <w:pPr>
              <w:jc w:val="center"/>
              <w:rPr>
                <w:rFonts w:ascii="Arial" w:hAnsi="Arial" w:cs="Arial"/>
                <w:sz w:val="24"/>
                <w:szCs w:val="24"/>
              </w:rPr>
            </w:pPr>
            <w:r w:rsidRPr="009438F4">
              <w:rPr>
                <w:rFonts w:ascii="Arial" w:hAnsi="Arial" w:cs="Arial"/>
                <w:sz w:val="24"/>
                <w:szCs w:val="24"/>
              </w:rPr>
              <w:t>SEN Services</w:t>
            </w:r>
          </w:p>
        </w:tc>
        <w:tc>
          <w:tcPr>
            <w:tcW w:w="2310" w:type="dxa"/>
          </w:tcPr>
          <w:p w:rsidR="00A76A10" w:rsidRPr="009438F4" w:rsidRDefault="00FA676D" w:rsidP="00A76A10">
            <w:pPr>
              <w:jc w:val="center"/>
              <w:rPr>
                <w:rFonts w:ascii="Arial" w:hAnsi="Arial" w:cs="Arial"/>
                <w:sz w:val="24"/>
                <w:szCs w:val="24"/>
              </w:rPr>
            </w:pPr>
            <w:r>
              <w:rPr>
                <w:rFonts w:ascii="Arial" w:hAnsi="Arial" w:cs="Arial"/>
                <w:sz w:val="24"/>
                <w:szCs w:val="24"/>
              </w:rPr>
              <w:t>6.750</w:t>
            </w:r>
          </w:p>
        </w:tc>
        <w:tc>
          <w:tcPr>
            <w:tcW w:w="2311" w:type="dxa"/>
          </w:tcPr>
          <w:p w:rsidR="00A76A10" w:rsidRPr="009438F4" w:rsidRDefault="00FA676D" w:rsidP="00FA676D">
            <w:pPr>
              <w:jc w:val="center"/>
              <w:rPr>
                <w:rFonts w:ascii="Arial" w:hAnsi="Arial" w:cs="Arial"/>
                <w:sz w:val="24"/>
                <w:szCs w:val="24"/>
              </w:rPr>
            </w:pPr>
            <w:r>
              <w:rPr>
                <w:rFonts w:ascii="Arial" w:hAnsi="Arial" w:cs="Arial"/>
                <w:sz w:val="24"/>
                <w:szCs w:val="24"/>
              </w:rPr>
              <w:t>6.073</w:t>
            </w:r>
          </w:p>
        </w:tc>
        <w:tc>
          <w:tcPr>
            <w:tcW w:w="2311" w:type="dxa"/>
          </w:tcPr>
          <w:p w:rsidR="00A76A10" w:rsidRPr="00FA676D" w:rsidRDefault="009438F4" w:rsidP="00E2359A">
            <w:pPr>
              <w:jc w:val="center"/>
              <w:rPr>
                <w:rFonts w:ascii="Arial" w:hAnsi="Arial" w:cs="Arial"/>
                <w:sz w:val="24"/>
                <w:szCs w:val="24"/>
              </w:rPr>
            </w:pPr>
            <w:r w:rsidRPr="00FA676D">
              <w:rPr>
                <w:rFonts w:ascii="Arial" w:hAnsi="Arial" w:cs="Arial"/>
                <w:sz w:val="24"/>
                <w:szCs w:val="24"/>
              </w:rPr>
              <w:t>(0.</w:t>
            </w:r>
            <w:r w:rsidR="00230467" w:rsidRPr="00FA676D">
              <w:rPr>
                <w:rFonts w:ascii="Arial" w:hAnsi="Arial" w:cs="Arial"/>
                <w:sz w:val="24"/>
                <w:szCs w:val="24"/>
              </w:rPr>
              <w:t>677</w:t>
            </w:r>
            <w:r w:rsidRPr="00FA676D">
              <w:rPr>
                <w:rFonts w:ascii="Arial" w:hAnsi="Arial" w:cs="Arial"/>
                <w:sz w:val="24"/>
                <w:szCs w:val="24"/>
              </w:rPr>
              <w:t>)</w:t>
            </w:r>
          </w:p>
        </w:tc>
      </w:tr>
      <w:tr w:rsidR="00085B04" w:rsidRPr="00085B04" w:rsidTr="00A76A10">
        <w:tc>
          <w:tcPr>
            <w:tcW w:w="2310" w:type="dxa"/>
          </w:tcPr>
          <w:p w:rsidR="00A76A10" w:rsidRPr="009438F4" w:rsidRDefault="00A76A10" w:rsidP="00A76A10">
            <w:pPr>
              <w:jc w:val="center"/>
              <w:rPr>
                <w:rFonts w:ascii="Arial" w:hAnsi="Arial" w:cs="Arial"/>
                <w:sz w:val="24"/>
                <w:szCs w:val="24"/>
              </w:rPr>
            </w:pPr>
            <w:r w:rsidRPr="009438F4">
              <w:rPr>
                <w:rFonts w:ascii="Arial" w:hAnsi="Arial" w:cs="Arial"/>
                <w:sz w:val="24"/>
                <w:szCs w:val="24"/>
              </w:rPr>
              <w:t>Agency Placements</w:t>
            </w:r>
          </w:p>
        </w:tc>
        <w:tc>
          <w:tcPr>
            <w:tcW w:w="2310" w:type="dxa"/>
          </w:tcPr>
          <w:p w:rsidR="00A76A10" w:rsidRPr="009438F4" w:rsidRDefault="009438F4" w:rsidP="00E2359A">
            <w:pPr>
              <w:jc w:val="center"/>
              <w:rPr>
                <w:rFonts w:ascii="Arial" w:hAnsi="Arial" w:cs="Arial"/>
                <w:sz w:val="24"/>
                <w:szCs w:val="24"/>
              </w:rPr>
            </w:pPr>
            <w:r w:rsidRPr="009438F4">
              <w:rPr>
                <w:rFonts w:ascii="Arial" w:hAnsi="Arial" w:cs="Arial"/>
                <w:sz w:val="24"/>
                <w:szCs w:val="24"/>
              </w:rPr>
              <w:t>2.465</w:t>
            </w:r>
          </w:p>
        </w:tc>
        <w:tc>
          <w:tcPr>
            <w:tcW w:w="2311" w:type="dxa"/>
          </w:tcPr>
          <w:p w:rsidR="00A76A10" w:rsidRPr="009438F4" w:rsidRDefault="00FA676D" w:rsidP="00FA676D">
            <w:pPr>
              <w:jc w:val="center"/>
              <w:rPr>
                <w:rFonts w:ascii="Arial" w:hAnsi="Arial" w:cs="Arial"/>
                <w:sz w:val="24"/>
                <w:szCs w:val="24"/>
              </w:rPr>
            </w:pPr>
            <w:r>
              <w:rPr>
                <w:rFonts w:ascii="Arial" w:hAnsi="Arial" w:cs="Arial"/>
                <w:sz w:val="24"/>
                <w:szCs w:val="24"/>
              </w:rPr>
              <w:t>2.917</w:t>
            </w:r>
          </w:p>
        </w:tc>
        <w:tc>
          <w:tcPr>
            <w:tcW w:w="2311" w:type="dxa"/>
          </w:tcPr>
          <w:p w:rsidR="00A76A10" w:rsidRPr="00FA676D" w:rsidRDefault="009438F4" w:rsidP="00230467">
            <w:pPr>
              <w:jc w:val="center"/>
              <w:rPr>
                <w:rFonts w:ascii="Arial" w:hAnsi="Arial" w:cs="Arial"/>
                <w:sz w:val="24"/>
                <w:szCs w:val="24"/>
              </w:rPr>
            </w:pPr>
            <w:r w:rsidRPr="00FA676D">
              <w:rPr>
                <w:rFonts w:ascii="Arial" w:hAnsi="Arial" w:cs="Arial"/>
                <w:sz w:val="24"/>
                <w:szCs w:val="24"/>
              </w:rPr>
              <w:t>0.</w:t>
            </w:r>
            <w:r w:rsidR="00230467" w:rsidRPr="00FA676D">
              <w:rPr>
                <w:rFonts w:ascii="Arial" w:hAnsi="Arial" w:cs="Arial"/>
                <w:sz w:val="24"/>
                <w:szCs w:val="24"/>
              </w:rPr>
              <w:t>452</w:t>
            </w:r>
          </w:p>
        </w:tc>
      </w:tr>
      <w:tr w:rsidR="00085B04" w:rsidRPr="00085B04" w:rsidTr="00A76A10">
        <w:tc>
          <w:tcPr>
            <w:tcW w:w="2310" w:type="dxa"/>
          </w:tcPr>
          <w:p w:rsidR="00A76A10" w:rsidRPr="009438F4" w:rsidRDefault="00A76A10" w:rsidP="00A76A10">
            <w:pPr>
              <w:jc w:val="center"/>
              <w:rPr>
                <w:rFonts w:ascii="Arial" w:hAnsi="Arial" w:cs="Arial"/>
                <w:sz w:val="24"/>
                <w:szCs w:val="24"/>
              </w:rPr>
            </w:pPr>
            <w:r w:rsidRPr="009438F4">
              <w:rPr>
                <w:rFonts w:ascii="Arial" w:hAnsi="Arial" w:cs="Arial"/>
                <w:sz w:val="24"/>
                <w:szCs w:val="24"/>
              </w:rPr>
              <w:t>Post 16</w:t>
            </w:r>
          </w:p>
        </w:tc>
        <w:tc>
          <w:tcPr>
            <w:tcW w:w="2310" w:type="dxa"/>
          </w:tcPr>
          <w:p w:rsidR="00A76A10" w:rsidRPr="009438F4" w:rsidRDefault="009438F4" w:rsidP="00E2359A">
            <w:pPr>
              <w:jc w:val="center"/>
              <w:rPr>
                <w:rFonts w:ascii="Arial" w:hAnsi="Arial" w:cs="Arial"/>
                <w:sz w:val="24"/>
                <w:szCs w:val="24"/>
              </w:rPr>
            </w:pPr>
            <w:r w:rsidRPr="009438F4">
              <w:rPr>
                <w:rFonts w:ascii="Arial" w:hAnsi="Arial" w:cs="Arial"/>
                <w:sz w:val="24"/>
                <w:szCs w:val="24"/>
              </w:rPr>
              <w:t>0.772</w:t>
            </w:r>
          </w:p>
        </w:tc>
        <w:tc>
          <w:tcPr>
            <w:tcW w:w="2311" w:type="dxa"/>
          </w:tcPr>
          <w:p w:rsidR="00A76A10" w:rsidRPr="009438F4" w:rsidRDefault="00FA676D" w:rsidP="00E2359A">
            <w:pPr>
              <w:jc w:val="center"/>
              <w:rPr>
                <w:rFonts w:ascii="Arial" w:hAnsi="Arial" w:cs="Arial"/>
                <w:sz w:val="24"/>
                <w:szCs w:val="24"/>
              </w:rPr>
            </w:pPr>
            <w:r>
              <w:rPr>
                <w:rFonts w:ascii="Arial" w:hAnsi="Arial" w:cs="Arial"/>
                <w:sz w:val="24"/>
                <w:szCs w:val="24"/>
              </w:rPr>
              <w:t>0.759</w:t>
            </w:r>
          </w:p>
        </w:tc>
        <w:tc>
          <w:tcPr>
            <w:tcW w:w="2311" w:type="dxa"/>
          </w:tcPr>
          <w:p w:rsidR="00A76A10" w:rsidRPr="00FA676D" w:rsidRDefault="009438F4" w:rsidP="00230467">
            <w:pPr>
              <w:jc w:val="center"/>
              <w:rPr>
                <w:rFonts w:ascii="Arial" w:hAnsi="Arial" w:cs="Arial"/>
                <w:sz w:val="24"/>
                <w:szCs w:val="24"/>
              </w:rPr>
            </w:pPr>
            <w:r w:rsidRPr="00FA676D">
              <w:rPr>
                <w:rFonts w:ascii="Arial" w:hAnsi="Arial" w:cs="Arial"/>
                <w:sz w:val="24"/>
                <w:szCs w:val="24"/>
              </w:rPr>
              <w:t>(0.</w:t>
            </w:r>
            <w:r w:rsidR="00230467" w:rsidRPr="00FA676D">
              <w:rPr>
                <w:rFonts w:ascii="Arial" w:hAnsi="Arial" w:cs="Arial"/>
                <w:sz w:val="24"/>
                <w:szCs w:val="24"/>
              </w:rPr>
              <w:t>013</w:t>
            </w:r>
            <w:r w:rsidRPr="00FA676D">
              <w:rPr>
                <w:rFonts w:ascii="Arial" w:hAnsi="Arial" w:cs="Arial"/>
                <w:sz w:val="24"/>
                <w:szCs w:val="24"/>
              </w:rPr>
              <w:t>)</w:t>
            </w:r>
          </w:p>
        </w:tc>
      </w:tr>
      <w:tr w:rsidR="00085B04" w:rsidRPr="00085B04" w:rsidTr="00A76A10">
        <w:tc>
          <w:tcPr>
            <w:tcW w:w="2310" w:type="dxa"/>
          </w:tcPr>
          <w:p w:rsidR="00A76A10" w:rsidRPr="009438F4" w:rsidRDefault="00A76A10" w:rsidP="00A76A10">
            <w:pPr>
              <w:jc w:val="center"/>
              <w:rPr>
                <w:rFonts w:ascii="Arial" w:hAnsi="Arial" w:cs="Arial"/>
                <w:sz w:val="24"/>
                <w:szCs w:val="24"/>
              </w:rPr>
            </w:pPr>
            <w:r w:rsidRPr="009438F4">
              <w:rPr>
                <w:rFonts w:ascii="Arial" w:hAnsi="Arial" w:cs="Arial"/>
                <w:sz w:val="24"/>
                <w:szCs w:val="24"/>
              </w:rPr>
              <w:t>Other</w:t>
            </w:r>
          </w:p>
        </w:tc>
        <w:tc>
          <w:tcPr>
            <w:tcW w:w="2310" w:type="dxa"/>
          </w:tcPr>
          <w:p w:rsidR="00A76A10" w:rsidRPr="009438F4" w:rsidRDefault="00FA676D" w:rsidP="0009223C">
            <w:pPr>
              <w:jc w:val="center"/>
              <w:rPr>
                <w:rFonts w:ascii="Arial" w:hAnsi="Arial" w:cs="Arial"/>
                <w:sz w:val="24"/>
                <w:szCs w:val="24"/>
              </w:rPr>
            </w:pPr>
            <w:r>
              <w:rPr>
                <w:rFonts w:ascii="Arial" w:hAnsi="Arial" w:cs="Arial"/>
                <w:sz w:val="24"/>
                <w:szCs w:val="24"/>
              </w:rPr>
              <w:t>0.273</w:t>
            </w:r>
          </w:p>
        </w:tc>
        <w:tc>
          <w:tcPr>
            <w:tcW w:w="2311" w:type="dxa"/>
          </w:tcPr>
          <w:p w:rsidR="00A76A10" w:rsidRPr="009438F4" w:rsidRDefault="00FA676D" w:rsidP="00FA676D">
            <w:pPr>
              <w:jc w:val="center"/>
              <w:rPr>
                <w:rFonts w:ascii="Arial" w:hAnsi="Arial" w:cs="Arial"/>
                <w:sz w:val="24"/>
                <w:szCs w:val="24"/>
              </w:rPr>
            </w:pPr>
            <w:r>
              <w:rPr>
                <w:rFonts w:ascii="Arial" w:hAnsi="Arial" w:cs="Arial"/>
                <w:sz w:val="24"/>
                <w:szCs w:val="24"/>
              </w:rPr>
              <w:t>0.062</w:t>
            </w:r>
          </w:p>
        </w:tc>
        <w:tc>
          <w:tcPr>
            <w:tcW w:w="2311" w:type="dxa"/>
          </w:tcPr>
          <w:p w:rsidR="00A76A10" w:rsidRPr="00FA676D" w:rsidRDefault="009438F4" w:rsidP="00230467">
            <w:pPr>
              <w:jc w:val="center"/>
              <w:rPr>
                <w:rFonts w:ascii="Arial" w:hAnsi="Arial" w:cs="Arial"/>
                <w:sz w:val="24"/>
                <w:szCs w:val="24"/>
              </w:rPr>
            </w:pPr>
            <w:r w:rsidRPr="00FA676D">
              <w:rPr>
                <w:rFonts w:ascii="Arial" w:hAnsi="Arial" w:cs="Arial"/>
                <w:sz w:val="24"/>
                <w:szCs w:val="24"/>
              </w:rPr>
              <w:t>(0.</w:t>
            </w:r>
            <w:r w:rsidR="00230467" w:rsidRPr="00FA676D">
              <w:rPr>
                <w:rFonts w:ascii="Arial" w:hAnsi="Arial" w:cs="Arial"/>
                <w:sz w:val="24"/>
                <w:szCs w:val="24"/>
              </w:rPr>
              <w:t>211</w:t>
            </w:r>
            <w:r w:rsidRPr="00FA676D">
              <w:rPr>
                <w:rFonts w:ascii="Arial" w:hAnsi="Arial" w:cs="Arial"/>
                <w:sz w:val="24"/>
                <w:szCs w:val="24"/>
              </w:rPr>
              <w:t>)</w:t>
            </w:r>
          </w:p>
        </w:tc>
      </w:tr>
      <w:tr w:rsidR="00085B04" w:rsidRPr="00085B04" w:rsidTr="00A76A10">
        <w:tc>
          <w:tcPr>
            <w:tcW w:w="2310" w:type="dxa"/>
          </w:tcPr>
          <w:p w:rsidR="00A76A10" w:rsidRPr="009438F4" w:rsidRDefault="00A76A10" w:rsidP="00A76A10">
            <w:pPr>
              <w:jc w:val="center"/>
              <w:rPr>
                <w:rFonts w:ascii="Arial" w:hAnsi="Arial" w:cs="Arial"/>
                <w:sz w:val="24"/>
                <w:szCs w:val="24"/>
              </w:rPr>
            </w:pPr>
          </w:p>
        </w:tc>
        <w:tc>
          <w:tcPr>
            <w:tcW w:w="2310" w:type="dxa"/>
          </w:tcPr>
          <w:p w:rsidR="00A76A10" w:rsidRPr="00085B04" w:rsidRDefault="00A76A10" w:rsidP="00A76A10">
            <w:pPr>
              <w:jc w:val="center"/>
              <w:rPr>
                <w:rFonts w:ascii="Arial" w:hAnsi="Arial" w:cs="Arial"/>
                <w:b/>
                <w:color w:val="FF0000"/>
                <w:sz w:val="24"/>
                <w:szCs w:val="24"/>
                <w:u w:val="single"/>
              </w:rPr>
            </w:pPr>
          </w:p>
        </w:tc>
        <w:tc>
          <w:tcPr>
            <w:tcW w:w="2311" w:type="dxa"/>
          </w:tcPr>
          <w:p w:rsidR="00A76A10" w:rsidRPr="00085B04" w:rsidRDefault="00A76A10" w:rsidP="00A76A10">
            <w:pPr>
              <w:jc w:val="center"/>
              <w:rPr>
                <w:rFonts w:ascii="Arial" w:hAnsi="Arial" w:cs="Arial"/>
                <w:b/>
                <w:color w:val="FF0000"/>
                <w:sz w:val="24"/>
                <w:szCs w:val="24"/>
                <w:u w:val="single"/>
              </w:rPr>
            </w:pPr>
          </w:p>
        </w:tc>
        <w:tc>
          <w:tcPr>
            <w:tcW w:w="2311" w:type="dxa"/>
          </w:tcPr>
          <w:p w:rsidR="00A76A10" w:rsidRPr="00085B04" w:rsidRDefault="00A76A10" w:rsidP="00A76A10">
            <w:pPr>
              <w:jc w:val="center"/>
              <w:rPr>
                <w:rFonts w:ascii="Arial" w:hAnsi="Arial" w:cs="Arial"/>
                <w:color w:val="FF0000"/>
                <w:sz w:val="24"/>
                <w:szCs w:val="24"/>
              </w:rPr>
            </w:pPr>
          </w:p>
        </w:tc>
      </w:tr>
      <w:tr w:rsidR="00085B04" w:rsidRPr="00085B04" w:rsidTr="00A76A10">
        <w:tc>
          <w:tcPr>
            <w:tcW w:w="2310" w:type="dxa"/>
          </w:tcPr>
          <w:p w:rsidR="00A76A10" w:rsidRPr="009438F4" w:rsidRDefault="00A76A10" w:rsidP="00A76A10">
            <w:pPr>
              <w:jc w:val="center"/>
              <w:rPr>
                <w:rFonts w:ascii="Arial" w:hAnsi="Arial" w:cs="Arial"/>
                <w:sz w:val="24"/>
                <w:szCs w:val="24"/>
              </w:rPr>
            </w:pPr>
            <w:r w:rsidRPr="009438F4">
              <w:rPr>
                <w:rFonts w:ascii="Arial" w:hAnsi="Arial" w:cs="Arial"/>
                <w:sz w:val="24"/>
                <w:szCs w:val="24"/>
              </w:rPr>
              <w:t>TOTAL</w:t>
            </w:r>
          </w:p>
        </w:tc>
        <w:tc>
          <w:tcPr>
            <w:tcW w:w="2310" w:type="dxa"/>
          </w:tcPr>
          <w:p w:rsidR="00A76A10" w:rsidRPr="009438F4" w:rsidRDefault="009438F4" w:rsidP="00E2359A">
            <w:pPr>
              <w:jc w:val="center"/>
              <w:rPr>
                <w:rFonts w:ascii="Arial" w:hAnsi="Arial" w:cs="Arial"/>
                <w:b/>
                <w:sz w:val="24"/>
                <w:szCs w:val="24"/>
              </w:rPr>
            </w:pPr>
            <w:r w:rsidRPr="009438F4">
              <w:rPr>
                <w:rFonts w:ascii="Arial" w:hAnsi="Arial" w:cs="Arial"/>
                <w:b/>
                <w:sz w:val="24"/>
                <w:szCs w:val="24"/>
              </w:rPr>
              <w:t>11.702</w:t>
            </w:r>
          </w:p>
        </w:tc>
        <w:tc>
          <w:tcPr>
            <w:tcW w:w="2311" w:type="dxa"/>
          </w:tcPr>
          <w:p w:rsidR="00A76A10" w:rsidRPr="009438F4" w:rsidRDefault="009438F4" w:rsidP="006D370D">
            <w:pPr>
              <w:jc w:val="center"/>
              <w:rPr>
                <w:rFonts w:ascii="Arial" w:hAnsi="Arial" w:cs="Arial"/>
                <w:b/>
                <w:sz w:val="24"/>
                <w:szCs w:val="24"/>
              </w:rPr>
            </w:pPr>
            <w:r w:rsidRPr="009438F4">
              <w:rPr>
                <w:rFonts w:ascii="Arial" w:hAnsi="Arial" w:cs="Arial"/>
                <w:b/>
                <w:sz w:val="24"/>
                <w:szCs w:val="24"/>
              </w:rPr>
              <w:t>11.192</w:t>
            </w:r>
          </w:p>
        </w:tc>
        <w:tc>
          <w:tcPr>
            <w:tcW w:w="2311" w:type="dxa"/>
          </w:tcPr>
          <w:p w:rsidR="00A76A10" w:rsidRPr="009438F4" w:rsidRDefault="009438F4" w:rsidP="006D370D">
            <w:pPr>
              <w:jc w:val="center"/>
              <w:rPr>
                <w:rFonts w:ascii="Arial" w:hAnsi="Arial" w:cs="Arial"/>
                <w:b/>
                <w:sz w:val="24"/>
                <w:szCs w:val="24"/>
              </w:rPr>
            </w:pPr>
            <w:r w:rsidRPr="009438F4">
              <w:rPr>
                <w:rFonts w:ascii="Arial" w:hAnsi="Arial" w:cs="Arial"/>
                <w:b/>
                <w:sz w:val="24"/>
                <w:szCs w:val="24"/>
              </w:rPr>
              <w:t>(0.510)</w:t>
            </w:r>
          </w:p>
        </w:tc>
      </w:tr>
    </w:tbl>
    <w:p w:rsidR="00A76A10" w:rsidRPr="00A76A10" w:rsidRDefault="00A76A10" w:rsidP="00A76A10">
      <w:pPr>
        <w:jc w:val="center"/>
        <w:rPr>
          <w:rFonts w:ascii="Arial" w:hAnsi="Arial" w:cs="Arial"/>
          <w:b/>
          <w:sz w:val="24"/>
          <w:szCs w:val="24"/>
          <w:u w:val="single"/>
        </w:rPr>
      </w:pPr>
    </w:p>
    <w:p w:rsidR="00A76A10" w:rsidRDefault="00A76A10"/>
    <w:sectPr w:rsidR="00A76A10" w:rsidSect="00A74D4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880" w:rsidRDefault="000E6880" w:rsidP="00B25159">
      <w:pPr>
        <w:spacing w:after="0" w:line="240" w:lineRule="auto"/>
      </w:pPr>
      <w:r>
        <w:separator/>
      </w:r>
    </w:p>
  </w:endnote>
  <w:endnote w:type="continuationSeparator" w:id="0">
    <w:p w:rsidR="000E6880" w:rsidRDefault="000E6880" w:rsidP="00B25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077035"/>
      <w:docPartObj>
        <w:docPartGallery w:val="Page Numbers (Bottom of Page)"/>
        <w:docPartUnique/>
      </w:docPartObj>
    </w:sdtPr>
    <w:sdtEndPr>
      <w:rPr>
        <w:noProof/>
      </w:rPr>
    </w:sdtEndPr>
    <w:sdtContent>
      <w:p w:rsidR="00821B46" w:rsidRDefault="00821B46">
        <w:pPr>
          <w:pStyle w:val="Footer"/>
          <w:jc w:val="right"/>
        </w:pPr>
        <w:r>
          <w:fldChar w:fldCharType="begin"/>
        </w:r>
        <w:r>
          <w:instrText xml:space="preserve"> PAGE   \* MERGEFORMAT </w:instrText>
        </w:r>
        <w:r>
          <w:fldChar w:fldCharType="separate"/>
        </w:r>
        <w:r w:rsidR="002A70BC">
          <w:rPr>
            <w:noProof/>
          </w:rPr>
          <w:t>6</w:t>
        </w:r>
        <w:r>
          <w:rPr>
            <w:noProof/>
          </w:rPr>
          <w:fldChar w:fldCharType="end"/>
        </w:r>
      </w:p>
    </w:sdtContent>
  </w:sdt>
  <w:p w:rsidR="00821B46" w:rsidRDefault="00821B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880" w:rsidRDefault="000E6880" w:rsidP="00B25159">
      <w:pPr>
        <w:spacing w:after="0" w:line="240" w:lineRule="auto"/>
      </w:pPr>
      <w:r>
        <w:separator/>
      </w:r>
    </w:p>
  </w:footnote>
  <w:footnote w:type="continuationSeparator" w:id="0">
    <w:p w:rsidR="000E6880" w:rsidRDefault="000E6880" w:rsidP="00B251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159" w:rsidRPr="00A743CF" w:rsidRDefault="00B25159" w:rsidP="00B25159">
    <w:pPr>
      <w:pStyle w:val="Header"/>
      <w:jc w:val="right"/>
      <w:rPr>
        <w:rFonts w:ascii="Arial" w:hAnsi="Arial" w:cs="Arial"/>
        <w:sz w:val="28"/>
        <w:szCs w:val="28"/>
      </w:rPr>
    </w:pPr>
    <w:r w:rsidRPr="00A743CF">
      <w:rPr>
        <w:rFonts w:ascii="Arial" w:hAnsi="Arial" w:cs="Arial"/>
        <w:sz w:val="28"/>
        <w:szCs w:val="28"/>
      </w:rPr>
      <w:t xml:space="preserve">ITEM </w:t>
    </w:r>
    <w:r w:rsidR="00415CAA" w:rsidRPr="00A743CF">
      <w:rPr>
        <w:rFonts w:ascii="Arial" w:hAnsi="Arial" w:cs="Arial"/>
        <w:sz w:val="28"/>
        <w:szCs w:val="28"/>
      </w:rPr>
      <w:t>1</w:t>
    </w:r>
    <w:r w:rsidR="002323B7">
      <w:rPr>
        <w:rFonts w:ascii="Arial" w:hAnsi="Arial" w:cs="Arial"/>
        <w:sz w:val="28"/>
        <w:szCs w:val="28"/>
      </w:rPr>
      <w:t>3</w:t>
    </w:r>
    <w:r w:rsidR="001D39C4" w:rsidRPr="00A743CF">
      <w:rPr>
        <w:rFonts w:ascii="Arial" w:hAnsi="Arial" w:cs="Arial"/>
        <w:sz w:val="28"/>
        <w:szCs w:val="28"/>
      </w:rPr>
      <w:t>/1</w:t>
    </w:r>
    <w:r w:rsidR="002323B7">
      <w:rPr>
        <w:rFonts w:ascii="Arial" w:hAnsi="Arial" w:cs="Arial"/>
        <w:sz w:val="28"/>
        <w:szCs w:val="28"/>
      </w:rPr>
      <w:t>7</w:t>
    </w:r>
  </w:p>
  <w:p w:rsidR="00B25159" w:rsidRDefault="00B251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7AD"/>
    <w:multiLevelType w:val="hybridMultilevel"/>
    <w:tmpl w:val="1B32AA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C6C3EBE"/>
    <w:multiLevelType w:val="hybridMultilevel"/>
    <w:tmpl w:val="90A44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C6C182F"/>
    <w:multiLevelType w:val="hybridMultilevel"/>
    <w:tmpl w:val="CAFEF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0455EE9"/>
    <w:multiLevelType w:val="hybridMultilevel"/>
    <w:tmpl w:val="95D81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72941F4"/>
    <w:multiLevelType w:val="hybridMultilevel"/>
    <w:tmpl w:val="BD0A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120B7"/>
    <w:rsid w:val="00037D10"/>
    <w:rsid w:val="0005549E"/>
    <w:rsid w:val="00085B04"/>
    <w:rsid w:val="0009223C"/>
    <w:rsid w:val="00092A3C"/>
    <w:rsid w:val="00092BC4"/>
    <w:rsid w:val="000B5054"/>
    <w:rsid w:val="000B787C"/>
    <w:rsid w:val="000C533D"/>
    <w:rsid w:val="000E0B9C"/>
    <w:rsid w:val="000E4E7B"/>
    <w:rsid w:val="000E6880"/>
    <w:rsid w:val="00132A9A"/>
    <w:rsid w:val="00135A4C"/>
    <w:rsid w:val="001D2C70"/>
    <w:rsid w:val="001D39C4"/>
    <w:rsid w:val="001F646E"/>
    <w:rsid w:val="00230467"/>
    <w:rsid w:val="002323B7"/>
    <w:rsid w:val="00237407"/>
    <w:rsid w:val="00265381"/>
    <w:rsid w:val="00270375"/>
    <w:rsid w:val="00296831"/>
    <w:rsid w:val="002A70BC"/>
    <w:rsid w:val="002B604F"/>
    <w:rsid w:val="0033417D"/>
    <w:rsid w:val="0034354D"/>
    <w:rsid w:val="00386B2A"/>
    <w:rsid w:val="003C6B26"/>
    <w:rsid w:val="00415CAA"/>
    <w:rsid w:val="004757C0"/>
    <w:rsid w:val="004C5D54"/>
    <w:rsid w:val="00540C8F"/>
    <w:rsid w:val="00563921"/>
    <w:rsid w:val="00573A10"/>
    <w:rsid w:val="0059668A"/>
    <w:rsid w:val="005B29E3"/>
    <w:rsid w:val="005B4374"/>
    <w:rsid w:val="005C1788"/>
    <w:rsid w:val="006945B7"/>
    <w:rsid w:val="006C7948"/>
    <w:rsid w:val="006D370D"/>
    <w:rsid w:val="006F2E74"/>
    <w:rsid w:val="00701F2B"/>
    <w:rsid w:val="007056BF"/>
    <w:rsid w:val="00722393"/>
    <w:rsid w:val="00722CCF"/>
    <w:rsid w:val="007A34BD"/>
    <w:rsid w:val="008120B7"/>
    <w:rsid w:val="00817FDB"/>
    <w:rsid w:val="00821B46"/>
    <w:rsid w:val="00840D55"/>
    <w:rsid w:val="0084376D"/>
    <w:rsid w:val="00852E95"/>
    <w:rsid w:val="00860732"/>
    <w:rsid w:val="00872FEC"/>
    <w:rsid w:val="008776D7"/>
    <w:rsid w:val="008A5C05"/>
    <w:rsid w:val="008B597D"/>
    <w:rsid w:val="008E7B96"/>
    <w:rsid w:val="009164F6"/>
    <w:rsid w:val="00916D5D"/>
    <w:rsid w:val="009438F4"/>
    <w:rsid w:val="00964359"/>
    <w:rsid w:val="009A510F"/>
    <w:rsid w:val="009B4DED"/>
    <w:rsid w:val="009D728A"/>
    <w:rsid w:val="00A17FB7"/>
    <w:rsid w:val="00A36198"/>
    <w:rsid w:val="00A52788"/>
    <w:rsid w:val="00A738DE"/>
    <w:rsid w:val="00A743CF"/>
    <w:rsid w:val="00A74D48"/>
    <w:rsid w:val="00A76A10"/>
    <w:rsid w:val="00AB2A24"/>
    <w:rsid w:val="00AE08F5"/>
    <w:rsid w:val="00B17D59"/>
    <w:rsid w:val="00B25159"/>
    <w:rsid w:val="00B565CE"/>
    <w:rsid w:val="00B578A5"/>
    <w:rsid w:val="00B63F7E"/>
    <w:rsid w:val="00BD45A9"/>
    <w:rsid w:val="00C00555"/>
    <w:rsid w:val="00C059DF"/>
    <w:rsid w:val="00C07828"/>
    <w:rsid w:val="00C2151F"/>
    <w:rsid w:val="00C265A6"/>
    <w:rsid w:val="00C6354A"/>
    <w:rsid w:val="00C83AF5"/>
    <w:rsid w:val="00C96E90"/>
    <w:rsid w:val="00CE786F"/>
    <w:rsid w:val="00CF44F5"/>
    <w:rsid w:val="00CF7818"/>
    <w:rsid w:val="00D42395"/>
    <w:rsid w:val="00DA1FF2"/>
    <w:rsid w:val="00DC4552"/>
    <w:rsid w:val="00DF55B5"/>
    <w:rsid w:val="00E02B40"/>
    <w:rsid w:val="00E15029"/>
    <w:rsid w:val="00E2359A"/>
    <w:rsid w:val="00E422E5"/>
    <w:rsid w:val="00E42744"/>
    <w:rsid w:val="00E46445"/>
    <w:rsid w:val="00E558D5"/>
    <w:rsid w:val="00E620EE"/>
    <w:rsid w:val="00E671BA"/>
    <w:rsid w:val="00E718B0"/>
    <w:rsid w:val="00E83340"/>
    <w:rsid w:val="00EB103B"/>
    <w:rsid w:val="00ED6CE7"/>
    <w:rsid w:val="00F64BFE"/>
    <w:rsid w:val="00F66A9A"/>
    <w:rsid w:val="00FA092F"/>
    <w:rsid w:val="00FA6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0B7"/>
    <w:pPr>
      <w:ind w:left="720"/>
      <w:contextualSpacing/>
    </w:pPr>
  </w:style>
  <w:style w:type="table" w:styleId="TableGrid">
    <w:name w:val="Table Grid"/>
    <w:basedOn w:val="TableNormal"/>
    <w:uiPriority w:val="59"/>
    <w:rsid w:val="00812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5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59"/>
  </w:style>
  <w:style w:type="paragraph" w:styleId="Footer">
    <w:name w:val="footer"/>
    <w:basedOn w:val="Normal"/>
    <w:link w:val="FooterChar"/>
    <w:uiPriority w:val="99"/>
    <w:unhideWhenUsed/>
    <w:rsid w:val="00B251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59"/>
  </w:style>
  <w:style w:type="paragraph" w:styleId="BalloonText">
    <w:name w:val="Balloon Text"/>
    <w:basedOn w:val="Normal"/>
    <w:link w:val="BalloonTextChar"/>
    <w:uiPriority w:val="99"/>
    <w:semiHidden/>
    <w:unhideWhenUsed/>
    <w:rsid w:val="00B25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1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0B7"/>
    <w:pPr>
      <w:ind w:left="720"/>
      <w:contextualSpacing/>
    </w:pPr>
  </w:style>
  <w:style w:type="table" w:styleId="TableGrid">
    <w:name w:val="Table Grid"/>
    <w:basedOn w:val="TableNormal"/>
    <w:uiPriority w:val="59"/>
    <w:rsid w:val="00812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7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08FDD-2C9F-4DE2-87A7-468554BAA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Kirven, Dave</dc:creator>
  <cp:lastModifiedBy>Kirven, Dave</cp:lastModifiedBy>
  <cp:revision>5</cp:revision>
  <cp:lastPrinted>2017-09-13T12:35:00Z</cp:lastPrinted>
  <dcterms:created xsi:type="dcterms:W3CDTF">2017-09-13T12:35:00Z</dcterms:created>
  <dcterms:modified xsi:type="dcterms:W3CDTF">2017-09-14T08:42:00Z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98098c9e-60de-4a93-b87e-c052a87aefba</vt:lpwstr>
  </property>
</Properties>
</file>