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82" w:rsidRDefault="00FB2E82" w:rsidP="00FB2E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SCHOOLS FORUM MEETING – </w:t>
      </w:r>
      <w:r w:rsidR="00964853">
        <w:rPr>
          <w:rFonts w:ascii="Arial" w:hAnsi="Arial" w:cs="Arial"/>
          <w:b/>
          <w:sz w:val="24"/>
          <w:szCs w:val="24"/>
          <w:u w:val="single"/>
        </w:rPr>
        <w:t>21</w:t>
      </w:r>
      <w:r w:rsidR="00964853" w:rsidRPr="00964853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="0096485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B5E47">
        <w:rPr>
          <w:rFonts w:ascii="Arial" w:hAnsi="Arial" w:cs="Arial"/>
          <w:b/>
          <w:sz w:val="24"/>
          <w:szCs w:val="24"/>
          <w:u w:val="single"/>
        </w:rPr>
        <w:t>September 201</w:t>
      </w:r>
      <w:r w:rsidR="00964853">
        <w:rPr>
          <w:rFonts w:ascii="Arial" w:hAnsi="Arial" w:cs="Arial"/>
          <w:b/>
          <w:sz w:val="24"/>
          <w:szCs w:val="24"/>
          <w:u w:val="single"/>
        </w:rPr>
        <w:t>7</w:t>
      </w:r>
    </w:p>
    <w:p w:rsidR="00FB2E82" w:rsidRDefault="00FB2E82" w:rsidP="00FB2E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26CD">
        <w:rPr>
          <w:rFonts w:ascii="Arial" w:hAnsi="Arial" w:cs="Arial"/>
          <w:b/>
          <w:sz w:val="24"/>
          <w:szCs w:val="24"/>
          <w:u w:val="single"/>
        </w:rPr>
        <w:t xml:space="preserve">Review of the </w:t>
      </w:r>
      <w:r>
        <w:rPr>
          <w:rFonts w:ascii="Arial" w:hAnsi="Arial" w:cs="Arial"/>
          <w:b/>
          <w:sz w:val="24"/>
          <w:szCs w:val="24"/>
          <w:u w:val="single"/>
        </w:rPr>
        <w:t xml:space="preserve">implementation of the </w:t>
      </w:r>
      <w:r w:rsidRPr="001326CD">
        <w:rPr>
          <w:rFonts w:ascii="Arial" w:hAnsi="Arial" w:cs="Arial"/>
          <w:b/>
          <w:sz w:val="24"/>
          <w:szCs w:val="24"/>
          <w:u w:val="single"/>
        </w:rPr>
        <w:t>201</w:t>
      </w:r>
      <w:r w:rsidR="00964853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-1</w:t>
      </w:r>
      <w:r w:rsidR="00964853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 xml:space="preserve"> Schools Funding Formula</w:t>
      </w:r>
    </w:p>
    <w:p w:rsidR="00FB2E82" w:rsidRDefault="00FB2E82" w:rsidP="00FB2E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B2E82" w:rsidRDefault="00FB2E82" w:rsidP="00FB2E8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Introduction</w:t>
      </w:r>
    </w:p>
    <w:p w:rsidR="00FB2E82" w:rsidRDefault="00FB2E82" w:rsidP="00FB2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report is to provide members of the Schools Forum with summary information produced by the Education </w:t>
      </w:r>
      <w:r w:rsidR="00EE0FFC">
        <w:rPr>
          <w:rFonts w:ascii="Arial" w:hAnsi="Arial" w:cs="Arial"/>
          <w:sz w:val="24"/>
          <w:szCs w:val="24"/>
        </w:rPr>
        <w:t xml:space="preserve">&amp; Skills </w:t>
      </w:r>
      <w:r>
        <w:rPr>
          <w:rFonts w:ascii="Arial" w:hAnsi="Arial" w:cs="Arial"/>
          <w:sz w:val="24"/>
          <w:szCs w:val="24"/>
        </w:rPr>
        <w:t>Funding Agency (E</w:t>
      </w:r>
      <w:r w:rsidR="00EE0FF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FA) on all of the school funding formula’s submitted by each Local Authority so they can see how NELC’s compares.</w:t>
      </w:r>
    </w:p>
    <w:p w:rsidR="00FB2E82" w:rsidRPr="001326CD" w:rsidRDefault="00FB2E82" w:rsidP="00FB2E82">
      <w:pPr>
        <w:rPr>
          <w:rFonts w:ascii="Arial" w:hAnsi="Arial" w:cs="Arial"/>
          <w:b/>
          <w:sz w:val="24"/>
          <w:szCs w:val="24"/>
          <w:u w:val="single"/>
        </w:rPr>
      </w:pPr>
      <w:r w:rsidRPr="001326CD">
        <w:rPr>
          <w:rFonts w:ascii="Arial" w:hAnsi="Arial" w:cs="Arial"/>
          <w:b/>
          <w:sz w:val="24"/>
          <w:szCs w:val="24"/>
          <w:u w:val="single"/>
        </w:rPr>
        <w:t>Background</w:t>
      </w:r>
    </w:p>
    <w:p w:rsidR="00FB2E82" w:rsidRDefault="00FB2E82" w:rsidP="00FB2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 part of the “School Funding Reform: Next Steps towards a Fairer system“ consultation paper</w:t>
      </w:r>
      <w:r w:rsidR="00541C5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all Local Authorities were required to use formula funding factors or elements from a pre-defined range. The purpose of these proposals was to move towards a more consistent, simple, transparent and fairer funding system which was understood by all stakeholders. It was also to assist with moving towards the </w:t>
      </w:r>
      <w:r w:rsidR="001B5E4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ational </w:t>
      </w:r>
      <w:r w:rsidR="001B5E4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unding </w:t>
      </w:r>
      <w:r w:rsidR="001B5E4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ormula which is </w:t>
      </w:r>
      <w:r w:rsidR="009F721F">
        <w:rPr>
          <w:rFonts w:ascii="Arial" w:hAnsi="Arial" w:cs="Arial"/>
          <w:sz w:val="24"/>
          <w:szCs w:val="24"/>
        </w:rPr>
        <w:t xml:space="preserve">still </w:t>
      </w:r>
      <w:r w:rsidR="001B5E47">
        <w:rPr>
          <w:rFonts w:ascii="Arial" w:hAnsi="Arial" w:cs="Arial"/>
          <w:sz w:val="24"/>
          <w:szCs w:val="24"/>
        </w:rPr>
        <w:t>planned to be introduced in full by the financial year 2019-20. Given that the Fairer Funding proposals were introduced in 2013-14 most funding issues have been identified and refinements have been made to the formula on a yearly basis. Consequently in 201</w:t>
      </w:r>
      <w:r w:rsidR="00964853">
        <w:rPr>
          <w:rFonts w:ascii="Arial" w:hAnsi="Arial" w:cs="Arial"/>
          <w:sz w:val="24"/>
          <w:szCs w:val="24"/>
        </w:rPr>
        <w:t>7</w:t>
      </w:r>
      <w:r w:rsidR="001B5E47">
        <w:rPr>
          <w:rFonts w:ascii="Arial" w:hAnsi="Arial" w:cs="Arial"/>
          <w:sz w:val="24"/>
          <w:szCs w:val="24"/>
        </w:rPr>
        <w:t>-1</w:t>
      </w:r>
      <w:r w:rsidR="00964853">
        <w:rPr>
          <w:rFonts w:ascii="Arial" w:hAnsi="Arial" w:cs="Arial"/>
          <w:sz w:val="24"/>
          <w:szCs w:val="24"/>
        </w:rPr>
        <w:t>8</w:t>
      </w:r>
      <w:r w:rsidR="001B5E47">
        <w:rPr>
          <w:rFonts w:ascii="Arial" w:hAnsi="Arial" w:cs="Arial"/>
          <w:sz w:val="24"/>
          <w:szCs w:val="24"/>
        </w:rPr>
        <w:t xml:space="preserve"> </w:t>
      </w:r>
      <w:r w:rsidR="00964853">
        <w:rPr>
          <w:rFonts w:ascii="Arial" w:hAnsi="Arial" w:cs="Arial"/>
          <w:sz w:val="24"/>
          <w:szCs w:val="24"/>
        </w:rPr>
        <w:t xml:space="preserve">minimal </w:t>
      </w:r>
      <w:r w:rsidR="001B5E47">
        <w:rPr>
          <w:rFonts w:ascii="Arial" w:hAnsi="Arial" w:cs="Arial"/>
          <w:sz w:val="24"/>
          <w:szCs w:val="24"/>
        </w:rPr>
        <w:t>changes to the funding methodology were made from that adopted in 201</w:t>
      </w:r>
      <w:r w:rsidR="00964853">
        <w:rPr>
          <w:rFonts w:ascii="Arial" w:hAnsi="Arial" w:cs="Arial"/>
          <w:sz w:val="24"/>
          <w:szCs w:val="24"/>
        </w:rPr>
        <w:t>6</w:t>
      </w:r>
      <w:r w:rsidR="001B5E47">
        <w:rPr>
          <w:rFonts w:ascii="Arial" w:hAnsi="Arial" w:cs="Arial"/>
          <w:sz w:val="24"/>
          <w:szCs w:val="24"/>
        </w:rPr>
        <w:t>-1</w:t>
      </w:r>
      <w:r w:rsidR="00964853">
        <w:rPr>
          <w:rFonts w:ascii="Arial" w:hAnsi="Arial" w:cs="Arial"/>
          <w:sz w:val="24"/>
          <w:szCs w:val="24"/>
        </w:rPr>
        <w:t>7 these being around rebasing the IDACI data and the introduction of a secondary attainment tapering measurement.</w:t>
      </w:r>
    </w:p>
    <w:p w:rsidR="00FB2E82" w:rsidRDefault="00FB2E82" w:rsidP="00FB2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in </w:t>
      </w:r>
      <w:r w:rsidR="001B5E47">
        <w:rPr>
          <w:rFonts w:ascii="Arial" w:hAnsi="Arial" w:cs="Arial"/>
          <w:sz w:val="24"/>
          <w:szCs w:val="24"/>
        </w:rPr>
        <w:t xml:space="preserve">the previous </w:t>
      </w:r>
      <w:r w:rsidR="00964853">
        <w:rPr>
          <w:rFonts w:ascii="Arial" w:hAnsi="Arial" w:cs="Arial"/>
          <w:sz w:val="24"/>
          <w:szCs w:val="24"/>
        </w:rPr>
        <w:t>5</w:t>
      </w:r>
      <w:r w:rsidR="00111E21">
        <w:rPr>
          <w:rFonts w:ascii="Arial" w:hAnsi="Arial" w:cs="Arial"/>
          <w:sz w:val="24"/>
          <w:szCs w:val="24"/>
        </w:rPr>
        <w:t xml:space="preserve"> years the </w:t>
      </w:r>
      <w:r>
        <w:rPr>
          <w:rFonts w:ascii="Arial" w:hAnsi="Arial" w:cs="Arial"/>
          <w:sz w:val="24"/>
          <w:szCs w:val="24"/>
        </w:rPr>
        <w:t xml:space="preserve">EFA has undertaken a piece of research and reported how each element (allowable factor) was used by all </w:t>
      </w:r>
      <w:r w:rsidR="00A673DD">
        <w:rPr>
          <w:rFonts w:ascii="Arial" w:hAnsi="Arial" w:cs="Arial"/>
          <w:sz w:val="24"/>
          <w:szCs w:val="24"/>
        </w:rPr>
        <w:t>authorities.</w:t>
      </w:r>
    </w:p>
    <w:p w:rsidR="00FB2E82" w:rsidRPr="001326CD" w:rsidRDefault="00FB2E82" w:rsidP="00FB2E82">
      <w:pPr>
        <w:rPr>
          <w:rFonts w:ascii="Arial" w:hAnsi="Arial" w:cs="Arial"/>
          <w:b/>
          <w:sz w:val="24"/>
          <w:szCs w:val="24"/>
          <w:u w:val="single"/>
        </w:rPr>
      </w:pPr>
      <w:r w:rsidRPr="001326CD">
        <w:rPr>
          <w:rFonts w:ascii="Arial" w:hAnsi="Arial" w:cs="Arial"/>
          <w:b/>
          <w:sz w:val="24"/>
          <w:szCs w:val="24"/>
          <w:u w:val="single"/>
        </w:rPr>
        <w:t>Summary results of the findings</w:t>
      </w:r>
    </w:p>
    <w:p w:rsidR="00FB2E82" w:rsidRDefault="00FB2E82" w:rsidP="00FB2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are noted in the table at Appendix A. </w:t>
      </w:r>
      <w:r w:rsidR="00541C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full report is attached for School Forum members information.</w:t>
      </w:r>
    </w:p>
    <w:p w:rsidR="00FB2E82" w:rsidRDefault="00FB2E82" w:rsidP="00FB2E82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Recommendation</w:t>
      </w:r>
    </w:p>
    <w:p w:rsidR="00FB2E82" w:rsidRDefault="00FB2E82" w:rsidP="00FB2E82">
      <w:pPr>
        <w:pStyle w:val="ListParagraph"/>
        <w:rPr>
          <w:rFonts w:ascii="Arial" w:hAnsi="Arial" w:cs="Arial"/>
          <w:sz w:val="24"/>
          <w:szCs w:val="24"/>
        </w:rPr>
      </w:pPr>
    </w:p>
    <w:p w:rsidR="00FB2E82" w:rsidRDefault="00FB2E82" w:rsidP="00FB2E8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this report be noted.</w:t>
      </w:r>
    </w:p>
    <w:p w:rsidR="00FB2E82" w:rsidRDefault="00FB2E82" w:rsidP="00FB2E8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FB2E82" w:rsidRDefault="00FB2E82" w:rsidP="00FB2E8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FB2E82" w:rsidRDefault="00FB2E82" w:rsidP="00FB2E8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FB2E82" w:rsidRDefault="00FB2E82" w:rsidP="00FB2E8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Officer: David Kirven, S</w:t>
      </w:r>
      <w:r w:rsidR="009F721F">
        <w:rPr>
          <w:rFonts w:ascii="Arial" w:hAnsi="Arial" w:cs="Arial"/>
          <w:sz w:val="24"/>
          <w:szCs w:val="24"/>
        </w:rPr>
        <w:t xml:space="preserve">trategic Lead </w:t>
      </w:r>
      <w:r>
        <w:rPr>
          <w:rFonts w:ascii="Arial" w:hAnsi="Arial" w:cs="Arial"/>
          <w:sz w:val="24"/>
          <w:szCs w:val="24"/>
        </w:rPr>
        <w:t>– Business Partnering.</w:t>
      </w:r>
    </w:p>
    <w:p w:rsidR="00FB2E82" w:rsidRDefault="00FB2E82" w:rsidP="00FB2E8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FB2E82" w:rsidRDefault="00FB2E82" w:rsidP="00FB2E8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FB2E82" w:rsidRDefault="00FB2E82" w:rsidP="00FB2E8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FB2E82" w:rsidRDefault="00FB2E82" w:rsidP="00FB2E8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FB2E82" w:rsidRDefault="00FB2E82" w:rsidP="00FB2E82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Appendix A</w:t>
      </w:r>
    </w:p>
    <w:p w:rsidR="00FB2E82" w:rsidRDefault="00FB2E82" w:rsidP="00FB2E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B2E82" w:rsidRDefault="00FB2E82" w:rsidP="00FB2E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Summary Results of E</w:t>
      </w:r>
      <w:r w:rsidR="00A3430B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FA findings on Local Authority Schools funding formula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B2E82" w:rsidTr="00D12D8A">
        <w:tc>
          <w:tcPr>
            <w:tcW w:w="3080" w:type="dxa"/>
          </w:tcPr>
          <w:p w:rsidR="00FB2E82" w:rsidRDefault="00FB2E82" w:rsidP="00D12D8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Allowable Factor</w:t>
            </w:r>
          </w:p>
        </w:tc>
        <w:tc>
          <w:tcPr>
            <w:tcW w:w="3081" w:type="dxa"/>
          </w:tcPr>
          <w:p w:rsidR="00FB2E82" w:rsidRDefault="00FB2E82" w:rsidP="00FB2E8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</w:t>
            </w:r>
            <w:r w:rsidR="00A3430B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FA Summary Finding</w:t>
            </w:r>
          </w:p>
        </w:tc>
        <w:tc>
          <w:tcPr>
            <w:tcW w:w="3081" w:type="dxa"/>
          </w:tcPr>
          <w:p w:rsidR="00FB2E82" w:rsidRDefault="00FB2E82" w:rsidP="00D12D8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NELC position</w:t>
            </w:r>
          </w:p>
        </w:tc>
      </w:tr>
      <w:tr w:rsidR="00FB2E82" w:rsidTr="00D12D8A">
        <w:tc>
          <w:tcPr>
            <w:tcW w:w="3080" w:type="dxa"/>
          </w:tcPr>
          <w:p w:rsidR="00FB2E82" w:rsidRDefault="00FB2E82" w:rsidP="00D12D8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FB2E82" w:rsidRDefault="00FB2E82" w:rsidP="00D12D8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FB2E82" w:rsidRDefault="00FB2E82" w:rsidP="00D12D8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FB2E82" w:rsidTr="00D12D8A">
        <w:tc>
          <w:tcPr>
            <w:tcW w:w="3080" w:type="dxa"/>
          </w:tcPr>
          <w:p w:rsidR="00FB2E82" w:rsidRPr="00BE4677" w:rsidRDefault="00FB2E82" w:rsidP="00D12D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Basic per pupil entitlement: Primary AWPU</w:t>
            </w:r>
          </w:p>
        </w:tc>
        <w:tc>
          <w:tcPr>
            <w:tcW w:w="3081" w:type="dxa"/>
          </w:tcPr>
          <w:p w:rsidR="00FB2E82" w:rsidRPr="00BE4677" w:rsidRDefault="00370F9F" w:rsidP="001B5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B5E47">
              <w:rPr>
                <w:rFonts w:ascii="Arial" w:hAnsi="Arial" w:cs="Arial"/>
                <w:sz w:val="24"/>
                <w:szCs w:val="24"/>
              </w:rPr>
              <w:t>0</w:t>
            </w:r>
            <w:r w:rsidR="00FB2E82">
              <w:rPr>
                <w:rFonts w:ascii="Arial" w:hAnsi="Arial" w:cs="Arial"/>
                <w:sz w:val="24"/>
                <w:szCs w:val="24"/>
              </w:rPr>
              <w:t>% of AWPU’s fall within the range of £2,5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B2E82">
              <w:rPr>
                <w:rFonts w:ascii="Arial" w:hAnsi="Arial" w:cs="Arial"/>
                <w:sz w:val="24"/>
                <w:szCs w:val="24"/>
              </w:rPr>
              <w:t>0 to £3,250</w:t>
            </w:r>
            <w:r w:rsidR="006834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FB2E82" w:rsidRPr="00BE4677" w:rsidRDefault="00FB2E82" w:rsidP="009648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 AWPU = £3,</w:t>
            </w:r>
            <w:r w:rsidR="00964853">
              <w:rPr>
                <w:rFonts w:ascii="Arial" w:hAnsi="Arial" w:cs="Arial"/>
                <w:sz w:val="24"/>
                <w:szCs w:val="24"/>
              </w:rPr>
              <w:t>307</w:t>
            </w:r>
            <w:r>
              <w:rPr>
                <w:rFonts w:ascii="Arial" w:hAnsi="Arial" w:cs="Arial"/>
                <w:sz w:val="24"/>
                <w:szCs w:val="24"/>
              </w:rPr>
              <w:t xml:space="preserve"> (includes £</w:t>
            </w:r>
            <w:r w:rsidR="00964853">
              <w:rPr>
                <w:rFonts w:ascii="Arial" w:hAnsi="Arial" w:cs="Arial"/>
                <w:sz w:val="24"/>
                <w:szCs w:val="24"/>
              </w:rPr>
              <w:t>84</w:t>
            </w:r>
            <w:r>
              <w:rPr>
                <w:rFonts w:ascii="Arial" w:hAnsi="Arial" w:cs="Arial"/>
                <w:sz w:val="24"/>
                <w:szCs w:val="24"/>
              </w:rPr>
              <w:t xml:space="preserve"> one off adjustment)</w:t>
            </w:r>
            <w:r w:rsidR="0068349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E82" w:rsidTr="00D12D8A">
        <w:tc>
          <w:tcPr>
            <w:tcW w:w="3080" w:type="dxa"/>
          </w:tcPr>
          <w:p w:rsidR="00FB2E82" w:rsidRPr="00BE4677" w:rsidRDefault="00FB2E82" w:rsidP="00D12D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Basic per pupil entitlement: Secondary AWPU KS3</w:t>
            </w:r>
          </w:p>
        </w:tc>
        <w:tc>
          <w:tcPr>
            <w:tcW w:w="3081" w:type="dxa"/>
          </w:tcPr>
          <w:p w:rsidR="00FB2E82" w:rsidRPr="00BE4677" w:rsidRDefault="00FB2E82" w:rsidP="00B35A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KS3 - </w:t>
            </w:r>
            <w:r w:rsidR="00B35A78">
              <w:rPr>
                <w:rFonts w:ascii="Arial" w:hAnsi="Arial" w:cs="Arial"/>
                <w:sz w:val="24"/>
                <w:szCs w:val="24"/>
              </w:rPr>
              <w:t>79</w:t>
            </w:r>
            <w:r>
              <w:rPr>
                <w:rFonts w:ascii="Arial" w:hAnsi="Arial" w:cs="Arial"/>
                <w:sz w:val="24"/>
                <w:szCs w:val="24"/>
              </w:rPr>
              <w:t>% of AWPU’s fall within the range of £3,500 to £4,500</w:t>
            </w:r>
            <w:r w:rsidR="006834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FB2E82" w:rsidRPr="00BE4677" w:rsidRDefault="00FB2E82" w:rsidP="00234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NELC chose one secondary AWPU value only, £4,6</w:t>
            </w:r>
            <w:r w:rsidR="002344CD">
              <w:rPr>
                <w:rFonts w:ascii="Arial" w:hAnsi="Arial" w:cs="Arial"/>
                <w:sz w:val="24"/>
                <w:szCs w:val="24"/>
              </w:rPr>
              <w:t>58</w:t>
            </w:r>
            <w:r>
              <w:rPr>
                <w:rFonts w:ascii="Arial" w:hAnsi="Arial" w:cs="Arial"/>
                <w:sz w:val="24"/>
                <w:szCs w:val="24"/>
              </w:rPr>
              <w:t xml:space="preserve"> (includes £</w:t>
            </w:r>
            <w:r w:rsidR="002344CD">
              <w:rPr>
                <w:rFonts w:ascii="Arial" w:hAnsi="Arial" w:cs="Arial"/>
                <w:sz w:val="24"/>
                <w:szCs w:val="24"/>
              </w:rPr>
              <w:t>84</w:t>
            </w:r>
            <w:r>
              <w:rPr>
                <w:rFonts w:ascii="Arial" w:hAnsi="Arial" w:cs="Arial"/>
                <w:sz w:val="24"/>
                <w:szCs w:val="24"/>
              </w:rPr>
              <w:t xml:space="preserve"> one off adjustment)</w:t>
            </w:r>
            <w:r w:rsidR="006834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2E82" w:rsidTr="00D12D8A">
        <w:tc>
          <w:tcPr>
            <w:tcW w:w="3080" w:type="dxa"/>
          </w:tcPr>
          <w:p w:rsidR="00FB2E82" w:rsidRPr="00BE4677" w:rsidRDefault="00FB2E82" w:rsidP="00D12D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Basic per pupil entitlement: Secondary AWPU KS4</w:t>
            </w:r>
          </w:p>
        </w:tc>
        <w:tc>
          <w:tcPr>
            <w:tcW w:w="3081" w:type="dxa"/>
          </w:tcPr>
          <w:p w:rsidR="00FB2E82" w:rsidRPr="00BE4677" w:rsidRDefault="00FB2E82" w:rsidP="00B35A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KS4 </w:t>
            </w:r>
            <w:r w:rsidR="00B35A78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B35A78">
              <w:rPr>
                <w:rFonts w:ascii="Arial" w:hAnsi="Arial" w:cs="Arial"/>
                <w:sz w:val="24"/>
                <w:szCs w:val="24"/>
              </w:rPr>
              <w:t>6%</w:t>
            </w:r>
            <w:r>
              <w:rPr>
                <w:rFonts w:ascii="Arial" w:hAnsi="Arial" w:cs="Arial"/>
                <w:sz w:val="24"/>
                <w:szCs w:val="24"/>
              </w:rPr>
              <w:t xml:space="preserve"> of AWPU’s fall within the range of £4,000 to £5,000</w:t>
            </w:r>
            <w:r w:rsidR="006834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FB2E82" w:rsidRPr="00BE4677" w:rsidRDefault="00FB2E82" w:rsidP="00234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NELC chose one secondary AWPU value only, £4,6</w:t>
            </w:r>
            <w:r w:rsidR="002344CD">
              <w:rPr>
                <w:rFonts w:ascii="Arial" w:hAnsi="Arial" w:cs="Arial"/>
                <w:sz w:val="24"/>
                <w:szCs w:val="24"/>
              </w:rPr>
              <w:t>58</w:t>
            </w:r>
            <w:r>
              <w:rPr>
                <w:rFonts w:ascii="Arial" w:hAnsi="Arial" w:cs="Arial"/>
                <w:sz w:val="24"/>
                <w:szCs w:val="24"/>
              </w:rPr>
              <w:t xml:space="preserve"> (includes £</w:t>
            </w:r>
            <w:r w:rsidR="002344CD">
              <w:rPr>
                <w:rFonts w:ascii="Arial" w:hAnsi="Arial" w:cs="Arial"/>
                <w:sz w:val="24"/>
                <w:szCs w:val="24"/>
              </w:rPr>
              <w:t>84</w:t>
            </w:r>
            <w:r>
              <w:rPr>
                <w:rFonts w:ascii="Arial" w:hAnsi="Arial" w:cs="Arial"/>
                <w:sz w:val="24"/>
                <w:szCs w:val="24"/>
              </w:rPr>
              <w:t xml:space="preserve"> one off adjustment)</w:t>
            </w:r>
          </w:p>
        </w:tc>
      </w:tr>
      <w:tr w:rsidR="00FB2E82" w:rsidTr="00D12D8A">
        <w:tc>
          <w:tcPr>
            <w:tcW w:w="3080" w:type="dxa"/>
          </w:tcPr>
          <w:p w:rsidR="00FB2E82" w:rsidRPr="00BE4677" w:rsidRDefault="00FB2E82" w:rsidP="00D12D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Funding through basic entitlement</w:t>
            </w:r>
          </w:p>
        </w:tc>
        <w:tc>
          <w:tcPr>
            <w:tcW w:w="3081" w:type="dxa"/>
          </w:tcPr>
          <w:p w:rsidR="00FB2E82" w:rsidRDefault="00FB2E82" w:rsidP="001B5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Ranges from </w:t>
            </w:r>
            <w:r w:rsidR="00B35A78">
              <w:rPr>
                <w:rFonts w:ascii="Arial" w:hAnsi="Arial" w:cs="Arial"/>
                <w:sz w:val="24"/>
                <w:szCs w:val="24"/>
              </w:rPr>
              <w:t>59</w:t>
            </w:r>
            <w:r w:rsidR="00541C57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– 8</w:t>
            </w:r>
            <w:r w:rsidR="00B35A78">
              <w:rPr>
                <w:rFonts w:ascii="Arial" w:hAnsi="Arial" w:cs="Arial"/>
                <w:sz w:val="24"/>
                <w:szCs w:val="24"/>
              </w:rPr>
              <w:t>8</w:t>
            </w:r>
            <w:r w:rsidR="00370F9F">
              <w:rPr>
                <w:rFonts w:ascii="Arial" w:hAnsi="Arial" w:cs="Arial"/>
                <w:sz w:val="24"/>
                <w:szCs w:val="24"/>
              </w:rPr>
              <w:t xml:space="preserve">%. </w:t>
            </w:r>
            <w:r w:rsidR="001B5E47">
              <w:rPr>
                <w:rFonts w:ascii="Arial" w:hAnsi="Arial" w:cs="Arial"/>
                <w:sz w:val="24"/>
                <w:szCs w:val="24"/>
              </w:rPr>
              <w:t>5</w:t>
            </w:r>
            <w:r w:rsidR="00B35A78">
              <w:rPr>
                <w:rFonts w:ascii="Arial" w:hAnsi="Arial" w:cs="Arial"/>
                <w:sz w:val="24"/>
                <w:szCs w:val="24"/>
              </w:rPr>
              <w:t>0</w:t>
            </w:r>
            <w:r w:rsidR="001B5E47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0F9F">
              <w:rPr>
                <w:rFonts w:ascii="Arial" w:hAnsi="Arial" w:cs="Arial"/>
                <w:sz w:val="24"/>
                <w:szCs w:val="24"/>
              </w:rPr>
              <w:t>of LA’s allocate</w:t>
            </w:r>
            <w:r>
              <w:rPr>
                <w:rFonts w:ascii="Arial" w:hAnsi="Arial" w:cs="Arial"/>
                <w:sz w:val="24"/>
                <w:szCs w:val="24"/>
              </w:rPr>
              <w:t xml:space="preserve"> between 75</w:t>
            </w:r>
            <w:r w:rsidR="00851678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– 80%.</w:t>
            </w:r>
          </w:p>
          <w:p w:rsidR="001B5E47" w:rsidRDefault="001B5E47" w:rsidP="001B5E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B5E47" w:rsidRPr="00BE4677" w:rsidRDefault="001B5E47" w:rsidP="00B35A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all LA’s 76.</w:t>
            </w:r>
            <w:r w:rsidR="00B35A78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  <w:r w:rsidR="00E4068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 funding </w:t>
            </w:r>
            <w:r w:rsidR="00E40681">
              <w:rPr>
                <w:rFonts w:ascii="Arial" w:hAnsi="Arial" w:cs="Arial"/>
                <w:sz w:val="24"/>
                <w:szCs w:val="24"/>
              </w:rPr>
              <w:t xml:space="preserve">given is </w:t>
            </w:r>
            <w:r>
              <w:rPr>
                <w:rFonts w:ascii="Arial" w:hAnsi="Arial" w:cs="Arial"/>
                <w:sz w:val="24"/>
                <w:szCs w:val="24"/>
              </w:rPr>
              <w:t>through the formula is through</w:t>
            </w:r>
            <w:r w:rsidR="00E40681">
              <w:rPr>
                <w:rFonts w:ascii="Arial" w:hAnsi="Arial" w:cs="Arial"/>
                <w:sz w:val="24"/>
                <w:szCs w:val="24"/>
              </w:rPr>
              <w:t xml:space="preserve"> Basic Entitlement factors</w:t>
            </w:r>
          </w:p>
        </w:tc>
        <w:tc>
          <w:tcPr>
            <w:tcW w:w="3081" w:type="dxa"/>
          </w:tcPr>
          <w:p w:rsidR="00FB2E82" w:rsidRPr="00BE4677" w:rsidRDefault="00FB2E82" w:rsidP="00B35A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NELC % = 81.</w:t>
            </w:r>
            <w:r w:rsidR="001B5E47">
              <w:rPr>
                <w:rFonts w:ascii="Arial" w:hAnsi="Arial" w:cs="Arial"/>
                <w:sz w:val="24"/>
                <w:szCs w:val="24"/>
              </w:rPr>
              <w:t>6</w:t>
            </w:r>
            <w:r w:rsidR="00B35A7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  <w:r w:rsidR="006834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2E82" w:rsidTr="00D12D8A">
        <w:tc>
          <w:tcPr>
            <w:tcW w:w="3080" w:type="dxa"/>
          </w:tcPr>
          <w:p w:rsidR="00FB2E82" w:rsidRPr="00E40681" w:rsidRDefault="00FB2E82" w:rsidP="00D12D8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0F7">
              <w:rPr>
                <w:rFonts w:ascii="Arial" w:hAnsi="Arial" w:cs="Arial"/>
                <w:sz w:val="24"/>
                <w:szCs w:val="24"/>
              </w:rPr>
              <w:t>Deprivation - % of funding</w:t>
            </w:r>
          </w:p>
        </w:tc>
        <w:tc>
          <w:tcPr>
            <w:tcW w:w="3081" w:type="dxa"/>
          </w:tcPr>
          <w:p w:rsidR="00617AC9" w:rsidRPr="00E40681" w:rsidRDefault="00617AC9" w:rsidP="00B35A7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all LA’s 7.</w:t>
            </w:r>
            <w:r w:rsidR="00B35A78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% of funding is being allocated through deprivation.</w:t>
            </w:r>
          </w:p>
        </w:tc>
        <w:tc>
          <w:tcPr>
            <w:tcW w:w="3081" w:type="dxa"/>
          </w:tcPr>
          <w:p w:rsidR="00FB2E82" w:rsidRPr="00BD00F7" w:rsidRDefault="00FB2E82" w:rsidP="00370F9F">
            <w:pPr>
              <w:rPr>
                <w:rFonts w:ascii="Arial" w:hAnsi="Arial" w:cs="Arial"/>
                <w:sz w:val="24"/>
                <w:szCs w:val="24"/>
              </w:rPr>
            </w:pPr>
            <w:r w:rsidRPr="00BD00F7">
              <w:rPr>
                <w:rFonts w:ascii="Arial" w:hAnsi="Arial" w:cs="Arial"/>
                <w:sz w:val="24"/>
                <w:szCs w:val="24"/>
              </w:rPr>
              <w:t>NELC % = 6.</w:t>
            </w:r>
            <w:r w:rsidR="00B35A78">
              <w:rPr>
                <w:rFonts w:ascii="Arial" w:hAnsi="Arial" w:cs="Arial"/>
                <w:sz w:val="24"/>
                <w:szCs w:val="24"/>
              </w:rPr>
              <w:t>91</w:t>
            </w:r>
            <w:r w:rsidRPr="00BD00F7">
              <w:rPr>
                <w:rFonts w:ascii="Arial" w:hAnsi="Arial" w:cs="Arial"/>
                <w:sz w:val="24"/>
                <w:szCs w:val="24"/>
              </w:rPr>
              <w:t>%</w:t>
            </w:r>
            <w:r w:rsidR="00683499" w:rsidRPr="00BD00F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83499" w:rsidRPr="00BD00F7" w:rsidRDefault="00683499" w:rsidP="00370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83499" w:rsidRPr="00E40681" w:rsidRDefault="00683499" w:rsidP="0068349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0F7">
              <w:rPr>
                <w:rFonts w:ascii="Arial" w:hAnsi="Arial" w:cs="Arial"/>
                <w:sz w:val="24"/>
                <w:szCs w:val="24"/>
              </w:rPr>
              <w:t>Following discussions with the Schools Forum Formula Funding Working Party the decision around the methodology and % was re-affirmed.</w:t>
            </w:r>
          </w:p>
        </w:tc>
      </w:tr>
      <w:tr w:rsidR="00FB2E82" w:rsidTr="00D12D8A">
        <w:tc>
          <w:tcPr>
            <w:tcW w:w="3080" w:type="dxa"/>
          </w:tcPr>
          <w:p w:rsidR="00FB2E82" w:rsidRPr="00BE4677" w:rsidRDefault="00FB2E82" w:rsidP="00D12D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Looked After Children</w:t>
            </w:r>
          </w:p>
        </w:tc>
        <w:tc>
          <w:tcPr>
            <w:tcW w:w="3081" w:type="dxa"/>
          </w:tcPr>
          <w:p w:rsidR="00FB2E82" w:rsidRDefault="00FB2E82" w:rsidP="00E40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Optional factor – used by </w:t>
            </w:r>
            <w:r w:rsidR="00B35A78">
              <w:rPr>
                <w:rFonts w:ascii="Arial" w:hAnsi="Arial" w:cs="Arial"/>
                <w:sz w:val="24"/>
                <w:szCs w:val="24"/>
              </w:rPr>
              <w:t>88</w:t>
            </w:r>
            <w:r>
              <w:rPr>
                <w:rFonts w:ascii="Arial" w:hAnsi="Arial" w:cs="Arial"/>
                <w:sz w:val="24"/>
                <w:szCs w:val="24"/>
              </w:rPr>
              <w:t xml:space="preserve"> out of 152 </w:t>
            </w:r>
            <w:r w:rsidR="00A673DD">
              <w:rPr>
                <w:rFonts w:ascii="Arial" w:hAnsi="Arial" w:cs="Arial"/>
                <w:sz w:val="24"/>
                <w:szCs w:val="24"/>
              </w:rPr>
              <w:t>authorities.</w:t>
            </w:r>
            <w:r w:rsidR="0068349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0681" w:rsidRDefault="00E40681" w:rsidP="00E40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681" w:rsidRPr="00BE4677" w:rsidRDefault="00E40681" w:rsidP="0061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the current NFF Consultation proposals this factor is to be removed.</w:t>
            </w:r>
          </w:p>
        </w:tc>
        <w:tc>
          <w:tcPr>
            <w:tcW w:w="3081" w:type="dxa"/>
          </w:tcPr>
          <w:p w:rsidR="00E40681" w:rsidRPr="00BE4677" w:rsidRDefault="00FB2E82" w:rsidP="00E40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Following discussions with the Schools Forum Formula Funding Working Party the decision was </w:t>
            </w:r>
            <w:r w:rsidR="00683499">
              <w:rPr>
                <w:rFonts w:ascii="Arial" w:hAnsi="Arial" w:cs="Arial"/>
                <w:sz w:val="24"/>
                <w:szCs w:val="24"/>
              </w:rPr>
              <w:t>re-affirmed</w:t>
            </w:r>
            <w:r>
              <w:rPr>
                <w:rFonts w:ascii="Arial" w:hAnsi="Arial" w:cs="Arial"/>
                <w:sz w:val="24"/>
                <w:szCs w:val="24"/>
              </w:rPr>
              <w:t xml:space="preserve"> not to use this factor</w:t>
            </w:r>
            <w:r w:rsidR="006834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2E82" w:rsidTr="00D12D8A">
        <w:tc>
          <w:tcPr>
            <w:tcW w:w="3080" w:type="dxa"/>
          </w:tcPr>
          <w:p w:rsidR="00FB2E82" w:rsidRPr="00E40681" w:rsidRDefault="00FB2E82" w:rsidP="00D12D8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0681">
              <w:rPr>
                <w:rFonts w:ascii="Arial" w:hAnsi="Arial" w:cs="Arial"/>
                <w:sz w:val="24"/>
                <w:szCs w:val="24"/>
              </w:rPr>
              <w:t>Low cost high incident SEN</w:t>
            </w:r>
            <w:r w:rsidR="0043063E" w:rsidRPr="00E40681">
              <w:rPr>
                <w:rFonts w:ascii="Arial" w:hAnsi="Arial" w:cs="Arial"/>
                <w:sz w:val="24"/>
                <w:szCs w:val="24"/>
              </w:rPr>
              <w:t xml:space="preserve"> (Prior attainment)</w:t>
            </w:r>
          </w:p>
        </w:tc>
        <w:tc>
          <w:tcPr>
            <w:tcW w:w="3081" w:type="dxa"/>
          </w:tcPr>
          <w:p w:rsidR="00B35A78" w:rsidRDefault="00B35A78" w:rsidP="00BD0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Used by 144 LA’S.</w:t>
            </w:r>
          </w:p>
          <w:p w:rsidR="00B35A78" w:rsidRDefault="00B35A78" w:rsidP="00BD00F7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0F7" w:rsidRPr="00BD00F7" w:rsidRDefault="00617AC9" w:rsidP="00BD0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71% of LA’s allocate between 2% and 6% of the funding through this factor.</w:t>
            </w:r>
          </w:p>
          <w:p w:rsidR="00BD00F7" w:rsidRPr="00BD00F7" w:rsidRDefault="00BD00F7" w:rsidP="00BD00F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2E82" w:rsidRPr="00BD00F7" w:rsidRDefault="00683499" w:rsidP="00BD00F7">
            <w:pPr>
              <w:rPr>
                <w:rFonts w:ascii="Arial" w:hAnsi="Arial" w:cs="Arial"/>
                <w:sz w:val="24"/>
                <w:szCs w:val="24"/>
              </w:rPr>
            </w:pPr>
            <w:r w:rsidRPr="00BD00F7">
              <w:rPr>
                <w:rFonts w:ascii="Arial" w:hAnsi="Arial" w:cs="Arial"/>
                <w:sz w:val="24"/>
                <w:szCs w:val="24"/>
              </w:rPr>
              <w:lastRenderedPageBreak/>
              <w:t xml:space="preserve">Across all </w:t>
            </w:r>
            <w:r w:rsidR="00B35A78" w:rsidRPr="00BD00F7">
              <w:rPr>
                <w:rFonts w:ascii="Arial" w:hAnsi="Arial" w:cs="Arial"/>
                <w:sz w:val="24"/>
                <w:szCs w:val="24"/>
              </w:rPr>
              <w:t>authorit</w:t>
            </w:r>
            <w:r w:rsidR="00B35A78">
              <w:rPr>
                <w:rFonts w:ascii="Arial" w:hAnsi="Arial" w:cs="Arial"/>
                <w:sz w:val="24"/>
                <w:szCs w:val="24"/>
              </w:rPr>
              <w:t>y’s</w:t>
            </w:r>
            <w:r w:rsidR="00617A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7AC9" w:rsidRPr="00BD00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0F7">
              <w:rPr>
                <w:rFonts w:ascii="Arial" w:hAnsi="Arial" w:cs="Arial"/>
                <w:sz w:val="24"/>
                <w:szCs w:val="24"/>
              </w:rPr>
              <w:t>4.</w:t>
            </w:r>
            <w:r w:rsidR="00BD00F7" w:rsidRPr="00BD00F7">
              <w:rPr>
                <w:rFonts w:ascii="Arial" w:hAnsi="Arial" w:cs="Arial"/>
                <w:sz w:val="24"/>
                <w:szCs w:val="24"/>
              </w:rPr>
              <w:t>3</w:t>
            </w:r>
            <w:r w:rsidRPr="00BD00F7">
              <w:rPr>
                <w:rFonts w:ascii="Arial" w:hAnsi="Arial" w:cs="Arial"/>
                <w:sz w:val="24"/>
                <w:szCs w:val="24"/>
              </w:rPr>
              <w:t>% of funding is allocated through this factor.</w:t>
            </w:r>
          </w:p>
          <w:p w:rsidR="00BD00F7" w:rsidRPr="00BD00F7" w:rsidRDefault="00BD00F7" w:rsidP="00BD00F7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0F7" w:rsidRPr="00BD00F7" w:rsidRDefault="00BD00F7" w:rsidP="00BD00F7">
            <w:pPr>
              <w:rPr>
                <w:rFonts w:ascii="Arial" w:hAnsi="Arial" w:cs="Arial"/>
                <w:sz w:val="24"/>
                <w:szCs w:val="24"/>
              </w:rPr>
            </w:pPr>
            <w:r w:rsidRPr="00BD00F7">
              <w:rPr>
                <w:rFonts w:ascii="Arial" w:hAnsi="Arial" w:cs="Arial"/>
                <w:sz w:val="24"/>
                <w:szCs w:val="24"/>
              </w:rPr>
              <w:t>Primary range £1</w:t>
            </w:r>
            <w:r w:rsidR="00B35A78">
              <w:rPr>
                <w:rFonts w:ascii="Arial" w:hAnsi="Arial" w:cs="Arial"/>
                <w:sz w:val="24"/>
                <w:szCs w:val="24"/>
              </w:rPr>
              <w:t>20</w:t>
            </w:r>
            <w:r w:rsidRPr="00BD00F7">
              <w:rPr>
                <w:rFonts w:ascii="Arial" w:hAnsi="Arial" w:cs="Arial"/>
                <w:sz w:val="24"/>
                <w:szCs w:val="24"/>
              </w:rPr>
              <w:t xml:space="preserve"> - £2,651.</w:t>
            </w:r>
          </w:p>
          <w:p w:rsidR="00BD00F7" w:rsidRPr="00BD00F7" w:rsidRDefault="00BD00F7" w:rsidP="00BD00F7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0F7" w:rsidRPr="00E40681" w:rsidRDefault="00BD00F7" w:rsidP="00BD00F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0F7">
              <w:rPr>
                <w:rFonts w:ascii="Arial" w:hAnsi="Arial" w:cs="Arial"/>
                <w:sz w:val="24"/>
                <w:szCs w:val="24"/>
              </w:rPr>
              <w:t>Secondary range - £40 - £3,229.</w:t>
            </w:r>
          </w:p>
        </w:tc>
        <w:tc>
          <w:tcPr>
            <w:tcW w:w="3081" w:type="dxa"/>
          </w:tcPr>
          <w:p w:rsidR="00FB2E82" w:rsidRPr="00E40681" w:rsidRDefault="0043063E" w:rsidP="00E40681">
            <w:pPr>
              <w:rPr>
                <w:rFonts w:ascii="Arial" w:hAnsi="Arial" w:cs="Arial"/>
                <w:sz w:val="24"/>
                <w:szCs w:val="24"/>
              </w:rPr>
            </w:pPr>
            <w:r w:rsidRPr="00E40681">
              <w:rPr>
                <w:rFonts w:ascii="Arial" w:hAnsi="Arial" w:cs="Arial"/>
                <w:sz w:val="24"/>
                <w:szCs w:val="24"/>
              </w:rPr>
              <w:lastRenderedPageBreak/>
              <w:t>NELC % = 5.</w:t>
            </w:r>
            <w:r w:rsidR="00B35A78">
              <w:rPr>
                <w:rFonts w:ascii="Arial" w:hAnsi="Arial" w:cs="Arial"/>
                <w:sz w:val="24"/>
                <w:szCs w:val="24"/>
              </w:rPr>
              <w:t>02</w:t>
            </w:r>
            <w:r w:rsidR="00FB2E82" w:rsidRPr="00E40681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40681" w:rsidRPr="00E40681" w:rsidRDefault="00E40681" w:rsidP="00E40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681" w:rsidRPr="00E40681" w:rsidRDefault="00E40681" w:rsidP="00E40681">
            <w:pPr>
              <w:rPr>
                <w:rFonts w:ascii="Arial" w:hAnsi="Arial" w:cs="Arial"/>
                <w:sz w:val="24"/>
                <w:szCs w:val="24"/>
              </w:rPr>
            </w:pPr>
            <w:r w:rsidRPr="00E40681">
              <w:rPr>
                <w:rFonts w:ascii="Arial" w:hAnsi="Arial" w:cs="Arial"/>
                <w:sz w:val="24"/>
                <w:szCs w:val="24"/>
              </w:rPr>
              <w:t>Primary unit value = £892.</w:t>
            </w:r>
          </w:p>
          <w:p w:rsidR="00E40681" w:rsidRPr="00E40681" w:rsidRDefault="00E40681" w:rsidP="00E40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681" w:rsidRPr="00E40681" w:rsidRDefault="00E40681" w:rsidP="00E4068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0681">
              <w:rPr>
                <w:rFonts w:ascii="Arial" w:hAnsi="Arial" w:cs="Arial"/>
                <w:sz w:val="24"/>
                <w:szCs w:val="24"/>
              </w:rPr>
              <w:t>Secondary unit value - £1,250.</w:t>
            </w:r>
          </w:p>
        </w:tc>
      </w:tr>
      <w:tr w:rsidR="00FB2E82" w:rsidTr="00D12D8A">
        <w:tc>
          <w:tcPr>
            <w:tcW w:w="3080" w:type="dxa"/>
          </w:tcPr>
          <w:p w:rsidR="00FB2E82" w:rsidRPr="00BE4677" w:rsidRDefault="00FB2E82" w:rsidP="00D12D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English as an additional language</w:t>
            </w:r>
          </w:p>
        </w:tc>
        <w:tc>
          <w:tcPr>
            <w:tcW w:w="3081" w:type="dxa"/>
          </w:tcPr>
          <w:p w:rsidR="00A673DD" w:rsidRDefault="00FB2E82" w:rsidP="00E40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Optional factor – used by 1</w:t>
            </w:r>
            <w:r w:rsidR="00683499">
              <w:rPr>
                <w:rFonts w:ascii="Arial" w:hAnsi="Arial" w:cs="Arial"/>
                <w:sz w:val="24"/>
                <w:szCs w:val="24"/>
              </w:rPr>
              <w:t>3</w:t>
            </w:r>
            <w:r w:rsidR="00B35A78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out of 152 </w:t>
            </w:r>
            <w:r w:rsidR="00A673DD">
              <w:rPr>
                <w:rFonts w:ascii="Arial" w:hAnsi="Arial" w:cs="Arial"/>
                <w:sz w:val="24"/>
                <w:szCs w:val="24"/>
              </w:rPr>
              <w:t>authorities.</w:t>
            </w:r>
          </w:p>
          <w:p w:rsidR="00FB2E82" w:rsidRPr="00A673DD" w:rsidRDefault="00FB2E82" w:rsidP="009B4D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B2E82" w:rsidRPr="00BE4677" w:rsidRDefault="00FB2E82" w:rsidP="00683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Following discussions with the Schools Forum Formula Funding Working Party the decision was </w:t>
            </w:r>
            <w:r w:rsidR="00683499">
              <w:rPr>
                <w:rFonts w:ascii="Arial" w:hAnsi="Arial" w:cs="Arial"/>
                <w:sz w:val="24"/>
                <w:szCs w:val="24"/>
              </w:rPr>
              <w:t>re-affirmed</w:t>
            </w:r>
            <w:r>
              <w:rPr>
                <w:rFonts w:ascii="Arial" w:hAnsi="Arial" w:cs="Arial"/>
                <w:sz w:val="24"/>
                <w:szCs w:val="24"/>
              </w:rPr>
              <w:t xml:space="preserve"> not to use this factor</w:t>
            </w:r>
            <w:r w:rsidR="006834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2E82" w:rsidTr="00D12D8A">
        <w:tc>
          <w:tcPr>
            <w:tcW w:w="3080" w:type="dxa"/>
          </w:tcPr>
          <w:p w:rsidR="00FB2E82" w:rsidRPr="00BE4677" w:rsidRDefault="00FB2E82" w:rsidP="00D12D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Mobility</w:t>
            </w:r>
          </w:p>
        </w:tc>
        <w:tc>
          <w:tcPr>
            <w:tcW w:w="3081" w:type="dxa"/>
          </w:tcPr>
          <w:p w:rsidR="00FB2E82" w:rsidRDefault="00FB2E82" w:rsidP="00E40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Optional factor – used by 6</w:t>
            </w:r>
            <w:r w:rsidR="00B35A78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out of 152 </w:t>
            </w:r>
            <w:r w:rsidR="00A673DD">
              <w:rPr>
                <w:rFonts w:ascii="Arial" w:hAnsi="Arial" w:cs="Arial"/>
                <w:sz w:val="24"/>
                <w:szCs w:val="24"/>
              </w:rPr>
              <w:t>authorities.</w:t>
            </w:r>
          </w:p>
          <w:p w:rsidR="00E40681" w:rsidRDefault="00E40681" w:rsidP="00E40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681" w:rsidRPr="00BE4677" w:rsidRDefault="00E40681" w:rsidP="00B35A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 the current NFF Consultation proposals this factor </w:t>
            </w:r>
            <w:r w:rsidR="00B35A78">
              <w:rPr>
                <w:rFonts w:ascii="Arial" w:hAnsi="Arial" w:cs="Arial"/>
                <w:sz w:val="24"/>
                <w:szCs w:val="24"/>
              </w:rPr>
              <w:t>wa</w:t>
            </w:r>
            <w:r>
              <w:rPr>
                <w:rFonts w:ascii="Arial" w:hAnsi="Arial" w:cs="Arial"/>
                <w:sz w:val="24"/>
                <w:szCs w:val="24"/>
              </w:rPr>
              <w:t>s to be removed</w:t>
            </w:r>
            <w:r w:rsidR="00B35A78">
              <w:rPr>
                <w:rFonts w:ascii="Arial" w:hAnsi="Arial" w:cs="Arial"/>
                <w:sz w:val="24"/>
                <w:szCs w:val="24"/>
              </w:rPr>
              <w:t xml:space="preserve"> but may now be re-instated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FB2E82" w:rsidRPr="00BE4677" w:rsidRDefault="00FB2E82" w:rsidP="00683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Following discussions with the Schools Forum Formula Funding Working Party the decision was </w:t>
            </w:r>
            <w:r w:rsidR="00683499">
              <w:rPr>
                <w:rFonts w:ascii="Arial" w:hAnsi="Arial" w:cs="Arial"/>
                <w:sz w:val="24"/>
                <w:szCs w:val="24"/>
              </w:rPr>
              <w:t>re-affirmed</w:t>
            </w:r>
            <w:r>
              <w:rPr>
                <w:rFonts w:ascii="Arial" w:hAnsi="Arial" w:cs="Arial"/>
                <w:sz w:val="24"/>
                <w:szCs w:val="24"/>
              </w:rPr>
              <w:t xml:space="preserve"> not to use this factor</w:t>
            </w:r>
            <w:r w:rsidR="006834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2E82" w:rsidTr="00D12D8A">
        <w:tc>
          <w:tcPr>
            <w:tcW w:w="3080" w:type="dxa"/>
          </w:tcPr>
          <w:p w:rsidR="00FB2E82" w:rsidRDefault="00FB2E82" w:rsidP="00D12D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funding through the pupil led factors</w:t>
            </w:r>
          </w:p>
        </w:tc>
        <w:tc>
          <w:tcPr>
            <w:tcW w:w="3081" w:type="dxa"/>
          </w:tcPr>
          <w:p w:rsidR="00683499" w:rsidRDefault="00FB2E82" w:rsidP="00B35A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A673DD">
              <w:rPr>
                <w:rFonts w:ascii="Arial" w:hAnsi="Arial" w:cs="Arial"/>
                <w:sz w:val="24"/>
                <w:szCs w:val="24"/>
              </w:rPr>
              <w:t xml:space="preserve">authorities </w:t>
            </w:r>
            <w:r w:rsidR="0043063E">
              <w:rPr>
                <w:rFonts w:ascii="Arial" w:hAnsi="Arial" w:cs="Arial"/>
                <w:sz w:val="24"/>
                <w:szCs w:val="24"/>
              </w:rPr>
              <w:t xml:space="preserve">must allocate 80% or more through pupil led factors. </w:t>
            </w:r>
            <w:r w:rsidR="00683499">
              <w:rPr>
                <w:rFonts w:ascii="Arial" w:hAnsi="Arial" w:cs="Arial"/>
                <w:sz w:val="24"/>
                <w:szCs w:val="24"/>
              </w:rPr>
              <w:t xml:space="preserve">Across all </w:t>
            </w:r>
            <w:r w:rsidR="00B35A78">
              <w:rPr>
                <w:rFonts w:ascii="Arial" w:hAnsi="Arial" w:cs="Arial"/>
                <w:sz w:val="24"/>
                <w:szCs w:val="24"/>
              </w:rPr>
              <w:t>authority’s</w:t>
            </w:r>
            <w:r w:rsidR="00A673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3499">
              <w:rPr>
                <w:rFonts w:ascii="Arial" w:hAnsi="Arial" w:cs="Arial"/>
                <w:sz w:val="24"/>
                <w:szCs w:val="24"/>
              </w:rPr>
              <w:t>89.</w:t>
            </w:r>
            <w:r w:rsidR="00B35A78">
              <w:rPr>
                <w:rFonts w:ascii="Arial" w:hAnsi="Arial" w:cs="Arial"/>
                <w:sz w:val="24"/>
                <w:szCs w:val="24"/>
              </w:rPr>
              <w:t>6</w:t>
            </w:r>
            <w:r w:rsidR="00683499">
              <w:rPr>
                <w:rFonts w:ascii="Arial" w:hAnsi="Arial" w:cs="Arial"/>
                <w:sz w:val="24"/>
                <w:szCs w:val="24"/>
              </w:rPr>
              <w:t>% of funding is being allocated through pupil led factors.</w:t>
            </w:r>
          </w:p>
        </w:tc>
        <w:tc>
          <w:tcPr>
            <w:tcW w:w="3081" w:type="dxa"/>
          </w:tcPr>
          <w:p w:rsidR="00FB2E82" w:rsidRDefault="00FB2E82" w:rsidP="00B35A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NELC % = 9</w:t>
            </w:r>
            <w:r w:rsidR="00683499">
              <w:rPr>
                <w:rFonts w:ascii="Arial" w:hAnsi="Arial" w:cs="Arial"/>
                <w:sz w:val="24"/>
                <w:szCs w:val="24"/>
              </w:rPr>
              <w:t>3.</w:t>
            </w:r>
            <w:r w:rsidR="00B35A78">
              <w:rPr>
                <w:rFonts w:ascii="Arial" w:hAnsi="Arial" w:cs="Arial"/>
                <w:sz w:val="24"/>
                <w:szCs w:val="24"/>
              </w:rPr>
              <w:t>57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B2E82" w:rsidTr="00D12D8A">
        <w:tc>
          <w:tcPr>
            <w:tcW w:w="3080" w:type="dxa"/>
          </w:tcPr>
          <w:p w:rsidR="00FB2E82" w:rsidRPr="00720A8C" w:rsidRDefault="00FB2E82" w:rsidP="00D12D8A">
            <w:pPr>
              <w:rPr>
                <w:rFonts w:ascii="Arial" w:hAnsi="Arial" w:cs="Arial"/>
                <w:sz w:val="24"/>
                <w:szCs w:val="24"/>
              </w:rPr>
            </w:pPr>
            <w:r w:rsidRPr="00720A8C">
              <w:rPr>
                <w:rFonts w:ascii="Arial" w:hAnsi="Arial" w:cs="Arial"/>
                <w:sz w:val="24"/>
                <w:szCs w:val="24"/>
              </w:rPr>
              <w:t>Lump Sum</w:t>
            </w:r>
          </w:p>
        </w:tc>
        <w:tc>
          <w:tcPr>
            <w:tcW w:w="3081" w:type="dxa"/>
          </w:tcPr>
          <w:p w:rsidR="00720A8C" w:rsidRPr="00720A8C" w:rsidRDefault="00FB2E82" w:rsidP="00720A8C">
            <w:pPr>
              <w:rPr>
                <w:rFonts w:ascii="Arial" w:hAnsi="Arial" w:cs="Arial"/>
                <w:sz w:val="24"/>
                <w:szCs w:val="24"/>
              </w:rPr>
            </w:pPr>
            <w:r w:rsidRPr="00720A8C">
              <w:rPr>
                <w:rFonts w:ascii="Arial" w:hAnsi="Arial" w:cs="Arial"/>
                <w:sz w:val="24"/>
                <w:szCs w:val="24"/>
              </w:rPr>
              <w:t>Range is £4</w:t>
            </w:r>
            <w:r w:rsidR="00683499" w:rsidRPr="00720A8C">
              <w:rPr>
                <w:rFonts w:ascii="Arial" w:hAnsi="Arial" w:cs="Arial"/>
                <w:sz w:val="24"/>
                <w:szCs w:val="24"/>
              </w:rPr>
              <w:t>8</w:t>
            </w:r>
            <w:r w:rsidRPr="00720A8C">
              <w:rPr>
                <w:rFonts w:ascii="Arial" w:hAnsi="Arial" w:cs="Arial"/>
                <w:sz w:val="24"/>
                <w:szCs w:val="24"/>
              </w:rPr>
              <w:t>k to £</w:t>
            </w:r>
            <w:r w:rsidR="0043063E" w:rsidRPr="00720A8C">
              <w:rPr>
                <w:rFonts w:ascii="Arial" w:hAnsi="Arial" w:cs="Arial"/>
                <w:sz w:val="24"/>
                <w:szCs w:val="24"/>
              </w:rPr>
              <w:t>175</w:t>
            </w:r>
            <w:r w:rsidRPr="00720A8C">
              <w:rPr>
                <w:rFonts w:ascii="Arial" w:hAnsi="Arial" w:cs="Arial"/>
                <w:sz w:val="24"/>
                <w:szCs w:val="24"/>
              </w:rPr>
              <w:t xml:space="preserve">k. </w:t>
            </w:r>
            <w:r w:rsidR="0043063E" w:rsidRPr="00720A8C">
              <w:rPr>
                <w:rFonts w:ascii="Arial" w:hAnsi="Arial" w:cs="Arial"/>
                <w:sz w:val="24"/>
                <w:szCs w:val="24"/>
              </w:rPr>
              <w:t xml:space="preserve">Differential between primary and secondary </w:t>
            </w:r>
            <w:r w:rsidR="00720A8C" w:rsidRPr="00720A8C">
              <w:rPr>
                <w:rFonts w:ascii="Arial" w:hAnsi="Arial" w:cs="Arial"/>
                <w:sz w:val="24"/>
                <w:szCs w:val="24"/>
              </w:rPr>
              <w:t>still</w:t>
            </w:r>
            <w:r w:rsidR="0043063E" w:rsidRPr="00720A8C">
              <w:rPr>
                <w:rFonts w:ascii="Arial" w:hAnsi="Arial" w:cs="Arial"/>
                <w:sz w:val="24"/>
                <w:szCs w:val="24"/>
              </w:rPr>
              <w:t xml:space="preserve"> allowed. </w:t>
            </w:r>
          </w:p>
          <w:p w:rsidR="00720A8C" w:rsidRPr="00720A8C" w:rsidRDefault="00720A8C" w:rsidP="00720A8C">
            <w:pPr>
              <w:rPr>
                <w:rFonts w:ascii="Arial" w:hAnsi="Arial" w:cs="Arial"/>
                <w:sz w:val="24"/>
                <w:szCs w:val="24"/>
              </w:rPr>
            </w:pPr>
          </w:p>
          <w:p w:rsidR="00720A8C" w:rsidRDefault="00683499" w:rsidP="00720A8C">
            <w:pPr>
              <w:rPr>
                <w:rFonts w:ascii="Arial" w:hAnsi="Arial" w:cs="Arial"/>
                <w:sz w:val="24"/>
                <w:szCs w:val="24"/>
              </w:rPr>
            </w:pPr>
            <w:r w:rsidRPr="00720A8C">
              <w:rPr>
                <w:rFonts w:ascii="Arial" w:hAnsi="Arial" w:cs="Arial"/>
                <w:sz w:val="24"/>
                <w:szCs w:val="24"/>
              </w:rPr>
              <w:t>8</w:t>
            </w:r>
            <w:r w:rsidR="00B35A78">
              <w:rPr>
                <w:rFonts w:ascii="Arial" w:hAnsi="Arial" w:cs="Arial"/>
                <w:sz w:val="24"/>
                <w:szCs w:val="24"/>
              </w:rPr>
              <w:t>5</w:t>
            </w:r>
            <w:r w:rsidR="0043063E" w:rsidRPr="00720A8C">
              <w:rPr>
                <w:rFonts w:ascii="Arial" w:hAnsi="Arial" w:cs="Arial"/>
                <w:sz w:val="24"/>
                <w:szCs w:val="24"/>
              </w:rPr>
              <w:t xml:space="preserve"> LA’s have chosen equal values.</w:t>
            </w:r>
            <w:r w:rsidR="00720A8C" w:rsidRPr="00720A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A78" w:rsidRPr="00720A8C" w:rsidRDefault="00B35A78" w:rsidP="00720A8C">
            <w:pPr>
              <w:rPr>
                <w:rFonts w:ascii="Arial" w:hAnsi="Arial" w:cs="Arial"/>
                <w:sz w:val="24"/>
                <w:szCs w:val="24"/>
              </w:rPr>
            </w:pPr>
          </w:p>
          <w:p w:rsidR="00720A8C" w:rsidRPr="00720A8C" w:rsidRDefault="00B35A78" w:rsidP="00B35A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Overall LA’s are paying </w:t>
            </w:r>
            <w:r w:rsidR="00720A8C" w:rsidRPr="00720A8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.1 of their schools block funding through th</w:t>
            </w:r>
            <w:r w:rsidR="00720A8C" w:rsidRPr="00720A8C">
              <w:rPr>
                <w:rFonts w:ascii="Arial" w:hAnsi="Arial" w:cs="Arial"/>
                <w:sz w:val="24"/>
                <w:szCs w:val="24"/>
              </w:rPr>
              <w:t>e formula for this element.</w:t>
            </w:r>
          </w:p>
        </w:tc>
        <w:tc>
          <w:tcPr>
            <w:tcW w:w="3081" w:type="dxa"/>
          </w:tcPr>
          <w:p w:rsidR="00FB2E82" w:rsidRDefault="00FB2E82" w:rsidP="00683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NELC = £102k</w:t>
            </w:r>
            <w:r w:rsidR="0043063E">
              <w:rPr>
                <w:rFonts w:ascii="Arial" w:hAnsi="Arial" w:cs="Arial"/>
                <w:sz w:val="24"/>
                <w:szCs w:val="24"/>
              </w:rPr>
              <w:t xml:space="preserve"> across both settings.</w:t>
            </w:r>
          </w:p>
          <w:p w:rsidR="00E40681" w:rsidRDefault="00E40681" w:rsidP="00683499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681" w:rsidRDefault="00E40681" w:rsidP="00B35A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5.7</w:t>
            </w:r>
            <w:r w:rsidR="00B35A78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% of funding to schools is given through the Lump Sum factor.</w:t>
            </w:r>
          </w:p>
        </w:tc>
      </w:tr>
      <w:tr w:rsidR="0043063E" w:rsidTr="00D12D8A">
        <w:tc>
          <w:tcPr>
            <w:tcW w:w="3080" w:type="dxa"/>
          </w:tcPr>
          <w:p w:rsidR="0043063E" w:rsidRDefault="0043063E" w:rsidP="00D12D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Sparsity</w:t>
            </w:r>
          </w:p>
        </w:tc>
        <w:tc>
          <w:tcPr>
            <w:tcW w:w="3081" w:type="dxa"/>
          </w:tcPr>
          <w:p w:rsidR="0043063E" w:rsidRDefault="0043063E" w:rsidP="00FD7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Chosen by 2</w:t>
            </w:r>
            <w:r w:rsidR="002730D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LA’s, </w:t>
            </w:r>
          </w:p>
        </w:tc>
        <w:tc>
          <w:tcPr>
            <w:tcW w:w="3081" w:type="dxa"/>
          </w:tcPr>
          <w:p w:rsidR="0043063E" w:rsidRDefault="00BE3424" w:rsidP="00D12D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NELC uses this factor</w:t>
            </w:r>
          </w:p>
        </w:tc>
      </w:tr>
      <w:tr w:rsidR="00FB2E82" w:rsidTr="00D12D8A">
        <w:tc>
          <w:tcPr>
            <w:tcW w:w="3080" w:type="dxa"/>
          </w:tcPr>
          <w:p w:rsidR="00FB2E82" w:rsidRDefault="00FB2E82" w:rsidP="00D12D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Primary: secondary funding ratio’s</w:t>
            </w:r>
          </w:p>
        </w:tc>
        <w:tc>
          <w:tcPr>
            <w:tcW w:w="3081" w:type="dxa"/>
          </w:tcPr>
          <w:p w:rsidR="00FB2E82" w:rsidRDefault="00FB2E82" w:rsidP="00E40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ratio 1:1.2</w:t>
            </w:r>
            <w:r w:rsidR="00E406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81" w:type="dxa"/>
          </w:tcPr>
          <w:p w:rsidR="00FB2E82" w:rsidRDefault="00BE3424" w:rsidP="00E40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NELC’s 1:1.2</w:t>
            </w:r>
            <w:r w:rsidR="00E406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E3424" w:rsidTr="00D12D8A">
        <w:tc>
          <w:tcPr>
            <w:tcW w:w="3080" w:type="dxa"/>
          </w:tcPr>
          <w:p w:rsidR="00BE3424" w:rsidRDefault="00BE3424" w:rsidP="00D12D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Notional SEN calculations</w:t>
            </w:r>
          </w:p>
        </w:tc>
        <w:tc>
          <w:tcPr>
            <w:tcW w:w="3081" w:type="dxa"/>
          </w:tcPr>
          <w:p w:rsidR="00BE3424" w:rsidRDefault="00BE3424" w:rsidP="00D12D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 common banding range 7.5</w:t>
            </w:r>
            <w:r w:rsidR="00851678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10%</w:t>
            </w:r>
          </w:p>
          <w:p w:rsidR="00BD00F7" w:rsidRDefault="00BD00F7" w:rsidP="00D12D8A">
            <w:pPr>
              <w:rPr>
                <w:rFonts w:ascii="Arial" w:hAnsi="Arial" w:cs="Arial"/>
                <w:sz w:val="24"/>
                <w:szCs w:val="24"/>
              </w:rPr>
            </w:pPr>
          </w:p>
          <w:p w:rsidR="00FD77F9" w:rsidRDefault="00BD00F7" w:rsidP="00FD7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12</w:t>
            </w:r>
            <w:r w:rsidR="00FD77F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LA’s (8</w:t>
            </w:r>
            <w:r w:rsidR="00FD77F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%) are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allocating between 5</w:t>
            </w:r>
            <w:r w:rsidR="00A93512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15% of the Schools Block funding as notional SEN. </w:t>
            </w:r>
          </w:p>
          <w:p w:rsidR="00FD77F9" w:rsidRDefault="00FD77F9" w:rsidP="00FD77F9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0F7" w:rsidRDefault="00BD00F7" w:rsidP="00FD7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% across all LA’s designated as notional SEN is 10%.</w:t>
            </w:r>
          </w:p>
        </w:tc>
        <w:tc>
          <w:tcPr>
            <w:tcW w:w="3081" w:type="dxa"/>
          </w:tcPr>
          <w:p w:rsidR="00BE3424" w:rsidRDefault="00BE3424" w:rsidP="00FD7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NELC figure = 12.</w:t>
            </w:r>
            <w:r w:rsidR="00FD77F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BE3424" w:rsidTr="00D12D8A">
        <w:tc>
          <w:tcPr>
            <w:tcW w:w="3080" w:type="dxa"/>
          </w:tcPr>
          <w:p w:rsidR="00BE3424" w:rsidRPr="00EA4E95" w:rsidRDefault="00BE3424" w:rsidP="00D12D8A">
            <w:pPr>
              <w:rPr>
                <w:rFonts w:ascii="Arial" w:hAnsi="Arial" w:cs="Arial"/>
                <w:sz w:val="24"/>
                <w:szCs w:val="24"/>
              </w:rPr>
            </w:pPr>
            <w:r w:rsidRPr="00EA4E95">
              <w:rPr>
                <w:rFonts w:ascii="Arial" w:hAnsi="Arial" w:cs="Arial"/>
                <w:sz w:val="24"/>
                <w:szCs w:val="24"/>
              </w:rPr>
              <w:lastRenderedPageBreak/>
              <w:t>Growth Fund</w:t>
            </w:r>
          </w:p>
        </w:tc>
        <w:tc>
          <w:tcPr>
            <w:tcW w:w="3081" w:type="dxa"/>
          </w:tcPr>
          <w:p w:rsidR="00BE3424" w:rsidRPr="00EA4E95" w:rsidRDefault="00BE3424" w:rsidP="00FD77F9">
            <w:pPr>
              <w:rPr>
                <w:rFonts w:ascii="Arial" w:hAnsi="Arial" w:cs="Arial"/>
                <w:sz w:val="24"/>
                <w:szCs w:val="24"/>
              </w:rPr>
            </w:pPr>
            <w:r w:rsidRPr="00EA4E95">
              <w:rPr>
                <w:rFonts w:ascii="Arial" w:hAnsi="Arial" w:cs="Arial"/>
                <w:sz w:val="24"/>
                <w:szCs w:val="24"/>
              </w:rPr>
              <w:t>1</w:t>
            </w:r>
            <w:r w:rsidR="00872DA7" w:rsidRPr="00EA4E95">
              <w:rPr>
                <w:rFonts w:ascii="Arial" w:hAnsi="Arial" w:cs="Arial"/>
                <w:sz w:val="24"/>
                <w:szCs w:val="24"/>
              </w:rPr>
              <w:t>3</w:t>
            </w:r>
            <w:r w:rsidR="00FD77F9">
              <w:rPr>
                <w:rFonts w:ascii="Arial" w:hAnsi="Arial" w:cs="Arial"/>
                <w:sz w:val="24"/>
                <w:szCs w:val="24"/>
              </w:rPr>
              <w:t>2</w:t>
            </w:r>
            <w:r w:rsidRPr="00EA4E95">
              <w:rPr>
                <w:rFonts w:ascii="Arial" w:hAnsi="Arial" w:cs="Arial"/>
                <w:sz w:val="24"/>
                <w:szCs w:val="24"/>
              </w:rPr>
              <w:t xml:space="preserve"> out of 152 LA’s are retaining a falling rolls fund, values range from £</w:t>
            </w:r>
            <w:r w:rsidR="00FD77F9">
              <w:rPr>
                <w:rFonts w:ascii="Arial" w:hAnsi="Arial" w:cs="Arial"/>
                <w:sz w:val="24"/>
                <w:szCs w:val="24"/>
              </w:rPr>
              <w:t>3</w:t>
            </w:r>
            <w:r w:rsidRPr="00EA4E95">
              <w:rPr>
                <w:rFonts w:ascii="Arial" w:hAnsi="Arial" w:cs="Arial"/>
                <w:sz w:val="24"/>
                <w:szCs w:val="24"/>
              </w:rPr>
              <w:t>5k to £</w:t>
            </w:r>
            <w:r w:rsidR="00FD77F9">
              <w:rPr>
                <w:rFonts w:ascii="Arial" w:hAnsi="Arial" w:cs="Arial"/>
                <w:sz w:val="24"/>
                <w:szCs w:val="24"/>
              </w:rPr>
              <w:t>7</w:t>
            </w:r>
            <w:r w:rsidR="00EA4E95">
              <w:rPr>
                <w:rFonts w:ascii="Arial" w:hAnsi="Arial" w:cs="Arial"/>
                <w:sz w:val="24"/>
                <w:szCs w:val="24"/>
              </w:rPr>
              <w:t>.</w:t>
            </w:r>
            <w:r w:rsidR="00FD77F9">
              <w:rPr>
                <w:rFonts w:ascii="Arial" w:hAnsi="Arial" w:cs="Arial"/>
                <w:sz w:val="24"/>
                <w:szCs w:val="24"/>
              </w:rPr>
              <w:t>5</w:t>
            </w:r>
            <w:r w:rsidRPr="00EA4E95">
              <w:rPr>
                <w:rFonts w:ascii="Arial" w:hAnsi="Arial" w:cs="Arial"/>
                <w:sz w:val="24"/>
                <w:szCs w:val="24"/>
              </w:rPr>
              <w:t>M</w:t>
            </w:r>
            <w:r w:rsidR="00EA4E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:rsidR="00BE3424" w:rsidRDefault="00872DA7" w:rsidP="00872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Following discussions with the Schools Forum Formula Funding Working Party </w:t>
            </w:r>
            <w:r w:rsidR="00BE3424">
              <w:rPr>
                <w:rFonts w:ascii="Arial" w:hAnsi="Arial" w:cs="Arial"/>
                <w:sz w:val="24"/>
                <w:szCs w:val="24"/>
              </w:rPr>
              <w:t xml:space="preserve">NELC </w:t>
            </w:r>
            <w:r>
              <w:rPr>
                <w:rFonts w:ascii="Arial" w:hAnsi="Arial" w:cs="Arial"/>
                <w:sz w:val="24"/>
                <w:szCs w:val="24"/>
              </w:rPr>
              <w:t xml:space="preserve">chose to </w:t>
            </w:r>
            <w:r w:rsidR="00BE3424">
              <w:rPr>
                <w:rFonts w:ascii="Arial" w:hAnsi="Arial" w:cs="Arial"/>
                <w:sz w:val="24"/>
                <w:szCs w:val="24"/>
              </w:rPr>
              <w:t>retain such a fund with a value of £50k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E3424" w:rsidTr="00D12D8A">
        <w:tc>
          <w:tcPr>
            <w:tcW w:w="3080" w:type="dxa"/>
          </w:tcPr>
          <w:p w:rsidR="00BE3424" w:rsidRPr="00EA4E95" w:rsidRDefault="00BE3424" w:rsidP="001423A5">
            <w:pPr>
              <w:rPr>
                <w:rFonts w:ascii="Arial" w:hAnsi="Arial" w:cs="Arial"/>
                <w:sz w:val="24"/>
                <w:szCs w:val="24"/>
              </w:rPr>
            </w:pPr>
            <w:r w:rsidRPr="00EA4E95">
              <w:rPr>
                <w:rFonts w:ascii="Arial" w:hAnsi="Arial" w:cs="Arial"/>
                <w:sz w:val="24"/>
                <w:szCs w:val="24"/>
              </w:rPr>
              <w:t xml:space="preserve">Falling Rolls </w:t>
            </w:r>
            <w:r w:rsidR="001423A5">
              <w:rPr>
                <w:rFonts w:ascii="Arial" w:hAnsi="Arial" w:cs="Arial"/>
                <w:sz w:val="24"/>
                <w:szCs w:val="24"/>
              </w:rPr>
              <w:t>F</w:t>
            </w:r>
            <w:bookmarkStart w:id="0" w:name="_GoBack"/>
            <w:bookmarkEnd w:id="0"/>
            <w:r w:rsidRPr="00EA4E95">
              <w:rPr>
                <w:rFonts w:ascii="Arial" w:hAnsi="Arial" w:cs="Arial"/>
                <w:sz w:val="24"/>
                <w:szCs w:val="24"/>
              </w:rPr>
              <w:t>und</w:t>
            </w:r>
          </w:p>
        </w:tc>
        <w:tc>
          <w:tcPr>
            <w:tcW w:w="3081" w:type="dxa"/>
          </w:tcPr>
          <w:p w:rsidR="00BE3424" w:rsidRPr="00EA4E95" w:rsidRDefault="00BE3424" w:rsidP="00FD77F9">
            <w:pPr>
              <w:rPr>
                <w:rFonts w:ascii="Arial" w:hAnsi="Arial" w:cs="Arial"/>
                <w:sz w:val="24"/>
                <w:szCs w:val="24"/>
              </w:rPr>
            </w:pPr>
            <w:r w:rsidRPr="00EA4E95">
              <w:rPr>
                <w:rFonts w:ascii="Arial" w:hAnsi="Arial" w:cs="Arial"/>
                <w:sz w:val="24"/>
                <w:szCs w:val="24"/>
              </w:rPr>
              <w:t xml:space="preserve">Only </w:t>
            </w:r>
            <w:r w:rsidR="00FD77F9">
              <w:rPr>
                <w:rFonts w:ascii="Arial" w:hAnsi="Arial" w:cs="Arial"/>
                <w:sz w:val="24"/>
                <w:szCs w:val="24"/>
              </w:rPr>
              <w:t>28</w:t>
            </w:r>
            <w:r w:rsidRPr="00EA4E95">
              <w:rPr>
                <w:rFonts w:ascii="Arial" w:hAnsi="Arial" w:cs="Arial"/>
                <w:sz w:val="24"/>
                <w:szCs w:val="24"/>
              </w:rPr>
              <w:t xml:space="preserve"> LA’s are retaining a falling rolls fund, values range from £</w:t>
            </w:r>
            <w:r w:rsidR="00FD77F9">
              <w:rPr>
                <w:rFonts w:ascii="Arial" w:hAnsi="Arial" w:cs="Arial"/>
                <w:sz w:val="24"/>
                <w:szCs w:val="24"/>
              </w:rPr>
              <w:t>40</w:t>
            </w:r>
            <w:r w:rsidRPr="00EA4E95">
              <w:rPr>
                <w:rFonts w:ascii="Arial" w:hAnsi="Arial" w:cs="Arial"/>
                <w:sz w:val="24"/>
                <w:szCs w:val="24"/>
              </w:rPr>
              <w:t>k to £</w:t>
            </w:r>
            <w:r w:rsidR="00FD77F9">
              <w:rPr>
                <w:rFonts w:ascii="Arial" w:hAnsi="Arial" w:cs="Arial"/>
                <w:sz w:val="24"/>
                <w:szCs w:val="24"/>
              </w:rPr>
              <w:t>2</w:t>
            </w:r>
            <w:r w:rsidR="00E40681" w:rsidRPr="00EA4E95">
              <w:rPr>
                <w:rFonts w:ascii="Arial" w:hAnsi="Arial" w:cs="Arial"/>
                <w:sz w:val="24"/>
                <w:szCs w:val="24"/>
              </w:rPr>
              <w:t>m.</w:t>
            </w:r>
          </w:p>
        </w:tc>
        <w:tc>
          <w:tcPr>
            <w:tcW w:w="3081" w:type="dxa"/>
          </w:tcPr>
          <w:p w:rsidR="00BE3424" w:rsidRDefault="00872DA7" w:rsidP="00D12D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Following discussions with the Schools Forum Formula Funding Working Party NELC chose to retain such a fund with a value of £50k.</w:t>
            </w:r>
          </w:p>
        </w:tc>
      </w:tr>
    </w:tbl>
    <w:p w:rsidR="00054839" w:rsidRDefault="00054839"/>
    <w:sectPr w:rsidR="0005483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1A" w:rsidRDefault="003A691A" w:rsidP="00081F41">
      <w:pPr>
        <w:spacing w:after="0" w:line="240" w:lineRule="auto"/>
      </w:pPr>
      <w:r>
        <w:separator/>
      </w:r>
    </w:p>
  </w:endnote>
  <w:endnote w:type="continuationSeparator" w:id="0">
    <w:p w:rsidR="003A691A" w:rsidRDefault="003A691A" w:rsidP="0008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917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3EB" w:rsidRDefault="001713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3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13EB" w:rsidRDefault="00171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1A" w:rsidRDefault="003A691A" w:rsidP="00081F41">
      <w:pPr>
        <w:spacing w:after="0" w:line="240" w:lineRule="auto"/>
      </w:pPr>
      <w:r>
        <w:separator/>
      </w:r>
    </w:p>
  </w:footnote>
  <w:footnote w:type="continuationSeparator" w:id="0">
    <w:p w:rsidR="003A691A" w:rsidRDefault="003A691A" w:rsidP="0008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F41" w:rsidRPr="001713EB" w:rsidRDefault="00081F41" w:rsidP="00081F41">
    <w:pPr>
      <w:pStyle w:val="Header"/>
      <w:jc w:val="right"/>
      <w:rPr>
        <w:rFonts w:ascii="Arial" w:hAnsi="Arial" w:cs="Arial"/>
        <w:sz w:val="28"/>
        <w:szCs w:val="28"/>
      </w:rPr>
    </w:pPr>
    <w:r w:rsidRPr="001713EB">
      <w:rPr>
        <w:rFonts w:ascii="Arial" w:hAnsi="Arial" w:cs="Arial"/>
        <w:sz w:val="28"/>
        <w:szCs w:val="28"/>
      </w:rPr>
      <w:t xml:space="preserve">ITEM </w:t>
    </w:r>
    <w:r w:rsidR="009F721F">
      <w:rPr>
        <w:rFonts w:ascii="Arial" w:hAnsi="Arial" w:cs="Arial"/>
        <w:sz w:val="28"/>
        <w:szCs w:val="28"/>
      </w:rPr>
      <w:t>1</w:t>
    </w:r>
    <w:r w:rsidR="0045488D">
      <w:rPr>
        <w:rFonts w:ascii="Arial" w:hAnsi="Arial" w:cs="Arial"/>
        <w:sz w:val="28"/>
        <w:szCs w:val="28"/>
      </w:rPr>
      <w:t>2</w:t>
    </w:r>
    <w:r w:rsidRPr="001713EB">
      <w:rPr>
        <w:rFonts w:ascii="Arial" w:hAnsi="Arial" w:cs="Arial"/>
        <w:sz w:val="28"/>
        <w:szCs w:val="28"/>
      </w:rPr>
      <w:t>/1</w:t>
    </w:r>
    <w:r w:rsidR="009F721F">
      <w:rPr>
        <w:rFonts w:ascii="Arial" w:hAnsi="Arial" w:cs="Arial"/>
        <w:sz w:val="28"/>
        <w:szCs w:val="28"/>
      </w:rPr>
      <w:t>7</w:t>
    </w:r>
  </w:p>
  <w:p w:rsidR="00015DFA" w:rsidRDefault="00015D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82"/>
    <w:rsid w:val="00015DFA"/>
    <w:rsid w:val="00054839"/>
    <w:rsid w:val="00081F41"/>
    <w:rsid w:val="00111E21"/>
    <w:rsid w:val="001423A5"/>
    <w:rsid w:val="001713EB"/>
    <w:rsid w:val="001B5E47"/>
    <w:rsid w:val="001F33E0"/>
    <w:rsid w:val="002344CD"/>
    <w:rsid w:val="002730DA"/>
    <w:rsid w:val="003165BD"/>
    <w:rsid w:val="00370F9F"/>
    <w:rsid w:val="003A691A"/>
    <w:rsid w:val="003C74C4"/>
    <w:rsid w:val="0043063E"/>
    <w:rsid w:val="0045488D"/>
    <w:rsid w:val="004D7E40"/>
    <w:rsid w:val="004F1465"/>
    <w:rsid w:val="00541C57"/>
    <w:rsid w:val="00617AC9"/>
    <w:rsid w:val="00683499"/>
    <w:rsid w:val="00720A8C"/>
    <w:rsid w:val="00740B8D"/>
    <w:rsid w:val="00851678"/>
    <w:rsid w:val="00872DA7"/>
    <w:rsid w:val="00964853"/>
    <w:rsid w:val="009B4D11"/>
    <w:rsid w:val="009F721F"/>
    <w:rsid w:val="00A3430B"/>
    <w:rsid w:val="00A673DD"/>
    <w:rsid w:val="00A93512"/>
    <w:rsid w:val="00AA2C28"/>
    <w:rsid w:val="00B35A78"/>
    <w:rsid w:val="00BB50F2"/>
    <w:rsid w:val="00BD00F7"/>
    <w:rsid w:val="00BD5285"/>
    <w:rsid w:val="00BE3424"/>
    <w:rsid w:val="00C54984"/>
    <w:rsid w:val="00E40681"/>
    <w:rsid w:val="00EA4E95"/>
    <w:rsid w:val="00EE0FFC"/>
    <w:rsid w:val="00F07683"/>
    <w:rsid w:val="00FB2E82"/>
    <w:rsid w:val="00FD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E82"/>
    <w:pPr>
      <w:ind w:left="720"/>
      <w:contextualSpacing/>
    </w:pPr>
  </w:style>
  <w:style w:type="table" w:styleId="TableGrid">
    <w:name w:val="Table Grid"/>
    <w:basedOn w:val="TableNormal"/>
    <w:uiPriority w:val="59"/>
    <w:rsid w:val="00FB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F41"/>
  </w:style>
  <w:style w:type="paragraph" w:styleId="Footer">
    <w:name w:val="footer"/>
    <w:basedOn w:val="Normal"/>
    <w:link w:val="FooterChar"/>
    <w:uiPriority w:val="99"/>
    <w:unhideWhenUsed/>
    <w:rsid w:val="00081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F41"/>
  </w:style>
  <w:style w:type="paragraph" w:styleId="BalloonText">
    <w:name w:val="Balloon Text"/>
    <w:basedOn w:val="Normal"/>
    <w:link w:val="BalloonTextChar"/>
    <w:uiPriority w:val="99"/>
    <w:semiHidden/>
    <w:unhideWhenUsed/>
    <w:rsid w:val="0008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E82"/>
    <w:pPr>
      <w:ind w:left="720"/>
      <w:contextualSpacing/>
    </w:pPr>
  </w:style>
  <w:style w:type="table" w:styleId="TableGrid">
    <w:name w:val="Table Grid"/>
    <w:basedOn w:val="TableNormal"/>
    <w:uiPriority w:val="59"/>
    <w:rsid w:val="00FB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F41"/>
  </w:style>
  <w:style w:type="paragraph" w:styleId="Footer">
    <w:name w:val="footer"/>
    <w:basedOn w:val="Normal"/>
    <w:link w:val="FooterChar"/>
    <w:uiPriority w:val="99"/>
    <w:unhideWhenUsed/>
    <w:rsid w:val="00081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F41"/>
  </w:style>
  <w:style w:type="paragraph" w:styleId="BalloonText">
    <w:name w:val="Balloon Text"/>
    <w:basedOn w:val="Normal"/>
    <w:link w:val="BalloonTextChar"/>
    <w:uiPriority w:val="99"/>
    <w:semiHidden/>
    <w:unhideWhenUsed/>
    <w:rsid w:val="0008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7C80-6EA7-4921-A494-BD495D0C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Kirven, Dave</dc:creator>
  <cp:lastModifiedBy>Kirven, Dave</cp:lastModifiedBy>
  <cp:revision>23</cp:revision>
  <cp:lastPrinted>2017-09-13T10:15:00Z</cp:lastPrinted>
  <dcterms:created xsi:type="dcterms:W3CDTF">2017-07-04T15:40:00Z</dcterms:created>
  <dcterms:modified xsi:type="dcterms:W3CDTF">2017-09-13T10:16:00Z</dcterms:modified>
</cp:coreProperties>
</file>