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C98" w:rsidRPr="00590B6E" w:rsidRDefault="00A31C98" w:rsidP="00A31C98">
      <w:pPr>
        <w:jc w:val="center"/>
        <w:rPr>
          <w:rFonts w:ascii="Arial" w:hAnsi="Arial" w:cs="Arial"/>
          <w:b/>
          <w:sz w:val="24"/>
          <w:szCs w:val="24"/>
          <w:u w:val="single"/>
        </w:rPr>
      </w:pPr>
      <w:r w:rsidRPr="00590B6E">
        <w:rPr>
          <w:rFonts w:ascii="Arial" w:hAnsi="Arial" w:cs="Arial"/>
          <w:b/>
          <w:sz w:val="24"/>
          <w:szCs w:val="24"/>
          <w:u w:val="single"/>
        </w:rPr>
        <w:t xml:space="preserve">SCHOOLS FORUM – </w:t>
      </w:r>
      <w:r w:rsidR="005611AF">
        <w:rPr>
          <w:rFonts w:ascii="Arial" w:hAnsi="Arial" w:cs="Arial"/>
          <w:b/>
          <w:sz w:val="24"/>
          <w:szCs w:val="24"/>
          <w:u w:val="single"/>
        </w:rPr>
        <w:t>1</w:t>
      </w:r>
      <w:r w:rsidR="00D674F3">
        <w:rPr>
          <w:rFonts w:ascii="Arial" w:hAnsi="Arial" w:cs="Arial"/>
          <w:b/>
          <w:sz w:val="24"/>
          <w:szCs w:val="24"/>
          <w:u w:val="single"/>
        </w:rPr>
        <w:t>8</w:t>
      </w:r>
      <w:r w:rsidRPr="00590B6E">
        <w:rPr>
          <w:rFonts w:ascii="Arial" w:hAnsi="Arial" w:cs="Arial"/>
          <w:b/>
          <w:sz w:val="24"/>
          <w:szCs w:val="24"/>
          <w:u w:val="single"/>
          <w:vertAlign w:val="superscript"/>
        </w:rPr>
        <w:t>th</w:t>
      </w:r>
      <w:r w:rsidRPr="00590B6E">
        <w:rPr>
          <w:rFonts w:ascii="Arial" w:hAnsi="Arial" w:cs="Arial"/>
          <w:b/>
          <w:sz w:val="24"/>
          <w:szCs w:val="24"/>
          <w:u w:val="single"/>
        </w:rPr>
        <w:t xml:space="preserve"> December 201</w:t>
      </w:r>
      <w:r w:rsidR="00D674F3">
        <w:rPr>
          <w:rFonts w:ascii="Arial" w:hAnsi="Arial" w:cs="Arial"/>
          <w:b/>
          <w:sz w:val="24"/>
          <w:szCs w:val="24"/>
          <w:u w:val="single"/>
        </w:rPr>
        <w:t>8</w:t>
      </w:r>
    </w:p>
    <w:p w:rsidR="00A31C98" w:rsidRDefault="001A75C0" w:rsidP="00A31C98">
      <w:pPr>
        <w:spacing w:after="0" w:line="240" w:lineRule="auto"/>
        <w:jc w:val="center"/>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High Needs Place Return</w:t>
      </w:r>
    </w:p>
    <w:p w:rsidR="00777BBD" w:rsidRDefault="00777BBD" w:rsidP="00A31C98">
      <w:pPr>
        <w:spacing w:after="0" w:line="240" w:lineRule="auto"/>
        <w:jc w:val="center"/>
        <w:rPr>
          <w:rFonts w:ascii="Arial" w:eastAsia="Times New Roman" w:hAnsi="Arial" w:cs="Arial"/>
          <w:b/>
          <w:sz w:val="24"/>
          <w:szCs w:val="24"/>
          <w:u w:val="single"/>
          <w:lang w:eastAsia="en-GB"/>
        </w:rPr>
      </w:pPr>
    </w:p>
    <w:p w:rsidR="00A31C98" w:rsidRDefault="00A31C98" w:rsidP="00A31C98">
      <w:pPr>
        <w:spacing w:after="0" w:line="240" w:lineRule="auto"/>
        <w:jc w:val="center"/>
        <w:rPr>
          <w:rFonts w:ascii="Arial" w:eastAsia="Times New Roman" w:hAnsi="Arial" w:cs="Arial"/>
          <w:b/>
          <w:sz w:val="24"/>
          <w:szCs w:val="24"/>
          <w:u w:val="single"/>
          <w:lang w:eastAsia="en-GB"/>
        </w:rPr>
      </w:pPr>
    </w:p>
    <w:p w:rsidR="00A31C98" w:rsidRPr="00590B6E" w:rsidRDefault="00A31C98" w:rsidP="00A31C98">
      <w:pPr>
        <w:pStyle w:val="ListParagraph"/>
        <w:numPr>
          <w:ilvl w:val="0"/>
          <w:numId w:val="1"/>
        </w:numPr>
        <w:rPr>
          <w:rFonts w:ascii="Arial" w:hAnsi="Arial" w:cs="Arial"/>
          <w:sz w:val="24"/>
          <w:szCs w:val="24"/>
          <w:u w:val="single"/>
        </w:rPr>
      </w:pPr>
      <w:r w:rsidRPr="00590B6E">
        <w:rPr>
          <w:rFonts w:ascii="Arial" w:hAnsi="Arial" w:cs="Arial"/>
          <w:b/>
          <w:sz w:val="24"/>
          <w:szCs w:val="24"/>
          <w:u w:val="single"/>
        </w:rPr>
        <w:t>PURPOSE</w:t>
      </w:r>
    </w:p>
    <w:p w:rsidR="00A31C98" w:rsidRPr="00590B6E" w:rsidRDefault="00A31C98" w:rsidP="00A31C98">
      <w:pPr>
        <w:ind w:left="720"/>
        <w:rPr>
          <w:rFonts w:ascii="Arial" w:hAnsi="Arial" w:cs="Arial"/>
          <w:sz w:val="24"/>
          <w:szCs w:val="24"/>
        </w:rPr>
      </w:pPr>
      <w:r>
        <w:rPr>
          <w:rFonts w:ascii="Arial" w:hAnsi="Arial" w:cs="Arial"/>
          <w:sz w:val="24"/>
          <w:szCs w:val="24"/>
        </w:rPr>
        <w:t xml:space="preserve">The purpose of this report is to </w:t>
      </w:r>
      <w:r w:rsidR="004E49F2">
        <w:rPr>
          <w:rFonts w:ascii="Arial" w:hAnsi="Arial" w:cs="Arial"/>
          <w:sz w:val="24"/>
          <w:szCs w:val="24"/>
        </w:rPr>
        <w:t xml:space="preserve">advise </w:t>
      </w:r>
      <w:r w:rsidR="001A75C0">
        <w:rPr>
          <w:rFonts w:ascii="Arial" w:hAnsi="Arial" w:cs="Arial"/>
          <w:sz w:val="24"/>
          <w:szCs w:val="24"/>
        </w:rPr>
        <w:t xml:space="preserve">School Forum Members of the </w:t>
      </w:r>
      <w:r w:rsidR="005611AF">
        <w:rPr>
          <w:rFonts w:ascii="Arial" w:hAnsi="Arial" w:cs="Arial"/>
          <w:sz w:val="24"/>
          <w:szCs w:val="24"/>
        </w:rPr>
        <w:t xml:space="preserve">total </w:t>
      </w:r>
      <w:r w:rsidR="00453393">
        <w:rPr>
          <w:rFonts w:ascii="Arial" w:hAnsi="Arial" w:cs="Arial"/>
          <w:sz w:val="24"/>
          <w:szCs w:val="24"/>
        </w:rPr>
        <w:t>number of places c</w:t>
      </w:r>
      <w:r w:rsidR="001A75C0">
        <w:rPr>
          <w:rFonts w:ascii="Arial" w:hAnsi="Arial" w:cs="Arial"/>
          <w:sz w:val="24"/>
          <w:szCs w:val="24"/>
        </w:rPr>
        <w:t xml:space="preserve">ommissioned </w:t>
      </w:r>
      <w:r w:rsidR="00453393">
        <w:rPr>
          <w:rFonts w:ascii="Arial" w:hAnsi="Arial" w:cs="Arial"/>
          <w:sz w:val="24"/>
          <w:szCs w:val="24"/>
        </w:rPr>
        <w:t xml:space="preserve">by the council </w:t>
      </w:r>
      <w:r w:rsidR="001A75C0">
        <w:rPr>
          <w:rFonts w:ascii="Arial" w:hAnsi="Arial" w:cs="Arial"/>
          <w:sz w:val="24"/>
          <w:szCs w:val="24"/>
        </w:rPr>
        <w:t>for specialist provision for the 201</w:t>
      </w:r>
      <w:r w:rsidR="00D674F3">
        <w:rPr>
          <w:rFonts w:ascii="Arial" w:hAnsi="Arial" w:cs="Arial"/>
          <w:sz w:val="24"/>
          <w:szCs w:val="24"/>
        </w:rPr>
        <w:t>9</w:t>
      </w:r>
      <w:r w:rsidR="001A75C0">
        <w:rPr>
          <w:rFonts w:ascii="Arial" w:hAnsi="Arial" w:cs="Arial"/>
          <w:sz w:val="24"/>
          <w:szCs w:val="24"/>
        </w:rPr>
        <w:t>-</w:t>
      </w:r>
      <w:r w:rsidR="00D674F3">
        <w:rPr>
          <w:rFonts w:ascii="Arial" w:hAnsi="Arial" w:cs="Arial"/>
          <w:sz w:val="24"/>
          <w:szCs w:val="24"/>
        </w:rPr>
        <w:t>20</w:t>
      </w:r>
      <w:r w:rsidR="001A75C0">
        <w:rPr>
          <w:rFonts w:ascii="Arial" w:hAnsi="Arial" w:cs="Arial"/>
          <w:sz w:val="24"/>
          <w:szCs w:val="24"/>
        </w:rPr>
        <w:t xml:space="preserve"> </w:t>
      </w:r>
      <w:r w:rsidR="00495AFD">
        <w:rPr>
          <w:rFonts w:ascii="Arial" w:hAnsi="Arial" w:cs="Arial"/>
          <w:sz w:val="24"/>
          <w:szCs w:val="24"/>
        </w:rPr>
        <w:t>academic</w:t>
      </w:r>
      <w:r w:rsidR="001A75C0">
        <w:rPr>
          <w:rFonts w:ascii="Arial" w:hAnsi="Arial" w:cs="Arial"/>
          <w:sz w:val="24"/>
          <w:szCs w:val="24"/>
        </w:rPr>
        <w:t xml:space="preserve"> year</w:t>
      </w:r>
      <w:r>
        <w:rPr>
          <w:rFonts w:ascii="Arial" w:hAnsi="Arial" w:cs="Arial"/>
          <w:sz w:val="24"/>
          <w:szCs w:val="24"/>
        </w:rPr>
        <w:t xml:space="preserve">. </w:t>
      </w:r>
    </w:p>
    <w:p w:rsidR="00A31C98" w:rsidRPr="00590B6E" w:rsidRDefault="00A31C98" w:rsidP="00A31C98">
      <w:pPr>
        <w:pStyle w:val="ListParagraph"/>
        <w:numPr>
          <w:ilvl w:val="0"/>
          <w:numId w:val="1"/>
        </w:numPr>
        <w:rPr>
          <w:rFonts w:ascii="Arial" w:hAnsi="Arial" w:cs="Arial"/>
          <w:sz w:val="24"/>
          <w:szCs w:val="24"/>
          <w:u w:val="single"/>
        </w:rPr>
      </w:pPr>
      <w:r>
        <w:rPr>
          <w:rFonts w:ascii="Arial" w:hAnsi="Arial" w:cs="Arial"/>
          <w:b/>
          <w:sz w:val="24"/>
          <w:szCs w:val="24"/>
          <w:u w:val="single"/>
        </w:rPr>
        <w:t>BACKGROUND</w:t>
      </w:r>
      <w:r w:rsidR="00AD395E">
        <w:rPr>
          <w:rFonts w:ascii="Arial" w:hAnsi="Arial" w:cs="Arial"/>
          <w:b/>
          <w:sz w:val="24"/>
          <w:szCs w:val="24"/>
          <w:u w:val="single"/>
        </w:rPr>
        <w:t xml:space="preserve"> AND CONTEXT</w:t>
      </w:r>
    </w:p>
    <w:p w:rsidR="0045503A" w:rsidRDefault="001A75C0" w:rsidP="0016645D">
      <w:pPr>
        <w:autoSpaceDE w:val="0"/>
        <w:autoSpaceDN w:val="0"/>
        <w:adjustRightInd w:val="0"/>
        <w:spacing w:after="0" w:line="240" w:lineRule="auto"/>
        <w:ind w:left="720"/>
        <w:rPr>
          <w:rFonts w:ascii="Arial" w:eastAsiaTheme="minorHAnsi" w:hAnsi="Arial" w:cs="Arial"/>
          <w:sz w:val="24"/>
          <w:szCs w:val="24"/>
        </w:rPr>
      </w:pPr>
      <w:r>
        <w:rPr>
          <w:rFonts w:ascii="Arial" w:eastAsiaTheme="minorHAnsi" w:hAnsi="Arial" w:cs="Arial"/>
          <w:sz w:val="24"/>
          <w:szCs w:val="24"/>
        </w:rPr>
        <w:t xml:space="preserve">With the introduction of the Fairer Funding Reforms in 2013-14 </w:t>
      </w:r>
      <w:r w:rsidR="0045503A">
        <w:rPr>
          <w:rFonts w:ascii="Arial" w:eastAsiaTheme="minorHAnsi" w:hAnsi="Arial" w:cs="Arial"/>
          <w:sz w:val="24"/>
          <w:szCs w:val="24"/>
        </w:rPr>
        <w:t xml:space="preserve">the methodology for the commissioning and funding of places in education for children </w:t>
      </w:r>
      <w:r w:rsidR="00851D95">
        <w:rPr>
          <w:rFonts w:ascii="Arial" w:eastAsiaTheme="minorHAnsi" w:hAnsi="Arial" w:cs="Arial"/>
          <w:sz w:val="24"/>
          <w:szCs w:val="24"/>
        </w:rPr>
        <w:t xml:space="preserve">and young people </w:t>
      </w:r>
      <w:r w:rsidR="0045503A">
        <w:rPr>
          <w:rFonts w:ascii="Arial" w:eastAsiaTheme="minorHAnsi" w:hAnsi="Arial" w:cs="Arial"/>
          <w:sz w:val="24"/>
          <w:szCs w:val="24"/>
        </w:rPr>
        <w:t>with High Needs at specialist provision was fundamentally changed. As part of the changes the Local Authority adopted the role of Commissioner and working with providers determined the number of places it wished to commission at the specialist provisions</w:t>
      </w:r>
      <w:r w:rsidR="00851D95">
        <w:rPr>
          <w:rFonts w:ascii="Arial" w:eastAsiaTheme="minorHAnsi" w:hAnsi="Arial" w:cs="Arial"/>
          <w:sz w:val="24"/>
          <w:szCs w:val="24"/>
        </w:rPr>
        <w:t xml:space="preserve"> (including Post-16 Further Education)</w:t>
      </w:r>
      <w:r w:rsidR="0045503A">
        <w:rPr>
          <w:rFonts w:ascii="Arial" w:eastAsiaTheme="minorHAnsi" w:hAnsi="Arial" w:cs="Arial"/>
          <w:sz w:val="24"/>
          <w:szCs w:val="24"/>
        </w:rPr>
        <w:t xml:space="preserve"> within </w:t>
      </w:r>
      <w:r w:rsidR="00453393">
        <w:rPr>
          <w:rFonts w:ascii="Arial" w:eastAsiaTheme="minorHAnsi" w:hAnsi="Arial" w:cs="Arial"/>
          <w:sz w:val="24"/>
          <w:szCs w:val="24"/>
        </w:rPr>
        <w:t>its</w:t>
      </w:r>
      <w:r w:rsidR="0045503A">
        <w:rPr>
          <w:rFonts w:ascii="Arial" w:eastAsiaTheme="minorHAnsi" w:hAnsi="Arial" w:cs="Arial"/>
          <w:sz w:val="24"/>
          <w:szCs w:val="24"/>
        </w:rPr>
        <w:t xml:space="preserve"> geographical area. The Education </w:t>
      </w:r>
      <w:r w:rsidR="00453393">
        <w:rPr>
          <w:rFonts w:ascii="Arial" w:eastAsiaTheme="minorHAnsi" w:hAnsi="Arial" w:cs="Arial"/>
          <w:sz w:val="24"/>
          <w:szCs w:val="24"/>
        </w:rPr>
        <w:t xml:space="preserve">&amp; Skills </w:t>
      </w:r>
      <w:r w:rsidR="0045503A">
        <w:rPr>
          <w:rFonts w:ascii="Arial" w:eastAsiaTheme="minorHAnsi" w:hAnsi="Arial" w:cs="Arial"/>
          <w:sz w:val="24"/>
          <w:szCs w:val="24"/>
        </w:rPr>
        <w:t xml:space="preserve">Funding Agency </w:t>
      </w:r>
      <w:r w:rsidR="00453393">
        <w:rPr>
          <w:rFonts w:ascii="Arial" w:eastAsiaTheme="minorHAnsi" w:hAnsi="Arial" w:cs="Arial"/>
          <w:sz w:val="24"/>
          <w:szCs w:val="24"/>
        </w:rPr>
        <w:t>(ES</w:t>
      </w:r>
      <w:r w:rsidR="00325CFB">
        <w:rPr>
          <w:rFonts w:ascii="Arial" w:eastAsiaTheme="minorHAnsi" w:hAnsi="Arial" w:cs="Arial"/>
          <w:sz w:val="24"/>
          <w:szCs w:val="24"/>
        </w:rPr>
        <w:t>F</w:t>
      </w:r>
      <w:r w:rsidR="00453393">
        <w:rPr>
          <w:rFonts w:ascii="Arial" w:eastAsiaTheme="minorHAnsi" w:hAnsi="Arial" w:cs="Arial"/>
          <w:sz w:val="24"/>
          <w:szCs w:val="24"/>
        </w:rPr>
        <w:t xml:space="preserve">A) </w:t>
      </w:r>
      <w:r w:rsidR="0045503A">
        <w:rPr>
          <w:rFonts w:ascii="Arial" w:eastAsiaTheme="minorHAnsi" w:hAnsi="Arial" w:cs="Arial"/>
          <w:sz w:val="24"/>
          <w:szCs w:val="24"/>
        </w:rPr>
        <w:t>required Local Authority’s to submit its commissioned plac</w:t>
      </w:r>
      <w:r w:rsidR="005611AF">
        <w:rPr>
          <w:rFonts w:ascii="Arial" w:eastAsiaTheme="minorHAnsi" w:hAnsi="Arial" w:cs="Arial"/>
          <w:sz w:val="24"/>
          <w:szCs w:val="24"/>
        </w:rPr>
        <w:t>e numbers via what is called a H</w:t>
      </w:r>
      <w:r w:rsidR="0045503A">
        <w:rPr>
          <w:rFonts w:ascii="Arial" w:eastAsiaTheme="minorHAnsi" w:hAnsi="Arial" w:cs="Arial"/>
          <w:sz w:val="24"/>
          <w:szCs w:val="24"/>
        </w:rPr>
        <w:t xml:space="preserve">igh </w:t>
      </w:r>
      <w:r w:rsidR="005611AF">
        <w:rPr>
          <w:rFonts w:ascii="Arial" w:eastAsiaTheme="minorHAnsi" w:hAnsi="Arial" w:cs="Arial"/>
          <w:sz w:val="24"/>
          <w:szCs w:val="24"/>
        </w:rPr>
        <w:t>N</w:t>
      </w:r>
      <w:r w:rsidR="0045503A">
        <w:rPr>
          <w:rFonts w:ascii="Arial" w:eastAsiaTheme="minorHAnsi" w:hAnsi="Arial" w:cs="Arial"/>
          <w:sz w:val="24"/>
          <w:szCs w:val="24"/>
        </w:rPr>
        <w:t xml:space="preserve">eeds </w:t>
      </w:r>
      <w:r w:rsidR="005611AF">
        <w:rPr>
          <w:rFonts w:ascii="Arial" w:eastAsiaTheme="minorHAnsi" w:hAnsi="Arial" w:cs="Arial"/>
          <w:sz w:val="24"/>
          <w:szCs w:val="24"/>
        </w:rPr>
        <w:t>P</w:t>
      </w:r>
      <w:r w:rsidR="0045503A">
        <w:rPr>
          <w:rFonts w:ascii="Arial" w:eastAsiaTheme="minorHAnsi" w:hAnsi="Arial" w:cs="Arial"/>
          <w:sz w:val="24"/>
          <w:szCs w:val="24"/>
        </w:rPr>
        <w:t xml:space="preserve">lace return. This has been refined over </w:t>
      </w:r>
      <w:r w:rsidR="00EA14D0">
        <w:rPr>
          <w:rFonts w:ascii="Arial" w:eastAsiaTheme="minorHAnsi" w:hAnsi="Arial" w:cs="Arial"/>
          <w:sz w:val="24"/>
          <w:szCs w:val="24"/>
        </w:rPr>
        <w:t>the years since Fairer Funding R</w:t>
      </w:r>
      <w:r w:rsidR="0045503A">
        <w:rPr>
          <w:rFonts w:ascii="Arial" w:eastAsiaTheme="minorHAnsi" w:hAnsi="Arial" w:cs="Arial"/>
          <w:sz w:val="24"/>
          <w:szCs w:val="24"/>
        </w:rPr>
        <w:t>eforms were introduced both in terms of information and the timetable for submission. The submission for 201</w:t>
      </w:r>
      <w:r w:rsidR="00D674F3">
        <w:rPr>
          <w:rFonts w:ascii="Arial" w:eastAsiaTheme="minorHAnsi" w:hAnsi="Arial" w:cs="Arial"/>
          <w:sz w:val="24"/>
          <w:szCs w:val="24"/>
        </w:rPr>
        <w:t>9</w:t>
      </w:r>
      <w:r w:rsidR="005611AF">
        <w:rPr>
          <w:rFonts w:ascii="Arial" w:eastAsiaTheme="minorHAnsi" w:hAnsi="Arial" w:cs="Arial"/>
          <w:sz w:val="24"/>
          <w:szCs w:val="24"/>
        </w:rPr>
        <w:t>-</w:t>
      </w:r>
      <w:r w:rsidR="00D674F3">
        <w:rPr>
          <w:rFonts w:ascii="Arial" w:eastAsiaTheme="minorHAnsi" w:hAnsi="Arial" w:cs="Arial"/>
          <w:sz w:val="24"/>
          <w:szCs w:val="24"/>
        </w:rPr>
        <w:t>20</w:t>
      </w:r>
      <w:r w:rsidR="0045503A">
        <w:rPr>
          <w:rFonts w:ascii="Arial" w:eastAsiaTheme="minorHAnsi" w:hAnsi="Arial" w:cs="Arial"/>
          <w:sz w:val="24"/>
          <w:szCs w:val="24"/>
        </w:rPr>
        <w:t xml:space="preserve"> was submitted </w:t>
      </w:r>
      <w:r w:rsidR="00394950" w:rsidRPr="00212911">
        <w:rPr>
          <w:rFonts w:ascii="Arial" w:eastAsiaTheme="minorHAnsi" w:hAnsi="Arial" w:cs="Arial"/>
          <w:sz w:val="24"/>
          <w:szCs w:val="24"/>
        </w:rPr>
        <w:t>on the 16</w:t>
      </w:r>
      <w:r w:rsidR="00394950" w:rsidRPr="00212911">
        <w:rPr>
          <w:rFonts w:ascii="Arial" w:eastAsiaTheme="minorHAnsi" w:hAnsi="Arial" w:cs="Arial"/>
          <w:sz w:val="24"/>
          <w:szCs w:val="24"/>
          <w:vertAlign w:val="superscript"/>
        </w:rPr>
        <w:t>th</w:t>
      </w:r>
      <w:r w:rsidR="0045503A" w:rsidRPr="00212911">
        <w:rPr>
          <w:rFonts w:ascii="Arial" w:eastAsiaTheme="minorHAnsi" w:hAnsi="Arial" w:cs="Arial"/>
          <w:sz w:val="24"/>
          <w:szCs w:val="24"/>
        </w:rPr>
        <w:t xml:space="preserve"> November </w:t>
      </w:r>
      <w:r w:rsidR="007F2C41" w:rsidRPr="00212911">
        <w:rPr>
          <w:rFonts w:ascii="Arial" w:eastAsiaTheme="minorHAnsi" w:hAnsi="Arial" w:cs="Arial"/>
          <w:sz w:val="24"/>
          <w:szCs w:val="24"/>
        </w:rPr>
        <w:t>201</w:t>
      </w:r>
      <w:r w:rsidR="00D674F3" w:rsidRPr="00212911">
        <w:rPr>
          <w:rFonts w:ascii="Arial" w:eastAsiaTheme="minorHAnsi" w:hAnsi="Arial" w:cs="Arial"/>
          <w:sz w:val="24"/>
          <w:szCs w:val="24"/>
        </w:rPr>
        <w:t>8</w:t>
      </w:r>
      <w:r w:rsidR="0045503A" w:rsidRPr="00212911">
        <w:rPr>
          <w:rFonts w:ascii="Arial" w:eastAsiaTheme="minorHAnsi" w:hAnsi="Arial" w:cs="Arial"/>
          <w:sz w:val="24"/>
          <w:szCs w:val="24"/>
        </w:rPr>
        <w:t>.</w:t>
      </w:r>
    </w:p>
    <w:p w:rsidR="0045503A" w:rsidRDefault="0045503A" w:rsidP="0016645D">
      <w:pPr>
        <w:autoSpaceDE w:val="0"/>
        <w:autoSpaceDN w:val="0"/>
        <w:adjustRightInd w:val="0"/>
        <w:spacing w:after="0" w:line="240" w:lineRule="auto"/>
        <w:ind w:left="720"/>
        <w:rPr>
          <w:rFonts w:ascii="Arial" w:eastAsiaTheme="minorHAnsi" w:hAnsi="Arial" w:cs="Arial"/>
          <w:sz w:val="24"/>
          <w:szCs w:val="24"/>
        </w:rPr>
      </w:pPr>
    </w:p>
    <w:p w:rsidR="0045503A" w:rsidRDefault="0045503A" w:rsidP="0016645D">
      <w:pPr>
        <w:autoSpaceDE w:val="0"/>
        <w:autoSpaceDN w:val="0"/>
        <w:adjustRightInd w:val="0"/>
        <w:spacing w:after="0" w:line="240" w:lineRule="auto"/>
        <w:ind w:left="720"/>
        <w:rPr>
          <w:rFonts w:ascii="Arial" w:eastAsiaTheme="minorHAnsi" w:hAnsi="Arial" w:cs="Arial"/>
          <w:sz w:val="24"/>
          <w:szCs w:val="24"/>
        </w:rPr>
      </w:pPr>
      <w:r>
        <w:rPr>
          <w:rFonts w:ascii="Arial" w:eastAsiaTheme="minorHAnsi" w:hAnsi="Arial" w:cs="Arial"/>
          <w:sz w:val="24"/>
          <w:szCs w:val="24"/>
        </w:rPr>
        <w:t>The other major change introduced</w:t>
      </w:r>
      <w:r w:rsidR="00516021">
        <w:rPr>
          <w:rFonts w:ascii="Arial" w:eastAsiaTheme="minorHAnsi" w:hAnsi="Arial" w:cs="Arial"/>
          <w:sz w:val="24"/>
          <w:szCs w:val="24"/>
        </w:rPr>
        <w:t xml:space="preserve"> as part of the Fairer Funding Reforms was around the funding mechanism. Regardless of the previous funding allocation methodology all such establishments </w:t>
      </w:r>
      <w:r w:rsidR="00AD395E">
        <w:rPr>
          <w:rFonts w:ascii="Arial" w:eastAsiaTheme="minorHAnsi" w:hAnsi="Arial" w:cs="Arial"/>
          <w:sz w:val="24"/>
          <w:szCs w:val="24"/>
        </w:rPr>
        <w:t xml:space="preserve">in future </w:t>
      </w:r>
      <w:r w:rsidR="00516021">
        <w:rPr>
          <w:rFonts w:ascii="Arial" w:eastAsiaTheme="minorHAnsi" w:hAnsi="Arial" w:cs="Arial"/>
          <w:sz w:val="24"/>
          <w:szCs w:val="24"/>
        </w:rPr>
        <w:t>were</w:t>
      </w:r>
      <w:r w:rsidR="00AD395E">
        <w:rPr>
          <w:rFonts w:ascii="Arial" w:eastAsiaTheme="minorHAnsi" w:hAnsi="Arial" w:cs="Arial"/>
          <w:sz w:val="24"/>
          <w:szCs w:val="24"/>
        </w:rPr>
        <w:t xml:space="preserve"> to be funded using a combination of </w:t>
      </w:r>
      <w:r w:rsidR="00453393">
        <w:rPr>
          <w:rFonts w:ascii="Arial" w:eastAsiaTheme="minorHAnsi" w:hAnsi="Arial" w:cs="Arial"/>
          <w:sz w:val="24"/>
          <w:szCs w:val="24"/>
        </w:rPr>
        <w:t>“</w:t>
      </w:r>
      <w:r w:rsidR="00AD395E">
        <w:rPr>
          <w:rFonts w:ascii="Arial" w:eastAsiaTheme="minorHAnsi" w:hAnsi="Arial" w:cs="Arial"/>
          <w:sz w:val="24"/>
          <w:szCs w:val="24"/>
        </w:rPr>
        <w:t>per place</w:t>
      </w:r>
      <w:r w:rsidR="00453393">
        <w:rPr>
          <w:rFonts w:ascii="Arial" w:eastAsiaTheme="minorHAnsi" w:hAnsi="Arial" w:cs="Arial"/>
          <w:sz w:val="24"/>
          <w:szCs w:val="24"/>
        </w:rPr>
        <w:t>”</w:t>
      </w:r>
      <w:r w:rsidR="00AD395E">
        <w:rPr>
          <w:rFonts w:ascii="Arial" w:eastAsiaTheme="minorHAnsi" w:hAnsi="Arial" w:cs="Arial"/>
          <w:sz w:val="24"/>
          <w:szCs w:val="24"/>
        </w:rPr>
        <w:t xml:space="preserve"> funding of £10,000 per place </w:t>
      </w:r>
      <w:r w:rsidR="00AD395E">
        <w:rPr>
          <w:rFonts w:ascii="Arial" w:eastAsiaTheme="minorHAnsi" w:hAnsi="Arial" w:cs="Arial"/>
          <w:sz w:val="24"/>
          <w:szCs w:val="24"/>
        </w:rPr>
        <w:lastRenderedPageBreak/>
        <w:t>and “top up” funding of an amount dependent on the complexity of need</w:t>
      </w:r>
      <w:r w:rsidR="00453393">
        <w:rPr>
          <w:rFonts w:ascii="Arial" w:eastAsiaTheme="minorHAnsi" w:hAnsi="Arial" w:cs="Arial"/>
          <w:sz w:val="24"/>
          <w:szCs w:val="24"/>
        </w:rPr>
        <w:t xml:space="preserve"> through the banding system</w:t>
      </w:r>
      <w:r w:rsidR="00AD395E">
        <w:rPr>
          <w:rFonts w:ascii="Arial" w:eastAsiaTheme="minorHAnsi" w:hAnsi="Arial" w:cs="Arial"/>
          <w:sz w:val="24"/>
          <w:szCs w:val="24"/>
        </w:rPr>
        <w:t>.</w:t>
      </w:r>
    </w:p>
    <w:p w:rsidR="00516021" w:rsidRDefault="00516021" w:rsidP="0016645D">
      <w:pPr>
        <w:autoSpaceDE w:val="0"/>
        <w:autoSpaceDN w:val="0"/>
        <w:adjustRightInd w:val="0"/>
        <w:spacing w:after="0" w:line="240" w:lineRule="auto"/>
        <w:ind w:left="720"/>
        <w:rPr>
          <w:rFonts w:ascii="Arial" w:eastAsiaTheme="minorHAnsi" w:hAnsi="Arial" w:cs="Arial"/>
          <w:sz w:val="24"/>
          <w:szCs w:val="24"/>
        </w:rPr>
      </w:pPr>
    </w:p>
    <w:p w:rsidR="0045503A" w:rsidRDefault="0045503A" w:rsidP="0016645D">
      <w:pPr>
        <w:autoSpaceDE w:val="0"/>
        <w:autoSpaceDN w:val="0"/>
        <w:adjustRightInd w:val="0"/>
        <w:spacing w:after="0" w:line="240" w:lineRule="auto"/>
        <w:ind w:left="720"/>
        <w:rPr>
          <w:rFonts w:ascii="Arial" w:eastAsiaTheme="minorHAnsi" w:hAnsi="Arial" w:cs="Arial"/>
          <w:sz w:val="24"/>
          <w:szCs w:val="24"/>
        </w:rPr>
      </w:pPr>
      <w:r>
        <w:rPr>
          <w:rFonts w:ascii="Arial" w:eastAsiaTheme="minorHAnsi" w:hAnsi="Arial" w:cs="Arial"/>
          <w:sz w:val="24"/>
          <w:szCs w:val="24"/>
        </w:rPr>
        <w:t>The E</w:t>
      </w:r>
      <w:r w:rsidR="00325CFB">
        <w:rPr>
          <w:rFonts w:ascii="Arial" w:eastAsiaTheme="minorHAnsi" w:hAnsi="Arial" w:cs="Arial"/>
          <w:sz w:val="24"/>
          <w:szCs w:val="24"/>
        </w:rPr>
        <w:t>S</w:t>
      </w:r>
      <w:r>
        <w:rPr>
          <w:rFonts w:ascii="Arial" w:eastAsiaTheme="minorHAnsi" w:hAnsi="Arial" w:cs="Arial"/>
          <w:sz w:val="24"/>
          <w:szCs w:val="24"/>
        </w:rPr>
        <w:t>FA use the information contained on the High Needs Place Ret</w:t>
      </w:r>
      <w:r w:rsidR="00AD395E">
        <w:rPr>
          <w:rFonts w:ascii="Arial" w:eastAsiaTheme="minorHAnsi" w:hAnsi="Arial" w:cs="Arial"/>
          <w:sz w:val="24"/>
          <w:szCs w:val="24"/>
        </w:rPr>
        <w:t>u</w:t>
      </w:r>
      <w:r>
        <w:rPr>
          <w:rFonts w:ascii="Arial" w:eastAsiaTheme="minorHAnsi" w:hAnsi="Arial" w:cs="Arial"/>
          <w:sz w:val="24"/>
          <w:szCs w:val="24"/>
        </w:rPr>
        <w:t>rn</w:t>
      </w:r>
      <w:r w:rsidR="00AD395E">
        <w:rPr>
          <w:rFonts w:ascii="Arial" w:eastAsiaTheme="minorHAnsi" w:hAnsi="Arial" w:cs="Arial"/>
          <w:sz w:val="24"/>
          <w:szCs w:val="24"/>
        </w:rPr>
        <w:t xml:space="preserve"> to extract t</w:t>
      </w:r>
      <w:r w:rsidR="005611AF">
        <w:rPr>
          <w:rFonts w:ascii="Arial" w:eastAsiaTheme="minorHAnsi" w:hAnsi="Arial" w:cs="Arial"/>
          <w:sz w:val="24"/>
          <w:szCs w:val="24"/>
        </w:rPr>
        <w:t>he</w:t>
      </w:r>
      <w:r w:rsidR="00AD395E">
        <w:rPr>
          <w:rFonts w:ascii="Arial" w:eastAsiaTheme="minorHAnsi" w:hAnsi="Arial" w:cs="Arial"/>
          <w:sz w:val="24"/>
          <w:szCs w:val="24"/>
        </w:rPr>
        <w:t xml:space="preserve"> </w:t>
      </w:r>
      <w:r w:rsidR="00453393">
        <w:rPr>
          <w:rFonts w:ascii="Arial" w:eastAsiaTheme="minorHAnsi" w:hAnsi="Arial" w:cs="Arial"/>
          <w:sz w:val="24"/>
          <w:szCs w:val="24"/>
        </w:rPr>
        <w:t>“</w:t>
      </w:r>
      <w:r w:rsidR="00AD395E">
        <w:rPr>
          <w:rFonts w:ascii="Arial" w:eastAsiaTheme="minorHAnsi" w:hAnsi="Arial" w:cs="Arial"/>
          <w:sz w:val="24"/>
          <w:szCs w:val="24"/>
        </w:rPr>
        <w:t>per place</w:t>
      </w:r>
      <w:r w:rsidR="00453393">
        <w:rPr>
          <w:rFonts w:ascii="Arial" w:eastAsiaTheme="minorHAnsi" w:hAnsi="Arial" w:cs="Arial"/>
          <w:sz w:val="24"/>
          <w:szCs w:val="24"/>
        </w:rPr>
        <w:t>”</w:t>
      </w:r>
      <w:r w:rsidR="00AD395E">
        <w:rPr>
          <w:rFonts w:ascii="Arial" w:eastAsiaTheme="minorHAnsi" w:hAnsi="Arial" w:cs="Arial"/>
          <w:sz w:val="24"/>
          <w:szCs w:val="24"/>
        </w:rPr>
        <w:t xml:space="preserve"> funding from the Local </w:t>
      </w:r>
      <w:r w:rsidR="00453393">
        <w:rPr>
          <w:rFonts w:ascii="Arial" w:eastAsiaTheme="minorHAnsi" w:hAnsi="Arial" w:cs="Arial"/>
          <w:sz w:val="24"/>
          <w:szCs w:val="24"/>
        </w:rPr>
        <w:t>A</w:t>
      </w:r>
      <w:r w:rsidR="00AD395E">
        <w:rPr>
          <w:rFonts w:ascii="Arial" w:eastAsiaTheme="minorHAnsi" w:hAnsi="Arial" w:cs="Arial"/>
          <w:sz w:val="24"/>
          <w:szCs w:val="24"/>
        </w:rPr>
        <w:t xml:space="preserve">uthority’s Dedicated Schools Grant allocation to pay to the </w:t>
      </w:r>
      <w:r w:rsidR="00453393">
        <w:rPr>
          <w:rFonts w:ascii="Arial" w:eastAsiaTheme="minorHAnsi" w:hAnsi="Arial" w:cs="Arial"/>
          <w:sz w:val="24"/>
          <w:szCs w:val="24"/>
        </w:rPr>
        <w:t xml:space="preserve">provision </w:t>
      </w:r>
      <w:r w:rsidR="00AD395E">
        <w:rPr>
          <w:rFonts w:ascii="Arial" w:eastAsiaTheme="minorHAnsi" w:hAnsi="Arial" w:cs="Arial"/>
          <w:sz w:val="24"/>
          <w:szCs w:val="24"/>
        </w:rPr>
        <w:t xml:space="preserve">direct where these </w:t>
      </w:r>
      <w:r w:rsidR="00EA14D0">
        <w:rPr>
          <w:rFonts w:ascii="Arial" w:eastAsiaTheme="minorHAnsi" w:hAnsi="Arial" w:cs="Arial"/>
          <w:sz w:val="24"/>
          <w:szCs w:val="24"/>
        </w:rPr>
        <w:t>are</w:t>
      </w:r>
      <w:r w:rsidR="00AD395E">
        <w:rPr>
          <w:rFonts w:ascii="Arial" w:eastAsiaTheme="minorHAnsi" w:hAnsi="Arial" w:cs="Arial"/>
          <w:sz w:val="24"/>
          <w:szCs w:val="24"/>
        </w:rPr>
        <w:t xml:space="preserve"> academies.</w:t>
      </w:r>
    </w:p>
    <w:p w:rsidR="00AD395E" w:rsidRDefault="00AD395E" w:rsidP="0016645D">
      <w:pPr>
        <w:autoSpaceDE w:val="0"/>
        <w:autoSpaceDN w:val="0"/>
        <w:adjustRightInd w:val="0"/>
        <w:spacing w:after="0" w:line="240" w:lineRule="auto"/>
        <w:ind w:left="720"/>
        <w:rPr>
          <w:rFonts w:ascii="Arial" w:eastAsiaTheme="minorHAnsi" w:hAnsi="Arial" w:cs="Arial"/>
          <w:sz w:val="24"/>
          <w:szCs w:val="24"/>
        </w:rPr>
      </w:pPr>
    </w:p>
    <w:p w:rsidR="0045503A" w:rsidRDefault="00AD395E" w:rsidP="0016645D">
      <w:pPr>
        <w:autoSpaceDE w:val="0"/>
        <w:autoSpaceDN w:val="0"/>
        <w:adjustRightInd w:val="0"/>
        <w:spacing w:after="0" w:line="240" w:lineRule="auto"/>
        <w:ind w:left="720"/>
        <w:rPr>
          <w:rFonts w:ascii="Arial" w:eastAsiaTheme="minorHAnsi" w:hAnsi="Arial" w:cs="Arial"/>
          <w:sz w:val="24"/>
          <w:szCs w:val="24"/>
        </w:rPr>
      </w:pPr>
      <w:r>
        <w:rPr>
          <w:rFonts w:ascii="Arial" w:eastAsiaTheme="minorHAnsi" w:hAnsi="Arial" w:cs="Arial"/>
          <w:sz w:val="24"/>
          <w:szCs w:val="24"/>
        </w:rPr>
        <w:t xml:space="preserve">In respect of the High Needs </w:t>
      </w:r>
      <w:r w:rsidR="005611AF">
        <w:rPr>
          <w:rFonts w:ascii="Arial" w:eastAsiaTheme="minorHAnsi" w:hAnsi="Arial" w:cs="Arial"/>
          <w:sz w:val="24"/>
          <w:szCs w:val="24"/>
        </w:rPr>
        <w:t>Block</w:t>
      </w:r>
      <w:r>
        <w:rPr>
          <w:rFonts w:ascii="Arial" w:eastAsiaTheme="minorHAnsi" w:hAnsi="Arial" w:cs="Arial"/>
          <w:sz w:val="24"/>
          <w:szCs w:val="24"/>
        </w:rPr>
        <w:t xml:space="preserve"> for 201</w:t>
      </w:r>
      <w:r w:rsidR="00D674F3">
        <w:rPr>
          <w:rFonts w:ascii="Arial" w:eastAsiaTheme="minorHAnsi" w:hAnsi="Arial" w:cs="Arial"/>
          <w:sz w:val="24"/>
          <w:szCs w:val="24"/>
        </w:rPr>
        <w:t>9</w:t>
      </w:r>
      <w:r w:rsidR="005611AF">
        <w:rPr>
          <w:rFonts w:ascii="Arial" w:eastAsiaTheme="minorHAnsi" w:hAnsi="Arial" w:cs="Arial"/>
          <w:sz w:val="24"/>
          <w:szCs w:val="24"/>
        </w:rPr>
        <w:t>-</w:t>
      </w:r>
      <w:r w:rsidR="00D674F3">
        <w:rPr>
          <w:rFonts w:ascii="Arial" w:eastAsiaTheme="minorHAnsi" w:hAnsi="Arial" w:cs="Arial"/>
          <w:sz w:val="24"/>
          <w:szCs w:val="24"/>
        </w:rPr>
        <w:t>20</w:t>
      </w:r>
      <w:r w:rsidR="006B5715">
        <w:rPr>
          <w:rFonts w:ascii="Arial" w:eastAsiaTheme="minorHAnsi" w:hAnsi="Arial" w:cs="Arial"/>
          <w:sz w:val="24"/>
          <w:szCs w:val="24"/>
        </w:rPr>
        <w:t xml:space="preserve"> </w:t>
      </w:r>
      <w:r w:rsidR="00453393">
        <w:rPr>
          <w:rFonts w:ascii="Arial" w:eastAsiaTheme="minorHAnsi" w:hAnsi="Arial" w:cs="Arial"/>
          <w:sz w:val="24"/>
          <w:szCs w:val="24"/>
        </w:rPr>
        <w:t xml:space="preserve">indicative but yet unconfirmed amounts show that under the new National Funding Formula North East Lincolnshire will benefit from an increase in funds based on the new DfE methodology which </w:t>
      </w:r>
      <w:r w:rsidR="000A33EE">
        <w:rPr>
          <w:rFonts w:ascii="Arial" w:eastAsiaTheme="minorHAnsi" w:hAnsi="Arial" w:cs="Arial"/>
          <w:sz w:val="24"/>
          <w:szCs w:val="24"/>
        </w:rPr>
        <w:t xml:space="preserve">was introduced in 2019-20. This </w:t>
      </w:r>
      <w:r w:rsidR="00453393">
        <w:rPr>
          <w:rFonts w:ascii="Arial" w:eastAsiaTheme="minorHAnsi" w:hAnsi="Arial" w:cs="Arial"/>
          <w:sz w:val="24"/>
          <w:szCs w:val="24"/>
        </w:rPr>
        <w:t>reflects</w:t>
      </w:r>
      <w:r w:rsidR="00394950">
        <w:rPr>
          <w:rFonts w:ascii="Arial" w:eastAsiaTheme="minorHAnsi" w:hAnsi="Arial" w:cs="Arial"/>
          <w:sz w:val="24"/>
          <w:szCs w:val="24"/>
        </w:rPr>
        <w:t xml:space="preserve"> </w:t>
      </w:r>
      <w:r w:rsidR="00453393">
        <w:rPr>
          <w:rFonts w:ascii="Arial" w:eastAsiaTheme="minorHAnsi" w:hAnsi="Arial" w:cs="Arial"/>
          <w:sz w:val="24"/>
          <w:szCs w:val="24"/>
        </w:rPr>
        <w:t>an increase in funding for the High Needs Block nationally but also respective need.</w:t>
      </w:r>
    </w:p>
    <w:p w:rsidR="004E49F2" w:rsidRDefault="004E49F2" w:rsidP="0016645D">
      <w:pPr>
        <w:autoSpaceDE w:val="0"/>
        <w:autoSpaceDN w:val="0"/>
        <w:adjustRightInd w:val="0"/>
        <w:spacing w:after="0" w:line="240" w:lineRule="auto"/>
        <w:ind w:left="720"/>
        <w:rPr>
          <w:rFonts w:ascii="Arial" w:eastAsiaTheme="minorHAnsi" w:hAnsi="Arial" w:cs="Arial"/>
          <w:sz w:val="24"/>
          <w:szCs w:val="24"/>
        </w:rPr>
      </w:pPr>
    </w:p>
    <w:p w:rsidR="00777BBD" w:rsidRDefault="00777BBD" w:rsidP="0016645D">
      <w:pPr>
        <w:autoSpaceDE w:val="0"/>
        <w:autoSpaceDN w:val="0"/>
        <w:adjustRightInd w:val="0"/>
        <w:spacing w:after="0" w:line="240" w:lineRule="auto"/>
        <w:ind w:left="720"/>
        <w:rPr>
          <w:rFonts w:ascii="Arial" w:eastAsiaTheme="minorHAnsi" w:hAnsi="Arial" w:cs="Arial"/>
          <w:sz w:val="24"/>
          <w:szCs w:val="24"/>
        </w:rPr>
      </w:pPr>
    </w:p>
    <w:p w:rsidR="00777BBD" w:rsidRDefault="00777BBD" w:rsidP="0016645D">
      <w:pPr>
        <w:autoSpaceDE w:val="0"/>
        <w:autoSpaceDN w:val="0"/>
        <w:adjustRightInd w:val="0"/>
        <w:spacing w:after="0" w:line="240" w:lineRule="auto"/>
        <w:ind w:left="720"/>
        <w:rPr>
          <w:rFonts w:ascii="Arial" w:eastAsiaTheme="minorHAnsi" w:hAnsi="Arial" w:cs="Arial"/>
          <w:sz w:val="24"/>
          <w:szCs w:val="24"/>
        </w:rPr>
      </w:pPr>
    </w:p>
    <w:p w:rsidR="00777BBD" w:rsidRDefault="00777BBD" w:rsidP="0016645D">
      <w:pPr>
        <w:autoSpaceDE w:val="0"/>
        <w:autoSpaceDN w:val="0"/>
        <w:adjustRightInd w:val="0"/>
        <w:spacing w:after="0" w:line="240" w:lineRule="auto"/>
        <w:ind w:left="720"/>
        <w:rPr>
          <w:rFonts w:ascii="Arial" w:eastAsiaTheme="minorHAnsi" w:hAnsi="Arial" w:cs="Arial"/>
          <w:sz w:val="24"/>
          <w:szCs w:val="24"/>
        </w:rPr>
      </w:pPr>
    </w:p>
    <w:p w:rsidR="00777BBD" w:rsidRDefault="00777BBD" w:rsidP="0016645D">
      <w:pPr>
        <w:autoSpaceDE w:val="0"/>
        <w:autoSpaceDN w:val="0"/>
        <w:adjustRightInd w:val="0"/>
        <w:spacing w:after="0" w:line="240" w:lineRule="auto"/>
        <w:ind w:left="720"/>
        <w:rPr>
          <w:rFonts w:ascii="Arial" w:eastAsiaTheme="minorHAnsi" w:hAnsi="Arial" w:cs="Arial"/>
          <w:sz w:val="24"/>
          <w:szCs w:val="24"/>
        </w:rPr>
      </w:pPr>
    </w:p>
    <w:p w:rsidR="00777BBD" w:rsidRDefault="00777BBD" w:rsidP="0016645D">
      <w:pPr>
        <w:autoSpaceDE w:val="0"/>
        <w:autoSpaceDN w:val="0"/>
        <w:adjustRightInd w:val="0"/>
        <w:spacing w:after="0" w:line="240" w:lineRule="auto"/>
        <w:ind w:left="720"/>
        <w:rPr>
          <w:rFonts w:ascii="Arial" w:eastAsiaTheme="minorHAnsi" w:hAnsi="Arial" w:cs="Arial"/>
          <w:sz w:val="24"/>
          <w:szCs w:val="24"/>
        </w:rPr>
      </w:pPr>
    </w:p>
    <w:p w:rsidR="00777BBD" w:rsidRDefault="00777BBD" w:rsidP="0016645D">
      <w:pPr>
        <w:autoSpaceDE w:val="0"/>
        <w:autoSpaceDN w:val="0"/>
        <w:adjustRightInd w:val="0"/>
        <w:spacing w:after="0" w:line="240" w:lineRule="auto"/>
        <w:ind w:left="720"/>
        <w:rPr>
          <w:rFonts w:ascii="Arial" w:eastAsiaTheme="minorHAnsi" w:hAnsi="Arial" w:cs="Arial"/>
          <w:sz w:val="24"/>
          <w:szCs w:val="24"/>
        </w:rPr>
      </w:pPr>
    </w:p>
    <w:p w:rsidR="00453393" w:rsidRDefault="00453393" w:rsidP="0016645D">
      <w:pPr>
        <w:autoSpaceDE w:val="0"/>
        <w:autoSpaceDN w:val="0"/>
        <w:adjustRightInd w:val="0"/>
        <w:spacing w:after="0" w:line="240" w:lineRule="auto"/>
        <w:ind w:left="720"/>
        <w:rPr>
          <w:rFonts w:ascii="Arial" w:eastAsiaTheme="minorHAnsi" w:hAnsi="Arial" w:cs="Arial"/>
          <w:sz w:val="24"/>
          <w:szCs w:val="24"/>
        </w:rPr>
      </w:pPr>
    </w:p>
    <w:p w:rsidR="00A31C98" w:rsidRPr="005611AF" w:rsidRDefault="000C38B1" w:rsidP="005611AF">
      <w:pPr>
        <w:pStyle w:val="ListParagraph"/>
        <w:numPr>
          <w:ilvl w:val="0"/>
          <w:numId w:val="1"/>
        </w:numPr>
        <w:rPr>
          <w:rFonts w:ascii="Arial" w:hAnsi="Arial" w:cs="Arial"/>
          <w:sz w:val="24"/>
          <w:szCs w:val="24"/>
          <w:u w:val="single"/>
        </w:rPr>
      </w:pPr>
      <w:r w:rsidRPr="005611AF">
        <w:rPr>
          <w:rFonts w:ascii="Arial" w:hAnsi="Arial" w:cs="Arial"/>
          <w:b/>
          <w:sz w:val="24"/>
          <w:szCs w:val="24"/>
          <w:u w:val="single"/>
        </w:rPr>
        <w:t>PLACES COMMISSIONED</w:t>
      </w:r>
    </w:p>
    <w:p w:rsidR="000C38B1" w:rsidRDefault="000C38B1" w:rsidP="000C38B1">
      <w:pPr>
        <w:pStyle w:val="Default"/>
        <w:ind w:left="720"/>
      </w:pPr>
      <w:r>
        <w:t>The places to be commissioned by NELC i</w:t>
      </w:r>
      <w:r w:rsidR="004D1B0E">
        <w:t xml:space="preserve">n </w:t>
      </w:r>
      <w:r>
        <w:t>201</w:t>
      </w:r>
      <w:r w:rsidR="000A33EE">
        <w:t>9</w:t>
      </w:r>
      <w:r>
        <w:t>-</w:t>
      </w:r>
      <w:r w:rsidR="000A33EE">
        <w:t>20</w:t>
      </w:r>
      <w:r>
        <w:t xml:space="preserve"> is detailed in the table below:</w:t>
      </w:r>
      <w:r w:rsidR="00851D95">
        <w:t xml:space="preserve"> </w:t>
      </w:r>
    </w:p>
    <w:p w:rsidR="000C38B1" w:rsidRDefault="000C38B1" w:rsidP="000C38B1">
      <w:pPr>
        <w:pStyle w:val="Default"/>
        <w:ind w:left="720"/>
      </w:pPr>
    </w:p>
    <w:tbl>
      <w:tblPr>
        <w:tblStyle w:val="TableGrid"/>
        <w:tblW w:w="0" w:type="auto"/>
        <w:tblInd w:w="720" w:type="dxa"/>
        <w:tblLook w:val="04A0" w:firstRow="1" w:lastRow="0" w:firstColumn="1" w:lastColumn="0" w:noHBand="0" w:noVBand="1"/>
      </w:tblPr>
      <w:tblGrid>
        <w:gridCol w:w="2983"/>
        <w:gridCol w:w="2839"/>
        <w:gridCol w:w="2474"/>
      </w:tblGrid>
      <w:tr w:rsidR="005611AF" w:rsidTr="005611AF">
        <w:tc>
          <w:tcPr>
            <w:tcW w:w="3059" w:type="dxa"/>
          </w:tcPr>
          <w:p w:rsidR="005611AF" w:rsidRPr="000C38B1" w:rsidRDefault="005611AF" w:rsidP="000C38B1">
            <w:pPr>
              <w:pStyle w:val="Default"/>
              <w:jc w:val="center"/>
              <w:rPr>
                <w:b/>
              </w:rPr>
            </w:pPr>
            <w:r>
              <w:rPr>
                <w:b/>
              </w:rPr>
              <w:t>Type of Setting</w:t>
            </w:r>
          </w:p>
        </w:tc>
        <w:tc>
          <w:tcPr>
            <w:tcW w:w="2922" w:type="dxa"/>
          </w:tcPr>
          <w:p w:rsidR="005611AF" w:rsidRPr="000C38B1" w:rsidRDefault="005611AF" w:rsidP="000C38B1">
            <w:pPr>
              <w:pStyle w:val="Default"/>
              <w:jc w:val="center"/>
              <w:rPr>
                <w:b/>
              </w:rPr>
            </w:pPr>
            <w:r w:rsidRPr="000C38B1">
              <w:rPr>
                <w:b/>
              </w:rPr>
              <w:t>Number of places</w:t>
            </w:r>
          </w:p>
        </w:tc>
        <w:tc>
          <w:tcPr>
            <w:tcW w:w="2541" w:type="dxa"/>
          </w:tcPr>
          <w:p w:rsidR="005611AF" w:rsidRPr="000C38B1" w:rsidRDefault="005611AF" w:rsidP="000C38B1">
            <w:pPr>
              <w:pStyle w:val="Default"/>
              <w:jc w:val="center"/>
              <w:rPr>
                <w:b/>
              </w:rPr>
            </w:pPr>
            <w:r>
              <w:rPr>
                <w:b/>
              </w:rPr>
              <w:t>Change</w:t>
            </w:r>
          </w:p>
        </w:tc>
      </w:tr>
      <w:tr w:rsidR="005611AF" w:rsidTr="005611AF">
        <w:tc>
          <w:tcPr>
            <w:tcW w:w="3059" w:type="dxa"/>
          </w:tcPr>
          <w:p w:rsidR="005611AF" w:rsidRDefault="005611AF" w:rsidP="000C38B1">
            <w:pPr>
              <w:pStyle w:val="Default"/>
            </w:pPr>
            <w:r>
              <w:t>Special Academies</w:t>
            </w:r>
          </w:p>
        </w:tc>
        <w:tc>
          <w:tcPr>
            <w:tcW w:w="2922" w:type="dxa"/>
          </w:tcPr>
          <w:p w:rsidR="005611AF" w:rsidRDefault="005611AF" w:rsidP="000A33EE">
            <w:pPr>
              <w:pStyle w:val="Default"/>
              <w:jc w:val="center"/>
            </w:pPr>
            <w:r>
              <w:t>3</w:t>
            </w:r>
            <w:r w:rsidR="000A33EE">
              <w:t>55</w:t>
            </w:r>
          </w:p>
        </w:tc>
        <w:tc>
          <w:tcPr>
            <w:tcW w:w="2541" w:type="dxa"/>
          </w:tcPr>
          <w:p w:rsidR="005611AF" w:rsidRDefault="000A33EE" w:rsidP="000A33EE">
            <w:pPr>
              <w:pStyle w:val="Default"/>
              <w:jc w:val="center"/>
            </w:pPr>
            <w:r>
              <w:t>32</w:t>
            </w:r>
          </w:p>
        </w:tc>
      </w:tr>
      <w:tr w:rsidR="005611AF" w:rsidTr="005611AF">
        <w:tc>
          <w:tcPr>
            <w:tcW w:w="3059" w:type="dxa"/>
          </w:tcPr>
          <w:p w:rsidR="005611AF" w:rsidRDefault="005611AF" w:rsidP="000C38B1">
            <w:pPr>
              <w:pStyle w:val="Default"/>
            </w:pPr>
            <w:r>
              <w:t>PRU’s</w:t>
            </w:r>
          </w:p>
        </w:tc>
        <w:tc>
          <w:tcPr>
            <w:tcW w:w="2922" w:type="dxa"/>
          </w:tcPr>
          <w:p w:rsidR="005611AF" w:rsidRDefault="005611AF" w:rsidP="000C38B1">
            <w:pPr>
              <w:pStyle w:val="Default"/>
              <w:jc w:val="center"/>
            </w:pPr>
            <w:r>
              <w:t>108</w:t>
            </w:r>
          </w:p>
        </w:tc>
        <w:tc>
          <w:tcPr>
            <w:tcW w:w="2541" w:type="dxa"/>
          </w:tcPr>
          <w:p w:rsidR="005611AF" w:rsidRDefault="005611AF" w:rsidP="000C38B1">
            <w:pPr>
              <w:pStyle w:val="Default"/>
              <w:jc w:val="center"/>
            </w:pPr>
            <w:r>
              <w:t>0</w:t>
            </w:r>
          </w:p>
        </w:tc>
      </w:tr>
      <w:tr w:rsidR="005611AF" w:rsidTr="005611AF">
        <w:tc>
          <w:tcPr>
            <w:tcW w:w="3059" w:type="dxa"/>
          </w:tcPr>
          <w:p w:rsidR="005611AF" w:rsidRDefault="005611AF" w:rsidP="000C38B1">
            <w:pPr>
              <w:pStyle w:val="Default"/>
            </w:pPr>
            <w:r>
              <w:t>Alternative Provision</w:t>
            </w:r>
          </w:p>
        </w:tc>
        <w:tc>
          <w:tcPr>
            <w:tcW w:w="2922" w:type="dxa"/>
          </w:tcPr>
          <w:p w:rsidR="005611AF" w:rsidRDefault="00394950" w:rsidP="005611AF">
            <w:pPr>
              <w:pStyle w:val="Default"/>
              <w:jc w:val="center"/>
            </w:pPr>
            <w:r>
              <w:t>66</w:t>
            </w:r>
          </w:p>
        </w:tc>
        <w:tc>
          <w:tcPr>
            <w:tcW w:w="2541" w:type="dxa"/>
          </w:tcPr>
          <w:p w:rsidR="005611AF" w:rsidRDefault="00C22DF9" w:rsidP="005611AF">
            <w:pPr>
              <w:pStyle w:val="Default"/>
              <w:jc w:val="center"/>
            </w:pPr>
            <w:r>
              <w:t>0</w:t>
            </w:r>
          </w:p>
        </w:tc>
      </w:tr>
      <w:tr w:rsidR="005611AF" w:rsidTr="005611AF">
        <w:tc>
          <w:tcPr>
            <w:tcW w:w="3059" w:type="dxa"/>
          </w:tcPr>
          <w:p w:rsidR="005611AF" w:rsidRDefault="005611AF" w:rsidP="000C38B1">
            <w:pPr>
              <w:pStyle w:val="Default"/>
            </w:pPr>
            <w:r>
              <w:t>Post 16</w:t>
            </w:r>
            <w:bookmarkStart w:id="0" w:name="_GoBack"/>
            <w:bookmarkEnd w:id="0"/>
          </w:p>
        </w:tc>
        <w:tc>
          <w:tcPr>
            <w:tcW w:w="2922" w:type="dxa"/>
          </w:tcPr>
          <w:p w:rsidR="005611AF" w:rsidRPr="00212911" w:rsidRDefault="00394950" w:rsidP="000C38B1">
            <w:pPr>
              <w:pStyle w:val="Default"/>
              <w:jc w:val="center"/>
            </w:pPr>
            <w:r w:rsidRPr="00212911">
              <w:t>128</w:t>
            </w:r>
          </w:p>
        </w:tc>
        <w:tc>
          <w:tcPr>
            <w:tcW w:w="2541" w:type="dxa"/>
          </w:tcPr>
          <w:p w:rsidR="005611AF" w:rsidRPr="00212911" w:rsidRDefault="00394950" w:rsidP="000C38B1">
            <w:pPr>
              <w:pStyle w:val="Default"/>
              <w:jc w:val="center"/>
            </w:pPr>
            <w:r w:rsidRPr="00212911">
              <w:t>20</w:t>
            </w:r>
          </w:p>
        </w:tc>
      </w:tr>
    </w:tbl>
    <w:p w:rsidR="000C38B1" w:rsidRDefault="000C38B1" w:rsidP="000C38B1">
      <w:pPr>
        <w:pStyle w:val="Default"/>
        <w:ind w:left="720"/>
      </w:pPr>
    </w:p>
    <w:p w:rsidR="00F57752" w:rsidRDefault="005611AF" w:rsidP="002B3C34">
      <w:pPr>
        <w:ind w:left="720"/>
        <w:rPr>
          <w:rFonts w:ascii="Arial" w:hAnsi="Arial" w:cs="Arial"/>
          <w:sz w:val="24"/>
          <w:szCs w:val="24"/>
        </w:rPr>
      </w:pPr>
      <w:r>
        <w:rPr>
          <w:rFonts w:ascii="Arial" w:hAnsi="Arial" w:cs="Arial"/>
          <w:sz w:val="24"/>
          <w:szCs w:val="24"/>
        </w:rPr>
        <w:t xml:space="preserve">In addition to the above the Council also has a number of </w:t>
      </w:r>
      <w:r w:rsidR="006D0C64">
        <w:rPr>
          <w:rFonts w:ascii="Arial" w:hAnsi="Arial" w:cs="Arial"/>
          <w:sz w:val="24"/>
          <w:szCs w:val="24"/>
        </w:rPr>
        <w:t xml:space="preserve">provisions funded centrally from the </w:t>
      </w:r>
      <w:r>
        <w:rPr>
          <w:rFonts w:ascii="Arial" w:hAnsi="Arial" w:cs="Arial"/>
          <w:sz w:val="24"/>
          <w:szCs w:val="24"/>
        </w:rPr>
        <w:t xml:space="preserve">DSG </w:t>
      </w:r>
      <w:r w:rsidR="006D0C64">
        <w:rPr>
          <w:rFonts w:ascii="Arial" w:hAnsi="Arial" w:cs="Arial"/>
          <w:sz w:val="24"/>
          <w:szCs w:val="24"/>
        </w:rPr>
        <w:t>High Needs B</w:t>
      </w:r>
      <w:r>
        <w:rPr>
          <w:rFonts w:ascii="Arial" w:hAnsi="Arial" w:cs="Arial"/>
          <w:sz w:val="24"/>
          <w:szCs w:val="24"/>
        </w:rPr>
        <w:t>lock</w:t>
      </w:r>
      <w:r w:rsidR="006D0C64">
        <w:rPr>
          <w:rFonts w:ascii="Arial" w:hAnsi="Arial" w:cs="Arial"/>
          <w:sz w:val="24"/>
          <w:szCs w:val="24"/>
        </w:rPr>
        <w:t>. D</w:t>
      </w:r>
      <w:r>
        <w:rPr>
          <w:rFonts w:ascii="Arial" w:hAnsi="Arial" w:cs="Arial"/>
          <w:sz w:val="24"/>
          <w:szCs w:val="24"/>
        </w:rPr>
        <w:t>etails of which are provided below:</w:t>
      </w:r>
    </w:p>
    <w:tbl>
      <w:tblPr>
        <w:tblStyle w:val="TableGrid"/>
        <w:tblW w:w="0" w:type="auto"/>
        <w:tblInd w:w="720" w:type="dxa"/>
        <w:tblLook w:val="04A0" w:firstRow="1" w:lastRow="0" w:firstColumn="1" w:lastColumn="0" w:noHBand="0" w:noVBand="1"/>
      </w:tblPr>
      <w:tblGrid>
        <w:gridCol w:w="2976"/>
        <w:gridCol w:w="2843"/>
        <w:gridCol w:w="2477"/>
      </w:tblGrid>
      <w:tr w:rsidR="005611AF" w:rsidRPr="000C38B1" w:rsidTr="00505105">
        <w:tc>
          <w:tcPr>
            <w:tcW w:w="3059" w:type="dxa"/>
          </w:tcPr>
          <w:p w:rsidR="005611AF" w:rsidRPr="000C38B1" w:rsidRDefault="005611AF" w:rsidP="00505105">
            <w:pPr>
              <w:pStyle w:val="Default"/>
              <w:jc w:val="center"/>
              <w:rPr>
                <w:b/>
              </w:rPr>
            </w:pPr>
            <w:r>
              <w:rPr>
                <w:b/>
              </w:rPr>
              <w:t>Type of Setting</w:t>
            </w:r>
          </w:p>
        </w:tc>
        <w:tc>
          <w:tcPr>
            <w:tcW w:w="2922" w:type="dxa"/>
          </w:tcPr>
          <w:p w:rsidR="005611AF" w:rsidRPr="000C38B1" w:rsidRDefault="005611AF" w:rsidP="00505105">
            <w:pPr>
              <w:pStyle w:val="Default"/>
              <w:jc w:val="center"/>
              <w:rPr>
                <w:b/>
              </w:rPr>
            </w:pPr>
            <w:r w:rsidRPr="000C38B1">
              <w:rPr>
                <w:b/>
              </w:rPr>
              <w:t>Number of places</w:t>
            </w:r>
          </w:p>
        </w:tc>
        <w:tc>
          <w:tcPr>
            <w:tcW w:w="2541" w:type="dxa"/>
          </w:tcPr>
          <w:p w:rsidR="005611AF" w:rsidRPr="000C38B1" w:rsidRDefault="005611AF" w:rsidP="00505105">
            <w:pPr>
              <w:pStyle w:val="Default"/>
              <w:jc w:val="center"/>
              <w:rPr>
                <w:b/>
              </w:rPr>
            </w:pPr>
            <w:r>
              <w:rPr>
                <w:b/>
              </w:rPr>
              <w:t>Change</w:t>
            </w:r>
          </w:p>
        </w:tc>
      </w:tr>
      <w:tr w:rsidR="005611AF" w:rsidTr="00505105">
        <w:tc>
          <w:tcPr>
            <w:tcW w:w="3059" w:type="dxa"/>
          </w:tcPr>
          <w:p w:rsidR="005611AF" w:rsidRDefault="005611AF" w:rsidP="005611AF">
            <w:pPr>
              <w:pStyle w:val="Default"/>
            </w:pPr>
            <w:r>
              <w:t>Primary resource based provision</w:t>
            </w:r>
          </w:p>
        </w:tc>
        <w:tc>
          <w:tcPr>
            <w:tcW w:w="2922" w:type="dxa"/>
          </w:tcPr>
          <w:p w:rsidR="005611AF" w:rsidRDefault="005611AF" w:rsidP="005611AF">
            <w:pPr>
              <w:pStyle w:val="Default"/>
              <w:jc w:val="center"/>
            </w:pPr>
            <w:r>
              <w:t>18</w:t>
            </w:r>
          </w:p>
        </w:tc>
        <w:tc>
          <w:tcPr>
            <w:tcW w:w="2541" w:type="dxa"/>
          </w:tcPr>
          <w:p w:rsidR="005611AF" w:rsidRDefault="005611AF" w:rsidP="00505105">
            <w:pPr>
              <w:pStyle w:val="Default"/>
              <w:jc w:val="center"/>
            </w:pPr>
            <w:r>
              <w:t>0</w:t>
            </w:r>
          </w:p>
        </w:tc>
      </w:tr>
      <w:tr w:rsidR="005611AF" w:rsidTr="00505105">
        <w:tc>
          <w:tcPr>
            <w:tcW w:w="3059" w:type="dxa"/>
          </w:tcPr>
          <w:p w:rsidR="005611AF" w:rsidRDefault="005611AF" w:rsidP="005611AF">
            <w:pPr>
              <w:pStyle w:val="Default"/>
            </w:pPr>
            <w:r>
              <w:t>ASD</w:t>
            </w:r>
          </w:p>
        </w:tc>
        <w:tc>
          <w:tcPr>
            <w:tcW w:w="2922" w:type="dxa"/>
          </w:tcPr>
          <w:p w:rsidR="005611AF" w:rsidRDefault="000A33EE" w:rsidP="000A33EE">
            <w:pPr>
              <w:pStyle w:val="Default"/>
              <w:jc w:val="center"/>
            </w:pPr>
            <w:r>
              <w:t>6</w:t>
            </w:r>
          </w:p>
        </w:tc>
        <w:tc>
          <w:tcPr>
            <w:tcW w:w="2541" w:type="dxa"/>
          </w:tcPr>
          <w:p w:rsidR="005611AF" w:rsidRDefault="000A33EE" w:rsidP="000A33EE">
            <w:pPr>
              <w:pStyle w:val="Default"/>
              <w:jc w:val="center"/>
            </w:pPr>
            <w:r>
              <w:t>-3</w:t>
            </w:r>
          </w:p>
        </w:tc>
      </w:tr>
    </w:tbl>
    <w:p w:rsidR="005611AF" w:rsidRDefault="005611AF" w:rsidP="002B3C34">
      <w:pPr>
        <w:ind w:left="720"/>
        <w:rPr>
          <w:rFonts w:ascii="Arial" w:hAnsi="Arial" w:cs="Arial"/>
          <w:sz w:val="24"/>
          <w:szCs w:val="24"/>
        </w:rPr>
      </w:pPr>
    </w:p>
    <w:p w:rsidR="005611AF" w:rsidRDefault="005611AF" w:rsidP="005611AF">
      <w:pPr>
        <w:ind w:left="720"/>
        <w:rPr>
          <w:rFonts w:ascii="Arial" w:hAnsi="Arial" w:cs="Arial"/>
          <w:sz w:val="24"/>
          <w:szCs w:val="24"/>
        </w:rPr>
      </w:pPr>
      <w:r>
        <w:rPr>
          <w:rFonts w:ascii="Arial" w:hAnsi="Arial" w:cs="Arial"/>
          <w:sz w:val="24"/>
          <w:szCs w:val="24"/>
        </w:rPr>
        <w:t>In respect of the payments made to the settings the Council norm is to pay these monthly.</w:t>
      </w:r>
    </w:p>
    <w:p w:rsidR="005611AF" w:rsidRPr="00BE084F" w:rsidRDefault="005611AF" w:rsidP="002B3C34">
      <w:pPr>
        <w:ind w:left="720"/>
        <w:rPr>
          <w:rFonts w:ascii="Arial" w:hAnsi="Arial" w:cs="Arial"/>
          <w:sz w:val="24"/>
          <w:szCs w:val="24"/>
        </w:rPr>
      </w:pPr>
    </w:p>
    <w:p w:rsidR="00A31C98" w:rsidRPr="0085038B" w:rsidRDefault="00A31C98" w:rsidP="00A31C98">
      <w:pPr>
        <w:pStyle w:val="ListParagraph"/>
        <w:numPr>
          <w:ilvl w:val="0"/>
          <w:numId w:val="1"/>
        </w:numPr>
        <w:rPr>
          <w:rFonts w:ascii="Arial" w:hAnsi="Arial" w:cs="Arial"/>
          <w:sz w:val="24"/>
          <w:szCs w:val="24"/>
          <w:u w:val="single"/>
        </w:rPr>
      </w:pPr>
      <w:r>
        <w:rPr>
          <w:rFonts w:ascii="Arial" w:hAnsi="Arial" w:cs="Arial"/>
          <w:b/>
          <w:sz w:val="24"/>
          <w:szCs w:val="24"/>
          <w:u w:val="single"/>
        </w:rPr>
        <w:t>RECOMMENDATION</w:t>
      </w:r>
    </w:p>
    <w:p w:rsidR="00A31C98" w:rsidRDefault="00A31C98" w:rsidP="00A31C98">
      <w:pPr>
        <w:pStyle w:val="ListParagraph"/>
        <w:rPr>
          <w:rFonts w:ascii="Arial" w:hAnsi="Arial" w:cs="Arial"/>
          <w:b/>
          <w:sz w:val="24"/>
          <w:szCs w:val="24"/>
          <w:u w:val="single"/>
        </w:rPr>
      </w:pPr>
    </w:p>
    <w:p w:rsidR="000C38B1" w:rsidRPr="000C38B1" w:rsidRDefault="000C38B1" w:rsidP="00A31C98">
      <w:pPr>
        <w:pStyle w:val="ListParagraph"/>
        <w:rPr>
          <w:rFonts w:ascii="Arial" w:hAnsi="Arial" w:cs="Arial"/>
          <w:sz w:val="24"/>
          <w:szCs w:val="24"/>
        </w:rPr>
      </w:pPr>
      <w:r>
        <w:rPr>
          <w:rFonts w:ascii="Arial" w:hAnsi="Arial" w:cs="Arial"/>
          <w:sz w:val="24"/>
          <w:szCs w:val="24"/>
        </w:rPr>
        <w:t xml:space="preserve">There </w:t>
      </w:r>
      <w:r w:rsidR="002679F0">
        <w:rPr>
          <w:rFonts w:ascii="Arial" w:hAnsi="Arial" w:cs="Arial"/>
          <w:sz w:val="24"/>
          <w:szCs w:val="24"/>
        </w:rPr>
        <w:t>are</w:t>
      </w:r>
      <w:r>
        <w:rPr>
          <w:rFonts w:ascii="Arial" w:hAnsi="Arial" w:cs="Arial"/>
          <w:sz w:val="24"/>
          <w:szCs w:val="24"/>
        </w:rPr>
        <w:t xml:space="preserve"> no specific recommendation</w:t>
      </w:r>
      <w:r w:rsidR="005611AF">
        <w:rPr>
          <w:rFonts w:ascii="Arial" w:hAnsi="Arial" w:cs="Arial"/>
          <w:sz w:val="24"/>
          <w:szCs w:val="24"/>
        </w:rPr>
        <w:t>s</w:t>
      </w:r>
      <w:r>
        <w:rPr>
          <w:rFonts w:ascii="Arial" w:hAnsi="Arial" w:cs="Arial"/>
          <w:sz w:val="24"/>
          <w:szCs w:val="24"/>
        </w:rPr>
        <w:t xml:space="preserve"> arising from the report and Schools Forum are asked to note the report</w:t>
      </w:r>
      <w:r w:rsidR="002679F0">
        <w:rPr>
          <w:rFonts w:ascii="Arial" w:hAnsi="Arial" w:cs="Arial"/>
          <w:sz w:val="24"/>
          <w:szCs w:val="24"/>
        </w:rPr>
        <w:t>.</w:t>
      </w:r>
    </w:p>
    <w:p w:rsidR="00A31C98" w:rsidRPr="000C38B1" w:rsidRDefault="00A31C98" w:rsidP="000C38B1">
      <w:pPr>
        <w:ind w:left="360"/>
        <w:rPr>
          <w:rFonts w:ascii="Arial" w:hAnsi="Arial" w:cs="Arial"/>
          <w:sz w:val="24"/>
          <w:szCs w:val="24"/>
        </w:rPr>
      </w:pPr>
    </w:p>
    <w:p w:rsidR="00A31C98" w:rsidRDefault="00A31C98" w:rsidP="00A31C98">
      <w:pPr>
        <w:rPr>
          <w:rFonts w:ascii="Arial" w:hAnsi="Arial" w:cs="Arial"/>
          <w:sz w:val="24"/>
          <w:szCs w:val="24"/>
        </w:rPr>
      </w:pPr>
    </w:p>
    <w:p w:rsidR="00A31C98" w:rsidRPr="00394160" w:rsidRDefault="00A31C98" w:rsidP="00A31C98">
      <w:pPr>
        <w:rPr>
          <w:rFonts w:ascii="Arial" w:hAnsi="Arial" w:cs="Arial"/>
          <w:sz w:val="24"/>
          <w:szCs w:val="24"/>
        </w:rPr>
      </w:pPr>
      <w:r w:rsidRPr="00394160">
        <w:rPr>
          <w:rFonts w:ascii="Arial" w:hAnsi="Arial" w:cs="Arial"/>
          <w:sz w:val="24"/>
          <w:szCs w:val="24"/>
        </w:rPr>
        <w:t>David Kirven</w:t>
      </w:r>
    </w:p>
    <w:p w:rsidR="00A31C98" w:rsidRPr="00394160" w:rsidRDefault="00A31C98" w:rsidP="00A31C98">
      <w:pPr>
        <w:rPr>
          <w:rFonts w:ascii="Arial" w:hAnsi="Arial" w:cs="Arial"/>
          <w:sz w:val="24"/>
          <w:szCs w:val="24"/>
        </w:rPr>
      </w:pPr>
      <w:r w:rsidRPr="00394160">
        <w:rPr>
          <w:rFonts w:ascii="Arial" w:hAnsi="Arial" w:cs="Arial"/>
          <w:sz w:val="24"/>
          <w:szCs w:val="24"/>
        </w:rPr>
        <w:t>S</w:t>
      </w:r>
      <w:r w:rsidR="00A81759">
        <w:rPr>
          <w:rFonts w:ascii="Arial" w:hAnsi="Arial" w:cs="Arial"/>
          <w:sz w:val="24"/>
          <w:szCs w:val="24"/>
        </w:rPr>
        <w:t xml:space="preserve">trategic Lead – Business </w:t>
      </w:r>
      <w:r w:rsidRPr="00394160">
        <w:rPr>
          <w:rFonts w:ascii="Arial" w:hAnsi="Arial" w:cs="Arial"/>
          <w:sz w:val="24"/>
          <w:szCs w:val="24"/>
        </w:rPr>
        <w:t>Partnering</w:t>
      </w:r>
    </w:p>
    <w:p w:rsidR="00A31C98" w:rsidRPr="00A31C98" w:rsidRDefault="006D0C64" w:rsidP="0016645D">
      <w:pPr>
        <w:rPr>
          <w:rFonts w:ascii="Arial" w:eastAsia="Times New Roman" w:hAnsi="Arial" w:cs="Arial"/>
          <w:sz w:val="24"/>
          <w:szCs w:val="24"/>
          <w:lang w:eastAsia="en-GB"/>
        </w:rPr>
      </w:pPr>
      <w:r>
        <w:rPr>
          <w:rFonts w:ascii="Arial" w:hAnsi="Arial" w:cs="Arial"/>
          <w:sz w:val="24"/>
          <w:szCs w:val="24"/>
        </w:rPr>
        <w:t>1</w:t>
      </w:r>
      <w:r w:rsidR="000A33EE">
        <w:rPr>
          <w:rFonts w:ascii="Arial" w:hAnsi="Arial" w:cs="Arial"/>
          <w:sz w:val="24"/>
          <w:szCs w:val="24"/>
        </w:rPr>
        <w:t>8</w:t>
      </w:r>
      <w:r w:rsidR="00A31C98" w:rsidRPr="00394160">
        <w:rPr>
          <w:rFonts w:ascii="Arial" w:hAnsi="Arial" w:cs="Arial"/>
          <w:sz w:val="24"/>
          <w:szCs w:val="24"/>
          <w:vertAlign w:val="superscript"/>
        </w:rPr>
        <w:t>th</w:t>
      </w:r>
      <w:r w:rsidR="00A31C98" w:rsidRPr="00394160">
        <w:rPr>
          <w:rFonts w:ascii="Arial" w:hAnsi="Arial" w:cs="Arial"/>
          <w:sz w:val="24"/>
          <w:szCs w:val="24"/>
        </w:rPr>
        <w:t xml:space="preserve"> </w:t>
      </w:r>
      <w:r w:rsidR="005611AF">
        <w:rPr>
          <w:rFonts w:ascii="Arial" w:hAnsi="Arial" w:cs="Arial"/>
          <w:sz w:val="24"/>
          <w:szCs w:val="24"/>
        </w:rPr>
        <w:t>December</w:t>
      </w:r>
      <w:r w:rsidR="00A31C98" w:rsidRPr="00394160">
        <w:rPr>
          <w:rFonts w:ascii="Arial" w:hAnsi="Arial" w:cs="Arial"/>
          <w:sz w:val="24"/>
          <w:szCs w:val="24"/>
        </w:rPr>
        <w:t xml:space="preserve"> 201</w:t>
      </w:r>
      <w:r w:rsidR="000A33EE">
        <w:rPr>
          <w:rFonts w:ascii="Arial" w:hAnsi="Arial" w:cs="Arial"/>
          <w:sz w:val="24"/>
          <w:szCs w:val="24"/>
        </w:rPr>
        <w:t>8</w:t>
      </w:r>
    </w:p>
    <w:p w:rsidR="00BA6D9D" w:rsidRDefault="00BA6D9D"/>
    <w:sectPr w:rsidR="00BA6D9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909" w:rsidRDefault="00960909" w:rsidP="002B3558">
      <w:pPr>
        <w:spacing w:after="0" w:line="240" w:lineRule="auto"/>
      </w:pPr>
      <w:r>
        <w:separator/>
      </w:r>
    </w:p>
  </w:endnote>
  <w:endnote w:type="continuationSeparator" w:id="0">
    <w:p w:rsidR="00960909" w:rsidRDefault="00960909" w:rsidP="002B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992155"/>
      <w:docPartObj>
        <w:docPartGallery w:val="Page Numbers (Bottom of Page)"/>
        <w:docPartUnique/>
      </w:docPartObj>
    </w:sdtPr>
    <w:sdtEndPr>
      <w:rPr>
        <w:noProof/>
      </w:rPr>
    </w:sdtEndPr>
    <w:sdtContent>
      <w:p w:rsidR="002B3558" w:rsidRDefault="002B3558">
        <w:pPr>
          <w:pStyle w:val="Footer"/>
          <w:jc w:val="right"/>
        </w:pPr>
        <w:r>
          <w:fldChar w:fldCharType="begin"/>
        </w:r>
        <w:r>
          <w:instrText xml:space="preserve"> PAGE   \* MERGEFORMAT </w:instrText>
        </w:r>
        <w:r>
          <w:fldChar w:fldCharType="separate"/>
        </w:r>
        <w:r w:rsidR="00212911">
          <w:rPr>
            <w:noProof/>
          </w:rPr>
          <w:t>2</w:t>
        </w:r>
        <w:r>
          <w:rPr>
            <w:noProof/>
          </w:rPr>
          <w:fldChar w:fldCharType="end"/>
        </w:r>
      </w:p>
    </w:sdtContent>
  </w:sdt>
  <w:p w:rsidR="002B3558" w:rsidRDefault="002B3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909" w:rsidRDefault="00960909" w:rsidP="002B3558">
      <w:pPr>
        <w:spacing w:after="0" w:line="240" w:lineRule="auto"/>
      </w:pPr>
      <w:r>
        <w:separator/>
      </w:r>
    </w:p>
  </w:footnote>
  <w:footnote w:type="continuationSeparator" w:id="0">
    <w:p w:rsidR="00960909" w:rsidRDefault="00960909" w:rsidP="002B3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558" w:rsidRDefault="004E49F2" w:rsidP="002B3558">
    <w:pPr>
      <w:pStyle w:val="Header"/>
      <w:jc w:val="right"/>
      <w:rPr>
        <w:rFonts w:ascii="Arial" w:hAnsi="Arial" w:cs="Arial"/>
        <w:sz w:val="28"/>
        <w:szCs w:val="28"/>
      </w:rPr>
    </w:pPr>
    <w:r>
      <w:rPr>
        <w:rFonts w:ascii="Arial" w:hAnsi="Arial" w:cs="Arial"/>
        <w:sz w:val="28"/>
        <w:szCs w:val="28"/>
      </w:rPr>
      <w:t xml:space="preserve">ITEM </w:t>
    </w:r>
    <w:r w:rsidR="00453393">
      <w:rPr>
        <w:rFonts w:ascii="Arial" w:hAnsi="Arial" w:cs="Arial"/>
        <w:sz w:val="28"/>
        <w:szCs w:val="28"/>
      </w:rPr>
      <w:t>2</w:t>
    </w:r>
    <w:r w:rsidR="000A33EE">
      <w:rPr>
        <w:rFonts w:ascii="Arial" w:hAnsi="Arial" w:cs="Arial"/>
        <w:sz w:val="28"/>
        <w:szCs w:val="28"/>
      </w:rPr>
      <w:t>9</w:t>
    </w:r>
    <w:r w:rsidR="00453393">
      <w:rPr>
        <w:rFonts w:ascii="Arial" w:hAnsi="Arial" w:cs="Arial"/>
        <w:sz w:val="28"/>
        <w:szCs w:val="28"/>
      </w:rPr>
      <w:t>/1</w:t>
    </w:r>
    <w:r w:rsidR="000A33EE">
      <w:rPr>
        <w:rFonts w:ascii="Arial" w:hAnsi="Arial" w:cs="Arial"/>
        <w:sz w:val="28"/>
        <w:szCs w:val="28"/>
      </w:rPr>
      <w:t>8</w:t>
    </w:r>
  </w:p>
  <w:p w:rsidR="005611AF" w:rsidRPr="002B3558" w:rsidRDefault="005611AF" w:rsidP="005611AF">
    <w:pPr>
      <w:pStyle w:val="Header"/>
      <w:jc w:val="center"/>
      <w:rPr>
        <w:rFonts w:ascii="Arial" w:hAnsi="Arial" w:cs="Arial"/>
        <w:sz w:val="28"/>
        <w:szCs w:val="28"/>
      </w:rPr>
    </w:pPr>
  </w:p>
  <w:p w:rsidR="002B3558" w:rsidRDefault="002B35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6323"/>
    <w:multiLevelType w:val="hybridMultilevel"/>
    <w:tmpl w:val="E1CCD4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9E430C2"/>
    <w:multiLevelType w:val="hybridMultilevel"/>
    <w:tmpl w:val="A328D0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1CB45EB"/>
    <w:multiLevelType w:val="hybridMultilevel"/>
    <w:tmpl w:val="CA4088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A2D7231"/>
    <w:multiLevelType w:val="hybridMultilevel"/>
    <w:tmpl w:val="56BE4E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C98"/>
    <w:rsid w:val="00050173"/>
    <w:rsid w:val="000A33EE"/>
    <w:rsid w:val="000B4789"/>
    <w:rsid w:val="000C38B1"/>
    <w:rsid w:val="000E7124"/>
    <w:rsid w:val="00142F97"/>
    <w:rsid w:val="0016645D"/>
    <w:rsid w:val="001A75C0"/>
    <w:rsid w:val="00212911"/>
    <w:rsid w:val="002679F0"/>
    <w:rsid w:val="002B3558"/>
    <w:rsid w:val="002B3C34"/>
    <w:rsid w:val="002B61F7"/>
    <w:rsid w:val="00325CFB"/>
    <w:rsid w:val="00394950"/>
    <w:rsid w:val="0043073F"/>
    <w:rsid w:val="00453393"/>
    <w:rsid w:val="0045503A"/>
    <w:rsid w:val="00495AFD"/>
    <w:rsid w:val="004D1B0E"/>
    <w:rsid w:val="004E49F2"/>
    <w:rsid w:val="00516021"/>
    <w:rsid w:val="005611AF"/>
    <w:rsid w:val="005D700F"/>
    <w:rsid w:val="006064C7"/>
    <w:rsid w:val="006B5715"/>
    <w:rsid w:val="006D0C64"/>
    <w:rsid w:val="00777BBD"/>
    <w:rsid w:val="007E258C"/>
    <w:rsid w:val="007F2C41"/>
    <w:rsid w:val="008336B8"/>
    <w:rsid w:val="008474BB"/>
    <w:rsid w:val="00851D95"/>
    <w:rsid w:val="00857038"/>
    <w:rsid w:val="008B6D83"/>
    <w:rsid w:val="009108DB"/>
    <w:rsid w:val="00960909"/>
    <w:rsid w:val="00A0712C"/>
    <w:rsid w:val="00A2134F"/>
    <w:rsid w:val="00A31C98"/>
    <w:rsid w:val="00A32134"/>
    <w:rsid w:val="00A67E4C"/>
    <w:rsid w:val="00A81759"/>
    <w:rsid w:val="00AD395E"/>
    <w:rsid w:val="00BA6D9D"/>
    <w:rsid w:val="00C22DF9"/>
    <w:rsid w:val="00C2499E"/>
    <w:rsid w:val="00C3499B"/>
    <w:rsid w:val="00D674F3"/>
    <w:rsid w:val="00DE57FA"/>
    <w:rsid w:val="00EA14D0"/>
    <w:rsid w:val="00F57752"/>
    <w:rsid w:val="00FA6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6743276-C990-4F45-8114-E2A12643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C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C98"/>
    <w:pPr>
      <w:ind w:left="720"/>
      <w:contextualSpacing/>
    </w:pPr>
  </w:style>
  <w:style w:type="paragraph" w:styleId="Header">
    <w:name w:val="header"/>
    <w:basedOn w:val="Normal"/>
    <w:link w:val="HeaderChar"/>
    <w:uiPriority w:val="99"/>
    <w:unhideWhenUsed/>
    <w:rsid w:val="002B3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558"/>
    <w:rPr>
      <w:rFonts w:ascii="Calibri" w:eastAsia="Calibri" w:hAnsi="Calibri" w:cs="Times New Roman"/>
    </w:rPr>
  </w:style>
  <w:style w:type="paragraph" w:styleId="Footer">
    <w:name w:val="footer"/>
    <w:basedOn w:val="Normal"/>
    <w:link w:val="FooterChar"/>
    <w:uiPriority w:val="99"/>
    <w:unhideWhenUsed/>
    <w:rsid w:val="002B3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558"/>
    <w:rPr>
      <w:rFonts w:ascii="Calibri" w:eastAsia="Calibri" w:hAnsi="Calibri" w:cs="Times New Roman"/>
    </w:rPr>
  </w:style>
  <w:style w:type="paragraph" w:styleId="BalloonText">
    <w:name w:val="Balloon Text"/>
    <w:basedOn w:val="Normal"/>
    <w:link w:val="BalloonTextChar"/>
    <w:uiPriority w:val="99"/>
    <w:semiHidden/>
    <w:unhideWhenUsed/>
    <w:rsid w:val="002B3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558"/>
    <w:rPr>
      <w:rFonts w:ascii="Tahoma" w:eastAsia="Calibri" w:hAnsi="Tahoma" w:cs="Tahoma"/>
      <w:sz w:val="16"/>
      <w:szCs w:val="16"/>
    </w:rPr>
  </w:style>
  <w:style w:type="paragraph" w:customStyle="1" w:styleId="Default">
    <w:name w:val="Default"/>
    <w:rsid w:val="004D1B0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C3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9071A-2602-47B0-91F3-F5020D601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Kirven, Dave</dc:creator>
  <cp:lastModifiedBy>Dave Kirven (NLBC)</cp:lastModifiedBy>
  <cp:revision>2</cp:revision>
  <cp:lastPrinted>2017-12-04T08:34:00Z</cp:lastPrinted>
  <dcterms:created xsi:type="dcterms:W3CDTF">2018-11-23T09:04:00Z</dcterms:created>
  <dcterms:modified xsi:type="dcterms:W3CDTF">2018-11-23T09:04:00Z</dcterms:modified>
</cp:coreProperties>
</file>