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08A9" w14:textId="54189827" w:rsidR="005743FC" w:rsidRPr="00880A71" w:rsidRDefault="005743FC" w:rsidP="00880A71">
      <w:pPr>
        <w:pStyle w:val="Heading1"/>
        <w:rPr>
          <w:rFonts w:ascii="Arial" w:eastAsia="Calibri" w:hAnsi="Arial" w:cs="Arial"/>
          <w:b/>
          <w:bCs/>
          <w:color w:val="auto"/>
        </w:rPr>
      </w:pPr>
      <w:r w:rsidRPr="00880A71">
        <w:rPr>
          <w:rFonts w:ascii="Arial" w:eastAsia="Calibri" w:hAnsi="Arial" w:cs="Arial"/>
          <w:b/>
          <w:bCs/>
          <w:color w:val="auto"/>
        </w:rPr>
        <w:t xml:space="preserve">Cost of Care </w:t>
      </w:r>
      <w:r w:rsidR="004A1248" w:rsidRPr="00880A71">
        <w:rPr>
          <w:rFonts w:ascii="Arial" w:eastAsia="Calibri" w:hAnsi="Arial" w:cs="Arial"/>
          <w:b/>
          <w:bCs/>
          <w:color w:val="auto"/>
        </w:rPr>
        <w:t xml:space="preserve">Report </w:t>
      </w:r>
      <w:r w:rsidRPr="00880A71">
        <w:rPr>
          <w:rFonts w:ascii="Arial" w:eastAsia="Calibri" w:hAnsi="Arial" w:cs="Arial"/>
          <w:b/>
          <w:bCs/>
          <w:color w:val="auto"/>
        </w:rPr>
        <w:t xml:space="preserve">- Residential </w:t>
      </w:r>
      <w:r w:rsidR="00C95F53" w:rsidRPr="00880A71">
        <w:rPr>
          <w:rFonts w:ascii="Arial" w:eastAsia="Calibri" w:hAnsi="Arial" w:cs="Arial"/>
          <w:b/>
          <w:bCs/>
          <w:color w:val="auto"/>
        </w:rPr>
        <w:t>Annex B</w:t>
      </w:r>
    </w:p>
    <w:p w14:paraId="3318E402" w14:textId="77777777" w:rsidR="005743FC" w:rsidRPr="00DD4E49" w:rsidRDefault="005743FC" w:rsidP="005743FC">
      <w:pPr>
        <w:rPr>
          <w:rFonts w:ascii="Calibri" w:eastAsia="Calibri" w:hAnsi="Calibri" w:cs="Times New Roman"/>
          <w:sz w:val="18"/>
          <w:szCs w:val="18"/>
        </w:rPr>
      </w:pPr>
    </w:p>
    <w:p w14:paraId="5CEFE56F" w14:textId="4DFBE4DA" w:rsidR="005743FC" w:rsidRPr="000A22AB" w:rsidRDefault="005743FC" w:rsidP="00417F5F">
      <w:pPr>
        <w:pStyle w:val="ListParagraph"/>
        <w:numPr>
          <w:ilvl w:val="0"/>
          <w:numId w:val="5"/>
        </w:numPr>
        <w:ind w:left="284"/>
        <w:rPr>
          <w:rFonts w:ascii="Arial" w:eastAsia="Calibri" w:hAnsi="Arial" w:cs="Arial"/>
          <w:b/>
          <w:bCs/>
          <w:sz w:val="24"/>
          <w:szCs w:val="24"/>
          <w:u w:val="single"/>
        </w:rPr>
      </w:pPr>
      <w:r w:rsidRPr="000A22AB">
        <w:rPr>
          <w:rFonts w:ascii="Arial" w:eastAsia="Calibri" w:hAnsi="Arial" w:cs="Arial"/>
          <w:b/>
          <w:bCs/>
          <w:sz w:val="24"/>
          <w:szCs w:val="24"/>
          <w:u w:val="single"/>
        </w:rPr>
        <w:t>Introduction</w:t>
      </w:r>
    </w:p>
    <w:p w14:paraId="2A39628B" w14:textId="77777777" w:rsidR="00155A38" w:rsidRDefault="00A07D7A" w:rsidP="00A07D7A">
      <w:pPr>
        <w:spacing w:line="240" w:lineRule="auto"/>
        <w:rPr>
          <w:rFonts w:ascii="Arial" w:eastAsia="Calibri" w:hAnsi="Arial" w:cs="Arial"/>
        </w:rPr>
      </w:pPr>
      <w:proofErr w:type="gramStart"/>
      <w:r w:rsidRPr="00036B49">
        <w:rPr>
          <w:rFonts w:ascii="Arial" w:eastAsia="Calibri" w:hAnsi="Arial" w:cs="Arial"/>
        </w:rPr>
        <w:t>N</w:t>
      </w:r>
      <w:r w:rsidR="006047F1" w:rsidRPr="00036B49">
        <w:rPr>
          <w:rFonts w:ascii="Arial" w:eastAsia="Calibri" w:hAnsi="Arial" w:cs="Arial"/>
        </w:rPr>
        <w:t>orth East</w:t>
      </w:r>
      <w:proofErr w:type="gramEnd"/>
      <w:r w:rsidR="006047F1" w:rsidRPr="00036B49">
        <w:rPr>
          <w:rFonts w:ascii="Arial" w:eastAsia="Calibri" w:hAnsi="Arial" w:cs="Arial"/>
        </w:rPr>
        <w:t xml:space="preserve"> Lincolnshire (NEL) </w:t>
      </w:r>
      <w:r w:rsidRPr="00036B49">
        <w:rPr>
          <w:rFonts w:ascii="Arial" w:eastAsia="Calibri" w:hAnsi="Arial" w:cs="Arial"/>
        </w:rPr>
        <w:t>is a small unitary authority area with most residents living in the</w:t>
      </w:r>
      <w:r w:rsidRPr="000A22AB">
        <w:rPr>
          <w:rFonts w:ascii="Arial" w:eastAsia="Calibri" w:hAnsi="Arial" w:cs="Arial"/>
        </w:rPr>
        <w:t xml:space="preserve"> towns of Grimsby, </w:t>
      </w:r>
      <w:r w:rsidRPr="00372714">
        <w:rPr>
          <w:rFonts w:ascii="Arial" w:eastAsia="Calibri" w:hAnsi="Arial" w:cs="Arial"/>
        </w:rPr>
        <w:t xml:space="preserve">Cleethorpes, and Immingham. It is somewhat geographically remote from larger centres of population, and </w:t>
      </w:r>
      <w:r w:rsidR="000E14BA" w:rsidRPr="00372714">
        <w:rPr>
          <w:rFonts w:ascii="Arial" w:eastAsia="Calibri" w:hAnsi="Arial" w:cs="Arial"/>
        </w:rPr>
        <w:t xml:space="preserve">the local </w:t>
      </w:r>
      <w:r w:rsidR="006337BB" w:rsidRPr="00372714">
        <w:rPr>
          <w:rFonts w:ascii="Arial" w:eastAsia="Calibri" w:hAnsi="Arial" w:cs="Arial"/>
        </w:rPr>
        <w:t>authority</w:t>
      </w:r>
      <w:r w:rsidR="000E14BA" w:rsidRPr="00372714">
        <w:rPr>
          <w:rFonts w:ascii="Arial" w:eastAsia="Calibri" w:hAnsi="Arial" w:cs="Arial"/>
        </w:rPr>
        <w:t xml:space="preserve"> </w:t>
      </w:r>
      <w:r w:rsidRPr="00372714">
        <w:rPr>
          <w:rFonts w:ascii="Arial" w:eastAsia="Calibri" w:hAnsi="Arial" w:cs="Arial"/>
        </w:rPr>
        <w:t>need</w:t>
      </w:r>
      <w:r w:rsidR="006337BB" w:rsidRPr="00372714">
        <w:rPr>
          <w:rFonts w:ascii="Arial" w:eastAsia="Calibri" w:hAnsi="Arial" w:cs="Arial"/>
        </w:rPr>
        <w:t>s</w:t>
      </w:r>
      <w:r w:rsidRPr="00372714">
        <w:rPr>
          <w:rFonts w:ascii="Arial" w:eastAsia="Calibri" w:hAnsi="Arial" w:cs="Arial"/>
        </w:rPr>
        <w:t xml:space="preserve"> to retain and grow our local workforce capacity and capability across a range of sectors including health and care</w:t>
      </w:r>
      <w:r w:rsidRPr="00036B49">
        <w:rPr>
          <w:rFonts w:ascii="Arial" w:eastAsia="Calibri" w:hAnsi="Arial" w:cs="Arial"/>
        </w:rPr>
        <w:t>.</w:t>
      </w:r>
      <w:r w:rsidR="007B1827" w:rsidRPr="00036B49">
        <w:rPr>
          <w:rFonts w:ascii="Arial" w:eastAsia="Calibri" w:hAnsi="Arial" w:cs="Arial"/>
        </w:rPr>
        <w:t xml:space="preserve"> </w:t>
      </w:r>
      <w:r w:rsidR="005256A4">
        <w:rPr>
          <w:rFonts w:ascii="Arial" w:eastAsia="Calibri" w:hAnsi="Arial" w:cs="Arial"/>
        </w:rPr>
        <w:t>Figures</w:t>
      </w:r>
      <w:r w:rsidRPr="00036B49">
        <w:rPr>
          <w:rFonts w:ascii="Arial" w:eastAsia="Calibri" w:hAnsi="Arial" w:cs="Arial"/>
        </w:rPr>
        <w:t xml:space="preserve"> (mid-2020) from the </w:t>
      </w:r>
      <w:r w:rsidR="006047F1" w:rsidRPr="00036B49">
        <w:rPr>
          <w:rFonts w:ascii="Arial" w:eastAsia="Calibri" w:hAnsi="Arial" w:cs="Arial"/>
        </w:rPr>
        <w:t>Office of National Statistics (</w:t>
      </w:r>
      <w:r w:rsidRPr="00036B49">
        <w:rPr>
          <w:rFonts w:ascii="Arial" w:eastAsia="Calibri" w:hAnsi="Arial" w:cs="Arial"/>
        </w:rPr>
        <w:t>ONS</w:t>
      </w:r>
      <w:r w:rsidR="006047F1" w:rsidRPr="00036B49">
        <w:rPr>
          <w:rFonts w:ascii="Arial" w:eastAsia="Calibri" w:hAnsi="Arial" w:cs="Arial"/>
        </w:rPr>
        <w:t>)</w:t>
      </w:r>
      <w:r w:rsidRPr="00036B49">
        <w:rPr>
          <w:rFonts w:ascii="Arial" w:eastAsia="Calibri" w:hAnsi="Arial" w:cs="Arial"/>
        </w:rPr>
        <w:t xml:space="preserve">, estimate the </w:t>
      </w:r>
      <w:proofErr w:type="gramStart"/>
      <w:r w:rsidR="006047F1" w:rsidRPr="00036B49">
        <w:rPr>
          <w:rFonts w:ascii="Arial" w:eastAsia="Calibri" w:hAnsi="Arial" w:cs="Arial"/>
        </w:rPr>
        <w:t>North East</w:t>
      </w:r>
      <w:proofErr w:type="gramEnd"/>
      <w:r w:rsidR="006047F1" w:rsidRPr="00036B49">
        <w:rPr>
          <w:rFonts w:ascii="Arial" w:eastAsia="Calibri" w:hAnsi="Arial" w:cs="Arial"/>
        </w:rPr>
        <w:t xml:space="preserve"> Lincolnshire</w:t>
      </w:r>
      <w:r w:rsidRPr="00372714">
        <w:rPr>
          <w:rFonts w:ascii="Arial" w:eastAsia="Calibri" w:hAnsi="Arial" w:cs="Arial"/>
        </w:rPr>
        <w:t xml:space="preserve"> resident population at 159,364 persons. This shows that the local population has changed very little over the past decade, with the 2011 Census recording the local resident</w:t>
      </w:r>
      <w:r w:rsidR="007B1827" w:rsidRPr="00372714">
        <w:rPr>
          <w:rFonts w:ascii="Arial" w:eastAsia="Calibri" w:hAnsi="Arial" w:cs="Arial"/>
        </w:rPr>
        <w:t xml:space="preserve"> </w:t>
      </w:r>
      <w:r w:rsidRPr="00372714">
        <w:rPr>
          <w:rFonts w:ascii="Arial" w:eastAsia="Calibri" w:hAnsi="Arial" w:cs="Arial"/>
        </w:rPr>
        <w:t xml:space="preserve">population at 159,616 people. The latest ONS population projections estimate that the local population will continue to change very little over the coming </w:t>
      </w:r>
      <w:r w:rsidR="00BF2227" w:rsidRPr="00372714">
        <w:rPr>
          <w:rFonts w:ascii="Arial" w:eastAsia="Calibri" w:hAnsi="Arial" w:cs="Arial"/>
        </w:rPr>
        <w:t>decade and</w:t>
      </w:r>
      <w:r w:rsidRPr="00372714">
        <w:rPr>
          <w:rFonts w:ascii="Arial" w:eastAsia="Calibri" w:hAnsi="Arial" w:cs="Arial"/>
        </w:rPr>
        <w:t xml:space="preserve"> will remain at around 159,000 in 2030. Despite the </w:t>
      </w:r>
      <w:r w:rsidR="00BF2227" w:rsidRPr="00372714">
        <w:rPr>
          <w:rFonts w:ascii="Arial" w:eastAsia="Calibri" w:hAnsi="Arial" w:cs="Arial"/>
        </w:rPr>
        <w:t xml:space="preserve">estimation that the </w:t>
      </w:r>
      <w:r w:rsidRPr="00372714">
        <w:rPr>
          <w:rFonts w:ascii="Arial" w:eastAsia="Calibri" w:hAnsi="Arial" w:cs="Arial"/>
        </w:rPr>
        <w:t xml:space="preserve">overall population </w:t>
      </w:r>
      <w:r w:rsidR="00BF2227" w:rsidRPr="00372714">
        <w:rPr>
          <w:rFonts w:ascii="Arial" w:eastAsia="Calibri" w:hAnsi="Arial" w:cs="Arial"/>
        </w:rPr>
        <w:t xml:space="preserve">will </w:t>
      </w:r>
      <w:r w:rsidRPr="00372714">
        <w:rPr>
          <w:rFonts w:ascii="Arial" w:eastAsia="Calibri" w:hAnsi="Arial" w:cs="Arial"/>
        </w:rPr>
        <w:t>remain static, there are clear differences in the projections across the life course, with the 0-19 resident population projected to decrease by 5.4 per cent between 2020 and 2030, and the 80+ resident population (frail elderly) projected to increase by 30.6 per cent</w:t>
      </w:r>
      <w:r w:rsidR="007B1827" w:rsidRPr="00372714">
        <w:rPr>
          <w:rFonts w:ascii="Arial" w:eastAsia="Calibri" w:hAnsi="Arial" w:cs="Arial"/>
        </w:rPr>
        <w:t xml:space="preserve"> </w:t>
      </w:r>
      <w:r w:rsidRPr="00372714">
        <w:rPr>
          <w:rFonts w:ascii="Arial" w:eastAsia="Calibri" w:hAnsi="Arial" w:cs="Arial"/>
        </w:rPr>
        <w:t xml:space="preserve">within the same time-period. This </w:t>
      </w:r>
      <w:r w:rsidR="0075623F">
        <w:rPr>
          <w:rFonts w:ascii="Arial" w:eastAsia="Calibri" w:hAnsi="Arial" w:cs="Arial"/>
        </w:rPr>
        <w:t>is likely to create</w:t>
      </w:r>
      <w:r w:rsidRPr="00372714">
        <w:rPr>
          <w:rFonts w:ascii="Arial" w:eastAsia="Calibri" w:hAnsi="Arial" w:cs="Arial"/>
        </w:rPr>
        <w:t xml:space="preserve"> significant growth in demand to be met from the resources available to the health and care economy within the borough.</w:t>
      </w:r>
      <w:r w:rsidR="007B1827" w:rsidRPr="00372714">
        <w:rPr>
          <w:rFonts w:ascii="Arial" w:eastAsia="Calibri" w:hAnsi="Arial" w:cs="Arial"/>
        </w:rPr>
        <w:t xml:space="preserve"> </w:t>
      </w:r>
    </w:p>
    <w:p w14:paraId="7A8BE583" w14:textId="1A2D23AB" w:rsidR="00A07D7A" w:rsidRPr="00372714" w:rsidRDefault="00155A38" w:rsidP="00A07D7A">
      <w:pPr>
        <w:spacing w:line="240" w:lineRule="auto"/>
        <w:rPr>
          <w:rFonts w:ascii="Arial" w:eastAsia="Calibri" w:hAnsi="Arial" w:cs="Arial"/>
        </w:rPr>
      </w:pPr>
      <w:r>
        <w:rPr>
          <w:rFonts w:ascii="Arial" w:eastAsia="Calibri" w:hAnsi="Arial" w:cs="Arial"/>
        </w:rPr>
        <w:t>E</w:t>
      </w:r>
      <w:r w:rsidR="00A07D7A" w:rsidRPr="00372714">
        <w:rPr>
          <w:rFonts w:ascii="Arial" w:eastAsia="Calibri" w:hAnsi="Arial" w:cs="Arial"/>
        </w:rPr>
        <w:t>stimates from the annual population survey show that approximately five</w:t>
      </w:r>
      <w:r w:rsidR="007B1827" w:rsidRPr="00372714">
        <w:rPr>
          <w:rFonts w:ascii="Arial" w:eastAsia="Calibri" w:hAnsi="Arial" w:cs="Arial"/>
        </w:rPr>
        <w:t xml:space="preserve"> </w:t>
      </w:r>
      <w:r w:rsidR="00A07D7A" w:rsidRPr="00372714">
        <w:rPr>
          <w:rFonts w:ascii="Arial" w:eastAsia="Calibri" w:hAnsi="Arial" w:cs="Arial"/>
        </w:rPr>
        <w:t xml:space="preserve">per cent of the </w:t>
      </w:r>
      <w:proofErr w:type="gramStart"/>
      <w:r w:rsidR="006047F1" w:rsidRPr="00036B49">
        <w:rPr>
          <w:rFonts w:ascii="Arial" w:eastAsia="Calibri" w:hAnsi="Arial" w:cs="Arial"/>
        </w:rPr>
        <w:t>North East</w:t>
      </w:r>
      <w:proofErr w:type="gramEnd"/>
      <w:r w:rsidR="006047F1" w:rsidRPr="00036B49">
        <w:rPr>
          <w:rFonts w:ascii="Arial" w:eastAsia="Calibri" w:hAnsi="Arial" w:cs="Arial"/>
        </w:rPr>
        <w:t xml:space="preserve"> Lincolnshire</w:t>
      </w:r>
      <w:r w:rsidR="00A07D7A" w:rsidRPr="00372714">
        <w:rPr>
          <w:rFonts w:ascii="Arial" w:eastAsia="Calibri" w:hAnsi="Arial" w:cs="Arial"/>
        </w:rPr>
        <w:t xml:space="preserve"> population overall is non-white British, which is much lower than that for England overall. Again, there are differences across the life course, with increasing ethnic diversity among the younger age groups, as the local school census shows that around ten per cent of primary school pupils are recorded as non-white British.</w:t>
      </w:r>
      <w:r w:rsidR="000E14BA" w:rsidRPr="00372714">
        <w:rPr>
          <w:rFonts w:ascii="Arial" w:eastAsia="Calibri" w:hAnsi="Arial" w:cs="Arial"/>
        </w:rPr>
        <w:t xml:space="preserve"> </w:t>
      </w:r>
    </w:p>
    <w:p w14:paraId="7493F2E9" w14:textId="5992FE2E" w:rsidR="00A73A5C" w:rsidRPr="00372714" w:rsidRDefault="000E14BA" w:rsidP="00A07D7A">
      <w:pPr>
        <w:spacing w:line="240" w:lineRule="auto"/>
        <w:rPr>
          <w:rFonts w:ascii="Arial" w:eastAsia="Calibri" w:hAnsi="Arial" w:cs="Arial"/>
        </w:rPr>
      </w:pPr>
      <w:r w:rsidRPr="00372714">
        <w:rPr>
          <w:rFonts w:ascii="Arial" w:eastAsia="Calibri" w:hAnsi="Arial" w:cs="Arial"/>
        </w:rPr>
        <w:t xml:space="preserve">The approach taken to supporting citizens is that where possible support in a </w:t>
      </w:r>
      <w:r w:rsidR="006337BB" w:rsidRPr="00372714">
        <w:rPr>
          <w:rFonts w:ascii="Arial" w:eastAsia="Calibri" w:hAnsi="Arial" w:cs="Arial"/>
        </w:rPr>
        <w:t>person’s</w:t>
      </w:r>
      <w:r w:rsidRPr="00372714">
        <w:rPr>
          <w:rFonts w:ascii="Arial" w:eastAsia="Calibri" w:hAnsi="Arial" w:cs="Arial"/>
        </w:rPr>
        <w:t xml:space="preserve"> home is explored first and residential or nursing care are for where this is not possible. Traditionally </w:t>
      </w:r>
      <w:proofErr w:type="gramStart"/>
      <w:r w:rsidRPr="00372714">
        <w:rPr>
          <w:rFonts w:ascii="Arial" w:eastAsia="Calibri" w:hAnsi="Arial" w:cs="Arial"/>
        </w:rPr>
        <w:t>North East</w:t>
      </w:r>
      <w:proofErr w:type="gramEnd"/>
      <w:r w:rsidRPr="00372714">
        <w:rPr>
          <w:rFonts w:ascii="Arial" w:eastAsia="Calibri" w:hAnsi="Arial" w:cs="Arial"/>
        </w:rPr>
        <w:t xml:space="preserve"> Lincolnshire has had </w:t>
      </w:r>
      <w:r w:rsidR="006337BB" w:rsidRPr="00372714">
        <w:rPr>
          <w:rFonts w:ascii="Arial" w:eastAsia="Calibri" w:hAnsi="Arial" w:cs="Arial"/>
        </w:rPr>
        <w:t xml:space="preserve">residential </w:t>
      </w:r>
      <w:r w:rsidRPr="00372714">
        <w:rPr>
          <w:rFonts w:ascii="Arial" w:eastAsia="Calibri" w:hAnsi="Arial" w:cs="Arial"/>
        </w:rPr>
        <w:t xml:space="preserve">occupancy levels of 75-81%.  </w:t>
      </w:r>
    </w:p>
    <w:p w14:paraId="25E54953" w14:textId="0E1C8001" w:rsidR="00A07D7A" w:rsidRPr="00372714" w:rsidRDefault="00A73A5C" w:rsidP="00CB724F">
      <w:pPr>
        <w:spacing w:line="240" w:lineRule="auto"/>
        <w:rPr>
          <w:rFonts w:ascii="Arial" w:eastAsia="Calibri" w:hAnsi="Arial" w:cs="Arial"/>
        </w:rPr>
      </w:pPr>
      <w:r w:rsidRPr="00372714">
        <w:rPr>
          <w:rFonts w:ascii="Arial" w:eastAsia="Calibri" w:hAnsi="Arial" w:cs="Arial"/>
        </w:rPr>
        <w:t xml:space="preserve">As well as </w:t>
      </w:r>
      <w:r w:rsidR="006E3C69">
        <w:rPr>
          <w:rFonts w:ascii="Arial" w:eastAsia="Calibri" w:hAnsi="Arial" w:cs="Arial"/>
        </w:rPr>
        <w:t>applying Home First principles</w:t>
      </w:r>
      <w:r w:rsidR="00BF2227" w:rsidRPr="00372714">
        <w:rPr>
          <w:rFonts w:ascii="Arial" w:eastAsia="Calibri" w:hAnsi="Arial" w:cs="Arial"/>
        </w:rPr>
        <w:t>,</w:t>
      </w:r>
      <w:r w:rsidRPr="00372714">
        <w:rPr>
          <w:rFonts w:ascii="Arial" w:eastAsia="Calibri" w:hAnsi="Arial" w:cs="Arial"/>
        </w:rPr>
        <w:t xml:space="preserve"> </w:t>
      </w:r>
      <w:proofErr w:type="gramStart"/>
      <w:r w:rsidRPr="00372714">
        <w:rPr>
          <w:rFonts w:ascii="Arial" w:eastAsia="Calibri" w:hAnsi="Arial" w:cs="Arial"/>
        </w:rPr>
        <w:t>North East</w:t>
      </w:r>
      <w:proofErr w:type="gramEnd"/>
      <w:r w:rsidRPr="00372714">
        <w:rPr>
          <w:rFonts w:ascii="Arial" w:eastAsia="Calibri" w:hAnsi="Arial" w:cs="Arial"/>
        </w:rPr>
        <w:t xml:space="preserve"> Lincolnshire believes that </w:t>
      </w:r>
      <w:r w:rsidR="004243B4" w:rsidRPr="00372714">
        <w:rPr>
          <w:rFonts w:ascii="Arial" w:eastAsia="Calibri" w:hAnsi="Arial" w:cs="Arial"/>
        </w:rPr>
        <w:t xml:space="preserve">a care home is a </w:t>
      </w:r>
      <w:r w:rsidR="00BF2227" w:rsidRPr="00036B49">
        <w:rPr>
          <w:rFonts w:ascii="Arial" w:eastAsia="Calibri" w:hAnsi="Arial" w:cs="Arial"/>
        </w:rPr>
        <w:t>resident’s</w:t>
      </w:r>
      <w:r w:rsidRPr="00372714">
        <w:rPr>
          <w:rFonts w:ascii="Arial" w:eastAsia="Calibri" w:hAnsi="Arial" w:cs="Arial"/>
        </w:rPr>
        <w:t xml:space="preserve"> </w:t>
      </w:r>
      <w:r w:rsidR="00FC54F3" w:rsidRPr="00372714">
        <w:rPr>
          <w:rFonts w:ascii="Arial" w:eastAsia="Calibri" w:hAnsi="Arial" w:cs="Arial"/>
        </w:rPr>
        <w:t>home,</w:t>
      </w:r>
      <w:r w:rsidRPr="00372714">
        <w:rPr>
          <w:rFonts w:ascii="Arial" w:eastAsia="Calibri" w:hAnsi="Arial" w:cs="Arial"/>
        </w:rPr>
        <w:t xml:space="preserve"> and the approach is that people should be supported to remain in their residential placements where possible and not moved from one placement to the next because of changing needs except in </w:t>
      </w:r>
      <w:r w:rsidR="004243B4" w:rsidRPr="00372714">
        <w:rPr>
          <w:rFonts w:ascii="Arial" w:eastAsia="Calibri" w:hAnsi="Arial" w:cs="Arial"/>
        </w:rPr>
        <w:t>very specific</w:t>
      </w:r>
      <w:r w:rsidRPr="00372714">
        <w:rPr>
          <w:rFonts w:ascii="Arial" w:eastAsia="Calibri" w:hAnsi="Arial" w:cs="Arial"/>
        </w:rPr>
        <w:t xml:space="preserve"> </w:t>
      </w:r>
      <w:r w:rsidR="000B6DBF" w:rsidRPr="00372714">
        <w:rPr>
          <w:rFonts w:ascii="Arial" w:eastAsia="Calibri" w:hAnsi="Arial" w:cs="Arial"/>
        </w:rPr>
        <w:t>circumstances</w:t>
      </w:r>
      <w:r w:rsidRPr="00372714">
        <w:rPr>
          <w:rFonts w:ascii="Arial" w:eastAsia="Calibri" w:hAnsi="Arial" w:cs="Arial"/>
        </w:rPr>
        <w:t xml:space="preserve"> and </w:t>
      </w:r>
      <w:r w:rsidR="004243B4" w:rsidRPr="00372714">
        <w:rPr>
          <w:rFonts w:ascii="Arial" w:eastAsia="Calibri" w:hAnsi="Arial" w:cs="Arial"/>
        </w:rPr>
        <w:t xml:space="preserve">taking into account </w:t>
      </w:r>
      <w:r w:rsidRPr="00372714">
        <w:rPr>
          <w:rFonts w:ascii="Arial" w:eastAsia="Calibri" w:hAnsi="Arial" w:cs="Arial"/>
        </w:rPr>
        <w:t xml:space="preserve">the persons </w:t>
      </w:r>
      <w:r w:rsidR="000B6DBF" w:rsidRPr="00372714">
        <w:rPr>
          <w:rFonts w:ascii="Arial" w:eastAsia="Calibri" w:hAnsi="Arial" w:cs="Arial"/>
        </w:rPr>
        <w:t>wishes</w:t>
      </w:r>
      <w:r w:rsidR="00036B49">
        <w:rPr>
          <w:rFonts w:ascii="Arial" w:eastAsia="Calibri" w:hAnsi="Arial" w:cs="Arial"/>
        </w:rPr>
        <w:t xml:space="preserve"> or </w:t>
      </w:r>
      <w:r w:rsidR="000B6DBF" w:rsidRPr="00372714">
        <w:rPr>
          <w:rFonts w:ascii="Arial" w:eastAsia="Calibri" w:hAnsi="Arial" w:cs="Arial"/>
        </w:rPr>
        <w:t>best interests</w:t>
      </w:r>
      <w:r w:rsidR="00BF2227" w:rsidRPr="00372714">
        <w:rPr>
          <w:rFonts w:ascii="Arial" w:eastAsia="Calibri" w:hAnsi="Arial" w:cs="Arial"/>
        </w:rPr>
        <w:t>.</w:t>
      </w:r>
      <w:r w:rsidR="000B6DBF" w:rsidRPr="00372714">
        <w:rPr>
          <w:rFonts w:ascii="Arial" w:eastAsia="Calibri" w:hAnsi="Arial" w:cs="Arial"/>
        </w:rPr>
        <w:t xml:space="preserve"> </w:t>
      </w:r>
      <w:r w:rsidRPr="00372714">
        <w:rPr>
          <w:rFonts w:ascii="Arial" w:eastAsia="Calibri" w:hAnsi="Arial" w:cs="Arial"/>
        </w:rPr>
        <w:t xml:space="preserve"> </w:t>
      </w:r>
    </w:p>
    <w:p w14:paraId="53CAD83C" w14:textId="38A91E74" w:rsidR="000A22AB" w:rsidRPr="00372714" w:rsidRDefault="00304764" w:rsidP="00417F5F">
      <w:pPr>
        <w:pStyle w:val="ListParagraph"/>
        <w:numPr>
          <w:ilvl w:val="0"/>
          <w:numId w:val="5"/>
        </w:numPr>
        <w:spacing w:line="240" w:lineRule="auto"/>
        <w:ind w:left="284"/>
        <w:rPr>
          <w:rFonts w:ascii="Arial" w:eastAsia="Calibri" w:hAnsi="Arial" w:cs="Arial"/>
          <w:b/>
          <w:bCs/>
          <w:sz w:val="24"/>
          <w:szCs w:val="24"/>
          <w:u w:val="single"/>
        </w:rPr>
      </w:pPr>
      <w:r w:rsidRPr="00372714">
        <w:rPr>
          <w:rFonts w:ascii="Arial" w:eastAsia="Calibri" w:hAnsi="Arial" w:cs="Arial"/>
          <w:b/>
          <w:bCs/>
          <w:sz w:val="24"/>
          <w:szCs w:val="24"/>
          <w:u w:val="single"/>
        </w:rPr>
        <w:t xml:space="preserve">Overview of the current care home market in </w:t>
      </w:r>
      <w:proofErr w:type="gramStart"/>
      <w:r w:rsidRPr="00372714">
        <w:rPr>
          <w:rFonts w:ascii="Arial" w:eastAsia="Calibri" w:hAnsi="Arial" w:cs="Arial"/>
          <w:b/>
          <w:bCs/>
          <w:sz w:val="24"/>
          <w:szCs w:val="24"/>
          <w:u w:val="single"/>
        </w:rPr>
        <w:t>North East</w:t>
      </w:r>
      <w:proofErr w:type="gramEnd"/>
      <w:r w:rsidRPr="00372714">
        <w:rPr>
          <w:rFonts w:ascii="Arial" w:eastAsia="Calibri" w:hAnsi="Arial" w:cs="Arial"/>
          <w:b/>
          <w:bCs/>
          <w:sz w:val="24"/>
          <w:szCs w:val="24"/>
          <w:u w:val="single"/>
        </w:rPr>
        <w:t xml:space="preserve"> Lincolnshire:</w:t>
      </w:r>
    </w:p>
    <w:p w14:paraId="4B020F8C" w14:textId="77777777" w:rsidR="00417F5F" w:rsidRPr="00372714" w:rsidRDefault="00417F5F" w:rsidP="00417F5F">
      <w:pPr>
        <w:pStyle w:val="ListParagraph"/>
        <w:spacing w:line="240" w:lineRule="auto"/>
        <w:rPr>
          <w:rFonts w:ascii="Arial" w:eastAsia="Calibri" w:hAnsi="Arial" w:cs="Arial"/>
          <w:b/>
          <w:bCs/>
          <w:sz w:val="24"/>
          <w:szCs w:val="24"/>
          <w:u w:val="single"/>
        </w:rPr>
      </w:pPr>
    </w:p>
    <w:p w14:paraId="526DE510" w14:textId="69F6E53B" w:rsidR="00304764" w:rsidRPr="00372714" w:rsidRDefault="00304764" w:rsidP="00FC54F3">
      <w:pPr>
        <w:pStyle w:val="ListParagraph"/>
        <w:numPr>
          <w:ilvl w:val="2"/>
          <w:numId w:val="5"/>
        </w:numPr>
        <w:spacing w:after="0" w:line="240" w:lineRule="auto"/>
        <w:ind w:left="1134" w:hanging="567"/>
        <w:rPr>
          <w:rFonts w:ascii="Arial" w:eastAsia="Calibri" w:hAnsi="Arial" w:cs="Arial"/>
        </w:rPr>
      </w:pPr>
      <w:r w:rsidRPr="00C566D8">
        <w:rPr>
          <w:rFonts w:ascii="Arial" w:eastAsia="Calibri" w:hAnsi="Arial" w:cs="Arial"/>
        </w:rPr>
        <w:t>There are</w:t>
      </w:r>
      <w:r w:rsidR="00C566D8" w:rsidRPr="00C566D8">
        <w:rPr>
          <w:rFonts w:ascii="Arial" w:eastAsia="Calibri" w:hAnsi="Arial" w:cs="Arial"/>
        </w:rPr>
        <w:t xml:space="preserve"> </w:t>
      </w:r>
      <w:r w:rsidRPr="00C566D8">
        <w:rPr>
          <w:rFonts w:ascii="Arial" w:eastAsia="Calibri" w:hAnsi="Arial" w:cs="Arial"/>
        </w:rPr>
        <w:t>13</w:t>
      </w:r>
      <w:r w:rsidR="007D771C" w:rsidRPr="00C566D8">
        <w:rPr>
          <w:rFonts w:ascii="Arial" w:eastAsia="Calibri" w:hAnsi="Arial" w:cs="Arial"/>
        </w:rPr>
        <w:t>05</w:t>
      </w:r>
      <w:r w:rsidRPr="00372714">
        <w:rPr>
          <w:rFonts w:ascii="Arial" w:eastAsia="Calibri" w:hAnsi="Arial" w:cs="Arial"/>
        </w:rPr>
        <w:t xml:space="preserve"> </w:t>
      </w:r>
      <w:r w:rsidR="006047F1" w:rsidRPr="00C60B62">
        <w:rPr>
          <w:rFonts w:ascii="Arial" w:eastAsia="Calibri" w:hAnsi="Arial" w:cs="Arial"/>
        </w:rPr>
        <w:t>Care Quality Commission</w:t>
      </w:r>
      <w:r w:rsidR="006047F1">
        <w:rPr>
          <w:rFonts w:ascii="Arial" w:eastAsia="Calibri" w:hAnsi="Arial" w:cs="Arial"/>
        </w:rPr>
        <w:t xml:space="preserve"> (</w:t>
      </w:r>
      <w:r w:rsidRPr="00372714">
        <w:rPr>
          <w:rFonts w:ascii="Arial" w:eastAsia="Calibri" w:hAnsi="Arial" w:cs="Arial"/>
        </w:rPr>
        <w:t>CQC</w:t>
      </w:r>
      <w:r w:rsidR="006047F1">
        <w:rPr>
          <w:rFonts w:ascii="Arial" w:eastAsia="Calibri" w:hAnsi="Arial" w:cs="Arial"/>
        </w:rPr>
        <w:t>)</w:t>
      </w:r>
      <w:r w:rsidRPr="00372714">
        <w:rPr>
          <w:rFonts w:ascii="Arial" w:eastAsia="Calibri" w:hAnsi="Arial" w:cs="Arial"/>
        </w:rPr>
        <w:t xml:space="preserve"> registered number of beds with an </w:t>
      </w:r>
      <w:r w:rsidR="007D771C">
        <w:rPr>
          <w:rFonts w:ascii="Arial" w:eastAsia="Calibri" w:hAnsi="Arial" w:cs="Arial"/>
        </w:rPr>
        <w:t>7</w:t>
      </w:r>
      <w:r w:rsidRPr="00372714">
        <w:rPr>
          <w:rFonts w:ascii="Arial" w:eastAsia="Calibri" w:hAnsi="Arial" w:cs="Arial"/>
        </w:rPr>
        <w:t>8% per cent occupancy rate</w:t>
      </w:r>
      <w:r w:rsidR="007D771C">
        <w:rPr>
          <w:rFonts w:ascii="Arial" w:eastAsia="Calibri" w:hAnsi="Arial" w:cs="Arial"/>
        </w:rPr>
        <w:t xml:space="preserve"> as of September 2022</w:t>
      </w:r>
      <w:r w:rsidRPr="00372714">
        <w:rPr>
          <w:rFonts w:ascii="Arial" w:eastAsia="Calibri" w:hAnsi="Arial" w:cs="Arial"/>
        </w:rPr>
        <w:t>.</w:t>
      </w:r>
    </w:p>
    <w:p w14:paraId="5CF969C2" w14:textId="18A8A16E" w:rsidR="00304764" w:rsidRPr="00372714" w:rsidRDefault="00304764" w:rsidP="00FC54F3">
      <w:pPr>
        <w:pStyle w:val="ListParagraph"/>
        <w:numPr>
          <w:ilvl w:val="2"/>
          <w:numId w:val="5"/>
        </w:numPr>
        <w:spacing w:after="0" w:line="240" w:lineRule="auto"/>
        <w:ind w:left="1134" w:hanging="567"/>
        <w:rPr>
          <w:rFonts w:ascii="Arial" w:eastAsia="Calibri" w:hAnsi="Arial" w:cs="Arial"/>
        </w:rPr>
      </w:pPr>
      <w:r w:rsidRPr="00372714">
        <w:rPr>
          <w:rFonts w:ascii="Arial" w:eastAsia="Calibri" w:hAnsi="Arial" w:cs="Arial"/>
        </w:rPr>
        <w:t>CQC inspections demonstrate the following ratings across the homes in scope of this exercise:</w:t>
      </w:r>
    </w:p>
    <w:p w14:paraId="675B143C" w14:textId="3B22CEE4" w:rsidR="00304764" w:rsidRPr="00DD4E49" w:rsidRDefault="00304764" w:rsidP="00FC54F3">
      <w:pPr>
        <w:pStyle w:val="ListParagraph"/>
        <w:numPr>
          <w:ilvl w:val="3"/>
          <w:numId w:val="10"/>
        </w:numPr>
        <w:spacing w:after="0" w:line="240" w:lineRule="auto"/>
        <w:ind w:left="1418" w:hanging="284"/>
        <w:rPr>
          <w:rFonts w:ascii="Arial" w:eastAsia="Calibri" w:hAnsi="Arial" w:cs="Arial"/>
          <w:sz w:val="20"/>
          <w:szCs w:val="20"/>
        </w:rPr>
      </w:pPr>
      <w:r w:rsidRPr="00DD4E49">
        <w:rPr>
          <w:rFonts w:ascii="Arial" w:eastAsia="Calibri" w:hAnsi="Arial" w:cs="Arial"/>
          <w:sz w:val="20"/>
          <w:szCs w:val="20"/>
        </w:rPr>
        <w:t>1 home is rated outstanding (3 per cent),</w:t>
      </w:r>
    </w:p>
    <w:p w14:paraId="2C243D0E" w14:textId="6AC84F5B" w:rsidR="00304764" w:rsidRPr="00DD4E49" w:rsidRDefault="00304764" w:rsidP="00FC54F3">
      <w:pPr>
        <w:pStyle w:val="ListParagraph"/>
        <w:numPr>
          <w:ilvl w:val="3"/>
          <w:numId w:val="10"/>
        </w:numPr>
        <w:spacing w:after="0" w:line="240" w:lineRule="auto"/>
        <w:ind w:left="1418" w:hanging="284"/>
        <w:rPr>
          <w:rFonts w:ascii="Arial" w:eastAsia="Calibri" w:hAnsi="Arial" w:cs="Arial"/>
          <w:sz w:val="20"/>
          <w:szCs w:val="20"/>
        </w:rPr>
      </w:pPr>
      <w:r w:rsidRPr="00DD4E49">
        <w:rPr>
          <w:rFonts w:ascii="Arial" w:eastAsia="Calibri" w:hAnsi="Arial" w:cs="Arial"/>
          <w:sz w:val="20"/>
          <w:szCs w:val="20"/>
        </w:rPr>
        <w:t>2</w:t>
      </w:r>
      <w:r w:rsidR="007D771C" w:rsidRPr="00DD4E49">
        <w:rPr>
          <w:rFonts w:ascii="Arial" w:eastAsia="Calibri" w:hAnsi="Arial" w:cs="Arial"/>
          <w:sz w:val="20"/>
          <w:szCs w:val="20"/>
        </w:rPr>
        <w:t>8</w:t>
      </w:r>
      <w:r w:rsidRPr="00DD4E49">
        <w:rPr>
          <w:rFonts w:ascii="Arial" w:eastAsia="Calibri" w:hAnsi="Arial" w:cs="Arial"/>
          <w:sz w:val="20"/>
          <w:szCs w:val="20"/>
        </w:rPr>
        <w:t xml:space="preserve"> homes are rated good (85 per cent),</w:t>
      </w:r>
    </w:p>
    <w:p w14:paraId="05471436" w14:textId="3D103EDF" w:rsidR="00304764" w:rsidRPr="00DD4E49" w:rsidRDefault="00304764" w:rsidP="00FC54F3">
      <w:pPr>
        <w:pStyle w:val="ListParagraph"/>
        <w:numPr>
          <w:ilvl w:val="3"/>
          <w:numId w:val="10"/>
        </w:numPr>
        <w:spacing w:after="0" w:line="240" w:lineRule="auto"/>
        <w:ind w:left="1418" w:hanging="284"/>
        <w:rPr>
          <w:rFonts w:ascii="Arial" w:eastAsia="Calibri" w:hAnsi="Arial" w:cs="Arial"/>
          <w:sz w:val="20"/>
          <w:szCs w:val="20"/>
        </w:rPr>
      </w:pPr>
      <w:r w:rsidRPr="00DD4E49">
        <w:rPr>
          <w:rFonts w:ascii="Arial" w:eastAsia="Calibri" w:hAnsi="Arial" w:cs="Arial"/>
          <w:sz w:val="20"/>
          <w:szCs w:val="20"/>
        </w:rPr>
        <w:t>3 homes are rated ‘requires improvement’ (9 per cent),</w:t>
      </w:r>
    </w:p>
    <w:p w14:paraId="12DF1218" w14:textId="2148A6E3" w:rsidR="00304764" w:rsidRPr="00DD4E49" w:rsidRDefault="00304764" w:rsidP="00FC54F3">
      <w:pPr>
        <w:pStyle w:val="ListParagraph"/>
        <w:numPr>
          <w:ilvl w:val="3"/>
          <w:numId w:val="10"/>
        </w:numPr>
        <w:spacing w:after="0" w:line="240" w:lineRule="auto"/>
        <w:ind w:left="1418" w:hanging="284"/>
        <w:rPr>
          <w:rFonts w:ascii="Arial" w:eastAsia="Calibri" w:hAnsi="Arial" w:cs="Arial"/>
          <w:sz w:val="20"/>
          <w:szCs w:val="20"/>
        </w:rPr>
      </w:pPr>
      <w:r w:rsidRPr="00DD4E49">
        <w:rPr>
          <w:rFonts w:ascii="Arial" w:eastAsia="Calibri" w:hAnsi="Arial" w:cs="Arial"/>
          <w:sz w:val="20"/>
          <w:szCs w:val="20"/>
        </w:rPr>
        <w:t>1 home rated inadequate</w:t>
      </w:r>
      <w:r w:rsidRPr="00DD4E49">
        <w:rPr>
          <w:rFonts w:ascii="Arial" w:eastAsia="Calibri" w:hAnsi="Arial" w:cs="Arial"/>
          <w:b/>
          <w:bCs/>
          <w:sz w:val="20"/>
          <w:szCs w:val="20"/>
        </w:rPr>
        <w:t xml:space="preserve"> </w:t>
      </w:r>
      <w:r w:rsidRPr="00DD4E49">
        <w:rPr>
          <w:rFonts w:ascii="Arial" w:eastAsia="Calibri" w:hAnsi="Arial" w:cs="Arial"/>
          <w:sz w:val="20"/>
          <w:szCs w:val="20"/>
        </w:rPr>
        <w:t>(3 per cent)</w:t>
      </w:r>
      <w:r w:rsidR="001B799F" w:rsidRPr="00DD4E49">
        <w:rPr>
          <w:rFonts w:ascii="Arial" w:eastAsia="Calibri" w:hAnsi="Arial" w:cs="Arial"/>
          <w:sz w:val="20"/>
          <w:szCs w:val="20"/>
        </w:rPr>
        <w:t>.</w:t>
      </w:r>
    </w:p>
    <w:p w14:paraId="4B04AA58" w14:textId="1307D4A8" w:rsidR="00304764" w:rsidRPr="00372714" w:rsidRDefault="00304764" w:rsidP="00FC54F3">
      <w:pPr>
        <w:pStyle w:val="ListParagraph"/>
        <w:numPr>
          <w:ilvl w:val="2"/>
          <w:numId w:val="5"/>
        </w:numPr>
        <w:spacing w:after="0" w:line="240" w:lineRule="auto"/>
        <w:ind w:left="1134" w:hanging="567"/>
        <w:rPr>
          <w:rFonts w:ascii="Arial" w:eastAsia="Calibri" w:hAnsi="Arial" w:cs="Arial"/>
        </w:rPr>
      </w:pPr>
      <w:r w:rsidRPr="00372714">
        <w:rPr>
          <w:rFonts w:ascii="Arial" w:eastAsia="Calibri" w:hAnsi="Arial" w:cs="Arial"/>
        </w:rPr>
        <w:t>3</w:t>
      </w:r>
      <w:r w:rsidR="007D771C">
        <w:rPr>
          <w:rFonts w:ascii="Arial" w:eastAsia="Calibri" w:hAnsi="Arial" w:cs="Arial"/>
        </w:rPr>
        <w:t>3</w:t>
      </w:r>
      <w:r w:rsidRPr="00372714">
        <w:rPr>
          <w:rFonts w:ascii="Arial" w:eastAsia="Calibri" w:hAnsi="Arial" w:cs="Arial"/>
        </w:rPr>
        <w:t xml:space="preserve"> local CQC registered homes within the scope of the exercise; a split of 2</w:t>
      </w:r>
      <w:r w:rsidR="007D771C">
        <w:rPr>
          <w:rFonts w:ascii="Arial" w:eastAsia="Calibri" w:hAnsi="Arial" w:cs="Arial"/>
        </w:rPr>
        <w:t>7</w:t>
      </w:r>
      <w:r w:rsidRPr="00372714">
        <w:rPr>
          <w:rFonts w:ascii="Arial" w:eastAsia="Calibri" w:hAnsi="Arial" w:cs="Arial"/>
        </w:rPr>
        <w:t xml:space="preserve"> residential homes and 6 nursing homes</w:t>
      </w:r>
      <w:r w:rsidR="001B799F" w:rsidRPr="00372714">
        <w:rPr>
          <w:rFonts w:ascii="Arial" w:eastAsia="Calibri" w:hAnsi="Arial" w:cs="Arial"/>
        </w:rPr>
        <w:t>.</w:t>
      </w:r>
    </w:p>
    <w:p w14:paraId="5A94753C" w14:textId="62E927EA" w:rsidR="00BD4A66" w:rsidRPr="00372714" w:rsidRDefault="00304764" w:rsidP="00FC54F3">
      <w:pPr>
        <w:pStyle w:val="ListParagraph"/>
        <w:numPr>
          <w:ilvl w:val="2"/>
          <w:numId w:val="5"/>
        </w:numPr>
        <w:spacing w:after="0" w:line="240" w:lineRule="auto"/>
        <w:ind w:left="1134" w:hanging="567"/>
        <w:rPr>
          <w:rFonts w:ascii="Arial" w:eastAsia="Calibri" w:hAnsi="Arial" w:cs="Arial"/>
        </w:rPr>
      </w:pPr>
      <w:r w:rsidRPr="00372714">
        <w:rPr>
          <w:rFonts w:ascii="Arial" w:eastAsia="Calibri" w:hAnsi="Arial" w:cs="Arial"/>
        </w:rPr>
        <w:t>931 staff across the in-scope homes</w:t>
      </w:r>
      <w:r w:rsidR="001B799F" w:rsidRPr="00372714">
        <w:rPr>
          <w:rFonts w:ascii="Arial" w:eastAsia="Calibri" w:hAnsi="Arial" w:cs="Arial"/>
        </w:rPr>
        <w:t>.</w:t>
      </w:r>
    </w:p>
    <w:p w14:paraId="5E99B869" w14:textId="6A8ECFF4" w:rsidR="00BF2227" w:rsidRDefault="00BF2227" w:rsidP="008D0AB1">
      <w:pPr>
        <w:spacing w:after="0" w:line="240" w:lineRule="auto"/>
        <w:rPr>
          <w:rFonts w:ascii="Arial" w:eastAsia="Calibri" w:hAnsi="Arial" w:cs="Arial"/>
        </w:rPr>
      </w:pPr>
    </w:p>
    <w:p w14:paraId="7826947E" w14:textId="486CE438" w:rsidR="008D0AB1" w:rsidRPr="008D0AB1" w:rsidRDefault="008D0AB1" w:rsidP="008D0AB1">
      <w:pPr>
        <w:spacing w:after="0" w:line="240" w:lineRule="auto"/>
        <w:rPr>
          <w:rFonts w:ascii="Arial" w:eastAsia="Calibri" w:hAnsi="Arial" w:cs="Arial"/>
        </w:rPr>
      </w:pPr>
      <w:r>
        <w:rPr>
          <w:rFonts w:ascii="Arial" w:eastAsia="Calibri" w:hAnsi="Arial" w:cs="Arial"/>
        </w:rPr>
        <w:t>The s</w:t>
      </w:r>
      <w:r w:rsidRPr="008D0AB1">
        <w:rPr>
          <w:rFonts w:ascii="Arial" w:eastAsia="Calibri" w:hAnsi="Arial" w:cs="Arial"/>
        </w:rPr>
        <w:t>elf-funder market is 34% across all residential and nursing</w:t>
      </w:r>
      <w:r w:rsidR="00850FEE">
        <w:rPr>
          <w:rFonts w:ascii="Arial" w:eastAsia="Calibri" w:hAnsi="Arial" w:cs="Arial"/>
        </w:rPr>
        <w:t xml:space="preserve"> care home</w:t>
      </w:r>
      <w:r w:rsidRPr="008D0AB1">
        <w:rPr>
          <w:rFonts w:ascii="Arial" w:eastAsia="Calibri" w:hAnsi="Arial" w:cs="Arial"/>
        </w:rPr>
        <w:t>. The self-funder market currently breaks down as follows:</w:t>
      </w:r>
    </w:p>
    <w:p w14:paraId="7B1BAD3E" w14:textId="4D911B49" w:rsidR="008D0AB1" w:rsidRPr="00DD4E49" w:rsidRDefault="008D0AB1" w:rsidP="00DD4E49">
      <w:pPr>
        <w:pStyle w:val="ListParagraph"/>
        <w:numPr>
          <w:ilvl w:val="2"/>
          <w:numId w:val="5"/>
        </w:numPr>
        <w:spacing w:after="0" w:line="240" w:lineRule="auto"/>
        <w:ind w:left="1134" w:hanging="573"/>
        <w:rPr>
          <w:rFonts w:ascii="Arial" w:eastAsia="Calibri" w:hAnsi="Arial" w:cs="Arial"/>
        </w:rPr>
      </w:pPr>
      <w:r w:rsidRPr="00DD4E49">
        <w:rPr>
          <w:rFonts w:ascii="Arial" w:eastAsia="Calibri" w:hAnsi="Arial" w:cs="Arial"/>
        </w:rPr>
        <w:t>6 care homes</w:t>
      </w:r>
      <w:r w:rsidR="00E5219D" w:rsidRPr="00DD4E49">
        <w:rPr>
          <w:rFonts w:ascii="Arial" w:eastAsia="Calibri" w:hAnsi="Arial" w:cs="Arial"/>
        </w:rPr>
        <w:t xml:space="preserve"> </w:t>
      </w:r>
      <w:bookmarkStart w:id="0" w:name="_Hlk116043949"/>
      <w:r w:rsidR="00E5219D" w:rsidRPr="00DD4E49">
        <w:rPr>
          <w:rFonts w:ascii="Arial" w:eastAsia="Calibri" w:hAnsi="Arial" w:cs="Arial"/>
        </w:rPr>
        <w:t>(representing 18% of the market)</w:t>
      </w:r>
      <w:r w:rsidRPr="00DD4E49">
        <w:rPr>
          <w:rFonts w:ascii="Arial" w:eastAsia="Calibri" w:hAnsi="Arial" w:cs="Arial"/>
        </w:rPr>
        <w:t xml:space="preserve"> </w:t>
      </w:r>
      <w:bookmarkEnd w:id="0"/>
      <w:r w:rsidRPr="00DD4E49">
        <w:rPr>
          <w:rFonts w:ascii="Arial" w:eastAsia="Calibri" w:hAnsi="Arial" w:cs="Arial"/>
        </w:rPr>
        <w:t>have over 50% self-funders making up their total occupancy</w:t>
      </w:r>
    </w:p>
    <w:p w14:paraId="6FD20CF2" w14:textId="47F50A74" w:rsidR="008D0AB1" w:rsidRPr="00DD4E49" w:rsidRDefault="008D0AB1" w:rsidP="00DD4E49">
      <w:pPr>
        <w:pStyle w:val="ListParagraph"/>
        <w:numPr>
          <w:ilvl w:val="2"/>
          <w:numId w:val="5"/>
        </w:numPr>
        <w:spacing w:after="0" w:line="240" w:lineRule="auto"/>
        <w:ind w:left="1134" w:hanging="573"/>
        <w:rPr>
          <w:rFonts w:ascii="Arial" w:eastAsia="Calibri" w:hAnsi="Arial" w:cs="Arial"/>
        </w:rPr>
      </w:pPr>
      <w:r w:rsidRPr="00DD4E49">
        <w:rPr>
          <w:rFonts w:ascii="Arial" w:eastAsia="Calibri" w:hAnsi="Arial" w:cs="Arial"/>
        </w:rPr>
        <w:t>16 care homes</w:t>
      </w:r>
      <w:r w:rsidR="00E5219D" w:rsidRPr="00DD4E49">
        <w:rPr>
          <w:rFonts w:ascii="Arial" w:eastAsia="Calibri" w:hAnsi="Arial" w:cs="Arial"/>
        </w:rPr>
        <w:t xml:space="preserve"> (representing 49% of the market)</w:t>
      </w:r>
      <w:r w:rsidRPr="00DD4E49">
        <w:rPr>
          <w:rFonts w:ascii="Arial" w:eastAsia="Calibri" w:hAnsi="Arial" w:cs="Arial"/>
        </w:rPr>
        <w:t xml:space="preserve"> have between 25-49.9% self-funders making up their total occupancy</w:t>
      </w:r>
    </w:p>
    <w:p w14:paraId="68478FA1" w14:textId="0920048B" w:rsidR="008D0AB1" w:rsidRPr="00DD4E49" w:rsidRDefault="008D0AB1" w:rsidP="00DD4E49">
      <w:pPr>
        <w:pStyle w:val="ListParagraph"/>
        <w:numPr>
          <w:ilvl w:val="2"/>
          <w:numId w:val="5"/>
        </w:numPr>
        <w:spacing w:after="0" w:line="240" w:lineRule="auto"/>
        <w:ind w:left="1134" w:hanging="573"/>
        <w:rPr>
          <w:rFonts w:ascii="Arial" w:eastAsia="Calibri" w:hAnsi="Arial" w:cs="Arial"/>
        </w:rPr>
      </w:pPr>
      <w:r w:rsidRPr="00DD4E49">
        <w:rPr>
          <w:rFonts w:ascii="Arial" w:eastAsia="Calibri" w:hAnsi="Arial" w:cs="Arial"/>
        </w:rPr>
        <w:t xml:space="preserve">10 care homes </w:t>
      </w:r>
      <w:r w:rsidR="00E5219D" w:rsidRPr="00DD4E49">
        <w:rPr>
          <w:rFonts w:ascii="Arial" w:eastAsia="Calibri" w:hAnsi="Arial" w:cs="Arial"/>
        </w:rPr>
        <w:t xml:space="preserve">(representing 30% of the market) </w:t>
      </w:r>
      <w:r w:rsidRPr="00DD4E49">
        <w:rPr>
          <w:rFonts w:ascii="Arial" w:eastAsia="Calibri" w:hAnsi="Arial" w:cs="Arial"/>
        </w:rPr>
        <w:t>have less than 25% self-funders making up their total occupancy</w:t>
      </w:r>
    </w:p>
    <w:p w14:paraId="1C5E0D19" w14:textId="2497A2BC" w:rsidR="008D0AB1" w:rsidRPr="00DD4E49" w:rsidRDefault="008D0AB1" w:rsidP="00DD4E49">
      <w:pPr>
        <w:pStyle w:val="ListParagraph"/>
        <w:numPr>
          <w:ilvl w:val="2"/>
          <w:numId w:val="5"/>
        </w:numPr>
        <w:spacing w:after="0" w:line="240" w:lineRule="auto"/>
        <w:ind w:left="1134" w:hanging="573"/>
        <w:rPr>
          <w:rFonts w:ascii="Arial" w:eastAsia="Calibri" w:hAnsi="Arial" w:cs="Arial"/>
        </w:rPr>
      </w:pPr>
      <w:r w:rsidRPr="00DD4E49">
        <w:rPr>
          <w:rFonts w:ascii="Arial" w:eastAsia="Calibri" w:hAnsi="Arial" w:cs="Arial"/>
        </w:rPr>
        <w:t>Only 1 provider (shuttered care home) has 0 self-funders</w:t>
      </w:r>
    </w:p>
    <w:p w14:paraId="5F294A5A" w14:textId="77777777" w:rsidR="008D0AB1" w:rsidRPr="008D0AB1" w:rsidRDefault="008D0AB1" w:rsidP="00DD4E49">
      <w:pPr>
        <w:spacing w:after="0" w:line="240" w:lineRule="auto"/>
        <w:ind w:hanging="2133"/>
        <w:rPr>
          <w:rFonts w:ascii="Arial" w:eastAsia="Calibri" w:hAnsi="Arial" w:cs="Arial"/>
        </w:rPr>
      </w:pPr>
    </w:p>
    <w:p w14:paraId="03CCC678" w14:textId="4C122E97" w:rsidR="008D0AB1" w:rsidRDefault="008D0AB1" w:rsidP="00DD4E49">
      <w:pPr>
        <w:spacing w:after="0" w:line="240" w:lineRule="auto"/>
        <w:rPr>
          <w:rFonts w:ascii="Arial" w:eastAsia="Calibri" w:hAnsi="Arial" w:cs="Arial"/>
        </w:rPr>
      </w:pPr>
      <w:r w:rsidRPr="00DD4E49">
        <w:rPr>
          <w:rFonts w:ascii="Arial" w:eastAsia="Calibri" w:hAnsi="Arial" w:cs="Arial"/>
        </w:rPr>
        <w:t>We currently have 12 homes charging top ups (36%)</w:t>
      </w:r>
    </w:p>
    <w:p w14:paraId="70923E1B" w14:textId="77777777" w:rsidR="00DD4E49" w:rsidRPr="00DD4E49" w:rsidRDefault="00DD4E49" w:rsidP="00DD4E49">
      <w:pPr>
        <w:spacing w:after="0" w:line="240" w:lineRule="auto"/>
        <w:rPr>
          <w:rFonts w:ascii="Arial" w:eastAsia="Calibri" w:hAnsi="Arial" w:cs="Arial"/>
        </w:rPr>
      </w:pPr>
    </w:p>
    <w:p w14:paraId="08E09BA8" w14:textId="77777777" w:rsidR="006047F1" w:rsidRPr="00372714" w:rsidRDefault="006047F1" w:rsidP="00BF2227">
      <w:pPr>
        <w:pStyle w:val="ListParagraph"/>
        <w:spacing w:after="0" w:line="240" w:lineRule="auto"/>
        <w:ind w:left="1418"/>
        <w:rPr>
          <w:rFonts w:ascii="Arial" w:eastAsia="Calibri" w:hAnsi="Arial" w:cs="Arial"/>
        </w:rPr>
      </w:pPr>
    </w:p>
    <w:p w14:paraId="57080697" w14:textId="0918D534" w:rsidR="00BD5A7D" w:rsidRPr="00C60B62" w:rsidRDefault="004243B4" w:rsidP="00417F5F">
      <w:pPr>
        <w:pStyle w:val="ListParagraph"/>
        <w:numPr>
          <w:ilvl w:val="0"/>
          <w:numId w:val="5"/>
        </w:numPr>
        <w:ind w:left="284"/>
        <w:rPr>
          <w:rFonts w:ascii="Arial" w:eastAsia="Calibri" w:hAnsi="Arial" w:cs="Arial"/>
          <w:b/>
          <w:bCs/>
          <w:sz w:val="24"/>
          <w:szCs w:val="24"/>
          <w:u w:val="single"/>
        </w:rPr>
      </w:pPr>
      <w:r w:rsidRPr="00C60B62">
        <w:rPr>
          <w:rFonts w:ascii="Arial" w:eastAsia="Calibri" w:hAnsi="Arial" w:cs="Arial"/>
          <w:b/>
          <w:bCs/>
          <w:sz w:val="24"/>
          <w:szCs w:val="24"/>
          <w:u w:val="single"/>
        </w:rPr>
        <w:t xml:space="preserve">Choice of </w:t>
      </w:r>
      <w:r w:rsidR="00DC3678" w:rsidRPr="00C60B62">
        <w:rPr>
          <w:rFonts w:ascii="Arial" w:eastAsia="Calibri" w:hAnsi="Arial" w:cs="Arial"/>
          <w:b/>
          <w:bCs/>
          <w:sz w:val="24"/>
          <w:szCs w:val="24"/>
          <w:u w:val="single"/>
        </w:rPr>
        <w:t>d</w:t>
      </w:r>
      <w:r w:rsidR="00BD5A7D" w:rsidRPr="00C60B62">
        <w:rPr>
          <w:rFonts w:ascii="Arial" w:eastAsia="Calibri" w:hAnsi="Arial" w:cs="Arial"/>
          <w:b/>
          <w:bCs/>
          <w:sz w:val="24"/>
          <w:szCs w:val="24"/>
          <w:u w:val="single"/>
        </w:rPr>
        <w:t xml:space="preserve">ata </w:t>
      </w:r>
      <w:r w:rsidR="00DC3678" w:rsidRPr="00C60B62">
        <w:rPr>
          <w:rFonts w:ascii="Arial" w:eastAsia="Calibri" w:hAnsi="Arial" w:cs="Arial"/>
          <w:b/>
          <w:bCs/>
          <w:sz w:val="24"/>
          <w:szCs w:val="24"/>
          <w:u w:val="single"/>
        </w:rPr>
        <w:t>c</w:t>
      </w:r>
      <w:r w:rsidR="00BD5A7D" w:rsidRPr="00C60B62">
        <w:rPr>
          <w:rFonts w:ascii="Arial" w:eastAsia="Calibri" w:hAnsi="Arial" w:cs="Arial"/>
          <w:b/>
          <w:bCs/>
          <w:sz w:val="24"/>
          <w:szCs w:val="24"/>
          <w:u w:val="single"/>
        </w:rPr>
        <w:t xml:space="preserve">ollection </w:t>
      </w:r>
      <w:r w:rsidR="00DC3678" w:rsidRPr="00C60B62">
        <w:rPr>
          <w:rFonts w:ascii="Arial" w:eastAsia="Calibri" w:hAnsi="Arial" w:cs="Arial"/>
          <w:b/>
          <w:bCs/>
          <w:sz w:val="24"/>
          <w:szCs w:val="24"/>
          <w:u w:val="single"/>
        </w:rPr>
        <w:t>t</w:t>
      </w:r>
      <w:r w:rsidR="00BD5A7D" w:rsidRPr="00C60B62">
        <w:rPr>
          <w:rFonts w:ascii="Arial" w:eastAsia="Calibri" w:hAnsi="Arial" w:cs="Arial"/>
          <w:b/>
          <w:bCs/>
          <w:sz w:val="24"/>
          <w:szCs w:val="24"/>
          <w:u w:val="single"/>
        </w:rPr>
        <w:t xml:space="preserve">ool </w:t>
      </w:r>
    </w:p>
    <w:p w14:paraId="42359133" w14:textId="2FF737D1" w:rsidR="00C6576C" w:rsidRPr="00372714" w:rsidRDefault="00C6576C" w:rsidP="00BD5A7D">
      <w:pPr>
        <w:rPr>
          <w:rFonts w:ascii="Arial" w:eastAsia="Calibri" w:hAnsi="Arial" w:cs="Arial"/>
        </w:rPr>
      </w:pPr>
      <w:r w:rsidRPr="00372714">
        <w:rPr>
          <w:rFonts w:ascii="Arial" w:eastAsia="Calibri" w:hAnsi="Arial" w:cs="Arial"/>
        </w:rPr>
        <w:t xml:space="preserve">To ensure consistency of approach to data collection, tools meeting </w:t>
      </w:r>
      <w:r w:rsidRPr="00C60B62">
        <w:rPr>
          <w:rFonts w:ascii="Arial" w:eastAsia="Calibri" w:hAnsi="Arial" w:cs="Arial"/>
        </w:rPr>
        <w:t xml:space="preserve">the </w:t>
      </w:r>
      <w:bookmarkStart w:id="1" w:name="_Hlk115857872"/>
      <w:r w:rsidR="006047F1" w:rsidRPr="00C60B62">
        <w:rPr>
          <w:rFonts w:ascii="Arial" w:eastAsia="Calibri" w:hAnsi="Arial" w:cs="Arial"/>
        </w:rPr>
        <w:t>Department of Health and Social Care’s (</w:t>
      </w:r>
      <w:r w:rsidRPr="00C60B62">
        <w:rPr>
          <w:rFonts w:ascii="Arial" w:eastAsia="Calibri" w:hAnsi="Arial" w:cs="Arial"/>
        </w:rPr>
        <w:t>DHSC</w:t>
      </w:r>
      <w:r w:rsidR="006047F1" w:rsidRPr="00C60B62">
        <w:rPr>
          <w:rFonts w:ascii="Arial" w:eastAsia="Calibri" w:hAnsi="Arial" w:cs="Arial"/>
        </w:rPr>
        <w:t>)</w:t>
      </w:r>
      <w:r w:rsidRPr="00C60B62">
        <w:rPr>
          <w:rFonts w:ascii="Arial" w:eastAsia="Calibri" w:hAnsi="Arial" w:cs="Arial"/>
        </w:rPr>
        <w:t xml:space="preserve"> </w:t>
      </w:r>
      <w:bookmarkEnd w:id="1"/>
      <w:r w:rsidRPr="00C60B62">
        <w:rPr>
          <w:rFonts w:ascii="Arial" w:eastAsia="Calibri" w:hAnsi="Arial" w:cs="Arial"/>
        </w:rPr>
        <w:t>suggested functionality have been published by the</w:t>
      </w:r>
      <w:r w:rsidRPr="00372714">
        <w:rPr>
          <w:rFonts w:ascii="Arial" w:eastAsia="Calibri" w:hAnsi="Arial" w:cs="Arial"/>
        </w:rPr>
        <w:t xml:space="preserve"> Local Government Association / Association of Directors of Adult Social Services (LGA/ADASS). As part of the very early engagement</w:t>
      </w:r>
      <w:r w:rsidR="00FC54F3" w:rsidRPr="00372714">
        <w:rPr>
          <w:rFonts w:ascii="Arial" w:eastAsia="Calibri" w:hAnsi="Arial" w:cs="Arial"/>
        </w:rPr>
        <w:t>,</w:t>
      </w:r>
      <w:r w:rsidRPr="00372714">
        <w:rPr>
          <w:rFonts w:ascii="Arial" w:eastAsia="Calibri" w:hAnsi="Arial" w:cs="Arial"/>
        </w:rPr>
        <w:t xml:space="preserve"> </w:t>
      </w:r>
      <w:r w:rsidR="00FC54F3" w:rsidRPr="00C60B62">
        <w:rPr>
          <w:rFonts w:ascii="Arial" w:eastAsia="Calibri" w:hAnsi="Arial" w:cs="Arial"/>
        </w:rPr>
        <w:t>p</w:t>
      </w:r>
      <w:r w:rsidRPr="00372714">
        <w:rPr>
          <w:rFonts w:ascii="Arial" w:eastAsia="Calibri" w:hAnsi="Arial" w:cs="Arial"/>
        </w:rPr>
        <w:t>roviders were consulted over the choice of tools to be used, those that expressed a preference wish</w:t>
      </w:r>
      <w:r w:rsidR="00FC54F3" w:rsidRPr="00C60B62">
        <w:rPr>
          <w:rFonts w:ascii="Arial" w:eastAsia="Calibri" w:hAnsi="Arial" w:cs="Arial"/>
        </w:rPr>
        <w:t>ed</w:t>
      </w:r>
      <w:r w:rsidRPr="00372714">
        <w:rPr>
          <w:rFonts w:ascii="Arial" w:eastAsia="Calibri" w:hAnsi="Arial" w:cs="Arial"/>
        </w:rPr>
        <w:t xml:space="preserve"> to use the </w:t>
      </w:r>
      <w:proofErr w:type="spellStart"/>
      <w:r w:rsidRPr="00372714">
        <w:rPr>
          <w:rFonts w:ascii="Arial" w:eastAsia="Calibri" w:hAnsi="Arial" w:cs="Arial"/>
        </w:rPr>
        <w:t>iESE</w:t>
      </w:r>
      <w:proofErr w:type="spellEnd"/>
      <w:r w:rsidRPr="00372714">
        <w:rPr>
          <w:rFonts w:ascii="Arial" w:eastAsia="Calibri" w:hAnsi="Arial" w:cs="Arial"/>
        </w:rPr>
        <w:t xml:space="preserve"> </w:t>
      </w:r>
      <w:r w:rsidR="006047F1" w:rsidRPr="00C60B62">
        <w:rPr>
          <w:rFonts w:ascii="Arial" w:eastAsia="Calibri" w:hAnsi="Arial" w:cs="Arial"/>
        </w:rPr>
        <w:t>tool</w:t>
      </w:r>
      <w:r w:rsidR="006047F1">
        <w:rPr>
          <w:rFonts w:ascii="Arial" w:eastAsia="Calibri" w:hAnsi="Arial" w:cs="Arial"/>
        </w:rPr>
        <w:t xml:space="preserve"> </w:t>
      </w:r>
      <w:r w:rsidRPr="00372714">
        <w:rPr>
          <w:rFonts w:ascii="Arial" w:eastAsia="Calibri" w:hAnsi="Arial" w:cs="Arial"/>
        </w:rPr>
        <w:t>as suggested in the guidance as against a locally developed model.</w:t>
      </w:r>
      <w:r w:rsidR="00C269DB" w:rsidRPr="00372714">
        <w:rPr>
          <w:rFonts w:ascii="Arial" w:eastAsia="Calibri" w:hAnsi="Arial" w:cs="Arial"/>
        </w:rPr>
        <w:t xml:space="preserve"> </w:t>
      </w:r>
      <w:r w:rsidR="00D821BE" w:rsidRPr="00372714">
        <w:rPr>
          <w:rFonts w:ascii="Arial" w:eastAsia="Calibri" w:hAnsi="Arial" w:cs="Arial"/>
        </w:rPr>
        <w:t xml:space="preserve">In completing the tool, </w:t>
      </w:r>
      <w:r w:rsidR="006040D1" w:rsidRPr="00372714">
        <w:rPr>
          <w:rFonts w:ascii="Arial" w:eastAsia="Calibri" w:hAnsi="Arial" w:cs="Arial"/>
        </w:rPr>
        <w:t>most</w:t>
      </w:r>
      <w:r w:rsidR="00D821BE" w:rsidRPr="00372714">
        <w:rPr>
          <w:rFonts w:ascii="Arial" w:eastAsia="Calibri" w:hAnsi="Arial" w:cs="Arial"/>
        </w:rPr>
        <w:t xml:space="preserve"> providers provided an inflationary uplift percentage to reflect the cost change from 21-22 to 22-23. Where providers had not indicated a percentage, the median percentage per cost line was applied to the data.</w:t>
      </w:r>
    </w:p>
    <w:p w14:paraId="738FF8D3" w14:textId="77777777" w:rsidR="00C25DAC" w:rsidRPr="00372714" w:rsidRDefault="00C25DAC" w:rsidP="00BD5A7D">
      <w:pPr>
        <w:rPr>
          <w:rFonts w:ascii="Calibri" w:eastAsia="Calibri" w:hAnsi="Calibri" w:cs="Times New Roman"/>
        </w:rPr>
      </w:pPr>
    </w:p>
    <w:p w14:paraId="07875588" w14:textId="60BECDCB" w:rsidR="00A07D7A" w:rsidRPr="00372714" w:rsidRDefault="00BD5A7D" w:rsidP="00417F5F">
      <w:pPr>
        <w:pStyle w:val="ListParagraph"/>
        <w:numPr>
          <w:ilvl w:val="0"/>
          <w:numId w:val="5"/>
        </w:numPr>
        <w:ind w:left="284"/>
        <w:rPr>
          <w:rFonts w:ascii="Arial" w:eastAsia="Calibri" w:hAnsi="Arial" w:cs="Arial"/>
          <w:b/>
          <w:bCs/>
          <w:sz w:val="24"/>
          <w:szCs w:val="24"/>
          <w:u w:val="single"/>
        </w:rPr>
      </w:pPr>
      <w:r w:rsidRPr="00372714">
        <w:rPr>
          <w:rFonts w:ascii="Arial" w:eastAsia="Calibri" w:hAnsi="Arial" w:cs="Arial"/>
          <w:b/>
          <w:bCs/>
          <w:sz w:val="24"/>
          <w:szCs w:val="24"/>
          <w:u w:val="single"/>
        </w:rPr>
        <w:t xml:space="preserve">Provider </w:t>
      </w:r>
      <w:r w:rsidR="00DC3678" w:rsidRPr="00C60B62">
        <w:rPr>
          <w:rFonts w:ascii="Arial" w:eastAsia="Calibri" w:hAnsi="Arial" w:cs="Arial"/>
          <w:b/>
          <w:bCs/>
          <w:sz w:val="24"/>
          <w:szCs w:val="24"/>
          <w:u w:val="single"/>
        </w:rPr>
        <w:t>e</w:t>
      </w:r>
      <w:r w:rsidRPr="00372714">
        <w:rPr>
          <w:rFonts w:ascii="Arial" w:eastAsia="Calibri" w:hAnsi="Arial" w:cs="Arial"/>
          <w:b/>
          <w:bCs/>
          <w:sz w:val="24"/>
          <w:szCs w:val="24"/>
          <w:u w:val="single"/>
        </w:rPr>
        <w:t xml:space="preserve">ngagement </w:t>
      </w:r>
    </w:p>
    <w:p w14:paraId="48DBC82F" w14:textId="6A1261AE" w:rsidR="004C1DC7" w:rsidRDefault="00613AA5" w:rsidP="00BD5A7D">
      <w:pPr>
        <w:rPr>
          <w:rFonts w:ascii="Arial" w:eastAsia="Calibri" w:hAnsi="Arial" w:cs="Arial"/>
        </w:rPr>
      </w:pPr>
      <w:r>
        <w:rPr>
          <w:rFonts w:ascii="Arial" w:eastAsia="Calibri" w:hAnsi="Arial" w:cs="Arial"/>
        </w:rPr>
        <w:t xml:space="preserve">As part of the </w:t>
      </w:r>
      <w:r w:rsidR="00275209">
        <w:rPr>
          <w:rFonts w:ascii="Arial" w:eastAsia="Calibri" w:hAnsi="Arial" w:cs="Arial"/>
        </w:rPr>
        <w:t xml:space="preserve">engagement in the </w:t>
      </w:r>
      <w:r w:rsidR="003E4628">
        <w:rPr>
          <w:rFonts w:ascii="Arial" w:eastAsia="Calibri" w:hAnsi="Arial" w:cs="Arial"/>
        </w:rPr>
        <w:t xml:space="preserve">late spring, </w:t>
      </w:r>
      <w:proofErr w:type="gramStart"/>
      <w:r w:rsidR="00275209">
        <w:rPr>
          <w:rFonts w:ascii="Arial" w:eastAsia="Calibri" w:hAnsi="Arial" w:cs="Arial"/>
        </w:rPr>
        <w:t>summer</w:t>
      </w:r>
      <w:proofErr w:type="gramEnd"/>
      <w:r w:rsidR="00275209">
        <w:rPr>
          <w:rFonts w:ascii="Arial" w:eastAsia="Calibri" w:hAnsi="Arial" w:cs="Arial"/>
        </w:rPr>
        <w:t xml:space="preserve"> and autumn of 2022 t</w:t>
      </w:r>
      <w:r w:rsidR="000E14BA" w:rsidRPr="00372714">
        <w:rPr>
          <w:rFonts w:ascii="Arial" w:eastAsia="Calibri" w:hAnsi="Arial" w:cs="Arial"/>
        </w:rPr>
        <w:t xml:space="preserve">he local </w:t>
      </w:r>
      <w:r w:rsidR="00D821BE" w:rsidRPr="00372714">
        <w:rPr>
          <w:rFonts w:ascii="Arial" w:eastAsia="Calibri" w:hAnsi="Arial" w:cs="Arial"/>
        </w:rPr>
        <w:t>authority</w:t>
      </w:r>
      <w:r w:rsidR="000E14BA" w:rsidRPr="00372714">
        <w:rPr>
          <w:rFonts w:ascii="Arial" w:eastAsia="Calibri" w:hAnsi="Arial" w:cs="Arial"/>
        </w:rPr>
        <w:t xml:space="preserve"> </w:t>
      </w:r>
      <w:r w:rsidR="00275209">
        <w:rPr>
          <w:rFonts w:ascii="Arial" w:eastAsia="Calibri" w:hAnsi="Arial" w:cs="Arial"/>
        </w:rPr>
        <w:t>worked</w:t>
      </w:r>
      <w:r w:rsidR="00A07D7A" w:rsidRPr="00372714">
        <w:rPr>
          <w:rFonts w:ascii="Arial" w:eastAsia="Calibri" w:hAnsi="Arial" w:cs="Arial"/>
        </w:rPr>
        <w:t xml:space="preserve"> with the </w:t>
      </w:r>
      <w:r w:rsidR="004A1248">
        <w:rPr>
          <w:rFonts w:ascii="Arial" w:eastAsia="Calibri" w:hAnsi="Arial" w:cs="Arial"/>
        </w:rPr>
        <w:t>local market with i</w:t>
      </w:r>
      <w:r w:rsidR="00176300" w:rsidRPr="00372714">
        <w:rPr>
          <w:rFonts w:ascii="Arial" w:eastAsia="Calibri" w:hAnsi="Arial" w:cs="Arial"/>
        </w:rPr>
        <w:t xml:space="preserve">nitial contact made via the Support to Care Home network and by use of </w:t>
      </w:r>
      <w:r w:rsidR="00A30D35" w:rsidRPr="00372714">
        <w:rPr>
          <w:rFonts w:ascii="Arial" w:eastAsia="Calibri" w:hAnsi="Arial" w:cs="Arial"/>
        </w:rPr>
        <w:t>newsletters</w:t>
      </w:r>
      <w:r w:rsidR="00176300" w:rsidRPr="00372714">
        <w:rPr>
          <w:rFonts w:ascii="Arial" w:eastAsia="Calibri" w:hAnsi="Arial" w:cs="Arial"/>
        </w:rPr>
        <w:t xml:space="preserve">, </w:t>
      </w:r>
      <w:r w:rsidR="00EF429B" w:rsidRPr="00372714">
        <w:rPr>
          <w:rFonts w:ascii="Arial" w:eastAsia="Calibri" w:hAnsi="Arial" w:cs="Arial"/>
        </w:rPr>
        <w:t>supported</w:t>
      </w:r>
      <w:r w:rsidR="00176300" w:rsidRPr="00372714">
        <w:rPr>
          <w:rFonts w:ascii="Arial" w:eastAsia="Calibri" w:hAnsi="Arial" w:cs="Arial"/>
        </w:rPr>
        <w:t xml:space="preserve"> by</w:t>
      </w:r>
      <w:r w:rsidR="00BD5A7D" w:rsidRPr="00372714">
        <w:rPr>
          <w:rFonts w:ascii="Arial" w:eastAsia="Calibri" w:hAnsi="Arial" w:cs="Arial"/>
        </w:rPr>
        <w:t xml:space="preserve"> email communications</w:t>
      </w:r>
      <w:r w:rsidR="00176300" w:rsidRPr="00372714">
        <w:rPr>
          <w:rFonts w:ascii="Arial" w:eastAsia="Calibri" w:hAnsi="Arial" w:cs="Arial"/>
        </w:rPr>
        <w:t xml:space="preserve">. </w:t>
      </w:r>
    </w:p>
    <w:p w14:paraId="7425468D" w14:textId="15F935D2" w:rsidR="00BD5A7D" w:rsidRPr="00372714" w:rsidRDefault="00176300" w:rsidP="00BD5A7D">
      <w:pPr>
        <w:rPr>
          <w:rFonts w:ascii="Arial" w:eastAsia="Calibri" w:hAnsi="Arial" w:cs="Arial"/>
        </w:rPr>
      </w:pPr>
      <w:r w:rsidRPr="00372714">
        <w:rPr>
          <w:rFonts w:ascii="Arial" w:eastAsia="Calibri" w:hAnsi="Arial" w:cs="Arial"/>
        </w:rPr>
        <w:t xml:space="preserve">Providers also had access to </w:t>
      </w:r>
      <w:r w:rsidR="006C28DB" w:rsidRPr="00372714">
        <w:rPr>
          <w:rFonts w:ascii="Arial" w:eastAsia="Calibri" w:hAnsi="Arial" w:cs="Arial"/>
        </w:rPr>
        <w:t>drop-in</w:t>
      </w:r>
      <w:r w:rsidRPr="00372714">
        <w:rPr>
          <w:rFonts w:ascii="Arial" w:eastAsia="Calibri" w:hAnsi="Arial" w:cs="Arial"/>
        </w:rPr>
        <w:t xml:space="preserve"> sessions with </w:t>
      </w:r>
      <w:bookmarkStart w:id="2" w:name="_Hlk115857927"/>
      <w:r w:rsidR="006047F1" w:rsidRPr="00C60B62">
        <w:rPr>
          <w:rFonts w:ascii="Arial" w:eastAsia="Calibri" w:hAnsi="Arial" w:cs="Arial"/>
        </w:rPr>
        <w:t>local authority</w:t>
      </w:r>
      <w:r w:rsidR="006047F1">
        <w:rPr>
          <w:rFonts w:ascii="Arial" w:eastAsia="Calibri" w:hAnsi="Arial" w:cs="Arial"/>
        </w:rPr>
        <w:t xml:space="preserve"> </w:t>
      </w:r>
      <w:bookmarkEnd w:id="2"/>
      <w:r w:rsidRPr="00372714">
        <w:rPr>
          <w:rFonts w:ascii="Arial" w:eastAsia="Calibri" w:hAnsi="Arial" w:cs="Arial"/>
        </w:rPr>
        <w:t>staff to assist in any questions regarding accessing</w:t>
      </w:r>
      <w:r w:rsidR="00A574AC" w:rsidRPr="00372714">
        <w:rPr>
          <w:rFonts w:ascii="Arial" w:eastAsia="Calibri" w:hAnsi="Arial" w:cs="Arial"/>
        </w:rPr>
        <w:t>, registering,</w:t>
      </w:r>
      <w:r w:rsidRPr="00372714">
        <w:rPr>
          <w:rFonts w:ascii="Arial" w:eastAsia="Calibri" w:hAnsi="Arial" w:cs="Arial"/>
        </w:rPr>
        <w:t xml:space="preserve"> or completing the </w:t>
      </w:r>
      <w:proofErr w:type="spellStart"/>
      <w:r w:rsidRPr="00372714">
        <w:rPr>
          <w:rFonts w:ascii="Arial" w:eastAsia="Calibri" w:hAnsi="Arial" w:cs="Arial"/>
        </w:rPr>
        <w:t>iESE</w:t>
      </w:r>
      <w:proofErr w:type="spellEnd"/>
      <w:r w:rsidR="004C1DC7">
        <w:rPr>
          <w:rFonts w:ascii="Arial" w:eastAsia="Calibri" w:hAnsi="Arial" w:cs="Arial"/>
        </w:rPr>
        <w:t xml:space="preserve"> data collection</w:t>
      </w:r>
      <w:r w:rsidRPr="00372714">
        <w:rPr>
          <w:rFonts w:ascii="Arial" w:eastAsia="Calibri" w:hAnsi="Arial" w:cs="Arial"/>
        </w:rPr>
        <w:t xml:space="preserve"> tool. This included key timelines</w:t>
      </w:r>
      <w:r w:rsidR="00E87C9F" w:rsidRPr="00372714">
        <w:rPr>
          <w:rFonts w:ascii="Arial" w:eastAsia="Calibri" w:hAnsi="Arial" w:cs="Arial"/>
        </w:rPr>
        <w:t xml:space="preserve"> to meet</w:t>
      </w:r>
      <w:r w:rsidRPr="00372714">
        <w:rPr>
          <w:rFonts w:ascii="Arial" w:eastAsia="Calibri" w:hAnsi="Arial" w:cs="Arial"/>
        </w:rPr>
        <w:t xml:space="preserve"> the national deadline. A pr</w:t>
      </w:r>
      <w:r w:rsidR="00BD5A7D" w:rsidRPr="00372714">
        <w:rPr>
          <w:rFonts w:ascii="Arial" w:eastAsia="Calibri" w:hAnsi="Arial" w:cs="Arial"/>
        </w:rPr>
        <w:t>ovider event was held jointly with North Lincolnshire Council on 5th May 2022</w:t>
      </w:r>
      <w:r w:rsidRPr="00372714">
        <w:rPr>
          <w:rFonts w:ascii="Arial" w:eastAsia="Calibri" w:hAnsi="Arial" w:cs="Arial"/>
        </w:rPr>
        <w:t xml:space="preserve"> </w:t>
      </w:r>
      <w:r w:rsidRPr="00C60B62">
        <w:rPr>
          <w:rFonts w:ascii="Arial" w:eastAsia="Calibri" w:hAnsi="Arial" w:cs="Arial"/>
        </w:rPr>
        <w:t xml:space="preserve">and included the </w:t>
      </w:r>
      <w:proofErr w:type="spellStart"/>
      <w:r w:rsidR="00C60B62" w:rsidRPr="00C60B62">
        <w:rPr>
          <w:rFonts w:ascii="Arial" w:eastAsia="Calibri" w:hAnsi="Arial" w:cs="Arial"/>
        </w:rPr>
        <w:t>iESE</w:t>
      </w:r>
      <w:proofErr w:type="spellEnd"/>
      <w:r w:rsidR="00C60B62" w:rsidRPr="00C60B62">
        <w:rPr>
          <w:rFonts w:ascii="Arial" w:eastAsia="Calibri" w:hAnsi="Arial" w:cs="Arial"/>
        </w:rPr>
        <w:t xml:space="preserve"> </w:t>
      </w:r>
      <w:r w:rsidRPr="00C60B62">
        <w:rPr>
          <w:rFonts w:ascii="Arial" w:eastAsia="Calibri" w:hAnsi="Arial" w:cs="Arial"/>
        </w:rPr>
        <w:t xml:space="preserve">tool </w:t>
      </w:r>
      <w:r w:rsidR="00C60B62" w:rsidRPr="00C60B62">
        <w:rPr>
          <w:rFonts w:ascii="Arial" w:eastAsia="Calibri" w:hAnsi="Arial" w:cs="Arial"/>
        </w:rPr>
        <w:t>developers</w:t>
      </w:r>
      <w:r w:rsidRPr="00C60B62">
        <w:rPr>
          <w:rFonts w:ascii="Arial" w:eastAsia="Calibri" w:hAnsi="Arial" w:cs="Arial"/>
        </w:rPr>
        <w:t xml:space="preserve"> to ensure consistency of approac</w:t>
      </w:r>
      <w:r w:rsidR="00E87C9F" w:rsidRPr="00C60B62">
        <w:rPr>
          <w:rFonts w:ascii="Arial" w:eastAsia="Calibri" w:hAnsi="Arial" w:cs="Arial"/>
        </w:rPr>
        <w:t>h.</w:t>
      </w:r>
      <w:r w:rsidR="00EF429B" w:rsidRPr="00C60B62">
        <w:rPr>
          <w:rFonts w:ascii="Arial" w:eastAsia="Calibri" w:hAnsi="Arial" w:cs="Arial"/>
        </w:rPr>
        <w:t xml:space="preserve"> </w:t>
      </w:r>
      <w:r w:rsidR="00EF429B" w:rsidRPr="00372714">
        <w:rPr>
          <w:rFonts w:ascii="Arial" w:eastAsia="Calibri" w:hAnsi="Arial" w:cs="Arial"/>
        </w:rPr>
        <w:t xml:space="preserve">This is because </w:t>
      </w:r>
      <w:r w:rsidR="00C60B62" w:rsidRPr="00372714">
        <w:rPr>
          <w:rFonts w:ascii="Arial" w:eastAsia="Calibri" w:hAnsi="Arial" w:cs="Arial"/>
        </w:rPr>
        <w:t>several</w:t>
      </w:r>
      <w:r w:rsidR="00EF429B" w:rsidRPr="00372714">
        <w:rPr>
          <w:rFonts w:ascii="Arial" w:eastAsia="Calibri" w:hAnsi="Arial" w:cs="Arial"/>
        </w:rPr>
        <w:t xml:space="preserve"> providers work across both authority areas</w:t>
      </w:r>
      <w:r w:rsidR="00B80632" w:rsidRPr="00372714">
        <w:rPr>
          <w:rFonts w:ascii="Arial" w:eastAsia="Calibri" w:hAnsi="Arial" w:cs="Arial"/>
        </w:rPr>
        <w:t>.</w:t>
      </w:r>
    </w:p>
    <w:p w14:paraId="55108AEE" w14:textId="58D9D216" w:rsidR="00BD5A7D" w:rsidRPr="00372714" w:rsidRDefault="00BD5A7D" w:rsidP="00BD5A7D">
      <w:pPr>
        <w:rPr>
          <w:rFonts w:ascii="Arial" w:eastAsia="Calibri" w:hAnsi="Arial" w:cs="Arial"/>
        </w:rPr>
      </w:pPr>
      <w:r w:rsidRPr="00372714">
        <w:rPr>
          <w:rFonts w:ascii="Arial" w:eastAsia="Calibri" w:hAnsi="Arial" w:cs="Arial"/>
        </w:rPr>
        <w:t xml:space="preserve">Provider support </w:t>
      </w:r>
      <w:r w:rsidR="00E87C9F" w:rsidRPr="00372714">
        <w:rPr>
          <w:rFonts w:ascii="Arial" w:eastAsia="Calibri" w:hAnsi="Arial" w:cs="Arial"/>
        </w:rPr>
        <w:t xml:space="preserve">sessions with the </w:t>
      </w:r>
      <w:proofErr w:type="spellStart"/>
      <w:r w:rsidR="00E87C9F" w:rsidRPr="00372714">
        <w:rPr>
          <w:rFonts w:ascii="Arial" w:eastAsia="Calibri" w:hAnsi="Arial" w:cs="Arial"/>
        </w:rPr>
        <w:t>iESE</w:t>
      </w:r>
      <w:proofErr w:type="spellEnd"/>
      <w:r w:rsidR="00E87C9F" w:rsidRPr="00372714">
        <w:rPr>
          <w:rFonts w:ascii="Arial" w:eastAsia="Calibri" w:hAnsi="Arial" w:cs="Arial"/>
        </w:rPr>
        <w:t xml:space="preserve"> </w:t>
      </w:r>
      <w:r w:rsidR="00E87C9F" w:rsidRPr="00C60B62">
        <w:rPr>
          <w:rFonts w:ascii="Arial" w:eastAsia="Calibri" w:hAnsi="Arial" w:cs="Arial"/>
        </w:rPr>
        <w:t>develop</w:t>
      </w:r>
      <w:r w:rsidR="00A574AC" w:rsidRPr="00C60B62">
        <w:rPr>
          <w:rFonts w:ascii="Arial" w:eastAsia="Calibri" w:hAnsi="Arial" w:cs="Arial"/>
        </w:rPr>
        <w:t>ment team</w:t>
      </w:r>
      <w:r w:rsidR="00A574AC" w:rsidRPr="00372714">
        <w:rPr>
          <w:rFonts w:ascii="Arial" w:eastAsia="Calibri" w:hAnsi="Arial" w:cs="Arial"/>
        </w:rPr>
        <w:t xml:space="preserve"> </w:t>
      </w:r>
      <w:r w:rsidR="00E87C9F" w:rsidRPr="00372714">
        <w:rPr>
          <w:rFonts w:ascii="Arial" w:eastAsia="Calibri" w:hAnsi="Arial" w:cs="Arial"/>
        </w:rPr>
        <w:t>were signposted</w:t>
      </w:r>
      <w:r w:rsidRPr="00372714">
        <w:rPr>
          <w:rFonts w:ascii="Arial" w:eastAsia="Calibri" w:hAnsi="Arial" w:cs="Arial"/>
        </w:rPr>
        <w:t xml:space="preserve">, to help providers complete their returns, as well as one to one </w:t>
      </w:r>
      <w:proofErr w:type="gramStart"/>
      <w:r w:rsidRPr="00372714">
        <w:rPr>
          <w:rFonts w:ascii="Arial" w:eastAsia="Calibri" w:hAnsi="Arial" w:cs="Arial"/>
        </w:rPr>
        <w:t>sessions</w:t>
      </w:r>
      <w:proofErr w:type="gramEnd"/>
      <w:r w:rsidRPr="00372714">
        <w:rPr>
          <w:rFonts w:ascii="Arial" w:eastAsia="Calibri" w:hAnsi="Arial" w:cs="Arial"/>
        </w:rPr>
        <w:t xml:space="preserve"> held with the North</w:t>
      </w:r>
      <w:r w:rsidR="00E87C9F" w:rsidRPr="00372714">
        <w:rPr>
          <w:rFonts w:ascii="Arial" w:eastAsia="Calibri" w:hAnsi="Arial" w:cs="Arial"/>
        </w:rPr>
        <w:t xml:space="preserve"> East</w:t>
      </w:r>
      <w:r w:rsidRPr="00372714">
        <w:rPr>
          <w:rFonts w:ascii="Arial" w:eastAsia="Calibri" w:hAnsi="Arial" w:cs="Arial"/>
        </w:rPr>
        <w:t xml:space="preserve"> Lincolnshire project team to </w:t>
      </w:r>
      <w:r w:rsidR="006C28DB" w:rsidRPr="00372714">
        <w:rPr>
          <w:rFonts w:ascii="Arial" w:eastAsia="Calibri" w:hAnsi="Arial" w:cs="Arial"/>
        </w:rPr>
        <w:t>aid</w:t>
      </w:r>
      <w:r w:rsidRPr="00372714">
        <w:rPr>
          <w:rFonts w:ascii="Arial" w:eastAsia="Calibri" w:hAnsi="Arial" w:cs="Arial"/>
        </w:rPr>
        <w:t xml:space="preserve"> the completion of the returns, and discuss any queries with data submitted. </w:t>
      </w:r>
      <w:r w:rsidR="00E87C9F" w:rsidRPr="00372714">
        <w:rPr>
          <w:rFonts w:ascii="Arial" w:eastAsia="Calibri" w:hAnsi="Arial" w:cs="Arial"/>
        </w:rPr>
        <w:t xml:space="preserve">Individual 1:1 </w:t>
      </w:r>
      <w:r w:rsidR="00E90DAD">
        <w:rPr>
          <w:rFonts w:ascii="Arial" w:eastAsia="Calibri" w:hAnsi="Arial" w:cs="Arial"/>
        </w:rPr>
        <w:t xml:space="preserve">was available via </w:t>
      </w:r>
      <w:r w:rsidR="00E87C9F" w:rsidRPr="00372714">
        <w:rPr>
          <w:rFonts w:ascii="Arial" w:eastAsia="Calibri" w:hAnsi="Arial" w:cs="Arial"/>
        </w:rPr>
        <w:t xml:space="preserve">telephone support and </w:t>
      </w:r>
      <w:r w:rsidR="00E90DAD">
        <w:rPr>
          <w:rFonts w:ascii="Arial" w:eastAsia="Calibri" w:hAnsi="Arial" w:cs="Arial"/>
        </w:rPr>
        <w:t>Microsoft Teams</w:t>
      </w:r>
      <w:r w:rsidR="00993FD3" w:rsidRPr="00372714">
        <w:rPr>
          <w:rFonts w:ascii="Arial" w:eastAsia="Calibri" w:hAnsi="Arial" w:cs="Arial"/>
        </w:rPr>
        <w:t>. This was assisted by the continued engagement with providers because of supporting the COVID -19 pandemic and through the regular and frequent support network meetings</w:t>
      </w:r>
      <w:r w:rsidR="00D821BE" w:rsidRPr="00372714">
        <w:rPr>
          <w:rFonts w:ascii="Arial" w:eastAsia="Calibri" w:hAnsi="Arial" w:cs="Arial"/>
        </w:rPr>
        <w:t>.</w:t>
      </w:r>
    </w:p>
    <w:p w14:paraId="7C142B49" w14:textId="3804E8D6" w:rsidR="000A22AB" w:rsidRDefault="00B80632" w:rsidP="00BD5A7D">
      <w:pPr>
        <w:rPr>
          <w:rFonts w:ascii="Arial" w:eastAsia="Calibri" w:hAnsi="Arial" w:cs="Arial"/>
        </w:rPr>
      </w:pPr>
      <w:r w:rsidRPr="00372714">
        <w:rPr>
          <w:rFonts w:ascii="Arial" w:eastAsia="Calibri" w:hAnsi="Arial" w:cs="Arial"/>
        </w:rPr>
        <w:t xml:space="preserve">Queries about individual components on returns were raised with providers within the </w:t>
      </w:r>
      <w:proofErr w:type="spellStart"/>
      <w:r w:rsidRPr="00372714">
        <w:rPr>
          <w:rFonts w:ascii="Arial" w:eastAsia="Calibri" w:hAnsi="Arial" w:cs="Arial"/>
        </w:rPr>
        <w:t>iESE</w:t>
      </w:r>
      <w:proofErr w:type="spellEnd"/>
      <w:r w:rsidRPr="00372714">
        <w:rPr>
          <w:rFonts w:ascii="Arial" w:eastAsia="Calibri" w:hAnsi="Arial" w:cs="Arial"/>
        </w:rPr>
        <w:t xml:space="preserve"> tool </w:t>
      </w:r>
      <w:r w:rsidR="00B56A4A" w:rsidRPr="00E90DAD">
        <w:rPr>
          <w:rFonts w:ascii="Arial" w:eastAsia="Calibri" w:hAnsi="Arial" w:cs="Arial"/>
        </w:rPr>
        <w:t>and</w:t>
      </w:r>
      <w:r w:rsidR="00B56A4A">
        <w:rPr>
          <w:rFonts w:ascii="Arial" w:eastAsia="Calibri" w:hAnsi="Arial" w:cs="Arial"/>
        </w:rPr>
        <w:t xml:space="preserve"> </w:t>
      </w:r>
      <w:r w:rsidRPr="00372714">
        <w:rPr>
          <w:rFonts w:ascii="Arial" w:eastAsia="Calibri" w:hAnsi="Arial" w:cs="Arial"/>
        </w:rPr>
        <w:t>followed up by emails where appropriate. R</w:t>
      </w:r>
      <w:r w:rsidR="00D821BE" w:rsidRPr="00372714">
        <w:rPr>
          <w:rFonts w:ascii="Arial" w:eastAsia="Calibri" w:hAnsi="Arial" w:cs="Arial"/>
        </w:rPr>
        <w:t xml:space="preserve">esponses were then considered, and amendments agreed. In some </w:t>
      </w:r>
      <w:r w:rsidRPr="00372714">
        <w:rPr>
          <w:rFonts w:ascii="Arial" w:eastAsia="Calibri" w:hAnsi="Arial" w:cs="Arial"/>
        </w:rPr>
        <w:t>cases,</w:t>
      </w:r>
      <w:r w:rsidR="00D821BE" w:rsidRPr="00372714">
        <w:rPr>
          <w:rFonts w:ascii="Arial" w:eastAsia="Calibri" w:hAnsi="Arial" w:cs="Arial"/>
        </w:rPr>
        <w:t xml:space="preserve"> this included a request for evidence to support the values submitted. It should be noted that not all queries were resolved by the close of the exercise</w:t>
      </w:r>
      <w:r w:rsidRPr="00372714">
        <w:rPr>
          <w:rFonts w:ascii="Arial" w:eastAsia="Calibri" w:hAnsi="Arial" w:cs="Arial"/>
        </w:rPr>
        <w:t>.</w:t>
      </w:r>
    </w:p>
    <w:p w14:paraId="30C12FA7" w14:textId="5373E95D" w:rsidR="003E4628" w:rsidRPr="00372714" w:rsidRDefault="003E4628" w:rsidP="00BD5A7D">
      <w:pPr>
        <w:rPr>
          <w:rFonts w:ascii="Arial" w:eastAsia="Calibri" w:hAnsi="Arial" w:cs="Arial"/>
        </w:rPr>
      </w:pPr>
      <w:r>
        <w:rPr>
          <w:rFonts w:ascii="Arial" w:eastAsia="Calibri" w:hAnsi="Arial" w:cs="Arial"/>
        </w:rPr>
        <w:t>Further engagement has taken place in early 202</w:t>
      </w:r>
      <w:r w:rsidR="003449EF">
        <w:rPr>
          <w:rFonts w:ascii="Arial" w:eastAsia="Calibri" w:hAnsi="Arial" w:cs="Arial"/>
        </w:rPr>
        <w:t>3</w:t>
      </w:r>
      <w:r>
        <w:rPr>
          <w:rFonts w:ascii="Arial" w:eastAsia="Calibri" w:hAnsi="Arial" w:cs="Arial"/>
        </w:rPr>
        <w:t xml:space="preserve"> to inform </w:t>
      </w:r>
      <w:r w:rsidR="003F399D">
        <w:rPr>
          <w:rFonts w:ascii="Arial" w:eastAsia="Calibri" w:hAnsi="Arial" w:cs="Arial"/>
        </w:rPr>
        <w:t>fee rate setting for</w:t>
      </w:r>
      <w:r w:rsidR="007F16C4">
        <w:rPr>
          <w:rFonts w:ascii="Arial" w:eastAsia="Calibri" w:hAnsi="Arial" w:cs="Arial"/>
        </w:rPr>
        <w:t xml:space="preserve"> the</w:t>
      </w:r>
      <w:r w:rsidR="003F399D">
        <w:rPr>
          <w:rFonts w:ascii="Arial" w:eastAsia="Calibri" w:hAnsi="Arial" w:cs="Arial"/>
        </w:rPr>
        <w:t xml:space="preserve"> 2023</w:t>
      </w:r>
      <w:r w:rsidR="007F16C4">
        <w:rPr>
          <w:rFonts w:ascii="Arial" w:eastAsia="Calibri" w:hAnsi="Arial" w:cs="Arial"/>
        </w:rPr>
        <w:t>/ 2024 year</w:t>
      </w:r>
      <w:r>
        <w:rPr>
          <w:rFonts w:ascii="Arial" w:eastAsia="Calibri" w:hAnsi="Arial" w:cs="Arial"/>
        </w:rPr>
        <w:t>.</w:t>
      </w:r>
    </w:p>
    <w:p w14:paraId="76AEA21A" w14:textId="2EE4D3C6" w:rsidR="00BD5A7D" w:rsidRPr="00372714" w:rsidRDefault="00BD5A7D" w:rsidP="00417F5F">
      <w:pPr>
        <w:pStyle w:val="ListParagraph"/>
        <w:numPr>
          <w:ilvl w:val="0"/>
          <w:numId w:val="5"/>
        </w:numPr>
        <w:ind w:left="284"/>
        <w:rPr>
          <w:rFonts w:ascii="Arial" w:eastAsia="Calibri" w:hAnsi="Arial" w:cs="Arial"/>
          <w:b/>
          <w:bCs/>
          <w:sz w:val="24"/>
          <w:szCs w:val="24"/>
          <w:u w:val="single"/>
        </w:rPr>
      </w:pPr>
      <w:r w:rsidRPr="00372714">
        <w:rPr>
          <w:rFonts w:ascii="Arial" w:eastAsia="Calibri" w:hAnsi="Arial" w:cs="Arial"/>
          <w:b/>
          <w:bCs/>
          <w:sz w:val="24"/>
          <w:szCs w:val="24"/>
          <w:u w:val="single"/>
        </w:rPr>
        <w:t xml:space="preserve">Response </w:t>
      </w:r>
      <w:r w:rsidR="00DC3678" w:rsidRPr="00C60B62">
        <w:rPr>
          <w:rFonts w:ascii="Arial" w:eastAsia="Calibri" w:hAnsi="Arial" w:cs="Arial"/>
          <w:b/>
          <w:bCs/>
          <w:sz w:val="24"/>
          <w:szCs w:val="24"/>
          <w:u w:val="single"/>
        </w:rPr>
        <w:t>r</w:t>
      </w:r>
      <w:r w:rsidRPr="00372714">
        <w:rPr>
          <w:rFonts w:ascii="Arial" w:eastAsia="Calibri" w:hAnsi="Arial" w:cs="Arial"/>
          <w:b/>
          <w:bCs/>
          <w:sz w:val="24"/>
          <w:szCs w:val="24"/>
          <w:u w:val="single"/>
        </w:rPr>
        <w:t xml:space="preserve">ate </w:t>
      </w:r>
    </w:p>
    <w:p w14:paraId="7340AD66" w14:textId="0BA0A96E" w:rsidR="00885018" w:rsidRDefault="00A07D7A" w:rsidP="00BD5A7D">
      <w:pPr>
        <w:rPr>
          <w:rFonts w:ascii="Arial" w:eastAsia="Calibri" w:hAnsi="Arial" w:cs="Arial"/>
        </w:rPr>
      </w:pPr>
      <w:proofErr w:type="gramStart"/>
      <w:r w:rsidRPr="00372714">
        <w:rPr>
          <w:rFonts w:ascii="Arial" w:eastAsia="Calibri" w:hAnsi="Arial" w:cs="Arial"/>
        </w:rPr>
        <w:t>North East</w:t>
      </w:r>
      <w:proofErr w:type="gramEnd"/>
      <w:r w:rsidRPr="00372714">
        <w:rPr>
          <w:rFonts w:ascii="Arial" w:eastAsia="Calibri" w:hAnsi="Arial" w:cs="Arial"/>
        </w:rPr>
        <w:t xml:space="preserve"> Lincolnshire appreciates the support from care providers who have submitted their responses to the fair cost of care exercise, as this has provided insight and understanding into the local cost of providing care for care homes (65+). The exercise </w:t>
      </w:r>
      <w:r w:rsidR="00885018">
        <w:rPr>
          <w:rFonts w:ascii="Arial" w:eastAsia="Calibri" w:hAnsi="Arial" w:cs="Arial"/>
        </w:rPr>
        <w:t>has</w:t>
      </w:r>
      <w:r w:rsidRPr="00372714">
        <w:rPr>
          <w:rFonts w:ascii="Arial" w:eastAsia="Calibri" w:hAnsi="Arial" w:cs="Arial"/>
        </w:rPr>
        <w:t xml:space="preserve"> identif</w:t>
      </w:r>
      <w:r w:rsidR="00AF7F26">
        <w:rPr>
          <w:rFonts w:ascii="Arial" w:eastAsia="Calibri" w:hAnsi="Arial" w:cs="Arial"/>
        </w:rPr>
        <w:t>ied</w:t>
      </w:r>
      <w:r w:rsidRPr="00372714">
        <w:rPr>
          <w:rFonts w:ascii="Arial" w:eastAsia="Calibri" w:hAnsi="Arial" w:cs="Arial"/>
        </w:rPr>
        <w:t xml:space="preserve"> the lower quartile, median and upper quartile costs</w:t>
      </w:r>
      <w:r w:rsidR="00AF7F26">
        <w:rPr>
          <w:rFonts w:ascii="Arial" w:eastAsia="Calibri" w:hAnsi="Arial" w:cs="Arial"/>
        </w:rPr>
        <w:t xml:space="preserve"> as required</w:t>
      </w:r>
      <w:r w:rsidRPr="00372714">
        <w:rPr>
          <w:rFonts w:ascii="Arial" w:eastAsia="Calibri" w:hAnsi="Arial" w:cs="Arial"/>
        </w:rPr>
        <w:t>.</w:t>
      </w:r>
      <w:r w:rsidR="00D821BE" w:rsidRPr="00372714">
        <w:rPr>
          <w:rFonts w:ascii="Arial" w:eastAsia="Calibri" w:hAnsi="Arial" w:cs="Arial"/>
        </w:rPr>
        <w:t xml:space="preserve"> </w:t>
      </w:r>
    </w:p>
    <w:p w14:paraId="2AE2A528" w14:textId="3ACA0578" w:rsidR="00A07D7A" w:rsidRPr="00372714" w:rsidRDefault="00D821BE" w:rsidP="00BD5A7D">
      <w:pPr>
        <w:rPr>
          <w:rFonts w:ascii="Arial" w:eastAsia="Calibri" w:hAnsi="Arial" w:cs="Arial"/>
        </w:rPr>
      </w:pPr>
      <w:r w:rsidRPr="00372714">
        <w:rPr>
          <w:rFonts w:ascii="Arial" w:eastAsia="Calibri" w:hAnsi="Arial" w:cs="Arial"/>
        </w:rPr>
        <w:t xml:space="preserve">In </w:t>
      </w:r>
      <w:proofErr w:type="gramStart"/>
      <w:r w:rsidRPr="00372714">
        <w:rPr>
          <w:rFonts w:ascii="Arial" w:eastAsia="Calibri" w:hAnsi="Arial" w:cs="Arial"/>
        </w:rPr>
        <w:t>North East</w:t>
      </w:r>
      <w:proofErr w:type="gramEnd"/>
      <w:r w:rsidRPr="00372714">
        <w:rPr>
          <w:rFonts w:ascii="Arial" w:eastAsia="Calibri" w:hAnsi="Arial" w:cs="Arial"/>
        </w:rPr>
        <w:t xml:space="preserve"> Lincolnshire there are 28 r</w:t>
      </w:r>
      <w:r w:rsidR="00FA0643" w:rsidRPr="00372714">
        <w:rPr>
          <w:rFonts w:ascii="Arial" w:eastAsia="Calibri" w:hAnsi="Arial" w:cs="Arial"/>
        </w:rPr>
        <w:t>esidential care homes</w:t>
      </w:r>
      <w:r w:rsidRPr="00372714">
        <w:rPr>
          <w:rFonts w:ascii="Arial" w:eastAsia="Calibri" w:hAnsi="Arial" w:cs="Arial"/>
        </w:rPr>
        <w:t xml:space="preserve"> and 6 nursing</w:t>
      </w:r>
      <w:r w:rsidR="00FA0643" w:rsidRPr="00372714">
        <w:rPr>
          <w:rFonts w:ascii="Arial" w:eastAsia="Calibri" w:hAnsi="Arial" w:cs="Arial"/>
        </w:rPr>
        <w:t xml:space="preserve"> care homes </w:t>
      </w:r>
      <w:r w:rsidRPr="00372714">
        <w:rPr>
          <w:rFonts w:ascii="Arial" w:eastAsia="Calibri" w:hAnsi="Arial" w:cs="Arial"/>
        </w:rPr>
        <w:t xml:space="preserve">who </w:t>
      </w:r>
      <w:r w:rsidR="00FA0643" w:rsidRPr="00372714">
        <w:rPr>
          <w:rFonts w:ascii="Arial" w:eastAsia="Calibri" w:hAnsi="Arial" w:cs="Arial"/>
        </w:rPr>
        <w:t>were</w:t>
      </w:r>
      <w:r w:rsidRPr="00372714">
        <w:rPr>
          <w:rFonts w:ascii="Arial" w:eastAsia="Calibri" w:hAnsi="Arial" w:cs="Arial"/>
        </w:rPr>
        <w:t xml:space="preserve"> in scope of the exercise.</w:t>
      </w:r>
    </w:p>
    <w:p w14:paraId="248DB0E4" w14:textId="6A6189F8" w:rsidR="00BD5A7D" w:rsidRPr="00372714" w:rsidRDefault="00FA0643" w:rsidP="00BD5A7D">
      <w:pPr>
        <w:rPr>
          <w:rFonts w:ascii="Arial" w:eastAsia="Calibri" w:hAnsi="Arial" w:cs="Arial"/>
        </w:rPr>
      </w:pPr>
      <w:r w:rsidRPr="00372714">
        <w:rPr>
          <w:rFonts w:ascii="Arial" w:eastAsia="Calibri" w:hAnsi="Arial" w:cs="Arial"/>
        </w:rPr>
        <w:t>T</w:t>
      </w:r>
      <w:r w:rsidR="00BD5A7D" w:rsidRPr="00372714">
        <w:rPr>
          <w:rFonts w:ascii="Arial" w:eastAsia="Calibri" w:hAnsi="Arial" w:cs="Arial"/>
        </w:rPr>
        <w:t xml:space="preserve">he 13 </w:t>
      </w:r>
      <w:r w:rsidRPr="00372714">
        <w:rPr>
          <w:rFonts w:ascii="Arial" w:eastAsia="Calibri" w:hAnsi="Arial" w:cs="Arial"/>
        </w:rPr>
        <w:t>c</w:t>
      </w:r>
      <w:r w:rsidR="00BD5A7D" w:rsidRPr="00372714">
        <w:rPr>
          <w:rFonts w:ascii="Arial" w:eastAsia="Calibri" w:hAnsi="Arial" w:cs="Arial"/>
        </w:rPr>
        <w:t xml:space="preserve">are </w:t>
      </w:r>
      <w:r w:rsidRPr="00372714">
        <w:rPr>
          <w:rFonts w:ascii="Arial" w:eastAsia="Calibri" w:hAnsi="Arial" w:cs="Arial"/>
        </w:rPr>
        <w:t>h</w:t>
      </w:r>
      <w:r w:rsidR="00BD5A7D" w:rsidRPr="00372714">
        <w:rPr>
          <w:rFonts w:ascii="Arial" w:eastAsia="Calibri" w:hAnsi="Arial" w:cs="Arial"/>
        </w:rPr>
        <w:t>ome</w:t>
      </w:r>
      <w:r w:rsidRPr="00372714">
        <w:rPr>
          <w:rFonts w:ascii="Arial" w:eastAsia="Calibri" w:hAnsi="Arial" w:cs="Arial"/>
        </w:rPr>
        <w:t>s</w:t>
      </w:r>
      <w:r w:rsidR="00BD5A7D" w:rsidRPr="00372714">
        <w:rPr>
          <w:rFonts w:ascii="Arial" w:eastAsia="Calibri" w:hAnsi="Arial" w:cs="Arial"/>
        </w:rPr>
        <w:t xml:space="preserve"> who completed </w:t>
      </w:r>
      <w:r w:rsidRPr="00372714">
        <w:rPr>
          <w:rFonts w:ascii="Arial" w:eastAsia="Calibri" w:hAnsi="Arial" w:cs="Arial"/>
        </w:rPr>
        <w:t>the return</w:t>
      </w:r>
      <w:r w:rsidR="00BD5A7D" w:rsidRPr="00372714">
        <w:rPr>
          <w:rFonts w:ascii="Arial" w:eastAsia="Calibri" w:hAnsi="Arial" w:cs="Arial"/>
        </w:rPr>
        <w:t xml:space="preserve"> equated to a 38% response rate</w:t>
      </w:r>
      <w:r w:rsidR="00993FD3" w:rsidRPr="00372714">
        <w:rPr>
          <w:rFonts w:ascii="Arial" w:eastAsia="Calibri" w:hAnsi="Arial" w:cs="Arial"/>
        </w:rPr>
        <w:t xml:space="preserve"> for those with</w:t>
      </w:r>
      <w:r w:rsidR="000A6D67" w:rsidRPr="00C60B62">
        <w:rPr>
          <w:rFonts w:ascii="Arial" w:eastAsia="Calibri" w:hAnsi="Arial" w:cs="Arial"/>
        </w:rPr>
        <w:t>in</w:t>
      </w:r>
      <w:r w:rsidR="00993FD3" w:rsidRPr="00372714">
        <w:rPr>
          <w:rFonts w:ascii="Arial" w:eastAsia="Calibri" w:hAnsi="Arial" w:cs="Arial"/>
        </w:rPr>
        <w:t xml:space="preserve"> the scope of the exercise</w:t>
      </w:r>
      <w:r w:rsidRPr="00372714">
        <w:rPr>
          <w:rFonts w:ascii="Arial" w:eastAsia="Calibri" w:hAnsi="Arial" w:cs="Arial"/>
        </w:rPr>
        <w:t>.</w:t>
      </w:r>
      <w:r w:rsidR="00BD5A7D" w:rsidRPr="00372714">
        <w:rPr>
          <w:rFonts w:ascii="Arial" w:eastAsia="Calibri" w:hAnsi="Arial" w:cs="Arial"/>
        </w:rPr>
        <w:t xml:space="preserve"> </w:t>
      </w:r>
      <w:r w:rsidRPr="00372714">
        <w:rPr>
          <w:rFonts w:ascii="Arial" w:eastAsia="Calibri" w:hAnsi="Arial" w:cs="Arial"/>
        </w:rPr>
        <w:t>S</w:t>
      </w:r>
      <w:r w:rsidR="006C28DB" w:rsidRPr="00372714">
        <w:rPr>
          <w:rFonts w:ascii="Arial" w:eastAsia="Calibri" w:hAnsi="Arial" w:cs="Arial"/>
        </w:rPr>
        <w:t>ome</w:t>
      </w:r>
      <w:r w:rsidR="00BD5A7D" w:rsidRPr="00372714">
        <w:rPr>
          <w:rFonts w:ascii="Arial" w:eastAsia="Calibri" w:hAnsi="Arial" w:cs="Arial"/>
        </w:rPr>
        <w:t xml:space="preserve"> providers declined to participate as they saw this </w:t>
      </w:r>
      <w:r w:rsidRPr="00372714">
        <w:rPr>
          <w:rFonts w:ascii="Arial" w:eastAsia="Calibri" w:hAnsi="Arial" w:cs="Arial"/>
        </w:rPr>
        <w:t>as an additional</w:t>
      </w:r>
      <w:r w:rsidR="00BD5A7D" w:rsidRPr="00372714">
        <w:rPr>
          <w:rFonts w:ascii="Arial" w:eastAsia="Calibri" w:hAnsi="Arial" w:cs="Arial"/>
        </w:rPr>
        <w:t xml:space="preserve"> burden</w:t>
      </w:r>
      <w:r w:rsidRPr="00372714">
        <w:rPr>
          <w:rFonts w:ascii="Arial" w:eastAsia="Calibri" w:hAnsi="Arial" w:cs="Arial"/>
        </w:rPr>
        <w:t xml:space="preserve"> that they didn’t have the time or capacity to complete; especially as this was towards the end of the most recent pandemic wave</w:t>
      </w:r>
      <w:r w:rsidR="00BD5A7D" w:rsidRPr="00372714">
        <w:rPr>
          <w:rFonts w:ascii="Arial" w:eastAsia="Calibri" w:hAnsi="Arial" w:cs="Arial"/>
        </w:rPr>
        <w:t>.</w:t>
      </w:r>
      <w:r w:rsidR="00C6576C" w:rsidRPr="00372714">
        <w:rPr>
          <w:rFonts w:ascii="Arial" w:eastAsia="Calibri" w:hAnsi="Arial" w:cs="Arial"/>
        </w:rPr>
        <w:t xml:space="preserve"> </w:t>
      </w:r>
      <w:r w:rsidRPr="00372714">
        <w:rPr>
          <w:rFonts w:ascii="Arial" w:eastAsia="Calibri" w:hAnsi="Arial" w:cs="Arial"/>
        </w:rPr>
        <w:t>A standard s</w:t>
      </w:r>
      <w:r w:rsidR="00C6576C" w:rsidRPr="00372714">
        <w:rPr>
          <w:rFonts w:ascii="Arial" w:eastAsia="Calibri" w:hAnsi="Arial" w:cs="Arial"/>
        </w:rPr>
        <w:t xml:space="preserve">upport </w:t>
      </w:r>
      <w:r w:rsidR="00446C10" w:rsidRPr="00372714">
        <w:rPr>
          <w:rFonts w:ascii="Arial" w:eastAsia="Calibri" w:hAnsi="Arial" w:cs="Arial"/>
        </w:rPr>
        <w:t xml:space="preserve">payment was </w:t>
      </w:r>
      <w:r w:rsidR="00C6576C" w:rsidRPr="00372714">
        <w:rPr>
          <w:rFonts w:ascii="Arial" w:eastAsia="Calibri" w:hAnsi="Arial" w:cs="Arial"/>
        </w:rPr>
        <w:t>offered to</w:t>
      </w:r>
      <w:r w:rsidR="00446C10" w:rsidRPr="00372714">
        <w:rPr>
          <w:rFonts w:ascii="Arial" w:eastAsia="Calibri" w:hAnsi="Arial" w:cs="Arial"/>
        </w:rPr>
        <w:t xml:space="preserve"> care homes</w:t>
      </w:r>
      <w:r w:rsidR="00C6576C" w:rsidRPr="00372714">
        <w:rPr>
          <w:rFonts w:ascii="Arial" w:eastAsia="Calibri" w:hAnsi="Arial" w:cs="Arial"/>
        </w:rPr>
        <w:t xml:space="preserve"> to complete the tool</w:t>
      </w:r>
      <w:r w:rsidR="00446C10" w:rsidRPr="00372714">
        <w:rPr>
          <w:rFonts w:ascii="Arial" w:eastAsia="Calibri" w:hAnsi="Arial" w:cs="Arial"/>
        </w:rPr>
        <w:t xml:space="preserve"> to try to mitigate this, however this did not have a significant impact on completion of returns. </w:t>
      </w:r>
    </w:p>
    <w:p w14:paraId="6A5C2B30" w14:textId="5A479346" w:rsidR="00BD5A7D" w:rsidRPr="003449EF" w:rsidRDefault="00BD5A7D" w:rsidP="00BD5A7D">
      <w:pPr>
        <w:rPr>
          <w:rFonts w:ascii="Arial" w:eastAsia="Calibri" w:hAnsi="Arial" w:cs="Arial"/>
        </w:rPr>
      </w:pPr>
      <w:r w:rsidRPr="00372714">
        <w:rPr>
          <w:rFonts w:ascii="Arial" w:eastAsia="Calibri" w:hAnsi="Arial" w:cs="Arial"/>
        </w:rPr>
        <w:t>Whilst th</w:t>
      </w:r>
      <w:r w:rsidR="00446C10" w:rsidRPr="00372714">
        <w:rPr>
          <w:rFonts w:ascii="Arial" w:eastAsia="Calibri" w:hAnsi="Arial" w:cs="Arial"/>
        </w:rPr>
        <w:t>e percentage of returns is thought to</w:t>
      </w:r>
      <w:r w:rsidRPr="00372714">
        <w:rPr>
          <w:rFonts w:ascii="Arial" w:eastAsia="Calibri" w:hAnsi="Arial" w:cs="Arial"/>
        </w:rPr>
        <w:t xml:space="preserve"> be </w:t>
      </w:r>
      <w:r w:rsidR="00993FD3" w:rsidRPr="00372714">
        <w:rPr>
          <w:rFonts w:ascii="Arial" w:eastAsia="Calibri" w:hAnsi="Arial" w:cs="Arial"/>
        </w:rPr>
        <w:t xml:space="preserve">in line with national </w:t>
      </w:r>
      <w:r w:rsidR="004C4BDE" w:rsidRPr="00372714">
        <w:rPr>
          <w:rFonts w:ascii="Arial" w:eastAsia="Calibri" w:hAnsi="Arial" w:cs="Arial"/>
        </w:rPr>
        <w:t>average,</w:t>
      </w:r>
      <w:r w:rsidRPr="00372714">
        <w:rPr>
          <w:rFonts w:ascii="Arial" w:eastAsia="Calibri" w:hAnsi="Arial" w:cs="Arial"/>
        </w:rPr>
        <w:t xml:space="preserve"> the small number of providers overall </w:t>
      </w:r>
      <w:r w:rsidR="00993FD3" w:rsidRPr="00372714">
        <w:rPr>
          <w:rFonts w:ascii="Arial" w:eastAsia="Calibri" w:hAnsi="Arial" w:cs="Arial"/>
        </w:rPr>
        <w:t xml:space="preserve">meant that </w:t>
      </w:r>
      <w:r w:rsidR="00446C10" w:rsidRPr="00372714">
        <w:rPr>
          <w:rFonts w:ascii="Arial" w:eastAsia="Calibri" w:hAnsi="Arial" w:cs="Arial"/>
        </w:rPr>
        <w:t xml:space="preserve">there were limitations to the extent the data helps to inform the use of the Fair Cost of Care Fund and future fee setting strategy.  There </w:t>
      </w:r>
      <w:r w:rsidR="00304764" w:rsidRPr="00372714">
        <w:rPr>
          <w:rFonts w:ascii="Arial" w:eastAsia="Calibri" w:hAnsi="Arial" w:cs="Arial"/>
        </w:rPr>
        <w:t>is</w:t>
      </w:r>
      <w:r w:rsidR="00446C10" w:rsidRPr="00372714">
        <w:rPr>
          <w:rFonts w:ascii="Arial" w:eastAsia="Calibri" w:hAnsi="Arial" w:cs="Arial"/>
        </w:rPr>
        <w:t xml:space="preserve"> therefore a need to take into </w:t>
      </w:r>
      <w:r w:rsidR="00446C10" w:rsidRPr="00372714">
        <w:rPr>
          <w:rFonts w:ascii="Arial" w:eastAsia="Calibri" w:hAnsi="Arial" w:cs="Arial"/>
        </w:rPr>
        <w:lastRenderedPageBreak/>
        <w:t xml:space="preserve">account additional factors to arrive at the intended fee rate that </w:t>
      </w:r>
      <w:proofErr w:type="gramStart"/>
      <w:r w:rsidR="00446C10" w:rsidRPr="00372714">
        <w:rPr>
          <w:rFonts w:ascii="Arial" w:eastAsia="Calibri" w:hAnsi="Arial" w:cs="Arial"/>
        </w:rPr>
        <w:t>North East</w:t>
      </w:r>
      <w:proofErr w:type="gramEnd"/>
      <w:r w:rsidR="00446C10" w:rsidRPr="00372714">
        <w:rPr>
          <w:rFonts w:ascii="Arial" w:eastAsia="Calibri" w:hAnsi="Arial" w:cs="Arial"/>
        </w:rPr>
        <w:t xml:space="preserve"> Lincolnshire will move towards</w:t>
      </w:r>
      <w:r w:rsidR="00C6576C" w:rsidRPr="00372714">
        <w:rPr>
          <w:rFonts w:ascii="Arial" w:eastAsia="Calibri" w:hAnsi="Arial" w:cs="Arial"/>
        </w:rPr>
        <w:t>.</w:t>
      </w:r>
      <w:r w:rsidRPr="00372714">
        <w:rPr>
          <w:rFonts w:ascii="Arial" w:eastAsia="Calibri" w:hAnsi="Arial" w:cs="Arial"/>
        </w:rPr>
        <w:t xml:space="preserve"> </w:t>
      </w:r>
      <w:r w:rsidR="003449EF">
        <w:rPr>
          <w:rFonts w:ascii="Arial" w:eastAsia="Calibri" w:hAnsi="Arial" w:cs="Arial"/>
        </w:rPr>
        <w:t xml:space="preserve"> This will be supported by further engagement in early 2023.</w:t>
      </w:r>
      <w:r w:rsidR="003948E3" w:rsidRPr="00372714">
        <w:rPr>
          <w:rFonts w:ascii="Calibri" w:eastAsia="Calibri" w:hAnsi="Calibri" w:cs="Times New Roman"/>
        </w:rPr>
        <w:br w:type="page"/>
      </w:r>
    </w:p>
    <w:p w14:paraId="18E29E6C" w14:textId="603CF4DF" w:rsidR="004C4BDE" w:rsidRPr="003948E3" w:rsidRDefault="004C4BDE" w:rsidP="003948E3">
      <w:pPr>
        <w:pStyle w:val="ListParagraph"/>
        <w:numPr>
          <w:ilvl w:val="0"/>
          <w:numId w:val="5"/>
        </w:numPr>
        <w:ind w:left="284"/>
        <w:rPr>
          <w:rFonts w:ascii="Arial" w:eastAsia="Calibri" w:hAnsi="Arial" w:cs="Arial"/>
          <w:b/>
          <w:bCs/>
          <w:sz w:val="24"/>
          <w:szCs w:val="24"/>
          <w:u w:val="single"/>
        </w:rPr>
      </w:pPr>
      <w:r w:rsidRPr="003948E3">
        <w:rPr>
          <w:rFonts w:ascii="Arial" w:eastAsia="Calibri" w:hAnsi="Arial" w:cs="Arial"/>
          <w:b/>
          <w:bCs/>
          <w:sz w:val="24"/>
          <w:szCs w:val="24"/>
          <w:u w:val="single"/>
        </w:rPr>
        <w:lastRenderedPageBreak/>
        <w:t xml:space="preserve">Data </w:t>
      </w:r>
      <w:r w:rsidR="00DC3678" w:rsidRPr="00C60B62">
        <w:rPr>
          <w:rFonts w:ascii="Arial" w:eastAsia="Calibri" w:hAnsi="Arial" w:cs="Arial"/>
          <w:b/>
          <w:bCs/>
          <w:sz w:val="24"/>
          <w:szCs w:val="24"/>
          <w:u w:val="single"/>
        </w:rPr>
        <w:t>t</w:t>
      </w:r>
      <w:r w:rsidR="00DC3678">
        <w:rPr>
          <w:rFonts w:ascii="Arial" w:eastAsia="Calibri" w:hAnsi="Arial" w:cs="Arial"/>
          <w:b/>
          <w:bCs/>
          <w:sz w:val="24"/>
          <w:szCs w:val="24"/>
          <w:u w:val="single"/>
        </w:rPr>
        <w:t>a</w:t>
      </w:r>
      <w:r w:rsidRPr="003948E3">
        <w:rPr>
          <w:rFonts w:ascii="Arial" w:eastAsia="Calibri" w:hAnsi="Arial" w:cs="Arial"/>
          <w:b/>
          <w:bCs/>
          <w:sz w:val="24"/>
          <w:szCs w:val="24"/>
          <w:u w:val="single"/>
        </w:rPr>
        <w:t>bles</w:t>
      </w:r>
    </w:p>
    <w:p w14:paraId="2DA7CDB6" w14:textId="5B9AE5C2" w:rsidR="004C4BDE" w:rsidRPr="00DC3678" w:rsidRDefault="006033CD" w:rsidP="00BD5A7D">
      <w:pPr>
        <w:rPr>
          <w:rFonts w:ascii="Arial" w:eastAsia="Calibri" w:hAnsi="Arial" w:cs="Arial"/>
          <w:b/>
          <w:bCs/>
          <w:u w:val="single"/>
        </w:rPr>
      </w:pPr>
      <w:r w:rsidRPr="00DC3678">
        <w:rPr>
          <w:rFonts w:ascii="Arial" w:eastAsia="Calibri" w:hAnsi="Arial" w:cs="Arial"/>
          <w:b/>
          <w:bCs/>
          <w:u w:val="single"/>
        </w:rPr>
        <w:t>Table 1</w:t>
      </w:r>
    </w:p>
    <w:p w14:paraId="606D2209" w14:textId="44002A8D" w:rsidR="003948E3" w:rsidRPr="006033CD" w:rsidRDefault="003948E3" w:rsidP="00BD5A7D">
      <w:pPr>
        <w:rPr>
          <w:rFonts w:ascii="Arial" w:eastAsia="Calibri" w:hAnsi="Arial" w:cs="Arial"/>
        </w:rPr>
      </w:pPr>
      <w:r>
        <w:rPr>
          <w:rFonts w:ascii="Arial" w:eastAsia="Calibri" w:hAnsi="Arial" w:cs="Arial"/>
        </w:rPr>
        <w:t>65+ care home without nursing</w:t>
      </w:r>
    </w:p>
    <w:p w14:paraId="02398803" w14:textId="556D4514" w:rsidR="006033CD" w:rsidRDefault="003948E3" w:rsidP="00BD5A7D">
      <w:pPr>
        <w:rPr>
          <w:rFonts w:ascii="Calibri" w:eastAsia="Calibri" w:hAnsi="Calibri" w:cs="Times New Roman"/>
          <w:u w:val="single"/>
        </w:rPr>
      </w:pPr>
      <w:r>
        <w:rPr>
          <w:noProof/>
        </w:rPr>
        <w:drawing>
          <wp:inline distT="0" distB="0" distL="0" distR="0" wp14:anchorId="4C6B6701" wp14:editId="7AAA534B">
            <wp:extent cx="5731510" cy="6298565"/>
            <wp:effectExtent l="0" t="0" r="254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6298565"/>
                    </a:xfrm>
                    <a:prstGeom prst="rect">
                      <a:avLst/>
                    </a:prstGeom>
                    <a:noFill/>
                    <a:ln>
                      <a:noFill/>
                    </a:ln>
                  </pic:spPr>
                </pic:pic>
              </a:graphicData>
            </a:graphic>
          </wp:inline>
        </w:drawing>
      </w:r>
    </w:p>
    <w:p w14:paraId="5BFFF2A5" w14:textId="7B249A94" w:rsidR="006047F1" w:rsidRDefault="006047F1">
      <w:pPr>
        <w:rPr>
          <w:rFonts w:ascii="Calibri" w:eastAsia="Calibri" w:hAnsi="Calibri" w:cs="Times New Roman"/>
          <w:u w:val="single"/>
        </w:rPr>
      </w:pPr>
      <w:r>
        <w:rPr>
          <w:rFonts w:ascii="Calibri" w:eastAsia="Calibri" w:hAnsi="Calibri" w:cs="Times New Roman"/>
          <w:u w:val="single"/>
        </w:rPr>
        <w:br w:type="page"/>
      </w:r>
    </w:p>
    <w:p w14:paraId="3A1D63D1" w14:textId="77777777" w:rsidR="003948E3" w:rsidRPr="000A6D67" w:rsidRDefault="003948E3" w:rsidP="00BD5A7D">
      <w:pPr>
        <w:rPr>
          <w:rFonts w:ascii="Arial" w:eastAsia="Calibri" w:hAnsi="Arial" w:cs="Arial"/>
          <w:u w:val="single"/>
        </w:rPr>
      </w:pPr>
    </w:p>
    <w:p w14:paraId="598A72CF" w14:textId="7BFD2911" w:rsidR="003948E3" w:rsidRPr="00DC3678" w:rsidRDefault="003948E3" w:rsidP="00BD5A7D">
      <w:pPr>
        <w:rPr>
          <w:rFonts w:ascii="Arial" w:eastAsia="Calibri" w:hAnsi="Arial" w:cs="Arial"/>
          <w:b/>
          <w:bCs/>
          <w:u w:val="single"/>
        </w:rPr>
      </w:pPr>
      <w:r w:rsidRPr="00DC3678">
        <w:rPr>
          <w:rFonts w:ascii="Arial" w:eastAsia="Calibri" w:hAnsi="Arial" w:cs="Arial"/>
          <w:b/>
          <w:bCs/>
          <w:u w:val="single"/>
        </w:rPr>
        <w:t>Table 2</w:t>
      </w:r>
    </w:p>
    <w:p w14:paraId="4E19729C" w14:textId="4B85858A" w:rsidR="003948E3" w:rsidRPr="003948E3" w:rsidRDefault="003948E3" w:rsidP="00BD5A7D">
      <w:pPr>
        <w:rPr>
          <w:rFonts w:ascii="Arial" w:eastAsia="Calibri" w:hAnsi="Arial" w:cs="Arial"/>
        </w:rPr>
      </w:pPr>
      <w:r w:rsidRPr="003948E3">
        <w:rPr>
          <w:rFonts w:ascii="Arial" w:eastAsia="Calibri" w:hAnsi="Arial" w:cs="Arial"/>
        </w:rPr>
        <w:t xml:space="preserve">65+ care home without nursing – enhanced needs </w:t>
      </w:r>
    </w:p>
    <w:p w14:paraId="5879D0BE" w14:textId="2F6364C3" w:rsidR="003948E3" w:rsidRDefault="003948E3" w:rsidP="00BD5A7D">
      <w:pPr>
        <w:rPr>
          <w:rFonts w:ascii="Calibri" w:eastAsia="Calibri" w:hAnsi="Calibri" w:cs="Times New Roman"/>
          <w:u w:val="single"/>
        </w:rPr>
      </w:pPr>
      <w:r>
        <w:rPr>
          <w:noProof/>
        </w:rPr>
        <w:drawing>
          <wp:inline distT="0" distB="0" distL="0" distR="0" wp14:anchorId="413CEFB1" wp14:editId="024B90EC">
            <wp:extent cx="5731510" cy="589026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5890260"/>
                    </a:xfrm>
                    <a:prstGeom prst="rect">
                      <a:avLst/>
                    </a:prstGeom>
                    <a:noFill/>
                    <a:ln>
                      <a:noFill/>
                    </a:ln>
                  </pic:spPr>
                </pic:pic>
              </a:graphicData>
            </a:graphic>
          </wp:inline>
        </w:drawing>
      </w:r>
    </w:p>
    <w:p w14:paraId="2BE27BF3" w14:textId="47A9865C" w:rsidR="006047F1" w:rsidRDefault="006047F1">
      <w:pPr>
        <w:rPr>
          <w:rFonts w:ascii="Calibri" w:eastAsia="Calibri" w:hAnsi="Calibri" w:cs="Times New Roman"/>
          <w:u w:val="single"/>
        </w:rPr>
      </w:pPr>
      <w:r>
        <w:rPr>
          <w:rFonts w:ascii="Calibri" w:eastAsia="Calibri" w:hAnsi="Calibri" w:cs="Times New Roman"/>
          <w:u w:val="single"/>
        </w:rPr>
        <w:br w:type="page"/>
      </w:r>
    </w:p>
    <w:p w14:paraId="4C5AABEB" w14:textId="77777777" w:rsidR="006047F1" w:rsidRDefault="006047F1" w:rsidP="00BD5A7D">
      <w:pPr>
        <w:rPr>
          <w:rFonts w:ascii="Arial" w:eastAsia="Calibri" w:hAnsi="Arial" w:cs="Arial"/>
          <w:u w:val="single"/>
        </w:rPr>
      </w:pPr>
    </w:p>
    <w:p w14:paraId="43B763D2" w14:textId="36FE1439" w:rsidR="003948E3" w:rsidRPr="00DC3678" w:rsidRDefault="003948E3" w:rsidP="00BD5A7D">
      <w:pPr>
        <w:rPr>
          <w:rFonts w:ascii="Arial" w:eastAsia="Calibri" w:hAnsi="Arial" w:cs="Arial"/>
          <w:b/>
          <w:bCs/>
          <w:u w:val="single"/>
        </w:rPr>
      </w:pPr>
      <w:r w:rsidRPr="00DC3678">
        <w:rPr>
          <w:rFonts w:ascii="Arial" w:eastAsia="Calibri" w:hAnsi="Arial" w:cs="Arial"/>
          <w:b/>
          <w:bCs/>
          <w:u w:val="single"/>
        </w:rPr>
        <w:t xml:space="preserve">Table 3 </w:t>
      </w:r>
    </w:p>
    <w:p w14:paraId="3A88D19C" w14:textId="462D1F7D" w:rsidR="003948E3" w:rsidRPr="003948E3" w:rsidRDefault="003948E3" w:rsidP="00BD5A7D">
      <w:pPr>
        <w:rPr>
          <w:rFonts w:ascii="Arial" w:eastAsia="Calibri" w:hAnsi="Arial" w:cs="Arial"/>
        </w:rPr>
      </w:pPr>
      <w:r w:rsidRPr="003948E3">
        <w:rPr>
          <w:rFonts w:ascii="Arial" w:eastAsia="Calibri" w:hAnsi="Arial" w:cs="Arial"/>
        </w:rPr>
        <w:t xml:space="preserve">65+ Care home placements with nursing </w:t>
      </w:r>
    </w:p>
    <w:p w14:paraId="03763CFB" w14:textId="49281942" w:rsidR="003948E3" w:rsidRDefault="003948E3" w:rsidP="00BD5A7D">
      <w:pPr>
        <w:rPr>
          <w:rFonts w:ascii="Calibri" w:eastAsia="Calibri" w:hAnsi="Calibri" w:cs="Times New Roman"/>
          <w:u w:val="single"/>
        </w:rPr>
      </w:pPr>
      <w:r>
        <w:rPr>
          <w:noProof/>
        </w:rPr>
        <w:drawing>
          <wp:inline distT="0" distB="0" distL="0" distR="0" wp14:anchorId="06B5EA17" wp14:editId="280370A6">
            <wp:extent cx="5731510" cy="6001385"/>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6001385"/>
                    </a:xfrm>
                    <a:prstGeom prst="rect">
                      <a:avLst/>
                    </a:prstGeom>
                    <a:noFill/>
                    <a:ln>
                      <a:noFill/>
                    </a:ln>
                  </pic:spPr>
                </pic:pic>
              </a:graphicData>
            </a:graphic>
          </wp:inline>
        </w:drawing>
      </w:r>
    </w:p>
    <w:p w14:paraId="225DCC00" w14:textId="4EA7E162" w:rsidR="006047F1" w:rsidRDefault="006047F1">
      <w:pPr>
        <w:rPr>
          <w:rFonts w:ascii="Calibri" w:eastAsia="Calibri" w:hAnsi="Calibri" w:cs="Times New Roman"/>
          <w:u w:val="single"/>
        </w:rPr>
      </w:pPr>
      <w:r>
        <w:rPr>
          <w:rFonts w:ascii="Calibri" w:eastAsia="Calibri" w:hAnsi="Calibri" w:cs="Times New Roman"/>
          <w:u w:val="single"/>
        </w:rPr>
        <w:br w:type="page"/>
      </w:r>
    </w:p>
    <w:p w14:paraId="39538260" w14:textId="77777777" w:rsidR="000A6D67" w:rsidRDefault="000A6D67" w:rsidP="00BD5A7D">
      <w:pPr>
        <w:rPr>
          <w:rFonts w:ascii="Calibri" w:eastAsia="Calibri" w:hAnsi="Calibri" w:cs="Times New Roman"/>
          <w:u w:val="single"/>
        </w:rPr>
      </w:pPr>
    </w:p>
    <w:p w14:paraId="3F5F53DA" w14:textId="3340EA3A" w:rsidR="003948E3" w:rsidRPr="00DC3678" w:rsidRDefault="003948E3" w:rsidP="00BD5A7D">
      <w:pPr>
        <w:rPr>
          <w:rFonts w:ascii="Arial" w:eastAsia="Calibri" w:hAnsi="Arial" w:cs="Arial"/>
          <w:b/>
          <w:bCs/>
          <w:u w:val="single"/>
        </w:rPr>
      </w:pPr>
      <w:r w:rsidRPr="00DC3678">
        <w:rPr>
          <w:rFonts w:ascii="Arial" w:eastAsia="Calibri" w:hAnsi="Arial" w:cs="Arial"/>
          <w:b/>
          <w:bCs/>
          <w:u w:val="single"/>
        </w:rPr>
        <w:t>Table 4</w:t>
      </w:r>
    </w:p>
    <w:p w14:paraId="5C6690BB" w14:textId="41E77BBC" w:rsidR="003948E3" w:rsidRPr="003948E3" w:rsidRDefault="003948E3" w:rsidP="00BD5A7D">
      <w:pPr>
        <w:rPr>
          <w:rFonts w:ascii="Arial" w:eastAsia="Calibri" w:hAnsi="Arial" w:cs="Arial"/>
        </w:rPr>
      </w:pPr>
      <w:r>
        <w:rPr>
          <w:rFonts w:ascii="Arial" w:eastAsia="Calibri" w:hAnsi="Arial" w:cs="Arial"/>
        </w:rPr>
        <w:t>65+ Care homes with nursing &amp; enhanced needs</w:t>
      </w:r>
      <w:r w:rsidR="007E705A">
        <w:rPr>
          <w:rFonts w:ascii="Arial" w:eastAsia="Calibri" w:hAnsi="Arial" w:cs="Arial"/>
        </w:rPr>
        <w:t>. T</w:t>
      </w:r>
      <w:r w:rsidR="007E705A" w:rsidRPr="007E705A">
        <w:rPr>
          <w:rFonts w:ascii="Arial" w:eastAsia="Calibri" w:hAnsi="Arial" w:cs="Arial"/>
        </w:rPr>
        <w:t>he Nursing values without enhanced need</w:t>
      </w:r>
      <w:r w:rsidR="007E705A">
        <w:rPr>
          <w:rFonts w:ascii="Arial" w:eastAsia="Calibri" w:hAnsi="Arial" w:cs="Arial"/>
        </w:rPr>
        <w:t>s</w:t>
      </w:r>
      <w:r w:rsidR="007E705A" w:rsidRPr="007E705A">
        <w:rPr>
          <w:rFonts w:ascii="Arial" w:eastAsia="Calibri" w:hAnsi="Arial" w:cs="Arial"/>
        </w:rPr>
        <w:t xml:space="preserve"> </w:t>
      </w:r>
      <w:r w:rsidR="007E705A">
        <w:rPr>
          <w:rFonts w:ascii="Arial" w:eastAsia="Calibri" w:hAnsi="Arial" w:cs="Arial"/>
        </w:rPr>
        <w:t>h</w:t>
      </w:r>
      <w:r w:rsidR="007E705A" w:rsidRPr="007E705A">
        <w:rPr>
          <w:rFonts w:ascii="Arial" w:eastAsia="Calibri" w:hAnsi="Arial" w:cs="Arial"/>
        </w:rPr>
        <w:t>a</w:t>
      </w:r>
      <w:r w:rsidR="007E705A">
        <w:rPr>
          <w:rFonts w:ascii="Arial" w:eastAsia="Calibri" w:hAnsi="Arial" w:cs="Arial"/>
        </w:rPr>
        <w:t>ve been used as</w:t>
      </w:r>
      <w:r w:rsidR="007E705A" w:rsidRPr="007E705A">
        <w:rPr>
          <w:rFonts w:ascii="Arial" w:eastAsia="Calibri" w:hAnsi="Arial" w:cs="Arial"/>
        </w:rPr>
        <w:t xml:space="preserve"> no responses for this category were received.</w:t>
      </w:r>
    </w:p>
    <w:p w14:paraId="5D69E9FA" w14:textId="5E9DE261" w:rsidR="003948E3" w:rsidRDefault="003948E3" w:rsidP="00BD5A7D">
      <w:pPr>
        <w:rPr>
          <w:rFonts w:ascii="Calibri" w:eastAsia="Calibri" w:hAnsi="Calibri" w:cs="Times New Roman"/>
          <w:u w:val="single"/>
        </w:rPr>
      </w:pPr>
      <w:r>
        <w:rPr>
          <w:rFonts w:ascii="Calibri" w:eastAsia="Calibri" w:hAnsi="Calibri" w:cs="Times New Roman"/>
          <w:u w:val="single"/>
        </w:rPr>
        <w:t xml:space="preserve"> </w:t>
      </w:r>
      <w:r>
        <w:rPr>
          <w:noProof/>
        </w:rPr>
        <w:drawing>
          <wp:inline distT="0" distB="0" distL="0" distR="0" wp14:anchorId="4C3C4FDF" wp14:editId="27054BA7">
            <wp:extent cx="5731510" cy="5391785"/>
            <wp:effectExtent l="0" t="0" r="2540" b="1841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5391785"/>
                    </a:xfrm>
                    <a:prstGeom prst="rect">
                      <a:avLst/>
                    </a:prstGeom>
                    <a:noFill/>
                    <a:ln>
                      <a:noFill/>
                    </a:ln>
                  </pic:spPr>
                </pic:pic>
              </a:graphicData>
            </a:graphic>
          </wp:inline>
        </w:drawing>
      </w:r>
    </w:p>
    <w:p w14:paraId="5D72F3AB" w14:textId="1A5EA5E0" w:rsidR="006047F1" w:rsidRDefault="006047F1">
      <w:pPr>
        <w:rPr>
          <w:rFonts w:ascii="Arial" w:eastAsia="Calibri" w:hAnsi="Arial" w:cs="Arial"/>
          <w:u w:val="single"/>
        </w:rPr>
      </w:pPr>
      <w:r>
        <w:rPr>
          <w:rFonts w:ascii="Arial" w:eastAsia="Calibri" w:hAnsi="Arial" w:cs="Arial"/>
          <w:u w:val="single"/>
        </w:rPr>
        <w:br w:type="page"/>
      </w:r>
    </w:p>
    <w:p w14:paraId="1B43DD5C" w14:textId="77777777" w:rsidR="003948E3" w:rsidRDefault="003948E3" w:rsidP="00BD5A7D">
      <w:pPr>
        <w:rPr>
          <w:rFonts w:ascii="Arial" w:eastAsia="Calibri" w:hAnsi="Arial" w:cs="Arial"/>
          <w:u w:val="single"/>
        </w:rPr>
      </w:pPr>
    </w:p>
    <w:p w14:paraId="696C683B" w14:textId="77DE03C7" w:rsidR="003948E3" w:rsidRPr="00DC3678" w:rsidRDefault="003948E3" w:rsidP="00BD5A7D">
      <w:pPr>
        <w:rPr>
          <w:rFonts w:ascii="Arial" w:eastAsia="Calibri" w:hAnsi="Arial" w:cs="Arial"/>
          <w:b/>
          <w:bCs/>
          <w:u w:val="single"/>
        </w:rPr>
      </w:pPr>
      <w:r w:rsidRPr="00DC3678">
        <w:rPr>
          <w:rFonts w:ascii="Arial" w:eastAsia="Calibri" w:hAnsi="Arial" w:cs="Arial"/>
          <w:b/>
          <w:bCs/>
          <w:u w:val="single"/>
        </w:rPr>
        <w:t>Table 5</w:t>
      </w:r>
    </w:p>
    <w:p w14:paraId="014ADA37" w14:textId="02D5F33E" w:rsidR="003948E3" w:rsidRDefault="000A6D67" w:rsidP="00BD5A7D">
      <w:pPr>
        <w:rPr>
          <w:rFonts w:ascii="Arial" w:eastAsia="Calibri" w:hAnsi="Arial" w:cs="Arial"/>
        </w:rPr>
      </w:pPr>
      <w:r>
        <w:rPr>
          <w:rFonts w:ascii="Arial" w:eastAsia="Calibri" w:hAnsi="Arial" w:cs="Arial"/>
        </w:rPr>
        <w:t>T</w:t>
      </w:r>
      <w:r w:rsidR="003948E3" w:rsidRPr="003948E3">
        <w:rPr>
          <w:rFonts w:ascii="Arial" w:eastAsia="Calibri" w:hAnsi="Arial" w:cs="Arial"/>
        </w:rPr>
        <w:t>he full table in Annex A, Section 3 with one column of median values for each care type</w:t>
      </w:r>
    </w:p>
    <w:p w14:paraId="49BE822C" w14:textId="102181DE" w:rsidR="003948E3" w:rsidRDefault="003948E3" w:rsidP="00BD5A7D">
      <w:pPr>
        <w:rPr>
          <w:rFonts w:ascii="Arial" w:eastAsia="Calibri" w:hAnsi="Arial" w:cs="Arial"/>
        </w:rPr>
      </w:pPr>
      <w:r>
        <w:rPr>
          <w:noProof/>
        </w:rPr>
        <w:drawing>
          <wp:inline distT="0" distB="0" distL="0" distR="0" wp14:anchorId="64C72162" wp14:editId="734A6B7D">
            <wp:extent cx="5731510" cy="5210175"/>
            <wp:effectExtent l="0" t="0" r="254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31510" cy="5210175"/>
                    </a:xfrm>
                    <a:prstGeom prst="rect">
                      <a:avLst/>
                    </a:prstGeom>
                    <a:noFill/>
                    <a:ln>
                      <a:noFill/>
                    </a:ln>
                  </pic:spPr>
                </pic:pic>
              </a:graphicData>
            </a:graphic>
          </wp:inline>
        </w:drawing>
      </w:r>
    </w:p>
    <w:tbl>
      <w:tblPr>
        <w:tblW w:w="4719" w:type="pct"/>
        <w:tblLayout w:type="fixed"/>
        <w:tblLook w:val="04A0" w:firstRow="1" w:lastRow="0" w:firstColumn="1" w:lastColumn="0" w:noHBand="0" w:noVBand="1"/>
      </w:tblPr>
      <w:tblGrid>
        <w:gridCol w:w="4821"/>
        <w:gridCol w:w="991"/>
        <w:gridCol w:w="1275"/>
        <w:gridCol w:w="990"/>
        <w:gridCol w:w="990"/>
      </w:tblGrid>
      <w:tr w:rsidR="003F65C7" w:rsidRPr="00060DED" w14:paraId="2D9E0A03" w14:textId="77777777" w:rsidTr="003F65C7">
        <w:trPr>
          <w:trHeight w:val="620"/>
        </w:trPr>
        <w:tc>
          <w:tcPr>
            <w:tcW w:w="265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0D59670" w14:textId="77777777" w:rsidR="00BB4623" w:rsidRPr="00060DED" w:rsidRDefault="00BB4623" w:rsidP="00890B16">
            <w:pPr>
              <w:rPr>
                <w:sz w:val="16"/>
                <w:szCs w:val="16"/>
              </w:rPr>
            </w:pPr>
            <w:r w:rsidRPr="00060DED">
              <w:rPr>
                <w:sz w:val="16"/>
                <w:szCs w:val="16"/>
              </w:rPr>
              <w:t>Supporting information on important cost drivers used in the calculations:</w:t>
            </w:r>
          </w:p>
        </w:tc>
        <w:tc>
          <w:tcPr>
            <w:tcW w:w="546" w:type="pct"/>
            <w:tcBorders>
              <w:top w:val="single" w:sz="4" w:space="0" w:color="auto"/>
              <w:left w:val="single" w:sz="4" w:space="0" w:color="auto"/>
              <w:bottom w:val="single" w:sz="4" w:space="0" w:color="auto"/>
              <w:right w:val="single" w:sz="4" w:space="0" w:color="auto"/>
            </w:tcBorders>
            <w:shd w:val="clear" w:color="000000" w:fill="E7E6E6"/>
            <w:vAlign w:val="bottom"/>
            <w:hideMark/>
          </w:tcPr>
          <w:p w14:paraId="5CF92D56" w14:textId="77777777" w:rsidR="00BB4623" w:rsidRPr="00060DED" w:rsidRDefault="00BB4623" w:rsidP="00890B16">
            <w:pPr>
              <w:rPr>
                <w:sz w:val="16"/>
                <w:szCs w:val="16"/>
              </w:rPr>
            </w:pPr>
            <w:r w:rsidRPr="00060DED">
              <w:rPr>
                <w:sz w:val="16"/>
                <w:szCs w:val="16"/>
              </w:rPr>
              <w:t>65+ care home places without nursing</w:t>
            </w:r>
          </w:p>
        </w:tc>
        <w:tc>
          <w:tcPr>
            <w:tcW w:w="703" w:type="pct"/>
            <w:tcBorders>
              <w:top w:val="single" w:sz="4" w:space="0" w:color="auto"/>
              <w:left w:val="single" w:sz="4" w:space="0" w:color="auto"/>
              <w:bottom w:val="single" w:sz="4" w:space="0" w:color="auto"/>
              <w:right w:val="single" w:sz="4" w:space="0" w:color="auto"/>
            </w:tcBorders>
            <w:shd w:val="clear" w:color="000000" w:fill="E7E6E6"/>
            <w:vAlign w:val="bottom"/>
            <w:hideMark/>
          </w:tcPr>
          <w:p w14:paraId="5E4D3699" w14:textId="77777777" w:rsidR="00BB4623" w:rsidRPr="00060DED" w:rsidRDefault="00BB4623" w:rsidP="00890B16">
            <w:pPr>
              <w:rPr>
                <w:sz w:val="16"/>
                <w:szCs w:val="16"/>
              </w:rPr>
            </w:pPr>
            <w:r w:rsidRPr="00060DED">
              <w:rPr>
                <w:sz w:val="16"/>
                <w:szCs w:val="16"/>
              </w:rPr>
              <w:t>65+ care home places without nursing, enhanced needs</w:t>
            </w:r>
          </w:p>
        </w:tc>
        <w:tc>
          <w:tcPr>
            <w:tcW w:w="546" w:type="pct"/>
            <w:tcBorders>
              <w:top w:val="single" w:sz="4" w:space="0" w:color="auto"/>
              <w:left w:val="single" w:sz="4" w:space="0" w:color="auto"/>
              <w:bottom w:val="single" w:sz="4" w:space="0" w:color="auto"/>
              <w:right w:val="single" w:sz="4" w:space="0" w:color="auto"/>
            </w:tcBorders>
            <w:shd w:val="clear" w:color="000000" w:fill="E7E6E6"/>
            <w:vAlign w:val="bottom"/>
            <w:hideMark/>
          </w:tcPr>
          <w:p w14:paraId="53347D2C" w14:textId="77777777" w:rsidR="00BB4623" w:rsidRPr="00060DED" w:rsidRDefault="00BB4623" w:rsidP="00890B16">
            <w:pPr>
              <w:rPr>
                <w:sz w:val="16"/>
                <w:szCs w:val="16"/>
              </w:rPr>
            </w:pPr>
            <w:r w:rsidRPr="00060DED">
              <w:rPr>
                <w:sz w:val="16"/>
                <w:szCs w:val="16"/>
              </w:rPr>
              <w:t>65+ care home places with nursing</w:t>
            </w:r>
          </w:p>
        </w:tc>
        <w:tc>
          <w:tcPr>
            <w:tcW w:w="546" w:type="pct"/>
            <w:tcBorders>
              <w:top w:val="single" w:sz="4" w:space="0" w:color="auto"/>
              <w:left w:val="single" w:sz="4" w:space="0" w:color="auto"/>
              <w:bottom w:val="single" w:sz="4" w:space="0" w:color="auto"/>
              <w:right w:val="single" w:sz="4" w:space="0" w:color="auto"/>
            </w:tcBorders>
            <w:shd w:val="clear" w:color="000000" w:fill="E7E6E6"/>
            <w:vAlign w:val="bottom"/>
            <w:hideMark/>
          </w:tcPr>
          <w:p w14:paraId="1FB2E8EA" w14:textId="77777777" w:rsidR="00BB4623" w:rsidRPr="00060DED" w:rsidRDefault="00BB4623" w:rsidP="00890B16">
            <w:pPr>
              <w:rPr>
                <w:sz w:val="16"/>
                <w:szCs w:val="16"/>
              </w:rPr>
            </w:pPr>
            <w:r w:rsidRPr="00060DED">
              <w:rPr>
                <w:sz w:val="16"/>
                <w:szCs w:val="16"/>
              </w:rPr>
              <w:t>65+ care home places with nursing, enhanced needs</w:t>
            </w:r>
          </w:p>
        </w:tc>
      </w:tr>
      <w:tr w:rsidR="003F65C7" w:rsidRPr="00060DED" w14:paraId="79263B41"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E6FD" w14:textId="77777777" w:rsidR="00BB4623" w:rsidRPr="00060DED" w:rsidRDefault="00BB4623" w:rsidP="00890B16">
            <w:pPr>
              <w:rPr>
                <w:sz w:val="16"/>
                <w:szCs w:val="16"/>
              </w:rPr>
            </w:pPr>
            <w:r w:rsidRPr="00060DED">
              <w:rPr>
                <w:sz w:val="16"/>
                <w:szCs w:val="16"/>
              </w:rPr>
              <w:t>Number of location level survey responses received</w:t>
            </w:r>
          </w:p>
        </w:tc>
        <w:tc>
          <w:tcPr>
            <w:tcW w:w="546" w:type="pct"/>
            <w:tcBorders>
              <w:top w:val="nil"/>
              <w:left w:val="nil"/>
              <w:bottom w:val="single" w:sz="4" w:space="0" w:color="auto"/>
              <w:right w:val="single" w:sz="4" w:space="0" w:color="auto"/>
            </w:tcBorders>
            <w:shd w:val="clear" w:color="000000" w:fill="FFC000"/>
            <w:noWrap/>
            <w:vAlign w:val="bottom"/>
            <w:hideMark/>
          </w:tcPr>
          <w:p w14:paraId="5B943FD7" w14:textId="77777777" w:rsidR="00BB4623" w:rsidRPr="00060DED" w:rsidRDefault="00BB4623" w:rsidP="00890B16">
            <w:pPr>
              <w:rPr>
                <w:sz w:val="16"/>
                <w:szCs w:val="16"/>
              </w:rPr>
            </w:pPr>
            <w:r w:rsidRPr="00060DED">
              <w:rPr>
                <w:sz w:val="16"/>
                <w:szCs w:val="16"/>
              </w:rPr>
              <w:t>12</w:t>
            </w:r>
          </w:p>
        </w:tc>
        <w:tc>
          <w:tcPr>
            <w:tcW w:w="703" w:type="pct"/>
            <w:tcBorders>
              <w:top w:val="nil"/>
              <w:left w:val="nil"/>
              <w:bottom w:val="single" w:sz="4" w:space="0" w:color="auto"/>
              <w:right w:val="single" w:sz="4" w:space="0" w:color="auto"/>
            </w:tcBorders>
            <w:shd w:val="clear" w:color="000000" w:fill="FFC000"/>
            <w:noWrap/>
            <w:vAlign w:val="bottom"/>
            <w:hideMark/>
          </w:tcPr>
          <w:p w14:paraId="61620354" w14:textId="77777777" w:rsidR="00BB4623" w:rsidRPr="00060DED" w:rsidRDefault="00BB4623" w:rsidP="00890B16">
            <w:pPr>
              <w:rPr>
                <w:sz w:val="16"/>
                <w:szCs w:val="16"/>
              </w:rPr>
            </w:pPr>
            <w:r w:rsidRPr="00060DED">
              <w:rPr>
                <w:sz w:val="16"/>
                <w:szCs w:val="16"/>
              </w:rPr>
              <w:t>10</w:t>
            </w:r>
          </w:p>
        </w:tc>
        <w:tc>
          <w:tcPr>
            <w:tcW w:w="546" w:type="pct"/>
            <w:tcBorders>
              <w:top w:val="nil"/>
              <w:left w:val="nil"/>
              <w:bottom w:val="single" w:sz="4" w:space="0" w:color="auto"/>
              <w:right w:val="single" w:sz="4" w:space="0" w:color="auto"/>
            </w:tcBorders>
            <w:shd w:val="clear" w:color="000000" w:fill="FFC000"/>
            <w:noWrap/>
            <w:vAlign w:val="bottom"/>
            <w:hideMark/>
          </w:tcPr>
          <w:p w14:paraId="0826A0C2" w14:textId="77777777" w:rsidR="00BB4623" w:rsidRPr="00060DED" w:rsidRDefault="00BB4623" w:rsidP="00890B16">
            <w:pPr>
              <w:rPr>
                <w:sz w:val="16"/>
                <w:szCs w:val="16"/>
              </w:rPr>
            </w:pPr>
            <w:r w:rsidRPr="00060DED">
              <w:rPr>
                <w:sz w:val="16"/>
                <w:szCs w:val="16"/>
              </w:rPr>
              <w:t>3</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CF1F3E3" w14:textId="77777777" w:rsidR="00BB4623" w:rsidRPr="00060DED" w:rsidRDefault="00BB4623" w:rsidP="00890B16">
            <w:pPr>
              <w:rPr>
                <w:sz w:val="16"/>
                <w:szCs w:val="16"/>
              </w:rPr>
            </w:pPr>
            <w:r w:rsidRPr="00060DED">
              <w:rPr>
                <w:sz w:val="16"/>
                <w:szCs w:val="16"/>
              </w:rPr>
              <w:t>3</w:t>
            </w:r>
          </w:p>
        </w:tc>
      </w:tr>
      <w:tr w:rsidR="003F65C7" w:rsidRPr="00060DED" w14:paraId="6DC2D17C"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C2D1D" w14:textId="77777777" w:rsidR="00BB4623" w:rsidRPr="00060DED" w:rsidRDefault="00BB4623" w:rsidP="00890B16">
            <w:pPr>
              <w:rPr>
                <w:sz w:val="16"/>
                <w:szCs w:val="16"/>
              </w:rPr>
            </w:pPr>
            <w:r w:rsidRPr="00060DED">
              <w:rPr>
                <w:sz w:val="16"/>
                <w:szCs w:val="16"/>
              </w:rPr>
              <w:t>Number of locations eligible to fill in the survey (excluding those found to be ineligible)</w:t>
            </w:r>
          </w:p>
        </w:tc>
        <w:tc>
          <w:tcPr>
            <w:tcW w:w="546" w:type="pct"/>
            <w:tcBorders>
              <w:top w:val="nil"/>
              <w:left w:val="nil"/>
              <w:bottom w:val="single" w:sz="4" w:space="0" w:color="auto"/>
              <w:right w:val="single" w:sz="4" w:space="0" w:color="auto"/>
            </w:tcBorders>
            <w:shd w:val="clear" w:color="000000" w:fill="FFC000"/>
            <w:noWrap/>
            <w:vAlign w:val="bottom"/>
            <w:hideMark/>
          </w:tcPr>
          <w:p w14:paraId="301B9F28" w14:textId="77777777" w:rsidR="00BB4623" w:rsidRPr="00060DED" w:rsidRDefault="00BB4623" w:rsidP="00890B16">
            <w:pPr>
              <w:rPr>
                <w:sz w:val="16"/>
                <w:szCs w:val="16"/>
              </w:rPr>
            </w:pPr>
            <w:r w:rsidRPr="00060DED">
              <w:rPr>
                <w:sz w:val="16"/>
                <w:szCs w:val="16"/>
              </w:rPr>
              <w:t>28</w:t>
            </w:r>
          </w:p>
        </w:tc>
        <w:tc>
          <w:tcPr>
            <w:tcW w:w="703" w:type="pct"/>
            <w:tcBorders>
              <w:top w:val="nil"/>
              <w:left w:val="nil"/>
              <w:bottom w:val="single" w:sz="4" w:space="0" w:color="auto"/>
              <w:right w:val="single" w:sz="4" w:space="0" w:color="auto"/>
            </w:tcBorders>
            <w:shd w:val="clear" w:color="000000" w:fill="FFC000"/>
            <w:noWrap/>
            <w:vAlign w:val="bottom"/>
            <w:hideMark/>
          </w:tcPr>
          <w:p w14:paraId="2EB59168" w14:textId="77777777" w:rsidR="00BB4623" w:rsidRPr="00060DED" w:rsidRDefault="00BB4623" w:rsidP="00890B16">
            <w:pPr>
              <w:rPr>
                <w:sz w:val="16"/>
                <w:szCs w:val="16"/>
              </w:rPr>
            </w:pPr>
            <w:r w:rsidRPr="00060DED">
              <w:rPr>
                <w:sz w:val="16"/>
                <w:szCs w:val="16"/>
              </w:rPr>
              <w:t>28</w:t>
            </w:r>
          </w:p>
        </w:tc>
        <w:tc>
          <w:tcPr>
            <w:tcW w:w="546" w:type="pct"/>
            <w:tcBorders>
              <w:top w:val="nil"/>
              <w:left w:val="nil"/>
              <w:bottom w:val="single" w:sz="4" w:space="0" w:color="auto"/>
              <w:right w:val="single" w:sz="4" w:space="0" w:color="auto"/>
            </w:tcBorders>
            <w:shd w:val="clear" w:color="000000" w:fill="FFC000"/>
            <w:noWrap/>
            <w:vAlign w:val="bottom"/>
            <w:hideMark/>
          </w:tcPr>
          <w:p w14:paraId="06980E63" w14:textId="77777777" w:rsidR="00BB4623" w:rsidRPr="00060DED" w:rsidRDefault="00BB4623" w:rsidP="00890B16">
            <w:pPr>
              <w:rPr>
                <w:sz w:val="16"/>
                <w:szCs w:val="16"/>
              </w:rPr>
            </w:pPr>
            <w:r w:rsidRPr="00060DED">
              <w:rPr>
                <w:sz w:val="16"/>
                <w:szCs w:val="16"/>
              </w:rPr>
              <w:t>6</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26CAA02" w14:textId="77777777" w:rsidR="00BB4623" w:rsidRPr="00060DED" w:rsidRDefault="00BB4623" w:rsidP="00890B16">
            <w:pPr>
              <w:rPr>
                <w:sz w:val="16"/>
                <w:szCs w:val="16"/>
              </w:rPr>
            </w:pPr>
            <w:r w:rsidRPr="00060DED">
              <w:rPr>
                <w:sz w:val="16"/>
                <w:szCs w:val="16"/>
              </w:rPr>
              <w:t>6</w:t>
            </w:r>
          </w:p>
        </w:tc>
      </w:tr>
      <w:tr w:rsidR="003F65C7" w:rsidRPr="00060DED" w14:paraId="18710D93"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B7C2E" w14:textId="77777777" w:rsidR="00BB4623" w:rsidRPr="00060DED" w:rsidRDefault="00BB4623" w:rsidP="00890B16">
            <w:pPr>
              <w:rPr>
                <w:sz w:val="16"/>
                <w:szCs w:val="16"/>
              </w:rPr>
            </w:pPr>
            <w:r w:rsidRPr="00060DED">
              <w:rPr>
                <w:sz w:val="16"/>
                <w:szCs w:val="16"/>
              </w:rPr>
              <w:t>Number of residents covered by the responses</w:t>
            </w:r>
          </w:p>
        </w:tc>
        <w:tc>
          <w:tcPr>
            <w:tcW w:w="546" w:type="pct"/>
            <w:tcBorders>
              <w:top w:val="nil"/>
              <w:left w:val="nil"/>
              <w:bottom w:val="single" w:sz="4" w:space="0" w:color="auto"/>
              <w:right w:val="single" w:sz="4" w:space="0" w:color="auto"/>
            </w:tcBorders>
            <w:shd w:val="clear" w:color="000000" w:fill="FFC000"/>
            <w:noWrap/>
            <w:vAlign w:val="bottom"/>
            <w:hideMark/>
          </w:tcPr>
          <w:p w14:paraId="1607CD8D" w14:textId="77777777" w:rsidR="00BB4623" w:rsidRPr="00060DED" w:rsidRDefault="00BB4623" w:rsidP="00890B16">
            <w:pPr>
              <w:rPr>
                <w:sz w:val="16"/>
                <w:szCs w:val="16"/>
              </w:rPr>
            </w:pPr>
            <w:r w:rsidRPr="00060DED">
              <w:rPr>
                <w:sz w:val="16"/>
                <w:szCs w:val="16"/>
              </w:rPr>
              <w:t>234</w:t>
            </w:r>
          </w:p>
        </w:tc>
        <w:tc>
          <w:tcPr>
            <w:tcW w:w="703" w:type="pct"/>
            <w:tcBorders>
              <w:top w:val="nil"/>
              <w:left w:val="nil"/>
              <w:bottom w:val="single" w:sz="4" w:space="0" w:color="auto"/>
              <w:right w:val="single" w:sz="4" w:space="0" w:color="auto"/>
            </w:tcBorders>
            <w:shd w:val="clear" w:color="000000" w:fill="FFC000"/>
            <w:noWrap/>
            <w:vAlign w:val="bottom"/>
            <w:hideMark/>
          </w:tcPr>
          <w:p w14:paraId="44654FB9" w14:textId="77777777" w:rsidR="00BB4623" w:rsidRPr="00060DED" w:rsidRDefault="00BB4623" w:rsidP="00890B16">
            <w:pPr>
              <w:rPr>
                <w:sz w:val="16"/>
                <w:szCs w:val="16"/>
              </w:rPr>
            </w:pPr>
            <w:r w:rsidRPr="00060DED">
              <w:rPr>
                <w:sz w:val="16"/>
                <w:szCs w:val="16"/>
              </w:rPr>
              <w:t>165</w:t>
            </w:r>
          </w:p>
        </w:tc>
        <w:tc>
          <w:tcPr>
            <w:tcW w:w="546" w:type="pct"/>
            <w:tcBorders>
              <w:top w:val="nil"/>
              <w:left w:val="nil"/>
              <w:bottom w:val="single" w:sz="4" w:space="0" w:color="auto"/>
              <w:right w:val="single" w:sz="4" w:space="0" w:color="auto"/>
            </w:tcBorders>
            <w:shd w:val="clear" w:color="000000" w:fill="FFC000"/>
            <w:noWrap/>
            <w:vAlign w:val="bottom"/>
            <w:hideMark/>
          </w:tcPr>
          <w:p w14:paraId="7DB03A34" w14:textId="77777777" w:rsidR="00BB4623" w:rsidRPr="00060DED" w:rsidRDefault="00BB4623" w:rsidP="00890B16">
            <w:pPr>
              <w:rPr>
                <w:sz w:val="16"/>
                <w:szCs w:val="16"/>
              </w:rPr>
            </w:pPr>
            <w:r w:rsidRPr="00060DED">
              <w:rPr>
                <w:sz w:val="16"/>
                <w:szCs w:val="16"/>
              </w:rPr>
              <w:t>45</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CB5E076" w14:textId="77777777" w:rsidR="00BB4623" w:rsidRPr="00060DED" w:rsidRDefault="00BB4623" w:rsidP="00890B16">
            <w:pPr>
              <w:rPr>
                <w:sz w:val="16"/>
                <w:szCs w:val="16"/>
              </w:rPr>
            </w:pPr>
            <w:r w:rsidRPr="00060DED">
              <w:rPr>
                <w:sz w:val="16"/>
                <w:szCs w:val="16"/>
              </w:rPr>
              <w:t>45</w:t>
            </w:r>
          </w:p>
        </w:tc>
      </w:tr>
      <w:tr w:rsidR="003F65C7" w:rsidRPr="00060DED" w14:paraId="3083CAB6"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79DF" w14:textId="77777777" w:rsidR="00BB4623" w:rsidRPr="00060DED" w:rsidRDefault="00BB4623" w:rsidP="00890B16">
            <w:pPr>
              <w:rPr>
                <w:sz w:val="16"/>
                <w:szCs w:val="16"/>
              </w:rPr>
            </w:pPr>
            <w:r w:rsidRPr="00060DED">
              <w:rPr>
                <w:sz w:val="16"/>
                <w:szCs w:val="16"/>
              </w:rPr>
              <w:t>Number of carer hours per resident per week</w:t>
            </w:r>
          </w:p>
        </w:tc>
        <w:tc>
          <w:tcPr>
            <w:tcW w:w="546" w:type="pct"/>
            <w:tcBorders>
              <w:top w:val="nil"/>
              <w:left w:val="nil"/>
              <w:bottom w:val="single" w:sz="4" w:space="0" w:color="auto"/>
              <w:right w:val="single" w:sz="4" w:space="0" w:color="auto"/>
            </w:tcBorders>
            <w:shd w:val="clear" w:color="000000" w:fill="FFC000"/>
            <w:noWrap/>
            <w:vAlign w:val="bottom"/>
            <w:hideMark/>
          </w:tcPr>
          <w:p w14:paraId="79AA4610" w14:textId="77777777" w:rsidR="00BB4623" w:rsidRPr="00060DED" w:rsidRDefault="00BB4623" w:rsidP="00890B16">
            <w:pPr>
              <w:rPr>
                <w:sz w:val="16"/>
                <w:szCs w:val="16"/>
              </w:rPr>
            </w:pPr>
            <w:r w:rsidRPr="00060DED">
              <w:rPr>
                <w:sz w:val="16"/>
                <w:szCs w:val="16"/>
              </w:rPr>
              <w:t>22</w:t>
            </w:r>
          </w:p>
        </w:tc>
        <w:tc>
          <w:tcPr>
            <w:tcW w:w="703" w:type="pct"/>
            <w:tcBorders>
              <w:top w:val="nil"/>
              <w:left w:val="nil"/>
              <w:bottom w:val="single" w:sz="4" w:space="0" w:color="auto"/>
              <w:right w:val="single" w:sz="4" w:space="0" w:color="auto"/>
            </w:tcBorders>
            <w:shd w:val="clear" w:color="000000" w:fill="FFC000"/>
            <w:noWrap/>
            <w:vAlign w:val="bottom"/>
            <w:hideMark/>
          </w:tcPr>
          <w:p w14:paraId="144EBCCA" w14:textId="77777777" w:rsidR="00BB4623" w:rsidRPr="00060DED" w:rsidRDefault="00BB4623" w:rsidP="00890B16">
            <w:pPr>
              <w:rPr>
                <w:sz w:val="16"/>
                <w:szCs w:val="16"/>
              </w:rPr>
            </w:pPr>
            <w:r w:rsidRPr="00060DED">
              <w:rPr>
                <w:sz w:val="16"/>
                <w:szCs w:val="16"/>
              </w:rPr>
              <w:t>22</w:t>
            </w:r>
          </w:p>
        </w:tc>
        <w:tc>
          <w:tcPr>
            <w:tcW w:w="546" w:type="pct"/>
            <w:tcBorders>
              <w:top w:val="nil"/>
              <w:left w:val="nil"/>
              <w:bottom w:val="single" w:sz="4" w:space="0" w:color="auto"/>
              <w:right w:val="single" w:sz="4" w:space="0" w:color="auto"/>
            </w:tcBorders>
            <w:shd w:val="clear" w:color="000000" w:fill="FFC000"/>
            <w:noWrap/>
            <w:vAlign w:val="bottom"/>
            <w:hideMark/>
          </w:tcPr>
          <w:p w14:paraId="2BAD574B" w14:textId="77777777" w:rsidR="00BB4623" w:rsidRPr="00060DED" w:rsidRDefault="00BB4623" w:rsidP="00890B16">
            <w:pPr>
              <w:rPr>
                <w:sz w:val="16"/>
                <w:szCs w:val="16"/>
              </w:rPr>
            </w:pPr>
            <w:r w:rsidRPr="00060DED">
              <w:rPr>
                <w:sz w:val="16"/>
                <w:szCs w:val="16"/>
              </w:rPr>
              <w:t>23</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3FA9DC8" w14:textId="77777777" w:rsidR="00BB4623" w:rsidRPr="00060DED" w:rsidRDefault="00BB4623" w:rsidP="00890B16">
            <w:pPr>
              <w:rPr>
                <w:sz w:val="16"/>
                <w:szCs w:val="16"/>
              </w:rPr>
            </w:pPr>
            <w:r w:rsidRPr="00060DED">
              <w:rPr>
                <w:sz w:val="16"/>
                <w:szCs w:val="16"/>
              </w:rPr>
              <w:t>23</w:t>
            </w:r>
          </w:p>
        </w:tc>
      </w:tr>
      <w:tr w:rsidR="003F65C7" w:rsidRPr="00060DED" w14:paraId="15DD850D"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485C7" w14:textId="77777777" w:rsidR="00BB4623" w:rsidRPr="00060DED" w:rsidRDefault="00BB4623" w:rsidP="00890B16">
            <w:pPr>
              <w:rPr>
                <w:sz w:val="16"/>
                <w:szCs w:val="16"/>
              </w:rPr>
            </w:pPr>
            <w:r w:rsidRPr="00060DED">
              <w:rPr>
                <w:sz w:val="16"/>
                <w:szCs w:val="16"/>
              </w:rPr>
              <w:t>Number of nursing hours per resident per week</w:t>
            </w:r>
          </w:p>
        </w:tc>
        <w:tc>
          <w:tcPr>
            <w:tcW w:w="546" w:type="pct"/>
            <w:tcBorders>
              <w:top w:val="nil"/>
              <w:left w:val="nil"/>
              <w:bottom w:val="single" w:sz="4" w:space="0" w:color="auto"/>
              <w:right w:val="single" w:sz="4" w:space="0" w:color="auto"/>
            </w:tcBorders>
            <w:shd w:val="clear" w:color="000000" w:fill="FFC000"/>
            <w:noWrap/>
            <w:vAlign w:val="bottom"/>
            <w:hideMark/>
          </w:tcPr>
          <w:p w14:paraId="078CFF15" w14:textId="77777777" w:rsidR="00BB4623" w:rsidRPr="00060DED" w:rsidRDefault="00BB4623" w:rsidP="00890B16">
            <w:pPr>
              <w:rPr>
                <w:sz w:val="16"/>
                <w:szCs w:val="16"/>
              </w:rPr>
            </w:pPr>
            <w:r w:rsidRPr="00060DED">
              <w:rPr>
                <w:sz w:val="16"/>
                <w:szCs w:val="16"/>
              </w:rPr>
              <w:t>0</w:t>
            </w:r>
          </w:p>
        </w:tc>
        <w:tc>
          <w:tcPr>
            <w:tcW w:w="703" w:type="pct"/>
            <w:tcBorders>
              <w:top w:val="nil"/>
              <w:left w:val="nil"/>
              <w:bottom w:val="single" w:sz="4" w:space="0" w:color="auto"/>
              <w:right w:val="single" w:sz="4" w:space="0" w:color="auto"/>
            </w:tcBorders>
            <w:shd w:val="clear" w:color="000000" w:fill="FFC000"/>
            <w:noWrap/>
            <w:vAlign w:val="bottom"/>
            <w:hideMark/>
          </w:tcPr>
          <w:p w14:paraId="47228FA9" w14:textId="77777777" w:rsidR="00BB4623" w:rsidRPr="00060DED" w:rsidRDefault="00BB4623" w:rsidP="00890B16">
            <w:pPr>
              <w:rPr>
                <w:sz w:val="16"/>
                <w:szCs w:val="16"/>
              </w:rPr>
            </w:pPr>
            <w:r w:rsidRPr="00060DED">
              <w:rPr>
                <w:sz w:val="16"/>
                <w:szCs w:val="16"/>
              </w:rPr>
              <w:t>0</w:t>
            </w:r>
          </w:p>
        </w:tc>
        <w:tc>
          <w:tcPr>
            <w:tcW w:w="546" w:type="pct"/>
            <w:tcBorders>
              <w:top w:val="nil"/>
              <w:left w:val="nil"/>
              <w:bottom w:val="single" w:sz="4" w:space="0" w:color="auto"/>
              <w:right w:val="single" w:sz="4" w:space="0" w:color="auto"/>
            </w:tcBorders>
            <w:shd w:val="clear" w:color="000000" w:fill="FFC000"/>
            <w:noWrap/>
            <w:vAlign w:val="bottom"/>
            <w:hideMark/>
          </w:tcPr>
          <w:p w14:paraId="13EE27BB" w14:textId="77777777" w:rsidR="00BB4623" w:rsidRPr="00060DED" w:rsidRDefault="00BB4623" w:rsidP="00890B16">
            <w:pPr>
              <w:rPr>
                <w:sz w:val="16"/>
                <w:szCs w:val="16"/>
              </w:rPr>
            </w:pPr>
            <w:r w:rsidRPr="00060DED">
              <w:rPr>
                <w:sz w:val="16"/>
                <w:szCs w:val="16"/>
              </w:rPr>
              <w:t>10</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276E28A" w14:textId="77777777" w:rsidR="00BB4623" w:rsidRPr="00060DED" w:rsidRDefault="00BB4623" w:rsidP="00890B16">
            <w:pPr>
              <w:rPr>
                <w:sz w:val="16"/>
                <w:szCs w:val="16"/>
              </w:rPr>
            </w:pPr>
            <w:r w:rsidRPr="00060DED">
              <w:rPr>
                <w:sz w:val="16"/>
                <w:szCs w:val="16"/>
              </w:rPr>
              <w:t>10</w:t>
            </w:r>
          </w:p>
        </w:tc>
      </w:tr>
      <w:tr w:rsidR="003F65C7" w:rsidRPr="00060DED" w14:paraId="6271BE24"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110C" w14:textId="77777777" w:rsidR="00BB4623" w:rsidRPr="00060DED" w:rsidRDefault="00BB4623" w:rsidP="00890B16">
            <w:pPr>
              <w:rPr>
                <w:sz w:val="16"/>
                <w:szCs w:val="16"/>
              </w:rPr>
            </w:pPr>
            <w:r w:rsidRPr="00060DED">
              <w:rPr>
                <w:sz w:val="16"/>
                <w:szCs w:val="16"/>
              </w:rPr>
              <w:t>Average carer basic pay per hour</w:t>
            </w:r>
          </w:p>
        </w:tc>
        <w:tc>
          <w:tcPr>
            <w:tcW w:w="546" w:type="pct"/>
            <w:tcBorders>
              <w:top w:val="nil"/>
              <w:left w:val="nil"/>
              <w:bottom w:val="single" w:sz="4" w:space="0" w:color="auto"/>
              <w:right w:val="single" w:sz="4" w:space="0" w:color="auto"/>
            </w:tcBorders>
            <w:shd w:val="clear" w:color="000000" w:fill="FFC000"/>
            <w:noWrap/>
            <w:vAlign w:val="bottom"/>
            <w:hideMark/>
          </w:tcPr>
          <w:p w14:paraId="1108E496" w14:textId="77777777" w:rsidR="00BB4623" w:rsidRPr="00060DED" w:rsidRDefault="00BB4623" w:rsidP="00890B16">
            <w:pPr>
              <w:rPr>
                <w:sz w:val="16"/>
                <w:szCs w:val="16"/>
              </w:rPr>
            </w:pPr>
            <w:r w:rsidRPr="00060DED">
              <w:rPr>
                <w:sz w:val="16"/>
                <w:szCs w:val="16"/>
              </w:rPr>
              <w:t>£9.79</w:t>
            </w:r>
          </w:p>
        </w:tc>
        <w:tc>
          <w:tcPr>
            <w:tcW w:w="703" w:type="pct"/>
            <w:tcBorders>
              <w:top w:val="nil"/>
              <w:left w:val="nil"/>
              <w:bottom w:val="single" w:sz="4" w:space="0" w:color="auto"/>
              <w:right w:val="single" w:sz="4" w:space="0" w:color="auto"/>
            </w:tcBorders>
            <w:shd w:val="clear" w:color="000000" w:fill="FFC000"/>
            <w:noWrap/>
            <w:vAlign w:val="bottom"/>
            <w:hideMark/>
          </w:tcPr>
          <w:p w14:paraId="1D35FF46" w14:textId="77777777" w:rsidR="00BB4623" w:rsidRPr="00060DED" w:rsidRDefault="00BB4623" w:rsidP="00890B16">
            <w:pPr>
              <w:rPr>
                <w:sz w:val="16"/>
                <w:szCs w:val="16"/>
              </w:rPr>
            </w:pPr>
            <w:r w:rsidRPr="00060DED">
              <w:rPr>
                <w:sz w:val="16"/>
                <w:szCs w:val="16"/>
              </w:rPr>
              <w:t>£9.76</w:t>
            </w:r>
          </w:p>
        </w:tc>
        <w:tc>
          <w:tcPr>
            <w:tcW w:w="546" w:type="pct"/>
            <w:tcBorders>
              <w:top w:val="nil"/>
              <w:left w:val="nil"/>
              <w:bottom w:val="single" w:sz="4" w:space="0" w:color="auto"/>
              <w:right w:val="single" w:sz="4" w:space="0" w:color="auto"/>
            </w:tcBorders>
            <w:shd w:val="clear" w:color="000000" w:fill="FFC000"/>
            <w:noWrap/>
            <w:vAlign w:val="bottom"/>
            <w:hideMark/>
          </w:tcPr>
          <w:p w14:paraId="3B8EDD6C" w14:textId="77777777" w:rsidR="00BB4623" w:rsidRPr="00060DED" w:rsidRDefault="00BB4623" w:rsidP="00890B16">
            <w:pPr>
              <w:rPr>
                <w:sz w:val="16"/>
                <w:szCs w:val="16"/>
              </w:rPr>
            </w:pPr>
            <w:r w:rsidRPr="00060DED">
              <w:rPr>
                <w:sz w:val="16"/>
                <w:szCs w:val="16"/>
              </w:rPr>
              <w:t>£9.86</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2D14C87" w14:textId="77777777" w:rsidR="00BB4623" w:rsidRPr="00060DED" w:rsidRDefault="00BB4623" w:rsidP="00890B16">
            <w:pPr>
              <w:rPr>
                <w:sz w:val="16"/>
                <w:szCs w:val="16"/>
              </w:rPr>
            </w:pPr>
            <w:r w:rsidRPr="00060DED">
              <w:rPr>
                <w:sz w:val="16"/>
                <w:szCs w:val="16"/>
              </w:rPr>
              <w:t>£9.86</w:t>
            </w:r>
          </w:p>
        </w:tc>
      </w:tr>
      <w:tr w:rsidR="003F65C7" w:rsidRPr="00060DED" w14:paraId="3F67C9A8"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68E2" w14:textId="77777777" w:rsidR="00BB4623" w:rsidRPr="00060DED" w:rsidRDefault="00BB4623" w:rsidP="00890B16">
            <w:pPr>
              <w:rPr>
                <w:sz w:val="16"/>
                <w:szCs w:val="16"/>
              </w:rPr>
            </w:pPr>
            <w:r w:rsidRPr="00060DED">
              <w:rPr>
                <w:sz w:val="16"/>
                <w:szCs w:val="16"/>
              </w:rPr>
              <w:t>Average nurse basic pay per hour</w:t>
            </w:r>
          </w:p>
        </w:tc>
        <w:tc>
          <w:tcPr>
            <w:tcW w:w="546" w:type="pct"/>
            <w:tcBorders>
              <w:top w:val="nil"/>
              <w:left w:val="nil"/>
              <w:bottom w:val="single" w:sz="4" w:space="0" w:color="auto"/>
              <w:right w:val="single" w:sz="4" w:space="0" w:color="auto"/>
            </w:tcBorders>
            <w:shd w:val="clear" w:color="000000" w:fill="FFC000"/>
            <w:noWrap/>
            <w:vAlign w:val="bottom"/>
            <w:hideMark/>
          </w:tcPr>
          <w:p w14:paraId="31FC7EF8" w14:textId="77777777" w:rsidR="00BB4623" w:rsidRPr="00060DED" w:rsidRDefault="00BB4623" w:rsidP="00890B16">
            <w:pPr>
              <w:rPr>
                <w:sz w:val="16"/>
                <w:szCs w:val="16"/>
              </w:rPr>
            </w:pPr>
            <w:r w:rsidRPr="00060DED">
              <w:rPr>
                <w:sz w:val="16"/>
                <w:szCs w:val="16"/>
              </w:rPr>
              <w:t>£0.00</w:t>
            </w:r>
          </w:p>
        </w:tc>
        <w:tc>
          <w:tcPr>
            <w:tcW w:w="703" w:type="pct"/>
            <w:tcBorders>
              <w:top w:val="nil"/>
              <w:left w:val="nil"/>
              <w:bottom w:val="single" w:sz="4" w:space="0" w:color="auto"/>
              <w:right w:val="single" w:sz="4" w:space="0" w:color="auto"/>
            </w:tcBorders>
            <w:shd w:val="clear" w:color="000000" w:fill="FFC000"/>
            <w:noWrap/>
            <w:vAlign w:val="bottom"/>
            <w:hideMark/>
          </w:tcPr>
          <w:p w14:paraId="3E9FB3E7" w14:textId="77777777" w:rsidR="00BB4623" w:rsidRPr="00060DED" w:rsidRDefault="00BB4623" w:rsidP="00890B16">
            <w:pPr>
              <w:rPr>
                <w:sz w:val="16"/>
                <w:szCs w:val="16"/>
              </w:rPr>
            </w:pPr>
            <w:r w:rsidRPr="00060DED">
              <w:rPr>
                <w:sz w:val="16"/>
                <w:szCs w:val="16"/>
              </w:rPr>
              <w:t>£0.00</w:t>
            </w:r>
          </w:p>
        </w:tc>
        <w:tc>
          <w:tcPr>
            <w:tcW w:w="546" w:type="pct"/>
            <w:tcBorders>
              <w:top w:val="nil"/>
              <w:left w:val="nil"/>
              <w:bottom w:val="single" w:sz="4" w:space="0" w:color="auto"/>
              <w:right w:val="single" w:sz="4" w:space="0" w:color="auto"/>
            </w:tcBorders>
            <w:shd w:val="clear" w:color="000000" w:fill="FFC000"/>
            <w:noWrap/>
            <w:vAlign w:val="bottom"/>
            <w:hideMark/>
          </w:tcPr>
          <w:p w14:paraId="0FC58D85" w14:textId="77777777" w:rsidR="00BB4623" w:rsidRPr="00060DED" w:rsidRDefault="00BB4623" w:rsidP="00890B16">
            <w:pPr>
              <w:rPr>
                <w:sz w:val="16"/>
                <w:szCs w:val="16"/>
              </w:rPr>
            </w:pPr>
            <w:r w:rsidRPr="00060DED">
              <w:rPr>
                <w:sz w:val="16"/>
                <w:szCs w:val="16"/>
              </w:rPr>
              <w:t>£18.31</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8D2F0AC" w14:textId="77777777" w:rsidR="00BB4623" w:rsidRPr="00060DED" w:rsidRDefault="00BB4623" w:rsidP="00890B16">
            <w:pPr>
              <w:rPr>
                <w:sz w:val="16"/>
                <w:szCs w:val="16"/>
              </w:rPr>
            </w:pPr>
            <w:r w:rsidRPr="00060DED">
              <w:rPr>
                <w:sz w:val="16"/>
                <w:szCs w:val="16"/>
              </w:rPr>
              <w:t>£18.31</w:t>
            </w:r>
          </w:p>
        </w:tc>
      </w:tr>
      <w:tr w:rsidR="003F65C7" w:rsidRPr="00060DED" w14:paraId="39686C7F"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FD56" w14:textId="77777777" w:rsidR="00BB4623" w:rsidRPr="00060DED" w:rsidRDefault="00BB4623" w:rsidP="00890B16">
            <w:pPr>
              <w:rPr>
                <w:sz w:val="16"/>
                <w:szCs w:val="16"/>
              </w:rPr>
            </w:pPr>
            <w:r w:rsidRPr="00060DED">
              <w:rPr>
                <w:sz w:val="16"/>
                <w:szCs w:val="16"/>
              </w:rPr>
              <w:t>Average occupancy as a percentage of active beds</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99694C5" w14:textId="77777777" w:rsidR="00BB4623" w:rsidRPr="00060DED" w:rsidRDefault="00BB4623" w:rsidP="00890B16">
            <w:pPr>
              <w:rPr>
                <w:sz w:val="16"/>
                <w:szCs w:val="16"/>
              </w:rPr>
            </w:pPr>
            <w:r w:rsidRPr="00060DED">
              <w:rPr>
                <w:sz w:val="16"/>
                <w:szCs w:val="16"/>
              </w:rPr>
              <w:t>79%</w:t>
            </w:r>
          </w:p>
        </w:tc>
        <w:tc>
          <w:tcPr>
            <w:tcW w:w="703"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0D6432D" w14:textId="77777777" w:rsidR="00BB4623" w:rsidRPr="00060DED" w:rsidRDefault="00BB4623" w:rsidP="00890B16">
            <w:pPr>
              <w:rPr>
                <w:sz w:val="16"/>
                <w:szCs w:val="16"/>
              </w:rPr>
            </w:pPr>
            <w:r w:rsidRPr="00060DED">
              <w:rPr>
                <w:sz w:val="16"/>
                <w:szCs w:val="16"/>
              </w:rPr>
              <w:t>80%</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DBE7B1" w14:textId="77777777" w:rsidR="00BB4623" w:rsidRPr="00060DED" w:rsidRDefault="00BB4623" w:rsidP="00890B16">
            <w:pPr>
              <w:rPr>
                <w:sz w:val="16"/>
                <w:szCs w:val="16"/>
              </w:rPr>
            </w:pPr>
            <w:r w:rsidRPr="00060DED">
              <w:rPr>
                <w:sz w:val="16"/>
                <w:szCs w:val="16"/>
              </w:rPr>
              <w:t>63%</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D54630B" w14:textId="77777777" w:rsidR="00BB4623" w:rsidRPr="00060DED" w:rsidRDefault="00BB4623" w:rsidP="00890B16">
            <w:pPr>
              <w:rPr>
                <w:sz w:val="16"/>
                <w:szCs w:val="16"/>
              </w:rPr>
            </w:pPr>
            <w:r w:rsidRPr="00060DED">
              <w:rPr>
                <w:sz w:val="16"/>
                <w:szCs w:val="16"/>
              </w:rPr>
              <w:t>63%</w:t>
            </w:r>
          </w:p>
        </w:tc>
      </w:tr>
      <w:tr w:rsidR="003F65C7" w:rsidRPr="00060DED" w14:paraId="0525A7ED" w14:textId="77777777" w:rsidTr="003F65C7">
        <w:trPr>
          <w:trHeight w:val="310"/>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1342" w14:textId="77777777" w:rsidR="00BB4623" w:rsidRPr="00060DED" w:rsidRDefault="00BB4623" w:rsidP="00890B16">
            <w:pPr>
              <w:rPr>
                <w:sz w:val="16"/>
                <w:szCs w:val="16"/>
              </w:rPr>
            </w:pPr>
            <w:r w:rsidRPr="00060DED">
              <w:rPr>
                <w:sz w:val="16"/>
                <w:szCs w:val="16"/>
              </w:rPr>
              <w:t>Freehold valuation per bed</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E4AC3FC" w14:textId="77777777" w:rsidR="00BB4623" w:rsidRPr="00060DED" w:rsidRDefault="00BB4623" w:rsidP="00890B16">
            <w:pPr>
              <w:rPr>
                <w:sz w:val="16"/>
                <w:szCs w:val="16"/>
              </w:rPr>
            </w:pPr>
            <w:r w:rsidRPr="00060DED">
              <w:rPr>
                <w:sz w:val="16"/>
                <w:szCs w:val="16"/>
              </w:rPr>
              <w:t>£23,187.62</w:t>
            </w:r>
          </w:p>
        </w:tc>
        <w:tc>
          <w:tcPr>
            <w:tcW w:w="703"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54D81DF" w14:textId="77777777" w:rsidR="00BB4623" w:rsidRPr="00060DED" w:rsidRDefault="00BB4623" w:rsidP="00890B16">
            <w:pPr>
              <w:rPr>
                <w:sz w:val="16"/>
                <w:szCs w:val="16"/>
              </w:rPr>
            </w:pPr>
            <w:r w:rsidRPr="00060DED">
              <w:rPr>
                <w:sz w:val="16"/>
                <w:szCs w:val="16"/>
              </w:rPr>
              <w:t>£23,187.62</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97C346F" w14:textId="77777777" w:rsidR="00BB4623" w:rsidRPr="00060DED" w:rsidRDefault="00BB4623" w:rsidP="00890B16">
            <w:pPr>
              <w:rPr>
                <w:sz w:val="16"/>
                <w:szCs w:val="16"/>
              </w:rPr>
            </w:pPr>
            <w:r w:rsidRPr="00060DED">
              <w:rPr>
                <w:sz w:val="16"/>
                <w:szCs w:val="16"/>
              </w:rPr>
              <w:t>£20,000.00</w:t>
            </w:r>
          </w:p>
        </w:tc>
        <w:tc>
          <w:tcPr>
            <w:tcW w:w="54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CF459CB" w14:textId="77777777" w:rsidR="00BB4623" w:rsidRPr="00060DED" w:rsidRDefault="00BB4623" w:rsidP="00890B16">
            <w:pPr>
              <w:rPr>
                <w:sz w:val="16"/>
                <w:szCs w:val="16"/>
              </w:rPr>
            </w:pPr>
            <w:r w:rsidRPr="00060DED">
              <w:rPr>
                <w:sz w:val="16"/>
                <w:szCs w:val="16"/>
              </w:rPr>
              <w:t>£20,000.00</w:t>
            </w:r>
          </w:p>
        </w:tc>
      </w:tr>
    </w:tbl>
    <w:p w14:paraId="35B02058" w14:textId="77777777" w:rsidR="00BB4623" w:rsidRPr="003948E3" w:rsidRDefault="00BB4623" w:rsidP="00BD5A7D">
      <w:pPr>
        <w:rPr>
          <w:rFonts w:ascii="Arial" w:eastAsia="Calibri" w:hAnsi="Arial" w:cs="Arial"/>
        </w:rPr>
      </w:pPr>
    </w:p>
    <w:p w14:paraId="44C233AD" w14:textId="20A26B6E" w:rsidR="00BD5A7D" w:rsidRPr="000A22AB" w:rsidRDefault="00BD5A7D" w:rsidP="00417F5F">
      <w:pPr>
        <w:pStyle w:val="ListParagraph"/>
        <w:numPr>
          <w:ilvl w:val="0"/>
          <w:numId w:val="5"/>
        </w:numPr>
        <w:ind w:left="284"/>
        <w:rPr>
          <w:rFonts w:ascii="Arial" w:eastAsia="Calibri" w:hAnsi="Arial" w:cs="Arial"/>
          <w:b/>
          <w:bCs/>
          <w:sz w:val="24"/>
          <w:szCs w:val="24"/>
          <w:u w:val="single"/>
        </w:rPr>
      </w:pPr>
      <w:bookmarkStart w:id="3" w:name="_Hlk115076405"/>
      <w:r w:rsidRPr="000A22AB">
        <w:rPr>
          <w:rFonts w:ascii="Arial" w:eastAsia="Calibri" w:hAnsi="Arial" w:cs="Arial"/>
          <w:b/>
          <w:bCs/>
          <w:sz w:val="24"/>
          <w:szCs w:val="24"/>
          <w:u w:val="single"/>
        </w:rPr>
        <w:t>Considerations of the data</w:t>
      </w:r>
      <w:r w:rsidR="00660321">
        <w:rPr>
          <w:rFonts w:ascii="Arial" w:eastAsia="Calibri" w:hAnsi="Arial" w:cs="Arial"/>
          <w:b/>
          <w:bCs/>
          <w:sz w:val="24"/>
          <w:szCs w:val="24"/>
          <w:u w:val="single"/>
        </w:rPr>
        <w:t xml:space="preserve"> Outputs</w:t>
      </w:r>
    </w:p>
    <w:p w14:paraId="27631B52" w14:textId="1CD61E3F" w:rsidR="007347B4" w:rsidRPr="00372714" w:rsidRDefault="007347B4" w:rsidP="007347B4">
      <w:pPr>
        <w:rPr>
          <w:rFonts w:ascii="Arial" w:eastAsia="Calibri" w:hAnsi="Arial" w:cs="Arial"/>
        </w:rPr>
      </w:pPr>
      <w:r w:rsidRPr="000A22AB">
        <w:rPr>
          <w:rFonts w:ascii="Arial" w:eastAsia="Calibri" w:hAnsi="Arial" w:cs="Arial"/>
        </w:rPr>
        <w:lastRenderedPageBreak/>
        <w:t xml:space="preserve">The local authority does not consider the cost information from providers to be wholly reflective of the state of </w:t>
      </w:r>
      <w:r w:rsidRPr="00372714">
        <w:rPr>
          <w:rFonts w:ascii="Arial" w:eastAsia="Calibri" w:hAnsi="Arial" w:cs="Arial"/>
        </w:rPr>
        <w:t xml:space="preserve">the market and needs to be reviewed </w:t>
      </w:r>
      <w:proofErr w:type="gramStart"/>
      <w:r w:rsidRPr="00372714">
        <w:rPr>
          <w:rFonts w:ascii="Arial" w:eastAsia="Calibri" w:hAnsi="Arial" w:cs="Arial"/>
        </w:rPr>
        <w:t>in light of</w:t>
      </w:r>
      <w:proofErr w:type="gramEnd"/>
      <w:r w:rsidRPr="00372714">
        <w:rPr>
          <w:rFonts w:ascii="Arial" w:eastAsia="Calibri" w:hAnsi="Arial" w:cs="Arial"/>
        </w:rPr>
        <w:t xml:space="preserve"> other information especially for nursing provision </w:t>
      </w:r>
      <w:r w:rsidRPr="00C60B62">
        <w:rPr>
          <w:rFonts w:ascii="Arial" w:eastAsia="Calibri" w:hAnsi="Arial" w:cs="Arial"/>
        </w:rPr>
        <w:t xml:space="preserve">as </w:t>
      </w:r>
      <w:r w:rsidR="001B799F" w:rsidRPr="00C60B62">
        <w:rPr>
          <w:rFonts w:ascii="Arial" w:eastAsia="Calibri" w:hAnsi="Arial" w:cs="Arial"/>
        </w:rPr>
        <w:t>the</w:t>
      </w:r>
      <w:r w:rsidRPr="00372714">
        <w:rPr>
          <w:rFonts w:ascii="Arial" w:eastAsia="Calibri" w:hAnsi="Arial" w:cs="Arial"/>
        </w:rPr>
        <w:t xml:space="preserve"> reported costs point</w:t>
      </w:r>
      <w:r w:rsidR="00C60B62">
        <w:rPr>
          <w:rFonts w:ascii="Arial" w:eastAsia="Calibri" w:hAnsi="Arial" w:cs="Arial"/>
        </w:rPr>
        <w:t xml:space="preserve"> </w:t>
      </w:r>
      <w:r w:rsidRPr="00372714">
        <w:rPr>
          <w:rFonts w:ascii="Arial" w:eastAsia="Calibri" w:hAnsi="Arial" w:cs="Arial"/>
        </w:rPr>
        <w:t xml:space="preserve">to significantly higher rates than the council has been paying, whilst at the same time there has been over-supply across the market </w:t>
      </w:r>
    </w:p>
    <w:p w14:paraId="2E3085E2" w14:textId="77777777" w:rsidR="00AB1BAD" w:rsidRDefault="00765505" w:rsidP="00BD5A7D">
      <w:pPr>
        <w:rPr>
          <w:rFonts w:ascii="Arial" w:eastAsia="Calibri" w:hAnsi="Arial" w:cs="Arial"/>
        </w:rPr>
      </w:pPr>
      <w:r w:rsidRPr="00372714">
        <w:rPr>
          <w:rFonts w:ascii="Arial" w:eastAsia="Calibri" w:hAnsi="Arial" w:cs="Arial"/>
        </w:rPr>
        <w:t xml:space="preserve">In considering the approach to the information provided by the returns there is a need to </w:t>
      </w:r>
      <w:r w:rsidR="00D108A7" w:rsidRPr="00372714">
        <w:rPr>
          <w:rFonts w:ascii="Arial" w:eastAsia="Calibri" w:hAnsi="Arial" w:cs="Arial"/>
        </w:rPr>
        <w:t>consider</w:t>
      </w:r>
      <w:r w:rsidRPr="00372714">
        <w:rPr>
          <w:rFonts w:ascii="Arial" w:eastAsia="Calibri" w:hAnsi="Arial" w:cs="Arial"/>
        </w:rPr>
        <w:t xml:space="preserve"> some limitations in the information and our local commissioning context</w:t>
      </w:r>
      <w:r w:rsidR="00AB1BAD">
        <w:rPr>
          <w:rFonts w:ascii="Arial" w:eastAsia="Calibri" w:hAnsi="Arial" w:cs="Arial"/>
        </w:rPr>
        <w:t xml:space="preserve"> are as follows:</w:t>
      </w:r>
      <w:r w:rsidRPr="00372714">
        <w:rPr>
          <w:rFonts w:ascii="Arial" w:eastAsia="Calibri" w:hAnsi="Arial" w:cs="Arial"/>
        </w:rPr>
        <w:t xml:space="preserve"> </w:t>
      </w:r>
    </w:p>
    <w:p w14:paraId="3A557589" w14:textId="77777777" w:rsidR="00AB1BAD" w:rsidRDefault="00AB1BAD" w:rsidP="00AB1BAD">
      <w:pPr>
        <w:rPr>
          <w:rFonts w:ascii="Arial" w:eastAsia="Calibri" w:hAnsi="Arial" w:cs="Arial"/>
        </w:rPr>
      </w:pPr>
      <w:r>
        <w:rPr>
          <w:rFonts w:ascii="Arial" w:eastAsia="Calibri" w:hAnsi="Arial" w:cs="Arial"/>
        </w:rPr>
        <w:t>K</w:t>
      </w:r>
      <w:r w:rsidR="00660321">
        <w:rPr>
          <w:rFonts w:ascii="Arial" w:eastAsia="Calibri" w:hAnsi="Arial" w:cs="Arial"/>
        </w:rPr>
        <w:t>ey considerations</w:t>
      </w:r>
      <w:r>
        <w:rPr>
          <w:rFonts w:ascii="Arial" w:eastAsia="Calibri" w:hAnsi="Arial" w:cs="Arial"/>
        </w:rPr>
        <w:t>:</w:t>
      </w:r>
    </w:p>
    <w:p w14:paraId="5396D17B" w14:textId="73EF31C6" w:rsidR="00C359A1" w:rsidRPr="00AB1BAD" w:rsidRDefault="00C359A1" w:rsidP="00AB1BAD">
      <w:pPr>
        <w:pStyle w:val="ListParagraph"/>
        <w:numPr>
          <w:ilvl w:val="0"/>
          <w:numId w:val="1"/>
        </w:numPr>
        <w:ind w:left="1134" w:hanging="567"/>
        <w:rPr>
          <w:rFonts w:ascii="Arial" w:eastAsia="Calibri" w:hAnsi="Arial" w:cs="Arial"/>
        </w:rPr>
      </w:pPr>
      <w:r w:rsidRPr="00AB1BAD">
        <w:rPr>
          <w:rFonts w:ascii="Arial" w:eastAsia="Calibri" w:hAnsi="Arial" w:cs="Arial"/>
        </w:rPr>
        <w:t>Consideration of</w:t>
      </w:r>
      <w:r w:rsidR="00765505" w:rsidRPr="00AB1BAD">
        <w:rPr>
          <w:rFonts w:ascii="Arial" w:eastAsia="Calibri" w:hAnsi="Arial" w:cs="Arial"/>
        </w:rPr>
        <w:t xml:space="preserve"> occupancy rates, which have historically been low across residential</w:t>
      </w:r>
      <w:r w:rsidRPr="00AB1BAD">
        <w:rPr>
          <w:rFonts w:ascii="Arial" w:eastAsia="Calibri" w:hAnsi="Arial" w:cs="Arial"/>
        </w:rPr>
        <w:t>/nursing homes</w:t>
      </w:r>
      <w:r w:rsidR="00765505" w:rsidRPr="00AB1BAD">
        <w:rPr>
          <w:rFonts w:ascii="Arial" w:eastAsia="Calibri" w:hAnsi="Arial" w:cs="Arial"/>
        </w:rPr>
        <w:t xml:space="preserve"> in </w:t>
      </w:r>
      <w:proofErr w:type="gramStart"/>
      <w:r w:rsidR="00765505" w:rsidRPr="00AB1BAD">
        <w:rPr>
          <w:rFonts w:ascii="Arial" w:eastAsia="Calibri" w:hAnsi="Arial" w:cs="Arial"/>
        </w:rPr>
        <w:t>North East</w:t>
      </w:r>
      <w:proofErr w:type="gramEnd"/>
      <w:r w:rsidR="00765505" w:rsidRPr="00AB1BAD">
        <w:rPr>
          <w:rFonts w:ascii="Arial" w:eastAsia="Calibri" w:hAnsi="Arial" w:cs="Arial"/>
        </w:rPr>
        <w:t xml:space="preserve"> Lincolnshire</w:t>
      </w:r>
      <w:r w:rsidRPr="00AB1BAD">
        <w:rPr>
          <w:rFonts w:ascii="Arial" w:eastAsia="Calibri" w:hAnsi="Arial" w:cs="Arial"/>
        </w:rPr>
        <w:t xml:space="preserve">. </w:t>
      </w:r>
      <w:r w:rsidR="00660321" w:rsidRPr="00AB1BAD">
        <w:rPr>
          <w:rFonts w:ascii="Arial" w:eastAsia="Calibri" w:hAnsi="Arial" w:cs="Arial"/>
        </w:rPr>
        <w:t>The p</w:t>
      </w:r>
      <w:r w:rsidRPr="00AB1BAD">
        <w:rPr>
          <w:rFonts w:ascii="Arial" w:eastAsia="Calibri" w:hAnsi="Arial" w:cs="Arial"/>
        </w:rPr>
        <w:t>revious model</w:t>
      </w:r>
      <w:r w:rsidR="00660321" w:rsidRPr="00AB1BAD">
        <w:rPr>
          <w:rFonts w:ascii="Arial" w:eastAsia="Calibri" w:hAnsi="Arial" w:cs="Arial"/>
        </w:rPr>
        <w:t xml:space="preserve"> used</w:t>
      </w:r>
      <w:r w:rsidRPr="00AB1BAD">
        <w:rPr>
          <w:rFonts w:ascii="Arial" w:eastAsia="Calibri" w:hAnsi="Arial" w:cs="Arial"/>
        </w:rPr>
        <w:t xml:space="preserve"> suggest</w:t>
      </w:r>
      <w:r w:rsidR="001B799F" w:rsidRPr="00AB1BAD">
        <w:rPr>
          <w:rFonts w:ascii="Arial" w:eastAsia="Calibri" w:hAnsi="Arial" w:cs="Arial"/>
        </w:rPr>
        <w:t>s</w:t>
      </w:r>
      <w:r w:rsidRPr="00AB1BAD">
        <w:rPr>
          <w:rFonts w:ascii="Arial" w:eastAsia="Calibri" w:hAnsi="Arial" w:cs="Arial"/>
        </w:rPr>
        <w:t xml:space="preserve"> 90% for efficiency.  </w:t>
      </w:r>
    </w:p>
    <w:p w14:paraId="3438D868" w14:textId="018F8A28" w:rsidR="00765505" w:rsidRPr="000A22AB" w:rsidRDefault="00765505" w:rsidP="001B799F">
      <w:pPr>
        <w:pStyle w:val="ListParagraph"/>
        <w:numPr>
          <w:ilvl w:val="0"/>
          <w:numId w:val="1"/>
        </w:numPr>
        <w:ind w:left="1134" w:hanging="567"/>
        <w:rPr>
          <w:rFonts w:ascii="Arial" w:eastAsia="Calibri" w:hAnsi="Arial" w:cs="Arial"/>
        </w:rPr>
      </w:pPr>
      <w:r w:rsidRPr="000A22AB">
        <w:rPr>
          <w:rFonts w:ascii="Arial" w:eastAsia="Calibri" w:hAnsi="Arial" w:cs="Arial"/>
        </w:rPr>
        <w:t>Gaps in specific lines in the return that were not completed by the care homes</w:t>
      </w:r>
      <w:r w:rsidR="00C359A1" w:rsidRPr="000A22AB">
        <w:rPr>
          <w:rFonts w:ascii="Arial" w:eastAsia="Calibri" w:hAnsi="Arial" w:cs="Arial"/>
        </w:rPr>
        <w:t>.</w:t>
      </w:r>
    </w:p>
    <w:p w14:paraId="03D2D14C" w14:textId="7AB3C52B" w:rsidR="00765505" w:rsidRPr="000A22AB" w:rsidRDefault="00765505" w:rsidP="001B799F">
      <w:pPr>
        <w:pStyle w:val="ListParagraph"/>
        <w:numPr>
          <w:ilvl w:val="0"/>
          <w:numId w:val="1"/>
        </w:numPr>
        <w:ind w:left="1134" w:hanging="567"/>
        <w:rPr>
          <w:rFonts w:ascii="Arial" w:eastAsia="Calibri" w:hAnsi="Arial" w:cs="Arial"/>
        </w:rPr>
      </w:pPr>
      <w:r w:rsidRPr="000A22AB">
        <w:rPr>
          <w:rFonts w:ascii="Arial" w:eastAsia="Calibri" w:hAnsi="Arial" w:cs="Arial"/>
        </w:rPr>
        <w:t>No returns</w:t>
      </w:r>
      <w:r w:rsidR="00C359A1" w:rsidRPr="000A22AB">
        <w:rPr>
          <w:rFonts w:ascii="Arial" w:eastAsia="Calibri" w:hAnsi="Arial" w:cs="Arial"/>
        </w:rPr>
        <w:t xml:space="preserve"> received</w:t>
      </w:r>
      <w:r w:rsidRPr="000A22AB">
        <w:rPr>
          <w:rFonts w:ascii="Arial" w:eastAsia="Calibri" w:hAnsi="Arial" w:cs="Arial"/>
        </w:rPr>
        <w:t xml:space="preserve"> for 65+ nursing with dementia</w:t>
      </w:r>
      <w:r w:rsidR="00C359A1" w:rsidRPr="000A22AB">
        <w:rPr>
          <w:rFonts w:ascii="Arial" w:eastAsia="Calibri" w:hAnsi="Arial" w:cs="Arial"/>
        </w:rPr>
        <w:t>.</w:t>
      </w:r>
      <w:r w:rsidRPr="000A22AB">
        <w:rPr>
          <w:rFonts w:ascii="Arial" w:eastAsia="Calibri" w:hAnsi="Arial" w:cs="Arial"/>
        </w:rPr>
        <w:t xml:space="preserve">  </w:t>
      </w:r>
    </w:p>
    <w:p w14:paraId="020F4AAE" w14:textId="5D9FFC01" w:rsidR="00765505" w:rsidRPr="000A22AB" w:rsidRDefault="00765505" w:rsidP="001B799F">
      <w:pPr>
        <w:pStyle w:val="ListParagraph"/>
        <w:numPr>
          <w:ilvl w:val="0"/>
          <w:numId w:val="1"/>
        </w:numPr>
        <w:ind w:left="1134" w:hanging="567"/>
        <w:rPr>
          <w:rFonts w:ascii="Arial" w:eastAsia="Calibri" w:hAnsi="Arial" w:cs="Arial"/>
        </w:rPr>
      </w:pPr>
      <w:r w:rsidRPr="000A22AB">
        <w:rPr>
          <w:rFonts w:ascii="Arial" w:eastAsia="Calibri" w:hAnsi="Arial" w:cs="Arial"/>
        </w:rPr>
        <w:t>Significant differences in the approaches to return on capital and return on operations</w:t>
      </w:r>
      <w:r w:rsidR="00C359A1" w:rsidRPr="000A22AB">
        <w:rPr>
          <w:rFonts w:ascii="Arial" w:eastAsia="Calibri" w:hAnsi="Arial" w:cs="Arial"/>
        </w:rPr>
        <w:t>.</w:t>
      </w:r>
      <w:r w:rsidRPr="000A22AB">
        <w:rPr>
          <w:rFonts w:ascii="Arial" w:eastAsia="Calibri" w:hAnsi="Arial" w:cs="Arial"/>
        </w:rPr>
        <w:t xml:space="preserve"> </w:t>
      </w:r>
    </w:p>
    <w:p w14:paraId="038F1096" w14:textId="5D93A1A1" w:rsidR="002315AD" w:rsidRPr="000A22AB" w:rsidRDefault="002315AD" w:rsidP="001B799F">
      <w:pPr>
        <w:pStyle w:val="ListParagraph"/>
        <w:numPr>
          <w:ilvl w:val="0"/>
          <w:numId w:val="1"/>
        </w:numPr>
        <w:ind w:left="1134" w:hanging="567"/>
        <w:rPr>
          <w:rFonts w:ascii="Arial" w:eastAsia="Calibri" w:hAnsi="Arial" w:cs="Arial"/>
        </w:rPr>
      </w:pPr>
      <w:r w:rsidRPr="000A22AB">
        <w:rPr>
          <w:rFonts w:ascii="Arial" w:eastAsia="Calibri" w:hAnsi="Arial" w:cs="Arial"/>
        </w:rPr>
        <w:t>Relatively low value land and property prices in comparison to the region</w:t>
      </w:r>
      <w:r w:rsidR="00C359A1" w:rsidRPr="000A22AB">
        <w:rPr>
          <w:rFonts w:ascii="Arial" w:eastAsia="Calibri" w:hAnsi="Arial" w:cs="Arial"/>
        </w:rPr>
        <w:t>.</w:t>
      </w:r>
    </w:p>
    <w:p w14:paraId="6E8033C0" w14:textId="03AC9394" w:rsidR="002315AD" w:rsidRPr="000A22AB" w:rsidRDefault="002315AD" w:rsidP="001B799F">
      <w:pPr>
        <w:pStyle w:val="ListParagraph"/>
        <w:numPr>
          <w:ilvl w:val="0"/>
          <w:numId w:val="1"/>
        </w:numPr>
        <w:ind w:left="1134" w:hanging="567"/>
        <w:rPr>
          <w:rFonts w:ascii="Arial" w:eastAsia="Calibri" w:hAnsi="Arial" w:cs="Arial"/>
        </w:rPr>
      </w:pPr>
      <w:r w:rsidRPr="000A22AB">
        <w:rPr>
          <w:rFonts w:ascii="Arial" w:eastAsia="Calibri" w:hAnsi="Arial" w:cs="Arial"/>
        </w:rPr>
        <w:t>A home first model of care delivery</w:t>
      </w:r>
      <w:r w:rsidR="00C359A1" w:rsidRPr="000A22AB">
        <w:rPr>
          <w:rFonts w:ascii="Arial" w:eastAsia="Calibri" w:hAnsi="Arial" w:cs="Arial"/>
        </w:rPr>
        <w:t>.</w:t>
      </w:r>
    </w:p>
    <w:p w14:paraId="230CE740" w14:textId="4EEB2DFC" w:rsidR="00BD5A7D" w:rsidRPr="000A22AB" w:rsidRDefault="00BD5A7D" w:rsidP="001B799F">
      <w:pPr>
        <w:pStyle w:val="ListParagraph"/>
        <w:numPr>
          <w:ilvl w:val="0"/>
          <w:numId w:val="1"/>
        </w:numPr>
        <w:ind w:left="1134" w:hanging="567"/>
        <w:rPr>
          <w:rFonts w:ascii="Arial" w:eastAsia="Calibri" w:hAnsi="Arial" w:cs="Arial"/>
        </w:rPr>
      </w:pPr>
      <w:r w:rsidRPr="000A22AB">
        <w:rPr>
          <w:rFonts w:ascii="Arial" w:eastAsia="Calibri" w:hAnsi="Arial" w:cs="Arial"/>
        </w:rPr>
        <w:t>Small numbers</w:t>
      </w:r>
      <w:r w:rsidR="002315AD" w:rsidRPr="000A22AB">
        <w:rPr>
          <w:rFonts w:ascii="Arial" w:eastAsia="Calibri" w:hAnsi="Arial" w:cs="Arial"/>
        </w:rPr>
        <w:t xml:space="preserve"> of</w:t>
      </w:r>
      <w:r w:rsidRPr="000A22AB">
        <w:rPr>
          <w:rFonts w:ascii="Arial" w:eastAsia="Calibri" w:hAnsi="Arial" w:cs="Arial"/>
        </w:rPr>
        <w:t xml:space="preserve"> nursing</w:t>
      </w:r>
      <w:r w:rsidR="002315AD" w:rsidRPr="000A22AB">
        <w:rPr>
          <w:rFonts w:ascii="Arial" w:eastAsia="Calibri" w:hAnsi="Arial" w:cs="Arial"/>
        </w:rPr>
        <w:t xml:space="preserve"> homes</w:t>
      </w:r>
      <w:r w:rsidR="00E527A6" w:rsidRPr="000A22AB">
        <w:rPr>
          <w:rFonts w:ascii="Arial" w:eastAsia="Calibri" w:hAnsi="Arial" w:cs="Arial"/>
        </w:rPr>
        <w:t>.</w:t>
      </w:r>
    </w:p>
    <w:p w14:paraId="52E1C4A3" w14:textId="13B3C087" w:rsidR="002315AD" w:rsidRPr="000A22AB" w:rsidRDefault="002315AD" w:rsidP="001B799F">
      <w:pPr>
        <w:pStyle w:val="ListParagraph"/>
        <w:numPr>
          <w:ilvl w:val="0"/>
          <w:numId w:val="1"/>
        </w:numPr>
        <w:ind w:left="1134" w:hanging="567"/>
        <w:rPr>
          <w:rFonts w:ascii="Arial" w:eastAsia="Calibri" w:hAnsi="Arial" w:cs="Arial"/>
        </w:rPr>
      </w:pPr>
      <w:r w:rsidRPr="000A22AB">
        <w:rPr>
          <w:rFonts w:ascii="Arial" w:eastAsia="Calibri" w:hAnsi="Arial" w:cs="Arial"/>
        </w:rPr>
        <w:t>Different business models</w:t>
      </w:r>
      <w:r w:rsidR="001B799F">
        <w:rPr>
          <w:rFonts w:ascii="Arial" w:eastAsia="Calibri" w:hAnsi="Arial" w:cs="Arial"/>
        </w:rPr>
        <w:t>.</w:t>
      </w:r>
    </w:p>
    <w:p w14:paraId="78B26809" w14:textId="71EDBB8E" w:rsidR="006A5107" w:rsidRPr="001B799F" w:rsidRDefault="006A5107" w:rsidP="001B799F">
      <w:pPr>
        <w:pStyle w:val="ListParagraph"/>
        <w:numPr>
          <w:ilvl w:val="0"/>
          <w:numId w:val="1"/>
        </w:numPr>
        <w:ind w:left="1134" w:hanging="567"/>
        <w:rPr>
          <w:rFonts w:ascii="Arial" w:eastAsia="Calibri" w:hAnsi="Arial" w:cs="Arial"/>
        </w:rPr>
      </w:pPr>
      <w:r w:rsidRPr="001B799F">
        <w:rPr>
          <w:rFonts w:ascii="Arial" w:eastAsia="Calibri" w:hAnsi="Arial" w:cs="Arial"/>
        </w:rPr>
        <w:t>Consistency in the methodology providers have used to apportion costs</w:t>
      </w:r>
      <w:r w:rsidR="001B799F">
        <w:rPr>
          <w:rFonts w:ascii="Arial" w:eastAsia="Calibri" w:hAnsi="Arial" w:cs="Arial"/>
        </w:rPr>
        <w:t>.</w:t>
      </w:r>
      <w:r w:rsidRPr="001B799F" w:rsidDel="006A5107">
        <w:rPr>
          <w:rFonts w:ascii="Arial" w:eastAsia="Calibri" w:hAnsi="Arial" w:cs="Arial"/>
        </w:rPr>
        <w:t xml:space="preserve"> </w:t>
      </w:r>
    </w:p>
    <w:p w14:paraId="3789DBC0" w14:textId="48411F7C" w:rsidR="006A5107" w:rsidRPr="001B799F" w:rsidRDefault="006A5107" w:rsidP="001B799F">
      <w:pPr>
        <w:pStyle w:val="ListParagraph"/>
        <w:numPr>
          <w:ilvl w:val="0"/>
          <w:numId w:val="1"/>
        </w:numPr>
        <w:ind w:left="1134" w:hanging="567"/>
        <w:rPr>
          <w:rFonts w:ascii="Arial" w:eastAsia="Calibri" w:hAnsi="Arial" w:cs="Arial"/>
        </w:rPr>
      </w:pPr>
      <w:r w:rsidRPr="001B799F">
        <w:rPr>
          <w:rFonts w:ascii="Arial" w:eastAsia="Calibri" w:hAnsi="Arial" w:cs="Arial"/>
        </w:rPr>
        <w:t xml:space="preserve">Variation in who completed the forms - </w:t>
      </w:r>
      <w:proofErr w:type="gramStart"/>
      <w:r w:rsidRPr="001B799F">
        <w:rPr>
          <w:rFonts w:ascii="Arial" w:eastAsia="Calibri" w:hAnsi="Arial" w:cs="Arial"/>
        </w:rPr>
        <w:t>e.g</w:t>
      </w:r>
      <w:r w:rsidR="00EF429B" w:rsidRPr="001B799F">
        <w:rPr>
          <w:rFonts w:ascii="Arial" w:eastAsia="Calibri" w:hAnsi="Arial" w:cs="Arial"/>
        </w:rPr>
        <w:t>.</w:t>
      </w:r>
      <w:proofErr w:type="gramEnd"/>
      <w:r w:rsidRPr="001B799F">
        <w:rPr>
          <w:rFonts w:ascii="Arial" w:eastAsia="Calibri" w:hAnsi="Arial" w:cs="Arial"/>
        </w:rPr>
        <w:t xml:space="preserve"> in some cases corporate leads, in other cases individual home managers</w:t>
      </w:r>
      <w:r w:rsidR="001B799F">
        <w:rPr>
          <w:rFonts w:ascii="Arial" w:eastAsia="Calibri" w:hAnsi="Arial" w:cs="Arial"/>
        </w:rPr>
        <w:t>.</w:t>
      </w:r>
      <w:r w:rsidRPr="001B799F" w:rsidDel="006A5107">
        <w:rPr>
          <w:rFonts w:ascii="Arial" w:eastAsia="Calibri" w:hAnsi="Arial" w:cs="Arial"/>
        </w:rPr>
        <w:t xml:space="preserve"> </w:t>
      </w:r>
    </w:p>
    <w:p w14:paraId="0F94EC83" w14:textId="0561BD47" w:rsidR="00BD5A7D" w:rsidRPr="000A22AB" w:rsidRDefault="00C359A1" w:rsidP="001B799F">
      <w:pPr>
        <w:pStyle w:val="ListParagraph"/>
        <w:numPr>
          <w:ilvl w:val="0"/>
          <w:numId w:val="1"/>
        </w:numPr>
        <w:ind w:left="1134" w:hanging="567"/>
        <w:rPr>
          <w:rFonts w:ascii="Arial" w:eastAsia="Calibri" w:hAnsi="Arial" w:cs="Arial"/>
        </w:rPr>
      </w:pPr>
      <w:r w:rsidRPr="000A22AB">
        <w:rPr>
          <w:rFonts w:ascii="Arial" w:eastAsia="Calibri" w:hAnsi="Arial" w:cs="Arial"/>
        </w:rPr>
        <w:t xml:space="preserve">General issues about the consistency </w:t>
      </w:r>
      <w:r w:rsidR="00E527A6" w:rsidRPr="000A22AB">
        <w:rPr>
          <w:rFonts w:ascii="Arial" w:eastAsia="Calibri" w:hAnsi="Arial" w:cs="Arial"/>
        </w:rPr>
        <w:t xml:space="preserve">and accuracy </w:t>
      </w:r>
      <w:r w:rsidRPr="000A22AB">
        <w:rPr>
          <w:rFonts w:ascii="Arial" w:eastAsia="Calibri" w:hAnsi="Arial" w:cs="Arial"/>
        </w:rPr>
        <w:t xml:space="preserve">of </w:t>
      </w:r>
      <w:r w:rsidR="00E527A6" w:rsidRPr="000A22AB">
        <w:rPr>
          <w:rFonts w:ascii="Arial" w:eastAsia="Calibri" w:hAnsi="Arial" w:cs="Arial"/>
        </w:rPr>
        <w:t xml:space="preserve">some of </w:t>
      </w:r>
      <w:r w:rsidRPr="000A22AB">
        <w:rPr>
          <w:rFonts w:ascii="Arial" w:eastAsia="Calibri" w:hAnsi="Arial" w:cs="Arial"/>
        </w:rPr>
        <w:t>the data</w:t>
      </w:r>
      <w:r w:rsidR="001B799F">
        <w:rPr>
          <w:rFonts w:ascii="Arial" w:eastAsia="Calibri" w:hAnsi="Arial" w:cs="Arial"/>
        </w:rPr>
        <w:t>.</w:t>
      </w:r>
      <w:r w:rsidRPr="000A22AB">
        <w:rPr>
          <w:rFonts w:ascii="Arial" w:eastAsia="Calibri" w:hAnsi="Arial" w:cs="Arial"/>
        </w:rPr>
        <w:t xml:space="preserve"> </w:t>
      </w:r>
    </w:p>
    <w:p w14:paraId="023D1E3B" w14:textId="26681095" w:rsidR="00243D91" w:rsidRDefault="00243D91" w:rsidP="001B799F">
      <w:pPr>
        <w:pStyle w:val="ListParagraph"/>
        <w:numPr>
          <w:ilvl w:val="0"/>
          <w:numId w:val="1"/>
        </w:numPr>
        <w:ind w:left="1134" w:hanging="567"/>
        <w:rPr>
          <w:rFonts w:ascii="Arial" w:eastAsia="Calibri" w:hAnsi="Arial" w:cs="Arial"/>
        </w:rPr>
      </w:pPr>
      <w:r w:rsidRPr="00D108A7">
        <w:rPr>
          <w:rFonts w:ascii="Arial" w:eastAsia="Calibri" w:hAnsi="Arial" w:cs="Arial"/>
        </w:rPr>
        <w:t xml:space="preserve">Data </w:t>
      </w:r>
      <w:r w:rsidR="00D108A7">
        <w:rPr>
          <w:rFonts w:ascii="Arial" w:eastAsia="Calibri" w:hAnsi="Arial" w:cs="Arial"/>
        </w:rPr>
        <w:t xml:space="preserve">used </w:t>
      </w:r>
      <w:r w:rsidRPr="00D108A7">
        <w:rPr>
          <w:rFonts w:ascii="Arial" w:eastAsia="Calibri" w:hAnsi="Arial" w:cs="Arial"/>
        </w:rPr>
        <w:t xml:space="preserve">as of April 2022. </w:t>
      </w:r>
    </w:p>
    <w:p w14:paraId="15622903" w14:textId="6EF5D34B" w:rsidR="003E1CB5" w:rsidRDefault="003E1CB5" w:rsidP="001B799F">
      <w:pPr>
        <w:pStyle w:val="ListParagraph"/>
        <w:numPr>
          <w:ilvl w:val="0"/>
          <w:numId w:val="1"/>
        </w:numPr>
        <w:ind w:left="1134" w:hanging="567"/>
        <w:rPr>
          <w:rFonts w:ascii="Arial" w:eastAsia="Calibri" w:hAnsi="Arial" w:cs="Arial"/>
        </w:rPr>
      </w:pPr>
      <w:r>
        <w:rPr>
          <w:rFonts w:ascii="Arial" w:eastAsia="Calibri" w:hAnsi="Arial" w:cs="Arial"/>
        </w:rPr>
        <w:t>Staffing levels for nursing may be less flexible than for carers</w:t>
      </w:r>
      <w:r w:rsidR="00B56A4A">
        <w:rPr>
          <w:rFonts w:ascii="Arial" w:eastAsia="Calibri" w:hAnsi="Arial" w:cs="Arial"/>
        </w:rPr>
        <w:t>.</w:t>
      </w:r>
      <w:r>
        <w:rPr>
          <w:rFonts w:ascii="Arial" w:eastAsia="Calibri" w:hAnsi="Arial" w:cs="Arial"/>
        </w:rPr>
        <w:t xml:space="preserve"> </w:t>
      </w:r>
    </w:p>
    <w:p w14:paraId="67B7E0A0" w14:textId="384E652D" w:rsidR="00E413A6" w:rsidRPr="00D108A7" w:rsidRDefault="00E413A6" w:rsidP="001B799F">
      <w:pPr>
        <w:pStyle w:val="ListParagraph"/>
        <w:numPr>
          <w:ilvl w:val="0"/>
          <w:numId w:val="1"/>
        </w:numPr>
        <w:ind w:left="1134" w:hanging="567"/>
        <w:rPr>
          <w:rFonts w:ascii="Arial" w:eastAsia="Calibri" w:hAnsi="Arial" w:cs="Arial"/>
        </w:rPr>
      </w:pPr>
      <w:r>
        <w:rPr>
          <w:rFonts w:ascii="Arial" w:eastAsia="Calibri" w:hAnsi="Arial" w:cs="Arial"/>
        </w:rPr>
        <w:t>The data and intelligence gathered by further engagement with providers in early 2023.</w:t>
      </w:r>
    </w:p>
    <w:p w14:paraId="68DD9E17" w14:textId="77777777" w:rsidR="00243D91" w:rsidRPr="00A26070" w:rsidRDefault="00243D91" w:rsidP="00BD5A7D">
      <w:pPr>
        <w:rPr>
          <w:rFonts w:ascii="Calibri" w:eastAsia="Calibri" w:hAnsi="Calibri" w:cs="Times New Roman"/>
        </w:rPr>
      </w:pPr>
    </w:p>
    <w:p w14:paraId="0EA4A7E2" w14:textId="778C9F5F" w:rsidR="00C15EAF" w:rsidRPr="000253D7" w:rsidRDefault="00C15EAF" w:rsidP="00417F5F">
      <w:pPr>
        <w:pStyle w:val="ListParagraph"/>
        <w:numPr>
          <w:ilvl w:val="0"/>
          <w:numId w:val="5"/>
        </w:numPr>
        <w:ind w:left="284"/>
        <w:rPr>
          <w:rFonts w:ascii="Arial" w:eastAsia="Calibri" w:hAnsi="Arial" w:cs="Arial"/>
          <w:b/>
          <w:bCs/>
          <w:sz w:val="24"/>
          <w:szCs w:val="24"/>
          <w:u w:val="single"/>
        </w:rPr>
      </w:pPr>
      <w:r w:rsidRPr="000253D7">
        <w:rPr>
          <w:rFonts w:ascii="Arial" w:eastAsia="Calibri" w:hAnsi="Arial" w:cs="Arial"/>
          <w:b/>
          <w:bCs/>
          <w:sz w:val="24"/>
          <w:szCs w:val="24"/>
          <w:u w:val="single"/>
        </w:rPr>
        <w:t xml:space="preserve">Choice of model for calculating median </w:t>
      </w:r>
    </w:p>
    <w:p w14:paraId="490345FC" w14:textId="00A4E58A" w:rsidR="000834EA" w:rsidRPr="000253D7" w:rsidRDefault="000834EA" w:rsidP="000834EA">
      <w:pPr>
        <w:rPr>
          <w:rFonts w:ascii="Arial" w:eastAsia="Calibri" w:hAnsi="Arial" w:cs="Arial"/>
        </w:rPr>
      </w:pPr>
      <w:r w:rsidRPr="000253D7">
        <w:rPr>
          <w:rFonts w:ascii="Arial" w:eastAsia="Calibri" w:hAnsi="Arial" w:cs="Arial"/>
        </w:rPr>
        <w:t xml:space="preserve">The local authority </w:t>
      </w:r>
      <w:r w:rsidR="00245FA9" w:rsidRPr="000253D7">
        <w:rPr>
          <w:rFonts w:ascii="Arial" w:eastAsia="Calibri" w:hAnsi="Arial" w:cs="Arial"/>
        </w:rPr>
        <w:t xml:space="preserve">considered four options to model the </w:t>
      </w:r>
      <w:r w:rsidRPr="000253D7">
        <w:rPr>
          <w:rFonts w:ascii="Arial" w:eastAsia="Calibri" w:hAnsi="Arial" w:cs="Arial"/>
        </w:rPr>
        <w:t>median</w:t>
      </w:r>
      <w:r w:rsidR="00245FA9" w:rsidRPr="000253D7">
        <w:rPr>
          <w:rFonts w:ascii="Arial" w:eastAsia="Calibri" w:hAnsi="Arial" w:cs="Arial"/>
        </w:rPr>
        <w:t xml:space="preserve"> cost</w:t>
      </w:r>
      <w:r w:rsidRPr="000253D7">
        <w:rPr>
          <w:rFonts w:ascii="Arial" w:eastAsia="Calibri" w:hAnsi="Arial" w:cs="Arial"/>
        </w:rPr>
        <w:t>, these were:</w:t>
      </w:r>
    </w:p>
    <w:p w14:paraId="415E3A0F" w14:textId="1F6DF50F" w:rsidR="000834EA" w:rsidRPr="000253D7" w:rsidRDefault="000834EA" w:rsidP="001B799F">
      <w:pPr>
        <w:pStyle w:val="ListParagraph"/>
        <w:numPr>
          <w:ilvl w:val="0"/>
          <w:numId w:val="3"/>
        </w:numPr>
        <w:ind w:left="1134" w:hanging="567"/>
        <w:rPr>
          <w:rFonts w:ascii="Arial" w:eastAsia="Calibri" w:hAnsi="Arial" w:cs="Arial"/>
        </w:rPr>
      </w:pPr>
      <w:r w:rsidRPr="000253D7">
        <w:rPr>
          <w:rFonts w:ascii="Arial" w:eastAsia="Calibri" w:hAnsi="Arial" w:cs="Arial"/>
        </w:rPr>
        <w:t>Each line with zeros</w:t>
      </w:r>
      <w:r w:rsidR="001B799F">
        <w:rPr>
          <w:rFonts w:ascii="Arial" w:eastAsia="Calibri" w:hAnsi="Arial" w:cs="Arial"/>
        </w:rPr>
        <w:t>.</w:t>
      </w:r>
      <w:r w:rsidRPr="000253D7">
        <w:rPr>
          <w:rFonts w:ascii="Arial" w:eastAsia="Calibri" w:hAnsi="Arial" w:cs="Arial"/>
        </w:rPr>
        <w:t xml:space="preserve">  </w:t>
      </w:r>
    </w:p>
    <w:p w14:paraId="56E62930" w14:textId="585EF6EC" w:rsidR="000834EA" w:rsidRPr="000253D7" w:rsidRDefault="000834EA" w:rsidP="001B799F">
      <w:pPr>
        <w:pStyle w:val="ListParagraph"/>
        <w:numPr>
          <w:ilvl w:val="0"/>
          <w:numId w:val="3"/>
        </w:numPr>
        <w:ind w:left="1134" w:hanging="567"/>
        <w:rPr>
          <w:rFonts w:ascii="Arial" w:eastAsia="Calibri" w:hAnsi="Arial" w:cs="Arial"/>
        </w:rPr>
      </w:pPr>
      <w:r w:rsidRPr="000253D7">
        <w:rPr>
          <w:rFonts w:ascii="Arial" w:eastAsia="Calibri" w:hAnsi="Arial" w:cs="Arial"/>
        </w:rPr>
        <w:t>Each without zeros</w:t>
      </w:r>
      <w:r w:rsidR="001B799F">
        <w:rPr>
          <w:rFonts w:ascii="Arial" w:eastAsia="Calibri" w:hAnsi="Arial" w:cs="Arial"/>
        </w:rPr>
        <w:t>.</w:t>
      </w:r>
    </w:p>
    <w:p w14:paraId="56C70B2D" w14:textId="4E339799" w:rsidR="000834EA" w:rsidRPr="000253D7" w:rsidRDefault="000834EA" w:rsidP="001B799F">
      <w:pPr>
        <w:pStyle w:val="ListParagraph"/>
        <w:numPr>
          <w:ilvl w:val="0"/>
          <w:numId w:val="3"/>
        </w:numPr>
        <w:ind w:left="1134" w:hanging="567"/>
        <w:rPr>
          <w:rFonts w:ascii="Arial" w:eastAsia="Calibri" w:hAnsi="Arial" w:cs="Arial"/>
        </w:rPr>
      </w:pPr>
      <w:r w:rsidRPr="000253D7">
        <w:rPr>
          <w:rFonts w:ascii="Arial" w:eastAsia="Calibri" w:hAnsi="Arial" w:cs="Arial"/>
        </w:rPr>
        <w:t>Each section with zeros</w:t>
      </w:r>
      <w:r w:rsidR="001B799F">
        <w:rPr>
          <w:rFonts w:ascii="Arial" w:eastAsia="Calibri" w:hAnsi="Arial" w:cs="Arial"/>
        </w:rPr>
        <w:t>.</w:t>
      </w:r>
    </w:p>
    <w:p w14:paraId="2D04970A" w14:textId="2C4B9695" w:rsidR="000834EA" w:rsidRPr="000253D7" w:rsidRDefault="000834EA" w:rsidP="001B799F">
      <w:pPr>
        <w:pStyle w:val="ListParagraph"/>
        <w:numPr>
          <w:ilvl w:val="0"/>
          <w:numId w:val="3"/>
        </w:numPr>
        <w:ind w:left="1134" w:hanging="567"/>
        <w:rPr>
          <w:rFonts w:ascii="Arial" w:eastAsia="Calibri" w:hAnsi="Arial" w:cs="Arial"/>
        </w:rPr>
      </w:pPr>
      <w:r w:rsidRPr="000253D7">
        <w:rPr>
          <w:rFonts w:ascii="Arial" w:eastAsia="Calibri" w:hAnsi="Arial" w:cs="Arial"/>
        </w:rPr>
        <w:t>Each section without zeros</w:t>
      </w:r>
      <w:r w:rsidR="001B799F">
        <w:rPr>
          <w:rFonts w:ascii="Arial" w:eastAsia="Calibri" w:hAnsi="Arial" w:cs="Arial"/>
        </w:rPr>
        <w:t>.</w:t>
      </w:r>
    </w:p>
    <w:p w14:paraId="6EF7386A" w14:textId="5496BB92" w:rsidR="008029FB" w:rsidRDefault="000834EA" w:rsidP="000834EA">
      <w:pPr>
        <w:rPr>
          <w:rFonts w:ascii="Arial" w:eastAsia="Calibri" w:hAnsi="Arial" w:cs="Arial"/>
        </w:rPr>
      </w:pPr>
      <w:r w:rsidRPr="000253D7">
        <w:rPr>
          <w:rFonts w:ascii="Arial" w:eastAsia="Calibri" w:hAnsi="Arial" w:cs="Arial"/>
        </w:rPr>
        <w:t>Because of the variance in the interpretation of each line and our discussions with providers</w:t>
      </w:r>
      <w:r w:rsidR="00B56A4A">
        <w:rPr>
          <w:rFonts w:ascii="Arial" w:eastAsia="Calibri" w:hAnsi="Arial" w:cs="Arial"/>
        </w:rPr>
        <w:t>,</w:t>
      </w:r>
      <w:r w:rsidRPr="000253D7">
        <w:rPr>
          <w:rFonts w:ascii="Arial" w:eastAsia="Calibri" w:hAnsi="Arial" w:cs="Arial"/>
        </w:rPr>
        <w:t xml:space="preserve"> and given the inconsistencies in the data representation</w:t>
      </w:r>
      <w:r w:rsidR="00B56A4A">
        <w:rPr>
          <w:rFonts w:ascii="Arial" w:eastAsia="Calibri" w:hAnsi="Arial" w:cs="Arial"/>
        </w:rPr>
        <w:t>,</w:t>
      </w:r>
      <w:r w:rsidRPr="000253D7">
        <w:rPr>
          <w:rFonts w:ascii="Arial" w:eastAsia="Calibri" w:hAnsi="Arial" w:cs="Arial"/>
        </w:rPr>
        <w:t xml:space="preserve"> the local authority decided to use the median from each section without zeros as it was believed this offered a fairer representation of the data received.</w:t>
      </w:r>
    </w:p>
    <w:p w14:paraId="177A6879" w14:textId="4E06980A" w:rsidR="008029FB" w:rsidRDefault="008029FB" w:rsidP="008029FB">
      <w:pPr>
        <w:rPr>
          <w:rFonts w:ascii="Arial" w:eastAsia="Calibri" w:hAnsi="Arial" w:cs="Arial"/>
        </w:rPr>
      </w:pPr>
    </w:p>
    <w:p w14:paraId="6E03864E" w14:textId="5366DCFC" w:rsidR="008029FB" w:rsidRPr="008029FB" w:rsidRDefault="008029FB" w:rsidP="003E1CB5">
      <w:pPr>
        <w:pStyle w:val="ListParagraph"/>
        <w:numPr>
          <w:ilvl w:val="0"/>
          <w:numId w:val="5"/>
        </w:numPr>
        <w:ind w:left="284"/>
        <w:rPr>
          <w:rFonts w:ascii="Arial" w:eastAsia="Calibri" w:hAnsi="Arial" w:cs="Arial"/>
          <w:b/>
          <w:bCs/>
          <w:sz w:val="24"/>
          <w:szCs w:val="24"/>
          <w:u w:val="single"/>
        </w:rPr>
      </w:pPr>
      <w:r w:rsidRPr="008029FB">
        <w:rPr>
          <w:rFonts w:ascii="Arial" w:eastAsia="Calibri" w:hAnsi="Arial" w:cs="Arial"/>
          <w:b/>
          <w:bCs/>
          <w:sz w:val="24"/>
          <w:szCs w:val="24"/>
          <w:u w:val="single"/>
        </w:rPr>
        <w:t xml:space="preserve">Queries, </w:t>
      </w:r>
      <w:proofErr w:type="gramStart"/>
      <w:r w:rsidRPr="008029FB">
        <w:rPr>
          <w:rFonts w:ascii="Arial" w:eastAsia="Calibri" w:hAnsi="Arial" w:cs="Arial"/>
          <w:b/>
          <w:bCs/>
          <w:sz w:val="24"/>
          <w:szCs w:val="24"/>
          <w:u w:val="single"/>
        </w:rPr>
        <w:t>adjustments</w:t>
      </w:r>
      <w:proofErr w:type="gramEnd"/>
      <w:r w:rsidRPr="008029FB">
        <w:rPr>
          <w:rFonts w:ascii="Arial" w:eastAsia="Calibri" w:hAnsi="Arial" w:cs="Arial"/>
          <w:b/>
          <w:bCs/>
          <w:sz w:val="24"/>
          <w:szCs w:val="24"/>
          <w:u w:val="single"/>
        </w:rPr>
        <w:t xml:space="preserve"> and data validation</w:t>
      </w:r>
    </w:p>
    <w:p w14:paraId="3EF118AC" w14:textId="4C8B4F9F" w:rsidR="008029FB" w:rsidRPr="008029FB" w:rsidRDefault="008029FB" w:rsidP="008029FB">
      <w:pPr>
        <w:rPr>
          <w:rFonts w:ascii="Arial" w:eastAsia="Calibri" w:hAnsi="Arial" w:cs="Arial"/>
        </w:rPr>
      </w:pPr>
      <w:r w:rsidRPr="008029FB">
        <w:rPr>
          <w:rFonts w:ascii="Arial" w:eastAsia="Calibri" w:hAnsi="Arial" w:cs="Arial"/>
        </w:rPr>
        <w:t xml:space="preserve">Manual adjustment to the data that was received in the IESE tool, additional amends with made for inflation uplifts for 22/23 for two providers that did not state an uplift we used the median from the other providers to uplift the values for those two providers. </w:t>
      </w:r>
    </w:p>
    <w:p w14:paraId="05416133" w14:textId="1057EAEA" w:rsidR="008029FB" w:rsidRPr="008029FB" w:rsidRDefault="008029FB" w:rsidP="008029FB">
      <w:pPr>
        <w:rPr>
          <w:rFonts w:ascii="Arial" w:eastAsia="Calibri" w:hAnsi="Arial" w:cs="Arial"/>
        </w:rPr>
      </w:pPr>
      <w:r w:rsidRPr="008029FB">
        <w:rPr>
          <w:rFonts w:ascii="Arial" w:eastAsia="Calibri" w:hAnsi="Arial" w:cs="Arial"/>
        </w:rPr>
        <w:t xml:space="preserve">We have made five amendments to specific values within 4 care home returns. Where queries have been raised and either the provider has not done the amendment in the tool or where they have given sufficient information to make a reasonable amendment. Amendments included adjustments to PPE, </w:t>
      </w:r>
      <w:r w:rsidR="00B56A4A" w:rsidRPr="00E90DAD">
        <w:rPr>
          <w:rFonts w:ascii="Arial" w:eastAsia="Calibri" w:hAnsi="Arial" w:cs="Arial"/>
        </w:rPr>
        <w:t>and</w:t>
      </w:r>
      <w:r w:rsidR="00B56A4A">
        <w:rPr>
          <w:rFonts w:ascii="Arial" w:eastAsia="Calibri" w:hAnsi="Arial" w:cs="Arial"/>
        </w:rPr>
        <w:t xml:space="preserve"> </w:t>
      </w:r>
      <w:r w:rsidRPr="008029FB">
        <w:rPr>
          <w:rFonts w:ascii="Arial" w:eastAsia="Calibri" w:hAnsi="Arial" w:cs="Arial"/>
        </w:rPr>
        <w:t>other care home supplies. One entry that we amended was effectively a duplication of staffing costs, one was a value in place of % uplift and one where costs were included that should not have been (Rent Capex)</w:t>
      </w:r>
    </w:p>
    <w:p w14:paraId="25F0BFFA" w14:textId="742AF9CD" w:rsidR="008029FB" w:rsidRDefault="008029FB" w:rsidP="008029FB">
      <w:pPr>
        <w:rPr>
          <w:rFonts w:ascii="Arial" w:eastAsia="Calibri" w:hAnsi="Arial" w:cs="Arial"/>
        </w:rPr>
      </w:pPr>
      <w:r w:rsidRPr="008029FB">
        <w:rPr>
          <w:rFonts w:ascii="Arial" w:eastAsia="Calibri" w:hAnsi="Arial" w:cs="Arial"/>
        </w:rPr>
        <w:lastRenderedPageBreak/>
        <w:t xml:space="preserve">For the two providers that did not indicate an </w:t>
      </w:r>
      <w:r w:rsidR="009A38C6" w:rsidRPr="008029FB">
        <w:rPr>
          <w:rFonts w:ascii="Arial" w:eastAsia="Calibri" w:hAnsi="Arial" w:cs="Arial"/>
        </w:rPr>
        <w:t>inflationary value</w:t>
      </w:r>
      <w:r w:rsidRPr="008029FB">
        <w:rPr>
          <w:rFonts w:ascii="Arial" w:eastAsia="Calibri" w:hAnsi="Arial" w:cs="Arial"/>
        </w:rPr>
        <w:t xml:space="preserve"> between 21/22 and April 22 we have manually adjusted for this based on the median inflation rate taken from the other provider responses – to ensure all responses were presented </w:t>
      </w:r>
      <w:proofErr w:type="gramStart"/>
      <w:r w:rsidRPr="008029FB">
        <w:rPr>
          <w:rFonts w:ascii="Arial" w:eastAsia="Calibri" w:hAnsi="Arial" w:cs="Arial"/>
        </w:rPr>
        <w:t>at</w:t>
      </w:r>
      <w:proofErr w:type="gramEnd"/>
      <w:r w:rsidRPr="008029FB">
        <w:rPr>
          <w:rFonts w:ascii="Arial" w:eastAsia="Calibri" w:hAnsi="Arial" w:cs="Arial"/>
        </w:rPr>
        <w:t xml:space="preserve"> April 22 values</w:t>
      </w:r>
    </w:p>
    <w:p w14:paraId="7A5D899F" w14:textId="77777777" w:rsidR="00417F5F" w:rsidRPr="000253D7" w:rsidRDefault="00417F5F" w:rsidP="000834EA">
      <w:pPr>
        <w:rPr>
          <w:rFonts w:ascii="Arial" w:eastAsia="Calibri" w:hAnsi="Arial" w:cs="Arial"/>
        </w:rPr>
      </w:pPr>
    </w:p>
    <w:p w14:paraId="2E74A660" w14:textId="695709F7" w:rsidR="00C15EAF" w:rsidRPr="000253D7" w:rsidRDefault="002878D2" w:rsidP="00417F5F">
      <w:pPr>
        <w:pStyle w:val="ListParagraph"/>
        <w:numPr>
          <w:ilvl w:val="0"/>
          <w:numId w:val="5"/>
        </w:numPr>
        <w:ind w:left="284"/>
        <w:rPr>
          <w:rFonts w:ascii="Arial" w:eastAsia="Calibri" w:hAnsi="Arial" w:cs="Arial"/>
          <w:b/>
          <w:bCs/>
          <w:sz w:val="24"/>
          <w:szCs w:val="24"/>
          <w:u w:val="single"/>
        </w:rPr>
      </w:pPr>
      <w:bookmarkStart w:id="4" w:name="_Hlk115355372"/>
      <w:r w:rsidRPr="002878D2">
        <w:rPr>
          <w:rFonts w:ascii="Arial" w:eastAsia="Calibri" w:hAnsi="Arial" w:cs="Arial"/>
          <w:b/>
          <w:bCs/>
          <w:sz w:val="24"/>
          <w:szCs w:val="24"/>
        </w:rPr>
        <w:t xml:space="preserve"> </w:t>
      </w:r>
      <w:r w:rsidR="00C15EAF" w:rsidRPr="000253D7">
        <w:rPr>
          <w:rFonts w:ascii="Arial" w:eastAsia="Calibri" w:hAnsi="Arial" w:cs="Arial"/>
          <w:b/>
          <w:bCs/>
          <w:sz w:val="24"/>
          <w:szCs w:val="24"/>
          <w:u w:val="single"/>
        </w:rPr>
        <w:t xml:space="preserve">Considerations on </w:t>
      </w:r>
      <w:r w:rsidR="00A91855" w:rsidRPr="00D108A7">
        <w:rPr>
          <w:rFonts w:ascii="Arial" w:eastAsia="Calibri" w:hAnsi="Arial" w:cs="Arial"/>
          <w:b/>
          <w:bCs/>
          <w:sz w:val="24"/>
          <w:szCs w:val="24"/>
          <w:u w:val="single"/>
        </w:rPr>
        <w:t>r</w:t>
      </w:r>
      <w:r w:rsidR="00C15EAF" w:rsidRPr="000253D7">
        <w:rPr>
          <w:rFonts w:ascii="Arial" w:eastAsia="Calibri" w:hAnsi="Arial" w:cs="Arial"/>
          <w:b/>
          <w:bCs/>
          <w:sz w:val="24"/>
          <w:szCs w:val="24"/>
          <w:u w:val="single"/>
        </w:rPr>
        <w:t>eturns on operation and capi</w:t>
      </w:r>
      <w:r w:rsidR="00C15EAF" w:rsidRPr="00D108A7">
        <w:rPr>
          <w:rFonts w:ascii="Arial" w:eastAsia="Calibri" w:hAnsi="Arial" w:cs="Arial"/>
          <w:b/>
          <w:bCs/>
          <w:sz w:val="24"/>
          <w:szCs w:val="24"/>
          <w:u w:val="single"/>
        </w:rPr>
        <w:t>t</w:t>
      </w:r>
      <w:r w:rsidR="001B799F" w:rsidRPr="00D108A7">
        <w:rPr>
          <w:rFonts w:ascii="Arial" w:eastAsia="Calibri" w:hAnsi="Arial" w:cs="Arial"/>
          <w:b/>
          <w:bCs/>
          <w:sz w:val="24"/>
          <w:szCs w:val="24"/>
          <w:u w:val="single"/>
        </w:rPr>
        <w:t>a</w:t>
      </w:r>
      <w:r w:rsidR="00C15EAF" w:rsidRPr="00372714">
        <w:rPr>
          <w:rFonts w:ascii="Arial" w:eastAsia="Calibri" w:hAnsi="Arial" w:cs="Arial"/>
          <w:b/>
          <w:bCs/>
          <w:sz w:val="24"/>
          <w:szCs w:val="24"/>
          <w:u w:val="single"/>
        </w:rPr>
        <w:t>l</w:t>
      </w:r>
      <w:r w:rsidR="00C15EAF" w:rsidRPr="000253D7">
        <w:rPr>
          <w:rFonts w:ascii="Arial" w:eastAsia="Calibri" w:hAnsi="Arial" w:cs="Arial"/>
          <w:b/>
          <w:bCs/>
          <w:sz w:val="24"/>
          <w:szCs w:val="24"/>
          <w:u w:val="single"/>
        </w:rPr>
        <w:t xml:space="preserve"> </w:t>
      </w:r>
    </w:p>
    <w:bookmarkEnd w:id="4"/>
    <w:p w14:paraId="3D407A7A" w14:textId="5EE75AA7" w:rsidR="00372714" w:rsidRPr="00CC7C1C" w:rsidRDefault="00FA6EA2" w:rsidP="00372714">
      <w:pPr>
        <w:rPr>
          <w:rFonts w:ascii="Arial" w:eastAsia="Calibri" w:hAnsi="Arial" w:cs="Arial"/>
          <w:strike/>
        </w:rPr>
      </w:pPr>
      <w:r w:rsidRPr="00D108A7">
        <w:rPr>
          <w:rFonts w:ascii="Arial" w:eastAsia="Calibri" w:hAnsi="Arial" w:cs="Arial"/>
        </w:rPr>
        <w:t xml:space="preserve">The </w:t>
      </w:r>
      <w:r w:rsidR="006047F1" w:rsidRPr="00D108A7">
        <w:rPr>
          <w:rFonts w:ascii="Arial" w:eastAsia="Calibri" w:hAnsi="Arial" w:cs="Arial"/>
        </w:rPr>
        <w:t>l</w:t>
      </w:r>
      <w:r w:rsidR="006A5107" w:rsidRPr="00D108A7">
        <w:rPr>
          <w:rFonts w:ascii="Arial" w:eastAsia="Calibri" w:hAnsi="Arial" w:cs="Arial"/>
        </w:rPr>
        <w:t xml:space="preserve">ocal </w:t>
      </w:r>
      <w:r w:rsidR="006047F1" w:rsidRPr="00D108A7">
        <w:rPr>
          <w:rFonts w:ascii="Arial" w:eastAsia="Calibri" w:hAnsi="Arial" w:cs="Arial"/>
        </w:rPr>
        <w:t>a</w:t>
      </w:r>
      <w:r w:rsidR="006A5107" w:rsidRPr="00D108A7">
        <w:rPr>
          <w:rFonts w:ascii="Arial" w:eastAsia="Calibri" w:hAnsi="Arial" w:cs="Arial"/>
        </w:rPr>
        <w:t>uthority</w:t>
      </w:r>
      <w:r w:rsidRPr="00D108A7">
        <w:rPr>
          <w:rFonts w:ascii="Arial" w:eastAsia="Calibri" w:hAnsi="Arial" w:cs="Arial"/>
        </w:rPr>
        <w:t xml:space="preserve"> </w:t>
      </w:r>
      <w:r w:rsidR="00245FA9" w:rsidRPr="00D108A7">
        <w:rPr>
          <w:rFonts w:ascii="Arial" w:eastAsia="Calibri" w:hAnsi="Arial" w:cs="Arial"/>
        </w:rPr>
        <w:t>i</w:t>
      </w:r>
      <w:r w:rsidR="000A70E8" w:rsidRPr="00D108A7">
        <w:rPr>
          <w:rFonts w:ascii="Arial" w:eastAsia="Calibri" w:hAnsi="Arial" w:cs="Arial"/>
        </w:rPr>
        <w:t>s consid</w:t>
      </w:r>
      <w:r w:rsidR="00245FA9" w:rsidRPr="00D108A7">
        <w:rPr>
          <w:rFonts w:ascii="Arial" w:eastAsia="Calibri" w:hAnsi="Arial" w:cs="Arial"/>
        </w:rPr>
        <w:t>ering</w:t>
      </w:r>
      <w:r w:rsidR="000A70E8" w:rsidRPr="00D108A7">
        <w:rPr>
          <w:rFonts w:ascii="Arial" w:eastAsia="Calibri" w:hAnsi="Arial" w:cs="Arial"/>
        </w:rPr>
        <w:t xml:space="preserve"> the approach to be taken when manging return on operation (ROO) and return on capital (ROC) </w:t>
      </w:r>
      <w:r w:rsidR="00245FA9" w:rsidRPr="00D108A7">
        <w:rPr>
          <w:rFonts w:ascii="Arial" w:eastAsia="Calibri" w:hAnsi="Arial" w:cs="Arial"/>
        </w:rPr>
        <w:t xml:space="preserve">and our consideration will </w:t>
      </w:r>
      <w:proofErr w:type="gramStart"/>
      <w:r w:rsidR="00245FA9" w:rsidRPr="00D108A7">
        <w:rPr>
          <w:rFonts w:ascii="Arial" w:eastAsia="Calibri" w:hAnsi="Arial" w:cs="Arial"/>
        </w:rPr>
        <w:t>take into account</w:t>
      </w:r>
      <w:proofErr w:type="gramEnd"/>
      <w:r w:rsidR="00245FA9" w:rsidRPr="00D108A7">
        <w:rPr>
          <w:rFonts w:ascii="Arial" w:eastAsia="Calibri" w:hAnsi="Arial" w:cs="Arial"/>
        </w:rPr>
        <w:t xml:space="preserve"> some of</w:t>
      </w:r>
      <w:r w:rsidR="00372714" w:rsidRPr="00D108A7">
        <w:rPr>
          <w:rFonts w:ascii="Arial" w:eastAsia="Calibri" w:hAnsi="Arial" w:cs="Arial"/>
        </w:rPr>
        <w:t xml:space="preserve"> the</w:t>
      </w:r>
      <w:r w:rsidR="00245FA9" w:rsidRPr="00D108A7">
        <w:rPr>
          <w:rFonts w:ascii="Arial" w:eastAsia="Calibri" w:hAnsi="Arial" w:cs="Arial"/>
        </w:rPr>
        <w:t xml:space="preserve"> areas described below. </w:t>
      </w:r>
      <w:r w:rsidRPr="00D108A7">
        <w:rPr>
          <w:rFonts w:ascii="Arial" w:eastAsia="Calibri" w:hAnsi="Arial" w:cs="Arial"/>
        </w:rPr>
        <w:t xml:space="preserve"> </w:t>
      </w:r>
      <w:r w:rsidR="00245FA9" w:rsidRPr="00D108A7">
        <w:rPr>
          <w:rFonts w:ascii="Arial" w:eastAsia="Calibri" w:hAnsi="Arial" w:cs="Arial"/>
        </w:rPr>
        <w:t>T</w:t>
      </w:r>
      <w:r w:rsidR="00EF350E" w:rsidRPr="00D108A7">
        <w:rPr>
          <w:rFonts w:ascii="Arial" w:eastAsia="Calibri" w:hAnsi="Arial" w:cs="Arial"/>
        </w:rPr>
        <w:t>here was significant variance in this area by each provider</w:t>
      </w:r>
      <w:r w:rsidR="00F55CAE" w:rsidRPr="00D108A7">
        <w:rPr>
          <w:rFonts w:ascii="Arial" w:eastAsia="Calibri" w:hAnsi="Arial" w:cs="Arial"/>
        </w:rPr>
        <w:t>.</w:t>
      </w:r>
      <w:r w:rsidR="00F55CAE" w:rsidRPr="000253D7">
        <w:rPr>
          <w:rFonts w:ascii="Arial" w:eastAsia="Calibri" w:hAnsi="Arial" w:cs="Arial"/>
        </w:rPr>
        <w:t xml:space="preserve"> </w:t>
      </w:r>
    </w:p>
    <w:p w14:paraId="6DA76BFD" w14:textId="29268022" w:rsidR="00372714" w:rsidRDefault="00372714" w:rsidP="00372714">
      <w:pPr>
        <w:rPr>
          <w:rFonts w:ascii="Arial" w:eastAsia="Calibri" w:hAnsi="Arial" w:cs="Arial"/>
        </w:rPr>
      </w:pPr>
      <w:r w:rsidRPr="00D108A7">
        <w:rPr>
          <w:rFonts w:ascii="Arial" w:eastAsia="Calibri" w:hAnsi="Arial" w:cs="Arial"/>
        </w:rPr>
        <w:t xml:space="preserve">The local authority will consider national and regional benchmarking </w:t>
      </w:r>
      <w:r w:rsidR="00CC7C1C" w:rsidRPr="00D108A7">
        <w:rPr>
          <w:rFonts w:ascii="Arial" w:eastAsia="Calibri" w:hAnsi="Arial" w:cs="Arial"/>
        </w:rPr>
        <w:t>information and</w:t>
      </w:r>
      <w:r w:rsidRPr="00D108A7">
        <w:rPr>
          <w:rFonts w:ascii="Arial" w:eastAsia="Calibri" w:hAnsi="Arial" w:cs="Arial"/>
        </w:rPr>
        <w:t xml:space="preserve"> </w:t>
      </w:r>
      <w:r w:rsidR="005E6EAE">
        <w:rPr>
          <w:rFonts w:ascii="Arial" w:eastAsia="Calibri" w:hAnsi="Arial" w:cs="Arial"/>
        </w:rPr>
        <w:t xml:space="preserve">has </w:t>
      </w:r>
      <w:proofErr w:type="gramStart"/>
      <w:r w:rsidR="005E6EAE">
        <w:rPr>
          <w:rFonts w:ascii="Arial" w:eastAsia="Calibri" w:hAnsi="Arial" w:cs="Arial"/>
        </w:rPr>
        <w:t xml:space="preserve">engaged </w:t>
      </w:r>
      <w:r w:rsidRPr="00D108A7">
        <w:rPr>
          <w:rFonts w:ascii="Arial" w:eastAsia="Calibri" w:hAnsi="Arial" w:cs="Arial"/>
        </w:rPr>
        <w:t xml:space="preserve"> specialist</w:t>
      </w:r>
      <w:proofErr w:type="gramEnd"/>
      <w:r w:rsidRPr="00D108A7">
        <w:rPr>
          <w:rFonts w:ascii="Arial" w:eastAsia="Calibri" w:hAnsi="Arial" w:cs="Arial"/>
        </w:rPr>
        <w:t xml:space="preserve"> support to establish a reasonable value. This will include further engagement with providers and will inform the market sustainability plan </w:t>
      </w:r>
      <w:r w:rsidR="005E6EAE">
        <w:rPr>
          <w:rFonts w:ascii="Arial" w:eastAsia="Calibri" w:hAnsi="Arial" w:cs="Arial"/>
        </w:rPr>
        <w:t>due for publication in late March 2023</w:t>
      </w:r>
      <w:r w:rsidRPr="00D108A7">
        <w:rPr>
          <w:rFonts w:ascii="Arial" w:eastAsia="Calibri" w:hAnsi="Arial" w:cs="Arial"/>
        </w:rPr>
        <w:t>.</w:t>
      </w:r>
    </w:p>
    <w:p w14:paraId="6C4F4F98" w14:textId="391D51D4" w:rsidR="00FA6EA2" w:rsidRPr="000253D7" w:rsidRDefault="00EF350E" w:rsidP="00EF350E">
      <w:pPr>
        <w:rPr>
          <w:rFonts w:ascii="Arial" w:eastAsia="Calibri" w:hAnsi="Arial" w:cs="Arial"/>
        </w:rPr>
      </w:pPr>
      <w:proofErr w:type="gramStart"/>
      <w:r w:rsidRPr="000253D7">
        <w:rPr>
          <w:rFonts w:ascii="Arial" w:eastAsia="Calibri" w:hAnsi="Arial" w:cs="Arial"/>
        </w:rPr>
        <w:t xml:space="preserve">In order </w:t>
      </w:r>
      <w:r w:rsidR="004B18CE" w:rsidRPr="000253D7">
        <w:rPr>
          <w:rFonts w:ascii="Arial" w:eastAsia="Calibri" w:hAnsi="Arial" w:cs="Arial"/>
        </w:rPr>
        <w:t>to</w:t>
      </w:r>
      <w:proofErr w:type="gramEnd"/>
      <w:r w:rsidR="004B18CE" w:rsidRPr="000253D7">
        <w:rPr>
          <w:rFonts w:ascii="Arial" w:eastAsia="Calibri" w:hAnsi="Arial" w:cs="Arial"/>
        </w:rPr>
        <w:t xml:space="preserve"> develop the local authorities </w:t>
      </w:r>
      <w:r w:rsidRPr="000253D7">
        <w:rPr>
          <w:rFonts w:ascii="Arial" w:eastAsia="Calibri" w:hAnsi="Arial" w:cs="Arial"/>
        </w:rPr>
        <w:t>M</w:t>
      </w:r>
      <w:r w:rsidR="004B18CE" w:rsidRPr="000253D7">
        <w:rPr>
          <w:rFonts w:ascii="Arial" w:eastAsia="Calibri" w:hAnsi="Arial" w:cs="Arial"/>
        </w:rPr>
        <w:t xml:space="preserve">arket </w:t>
      </w:r>
      <w:r w:rsidRPr="000253D7">
        <w:rPr>
          <w:rFonts w:ascii="Arial" w:eastAsia="Calibri" w:hAnsi="Arial" w:cs="Arial"/>
        </w:rPr>
        <w:t>S</w:t>
      </w:r>
      <w:r w:rsidR="004B18CE" w:rsidRPr="000253D7">
        <w:rPr>
          <w:rFonts w:ascii="Arial" w:eastAsia="Calibri" w:hAnsi="Arial" w:cs="Arial"/>
        </w:rPr>
        <w:t xml:space="preserve">ustainability </w:t>
      </w:r>
      <w:r w:rsidRPr="000253D7">
        <w:rPr>
          <w:rFonts w:ascii="Arial" w:eastAsia="Calibri" w:hAnsi="Arial" w:cs="Arial"/>
        </w:rPr>
        <w:t>P</w:t>
      </w:r>
      <w:r w:rsidR="004B18CE" w:rsidRPr="000253D7">
        <w:rPr>
          <w:rFonts w:ascii="Arial" w:eastAsia="Calibri" w:hAnsi="Arial" w:cs="Arial"/>
        </w:rPr>
        <w:t xml:space="preserve">lan (MSP) it is </w:t>
      </w:r>
      <w:r w:rsidR="00C0367A" w:rsidRPr="000253D7">
        <w:rPr>
          <w:rFonts w:ascii="Arial" w:eastAsia="Calibri" w:hAnsi="Arial" w:cs="Arial"/>
        </w:rPr>
        <w:t>necessary</w:t>
      </w:r>
      <w:r w:rsidRPr="000253D7">
        <w:rPr>
          <w:rFonts w:ascii="Arial" w:eastAsia="Calibri" w:hAnsi="Arial" w:cs="Arial"/>
        </w:rPr>
        <w:t xml:space="preserve"> to understand this information to ensure it becomes a foundation of a sustainable market and </w:t>
      </w:r>
      <w:r w:rsidR="00CC7C1C" w:rsidRPr="00D108A7">
        <w:rPr>
          <w:rFonts w:ascii="Arial" w:eastAsia="Calibri" w:hAnsi="Arial" w:cs="Arial"/>
        </w:rPr>
        <w:t>to</w:t>
      </w:r>
      <w:r w:rsidR="00CC7C1C">
        <w:rPr>
          <w:rFonts w:ascii="Arial" w:eastAsia="Calibri" w:hAnsi="Arial" w:cs="Arial"/>
        </w:rPr>
        <w:t xml:space="preserve"> </w:t>
      </w:r>
      <w:r w:rsidRPr="000253D7">
        <w:rPr>
          <w:rFonts w:ascii="Arial" w:eastAsia="Calibri" w:hAnsi="Arial" w:cs="Arial"/>
        </w:rPr>
        <w:t xml:space="preserve">arrive at the fair </w:t>
      </w:r>
      <w:r w:rsidR="003E1CB5">
        <w:rPr>
          <w:rFonts w:ascii="Arial" w:eastAsia="Calibri" w:hAnsi="Arial" w:cs="Arial"/>
        </w:rPr>
        <w:t>local fee rate</w:t>
      </w:r>
      <w:r w:rsidRPr="000253D7">
        <w:rPr>
          <w:rFonts w:ascii="Arial" w:eastAsia="Calibri" w:hAnsi="Arial" w:cs="Arial"/>
        </w:rPr>
        <w:t>.</w:t>
      </w:r>
    </w:p>
    <w:p w14:paraId="10A80732" w14:textId="4B262C76" w:rsidR="0027358C" w:rsidRDefault="002878D2" w:rsidP="00417F5F">
      <w:pPr>
        <w:pStyle w:val="ListParagraph"/>
        <w:numPr>
          <w:ilvl w:val="0"/>
          <w:numId w:val="5"/>
        </w:numPr>
        <w:ind w:left="284"/>
        <w:rPr>
          <w:rFonts w:ascii="Arial" w:eastAsia="Calibri" w:hAnsi="Arial" w:cs="Arial"/>
          <w:b/>
          <w:bCs/>
          <w:sz w:val="24"/>
          <w:szCs w:val="24"/>
          <w:u w:val="single"/>
        </w:rPr>
      </w:pPr>
      <w:r w:rsidRPr="002878D2">
        <w:rPr>
          <w:rFonts w:ascii="Arial" w:eastAsia="Calibri" w:hAnsi="Arial" w:cs="Arial"/>
          <w:b/>
          <w:bCs/>
          <w:sz w:val="24"/>
          <w:szCs w:val="24"/>
        </w:rPr>
        <w:t xml:space="preserve"> </w:t>
      </w:r>
      <w:r w:rsidR="001842A6" w:rsidRPr="000253D7">
        <w:rPr>
          <w:rFonts w:ascii="Arial" w:eastAsia="Calibri" w:hAnsi="Arial" w:cs="Arial"/>
          <w:b/>
          <w:bCs/>
          <w:sz w:val="24"/>
          <w:szCs w:val="24"/>
          <w:u w:val="single"/>
        </w:rPr>
        <w:t>Our</w:t>
      </w:r>
      <w:r w:rsidR="00243D91" w:rsidRPr="000253D7">
        <w:rPr>
          <w:rFonts w:ascii="Arial" w:eastAsia="Calibri" w:hAnsi="Arial" w:cs="Arial"/>
          <w:b/>
          <w:bCs/>
          <w:sz w:val="24"/>
          <w:szCs w:val="24"/>
          <w:u w:val="single"/>
        </w:rPr>
        <w:t xml:space="preserve"> plan for uplift </w:t>
      </w:r>
    </w:p>
    <w:p w14:paraId="0DECC10F" w14:textId="77777777" w:rsidR="008A4901" w:rsidRPr="008A4901" w:rsidRDefault="008A4901" w:rsidP="008A4901">
      <w:pPr>
        <w:rPr>
          <w:rFonts w:ascii="Arial" w:eastAsia="Calibri" w:hAnsi="Arial" w:cs="Arial"/>
        </w:rPr>
      </w:pPr>
      <w:proofErr w:type="gramStart"/>
      <w:r w:rsidRPr="008A4901">
        <w:rPr>
          <w:rFonts w:ascii="Arial" w:eastAsia="Calibri" w:hAnsi="Arial" w:cs="Arial"/>
        </w:rPr>
        <w:t>North East</w:t>
      </w:r>
      <w:proofErr w:type="gramEnd"/>
      <w:r w:rsidRPr="008A4901">
        <w:rPr>
          <w:rFonts w:ascii="Arial" w:eastAsia="Calibri" w:hAnsi="Arial" w:cs="Arial"/>
        </w:rPr>
        <w:t xml:space="preserve"> Lincolnshire uses a process of engagement with providers, which considers the existing fee rate in light of proposed national changes such as the National living wage, general inflation levels and changes impacting on businesses. In addition, consideration of individual aspects of service delivery where cost changes are identified during engagement with providers including consideration of capacity and quality.  Adjustments to the fee level is considered as part of the Council budget process and resource allocation. The local authority has a programme of annual engagement with providers. </w:t>
      </w:r>
    </w:p>
    <w:p w14:paraId="182A10EE" w14:textId="7344F4C3" w:rsidR="008A4901" w:rsidRDefault="008A4901" w:rsidP="008A4901">
      <w:pPr>
        <w:rPr>
          <w:rFonts w:ascii="Arial" w:eastAsia="Calibri" w:hAnsi="Arial" w:cs="Arial"/>
        </w:rPr>
      </w:pPr>
      <w:r w:rsidRPr="008A4901">
        <w:rPr>
          <w:rFonts w:ascii="Arial" w:eastAsia="Calibri" w:hAnsi="Arial" w:cs="Arial"/>
        </w:rPr>
        <w:t xml:space="preserve">Uplifts will, in the future, also be based on the level and type of provision, and this is reflected in our local needs assessments and continued development </w:t>
      </w:r>
      <w:r w:rsidR="00E70EE1">
        <w:rPr>
          <w:rFonts w:ascii="Arial" w:eastAsia="Calibri" w:hAnsi="Arial" w:cs="Arial"/>
        </w:rPr>
        <w:t xml:space="preserve">of commissioning intentions and </w:t>
      </w:r>
      <w:r w:rsidR="00A57F5F">
        <w:rPr>
          <w:rFonts w:ascii="Arial" w:eastAsia="Calibri" w:hAnsi="Arial" w:cs="Arial"/>
        </w:rPr>
        <w:t>strategy</w:t>
      </w:r>
      <w:r w:rsidRPr="008A4901">
        <w:rPr>
          <w:rFonts w:ascii="Arial" w:eastAsia="Calibri" w:hAnsi="Arial" w:cs="Arial"/>
        </w:rPr>
        <w:t>.</w:t>
      </w:r>
    </w:p>
    <w:p w14:paraId="3E29A5FB" w14:textId="77777777" w:rsidR="0073560C" w:rsidRDefault="0073560C" w:rsidP="0073560C">
      <w:pPr>
        <w:rPr>
          <w:rFonts w:ascii="Arial" w:eastAsia="Calibri" w:hAnsi="Arial" w:cs="Arial"/>
        </w:rPr>
      </w:pPr>
      <w:r>
        <w:rPr>
          <w:rFonts w:ascii="Arial" w:eastAsia="Calibri" w:hAnsi="Arial" w:cs="Arial"/>
        </w:rPr>
        <w:t xml:space="preserve">The Market Position Statement for 2022 – 2025 outlines strategic commissioning intentions in </w:t>
      </w:r>
      <w:proofErr w:type="gramStart"/>
      <w:r>
        <w:rPr>
          <w:rFonts w:ascii="Arial" w:eastAsia="Calibri" w:hAnsi="Arial" w:cs="Arial"/>
        </w:rPr>
        <w:t>North East</w:t>
      </w:r>
      <w:proofErr w:type="gramEnd"/>
      <w:r>
        <w:rPr>
          <w:rFonts w:ascii="Arial" w:eastAsia="Calibri" w:hAnsi="Arial" w:cs="Arial"/>
        </w:rPr>
        <w:t xml:space="preserve"> Lincolnshire.</w:t>
      </w:r>
    </w:p>
    <w:p w14:paraId="5ED16F97" w14:textId="0127AC31" w:rsidR="0073560C" w:rsidRDefault="0073560C" w:rsidP="0073560C">
      <w:pPr>
        <w:rPr>
          <w:rFonts w:ascii="Arial" w:eastAsia="Calibri" w:hAnsi="Arial" w:cs="Arial"/>
        </w:rPr>
      </w:pPr>
      <w:r>
        <w:rPr>
          <w:rFonts w:ascii="Arial" w:eastAsia="Calibri" w:hAnsi="Arial" w:cs="Arial"/>
        </w:rPr>
        <w:t>More detail on our commissioning intentions in coming years will be published at the end of March 2023</w:t>
      </w:r>
      <w:r w:rsidR="00E70EE1">
        <w:rPr>
          <w:rFonts w:ascii="Arial" w:eastAsia="Calibri" w:hAnsi="Arial" w:cs="Arial"/>
        </w:rPr>
        <w:t xml:space="preserve"> in the Market Sustainability Plan.</w:t>
      </w:r>
    </w:p>
    <w:p w14:paraId="5BCEAA5C" w14:textId="284956CD" w:rsidR="00340392" w:rsidRPr="00B56A4A" w:rsidRDefault="00340392" w:rsidP="00B56A4A">
      <w:pPr>
        <w:pStyle w:val="ListParagraph"/>
        <w:numPr>
          <w:ilvl w:val="0"/>
          <w:numId w:val="5"/>
        </w:numPr>
        <w:ind w:left="284" w:hanging="426"/>
        <w:rPr>
          <w:rFonts w:ascii="Arial" w:eastAsia="Calibri" w:hAnsi="Arial" w:cs="Arial"/>
          <w:b/>
          <w:bCs/>
          <w:sz w:val="24"/>
          <w:szCs w:val="24"/>
          <w:u w:val="single"/>
        </w:rPr>
      </w:pPr>
      <w:bookmarkStart w:id="5" w:name="_Hlk115951145"/>
      <w:r w:rsidRPr="00B56A4A">
        <w:rPr>
          <w:rFonts w:ascii="Arial" w:eastAsia="Calibri" w:hAnsi="Arial" w:cs="Arial"/>
          <w:b/>
          <w:bCs/>
          <w:sz w:val="24"/>
          <w:szCs w:val="24"/>
          <w:u w:val="single"/>
        </w:rPr>
        <w:t>Other Cost of Care Data Requirements</w:t>
      </w:r>
    </w:p>
    <w:p w14:paraId="1EED775C" w14:textId="6B0D44EF" w:rsidR="00340392" w:rsidRPr="00340392" w:rsidRDefault="00340392" w:rsidP="00340392">
      <w:pPr>
        <w:rPr>
          <w:rFonts w:ascii="Arial" w:eastAsia="Calibri" w:hAnsi="Arial" w:cs="Arial"/>
        </w:rPr>
      </w:pPr>
      <w:r w:rsidRPr="00340392">
        <w:rPr>
          <w:rFonts w:ascii="Arial" w:eastAsia="Calibri" w:hAnsi="Arial" w:cs="Arial"/>
        </w:rPr>
        <w:t>Section 4 within Annex A requirement</w:t>
      </w:r>
      <w:r>
        <w:rPr>
          <w:rFonts w:ascii="Arial" w:eastAsia="Calibri" w:hAnsi="Arial" w:cs="Arial"/>
        </w:rPr>
        <w:t>,</w:t>
      </w:r>
      <w:r w:rsidRPr="00340392">
        <w:rPr>
          <w:rFonts w:ascii="Arial" w:eastAsia="Calibri" w:hAnsi="Arial" w:cs="Arial"/>
        </w:rPr>
        <w:t xml:space="preserve"> to state the IBCF fee rates for 21-22 and 22-23 as a comparator to the FCOC rates presented in section 3</w:t>
      </w:r>
      <w:r>
        <w:rPr>
          <w:rFonts w:ascii="Arial" w:eastAsia="Calibri" w:hAnsi="Arial" w:cs="Arial"/>
        </w:rPr>
        <w:t>.</w:t>
      </w:r>
      <w:r w:rsidRPr="00340392">
        <w:rPr>
          <w:rFonts w:ascii="Arial" w:eastAsia="Calibri" w:hAnsi="Arial" w:cs="Arial"/>
        </w:rPr>
        <w:t xml:space="preserve"> </w:t>
      </w:r>
      <w:r>
        <w:rPr>
          <w:rFonts w:ascii="Arial" w:eastAsia="Calibri" w:hAnsi="Arial" w:cs="Arial"/>
        </w:rPr>
        <w:t xml:space="preserve">This </w:t>
      </w:r>
      <w:r w:rsidRPr="00340392">
        <w:rPr>
          <w:rFonts w:ascii="Arial" w:eastAsia="Calibri" w:hAnsi="Arial" w:cs="Arial"/>
        </w:rPr>
        <w:t>highlights a difference in methodology basis and is not considered a wholly relevant comparison. In addition, the percentage calculation used to present the distance from the cost of care exercise result does not reflect the change from current IBCF rate to reach the cost of care. The current calculation appears to understate the gap.</w:t>
      </w:r>
    </w:p>
    <w:bookmarkEnd w:id="5"/>
    <w:p w14:paraId="3388EC6F" w14:textId="77777777" w:rsidR="00BD5A7D" w:rsidRPr="00417F5F" w:rsidRDefault="00BD5A7D" w:rsidP="00BD5A7D">
      <w:pPr>
        <w:rPr>
          <w:rFonts w:ascii="Arial" w:eastAsia="Calibri" w:hAnsi="Arial" w:cs="Arial"/>
          <w:color w:val="FF0000"/>
        </w:rPr>
      </w:pPr>
    </w:p>
    <w:bookmarkEnd w:id="3"/>
    <w:p w14:paraId="1E2E4DFA" w14:textId="77777777" w:rsidR="005E0463" w:rsidRPr="00417F5F" w:rsidRDefault="005E0463">
      <w:pPr>
        <w:rPr>
          <w:rFonts w:ascii="Arial" w:hAnsi="Arial" w:cs="Arial"/>
        </w:rPr>
      </w:pPr>
    </w:p>
    <w:sectPr w:rsidR="005E0463" w:rsidRPr="00417F5F" w:rsidSect="00DD4E49">
      <w:pgSz w:w="11906" w:h="16838"/>
      <w:pgMar w:top="851"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71BE" w14:textId="77777777" w:rsidR="00221D00" w:rsidRDefault="00221D00" w:rsidP="00243D91">
      <w:pPr>
        <w:spacing w:after="0" w:line="240" w:lineRule="auto"/>
      </w:pPr>
      <w:r>
        <w:separator/>
      </w:r>
    </w:p>
  </w:endnote>
  <w:endnote w:type="continuationSeparator" w:id="0">
    <w:p w14:paraId="4E626267" w14:textId="77777777" w:rsidR="00221D00" w:rsidRDefault="00221D00" w:rsidP="0024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0FEE" w14:textId="77777777" w:rsidR="00221D00" w:rsidRDefault="00221D00" w:rsidP="00243D91">
      <w:pPr>
        <w:spacing w:after="0" w:line="240" w:lineRule="auto"/>
      </w:pPr>
      <w:r>
        <w:separator/>
      </w:r>
    </w:p>
  </w:footnote>
  <w:footnote w:type="continuationSeparator" w:id="0">
    <w:p w14:paraId="4E1437CF" w14:textId="77777777" w:rsidR="00221D00" w:rsidRDefault="00221D00" w:rsidP="00243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534"/>
    <w:multiLevelType w:val="hybridMultilevel"/>
    <w:tmpl w:val="4BD6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D3439"/>
    <w:multiLevelType w:val="hybridMultilevel"/>
    <w:tmpl w:val="ABD0E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C1B7C"/>
    <w:multiLevelType w:val="hybridMultilevel"/>
    <w:tmpl w:val="27B4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A0588"/>
    <w:multiLevelType w:val="multilevel"/>
    <w:tmpl w:val="D0585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1F26A6"/>
    <w:multiLevelType w:val="multilevel"/>
    <w:tmpl w:val="BBDED6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47F6053"/>
    <w:multiLevelType w:val="hybridMultilevel"/>
    <w:tmpl w:val="29180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26665"/>
    <w:multiLevelType w:val="hybridMultilevel"/>
    <w:tmpl w:val="184A42A2"/>
    <w:lvl w:ilvl="0" w:tplc="591C1658">
      <w:start w:val="1"/>
      <w:numFmt w:val="decimal"/>
      <w:lvlText w:val="%1."/>
      <w:lvlJc w:val="left"/>
      <w:pPr>
        <w:ind w:left="720" w:hanging="360"/>
      </w:pPr>
      <w:rPr>
        <w:rFonts w:hint="default"/>
      </w:rPr>
    </w:lvl>
    <w:lvl w:ilvl="1" w:tplc="591C1658">
      <w:start w:val="1"/>
      <w:numFmt w:val="decimal"/>
      <w:lvlText w:val="%2."/>
      <w:lvlJc w:val="left"/>
      <w:pPr>
        <w:ind w:left="1440" w:hanging="360"/>
      </w:pPr>
      <w:rPr>
        <w:rFonts w:hint="default"/>
      </w:rPr>
    </w:lvl>
    <w:lvl w:ilvl="2" w:tplc="DE62DD02">
      <w:numFmt w:val="bullet"/>
      <w:lvlText w:val="•"/>
      <w:lvlJc w:val="left"/>
      <w:pPr>
        <w:ind w:left="2700" w:hanging="720"/>
      </w:pPr>
      <w:rPr>
        <w:rFonts w:ascii="Calibri" w:eastAsia="Calibri" w:hAnsi="Calibri" w:cs="Calibr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6151B0"/>
    <w:multiLevelType w:val="hybridMultilevel"/>
    <w:tmpl w:val="80EE936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numFmt w:val="bullet"/>
      <w:lvlText w:val="•"/>
      <w:lvlJc w:val="left"/>
      <w:pPr>
        <w:ind w:left="2700" w:hanging="72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385E3A"/>
    <w:multiLevelType w:val="hybridMultilevel"/>
    <w:tmpl w:val="3426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3E2F"/>
    <w:multiLevelType w:val="hybridMultilevel"/>
    <w:tmpl w:val="ABBC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64228"/>
    <w:multiLevelType w:val="multilevel"/>
    <w:tmpl w:val="8E586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981554"/>
    <w:multiLevelType w:val="hybridMultilevel"/>
    <w:tmpl w:val="27E25B3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numFmt w:val="bullet"/>
      <w:lvlText w:val="•"/>
      <w:lvlJc w:val="left"/>
      <w:pPr>
        <w:ind w:left="2700" w:hanging="720"/>
      </w:pPr>
      <w:rPr>
        <w:rFonts w:ascii="Calibri" w:eastAsia="Calibri" w:hAnsi="Calibri" w:cs="Calibri" w:hint="default"/>
      </w:rPr>
    </w:lvl>
    <w:lvl w:ilvl="3" w:tplc="ACD03DB0">
      <w:start w:val="1"/>
      <w:numFmt w:val="bullet"/>
      <w:lvlText w:val="o"/>
      <w:lvlJc w:val="left"/>
      <w:pPr>
        <w:ind w:left="2880" w:hanging="360"/>
      </w:pPr>
      <w:rPr>
        <w:rFonts w:ascii="Courier New" w:hAnsi="Courier New" w:cs="Courier New" w:hint="default"/>
        <w:sz w:val="16"/>
        <w:szCs w:val="16"/>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3340242">
    <w:abstractNumId w:val="1"/>
  </w:num>
  <w:num w:numId="2" w16cid:durableId="1528635266">
    <w:abstractNumId w:val="0"/>
  </w:num>
  <w:num w:numId="3" w16cid:durableId="1077360697">
    <w:abstractNumId w:val="2"/>
  </w:num>
  <w:num w:numId="4" w16cid:durableId="367025255">
    <w:abstractNumId w:val="4"/>
  </w:num>
  <w:num w:numId="5" w16cid:durableId="1545752301">
    <w:abstractNumId w:val="6"/>
  </w:num>
  <w:num w:numId="6" w16cid:durableId="1777943815">
    <w:abstractNumId w:val="8"/>
  </w:num>
  <w:num w:numId="7" w16cid:durableId="877400019">
    <w:abstractNumId w:val="5"/>
  </w:num>
  <w:num w:numId="8" w16cid:durableId="658309259">
    <w:abstractNumId w:val="10"/>
  </w:num>
  <w:num w:numId="9" w16cid:durableId="301693084">
    <w:abstractNumId w:val="7"/>
  </w:num>
  <w:num w:numId="10" w16cid:durableId="2129815367">
    <w:abstractNumId w:val="11"/>
  </w:num>
  <w:num w:numId="11" w16cid:durableId="1908690867">
    <w:abstractNumId w:val="3"/>
  </w:num>
  <w:num w:numId="12" w16cid:durableId="591284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58"/>
    <w:rsid w:val="000253D7"/>
    <w:rsid w:val="00036B49"/>
    <w:rsid w:val="000432D5"/>
    <w:rsid w:val="0005645F"/>
    <w:rsid w:val="000834EA"/>
    <w:rsid w:val="000A22AB"/>
    <w:rsid w:val="000A6D67"/>
    <w:rsid w:val="000A70E8"/>
    <w:rsid w:val="000B2238"/>
    <w:rsid w:val="000B5E15"/>
    <w:rsid w:val="000B6DBF"/>
    <w:rsid w:val="000E14BA"/>
    <w:rsid w:val="0013483B"/>
    <w:rsid w:val="00155A38"/>
    <w:rsid w:val="00176300"/>
    <w:rsid w:val="001842A6"/>
    <w:rsid w:val="001B799F"/>
    <w:rsid w:val="00203109"/>
    <w:rsid w:val="002106F0"/>
    <w:rsid w:val="0022036E"/>
    <w:rsid w:val="00221D00"/>
    <w:rsid w:val="00221D19"/>
    <w:rsid w:val="00227EE6"/>
    <w:rsid w:val="002315AD"/>
    <w:rsid w:val="00233A8D"/>
    <w:rsid w:val="00243D91"/>
    <w:rsid w:val="00245FA9"/>
    <w:rsid w:val="0026159A"/>
    <w:rsid w:val="00264C66"/>
    <w:rsid w:val="0027358C"/>
    <w:rsid w:val="00275209"/>
    <w:rsid w:val="002878D2"/>
    <w:rsid w:val="002C13A0"/>
    <w:rsid w:val="002E562B"/>
    <w:rsid w:val="002F08B4"/>
    <w:rsid w:val="002F27D0"/>
    <w:rsid w:val="00304764"/>
    <w:rsid w:val="00340392"/>
    <w:rsid w:val="003449EF"/>
    <w:rsid w:val="00370FE7"/>
    <w:rsid w:val="00372714"/>
    <w:rsid w:val="00381979"/>
    <w:rsid w:val="00391228"/>
    <w:rsid w:val="003948E3"/>
    <w:rsid w:val="003D1DED"/>
    <w:rsid w:val="003D3397"/>
    <w:rsid w:val="003E1CB5"/>
    <w:rsid w:val="003E4628"/>
    <w:rsid w:val="003F399D"/>
    <w:rsid w:val="003F65C7"/>
    <w:rsid w:val="00400700"/>
    <w:rsid w:val="004013F5"/>
    <w:rsid w:val="00403AC6"/>
    <w:rsid w:val="00417F5F"/>
    <w:rsid w:val="004243B4"/>
    <w:rsid w:val="00446C10"/>
    <w:rsid w:val="00495CD3"/>
    <w:rsid w:val="004A1248"/>
    <w:rsid w:val="004B18CE"/>
    <w:rsid w:val="004C1DC7"/>
    <w:rsid w:val="004C3DB9"/>
    <w:rsid w:val="004C4BDE"/>
    <w:rsid w:val="004E5FCF"/>
    <w:rsid w:val="005256A4"/>
    <w:rsid w:val="005743FC"/>
    <w:rsid w:val="00594879"/>
    <w:rsid w:val="005E0463"/>
    <w:rsid w:val="005E6EAE"/>
    <w:rsid w:val="006033CD"/>
    <w:rsid w:val="006040D1"/>
    <w:rsid w:val="006047F1"/>
    <w:rsid w:val="00613AA5"/>
    <w:rsid w:val="006140CF"/>
    <w:rsid w:val="006337BB"/>
    <w:rsid w:val="00641236"/>
    <w:rsid w:val="00660321"/>
    <w:rsid w:val="006651D4"/>
    <w:rsid w:val="0067237E"/>
    <w:rsid w:val="006776DA"/>
    <w:rsid w:val="006A5107"/>
    <w:rsid w:val="006C28DB"/>
    <w:rsid w:val="006C66FD"/>
    <w:rsid w:val="006E3C69"/>
    <w:rsid w:val="00714558"/>
    <w:rsid w:val="0072351C"/>
    <w:rsid w:val="007347B4"/>
    <w:rsid w:val="0073560C"/>
    <w:rsid w:val="007368F4"/>
    <w:rsid w:val="0074121D"/>
    <w:rsid w:val="0075623F"/>
    <w:rsid w:val="00765505"/>
    <w:rsid w:val="00774362"/>
    <w:rsid w:val="007B1827"/>
    <w:rsid w:val="007B42FF"/>
    <w:rsid w:val="007D771C"/>
    <w:rsid w:val="007E705A"/>
    <w:rsid w:val="007F16C4"/>
    <w:rsid w:val="00800564"/>
    <w:rsid w:val="008029FB"/>
    <w:rsid w:val="00850FEE"/>
    <w:rsid w:val="00880A71"/>
    <w:rsid w:val="00885018"/>
    <w:rsid w:val="008866D8"/>
    <w:rsid w:val="008A4901"/>
    <w:rsid w:val="008D0AB1"/>
    <w:rsid w:val="008D6CEA"/>
    <w:rsid w:val="008E5607"/>
    <w:rsid w:val="008F0475"/>
    <w:rsid w:val="009168A2"/>
    <w:rsid w:val="00943FBF"/>
    <w:rsid w:val="00956C10"/>
    <w:rsid w:val="00993FD3"/>
    <w:rsid w:val="0099581A"/>
    <w:rsid w:val="009A38C6"/>
    <w:rsid w:val="009D3FE7"/>
    <w:rsid w:val="009D4476"/>
    <w:rsid w:val="00A0014E"/>
    <w:rsid w:val="00A07280"/>
    <w:rsid w:val="00A07D7A"/>
    <w:rsid w:val="00A26070"/>
    <w:rsid w:val="00A30D35"/>
    <w:rsid w:val="00A574AC"/>
    <w:rsid w:val="00A57F5F"/>
    <w:rsid w:val="00A64B73"/>
    <w:rsid w:val="00A73A5C"/>
    <w:rsid w:val="00A74B4F"/>
    <w:rsid w:val="00A8457A"/>
    <w:rsid w:val="00A91855"/>
    <w:rsid w:val="00A93693"/>
    <w:rsid w:val="00AA5301"/>
    <w:rsid w:val="00AB1BAD"/>
    <w:rsid w:val="00AB6831"/>
    <w:rsid w:val="00AC4E08"/>
    <w:rsid w:val="00AD0928"/>
    <w:rsid w:val="00AF7F26"/>
    <w:rsid w:val="00B10C9E"/>
    <w:rsid w:val="00B56A4A"/>
    <w:rsid w:val="00B80632"/>
    <w:rsid w:val="00B97117"/>
    <w:rsid w:val="00BA77DC"/>
    <w:rsid w:val="00BB4623"/>
    <w:rsid w:val="00BD4A66"/>
    <w:rsid w:val="00BD5A7D"/>
    <w:rsid w:val="00BD6EAE"/>
    <w:rsid w:val="00BF2227"/>
    <w:rsid w:val="00C0367A"/>
    <w:rsid w:val="00C15EAF"/>
    <w:rsid w:val="00C25986"/>
    <w:rsid w:val="00C25DAC"/>
    <w:rsid w:val="00C269DB"/>
    <w:rsid w:val="00C359A1"/>
    <w:rsid w:val="00C566D8"/>
    <w:rsid w:val="00C60B62"/>
    <w:rsid w:val="00C63CB7"/>
    <w:rsid w:val="00C6576C"/>
    <w:rsid w:val="00C81CC4"/>
    <w:rsid w:val="00C95F53"/>
    <w:rsid w:val="00CB724F"/>
    <w:rsid w:val="00CC36BC"/>
    <w:rsid w:val="00CC7C1C"/>
    <w:rsid w:val="00CF4E05"/>
    <w:rsid w:val="00D108A7"/>
    <w:rsid w:val="00D70508"/>
    <w:rsid w:val="00D81C48"/>
    <w:rsid w:val="00D821BE"/>
    <w:rsid w:val="00DA4CD2"/>
    <w:rsid w:val="00DC3678"/>
    <w:rsid w:val="00DC373B"/>
    <w:rsid w:val="00DD4E49"/>
    <w:rsid w:val="00DD57D0"/>
    <w:rsid w:val="00DF0357"/>
    <w:rsid w:val="00E06FEB"/>
    <w:rsid w:val="00E31C9F"/>
    <w:rsid w:val="00E369A1"/>
    <w:rsid w:val="00E413A6"/>
    <w:rsid w:val="00E4658A"/>
    <w:rsid w:val="00E5219D"/>
    <w:rsid w:val="00E527A6"/>
    <w:rsid w:val="00E579AD"/>
    <w:rsid w:val="00E70EE1"/>
    <w:rsid w:val="00E773B1"/>
    <w:rsid w:val="00E8048F"/>
    <w:rsid w:val="00E87C9F"/>
    <w:rsid w:val="00E90DAD"/>
    <w:rsid w:val="00E910E5"/>
    <w:rsid w:val="00EC3BF0"/>
    <w:rsid w:val="00EF350E"/>
    <w:rsid w:val="00EF429B"/>
    <w:rsid w:val="00EF71D0"/>
    <w:rsid w:val="00F0005E"/>
    <w:rsid w:val="00F11B7B"/>
    <w:rsid w:val="00F55CAE"/>
    <w:rsid w:val="00F95962"/>
    <w:rsid w:val="00FA0643"/>
    <w:rsid w:val="00FA0B68"/>
    <w:rsid w:val="00FA6EA2"/>
    <w:rsid w:val="00FC54F3"/>
    <w:rsid w:val="00FC5D01"/>
    <w:rsid w:val="00FD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5D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5A7D"/>
    <w:rPr>
      <w:sz w:val="16"/>
      <w:szCs w:val="16"/>
    </w:rPr>
  </w:style>
  <w:style w:type="paragraph" w:customStyle="1" w:styleId="CommentText1">
    <w:name w:val="Comment Text1"/>
    <w:basedOn w:val="Normal"/>
    <w:next w:val="CommentText"/>
    <w:link w:val="CommentTextChar"/>
    <w:uiPriority w:val="99"/>
    <w:semiHidden/>
    <w:unhideWhenUsed/>
    <w:rsid w:val="00BD5A7D"/>
    <w:pPr>
      <w:spacing w:line="240" w:lineRule="auto"/>
    </w:pPr>
    <w:rPr>
      <w:sz w:val="20"/>
      <w:szCs w:val="20"/>
    </w:rPr>
  </w:style>
  <w:style w:type="character" w:customStyle="1" w:styleId="CommentTextChar">
    <w:name w:val="Comment Text Char"/>
    <w:basedOn w:val="DefaultParagraphFont"/>
    <w:link w:val="CommentText1"/>
    <w:uiPriority w:val="99"/>
    <w:semiHidden/>
    <w:rsid w:val="00BD5A7D"/>
    <w:rPr>
      <w:sz w:val="20"/>
      <w:szCs w:val="20"/>
    </w:rPr>
  </w:style>
  <w:style w:type="paragraph" w:styleId="CommentText">
    <w:name w:val="annotation text"/>
    <w:basedOn w:val="Normal"/>
    <w:link w:val="CommentTextChar1"/>
    <w:uiPriority w:val="99"/>
    <w:unhideWhenUsed/>
    <w:rsid w:val="00BD5A7D"/>
    <w:pPr>
      <w:spacing w:line="240" w:lineRule="auto"/>
    </w:pPr>
    <w:rPr>
      <w:sz w:val="20"/>
      <w:szCs w:val="20"/>
    </w:rPr>
  </w:style>
  <w:style w:type="character" w:customStyle="1" w:styleId="CommentTextChar1">
    <w:name w:val="Comment Text Char1"/>
    <w:basedOn w:val="DefaultParagraphFont"/>
    <w:link w:val="CommentText"/>
    <w:uiPriority w:val="99"/>
    <w:rsid w:val="00BD5A7D"/>
    <w:rPr>
      <w:sz w:val="20"/>
      <w:szCs w:val="20"/>
    </w:rPr>
  </w:style>
  <w:style w:type="paragraph" w:styleId="CommentSubject">
    <w:name w:val="annotation subject"/>
    <w:basedOn w:val="CommentText"/>
    <w:next w:val="CommentText"/>
    <w:link w:val="CommentSubjectChar"/>
    <w:uiPriority w:val="99"/>
    <w:semiHidden/>
    <w:unhideWhenUsed/>
    <w:rsid w:val="002315AD"/>
    <w:rPr>
      <w:b/>
      <w:bCs/>
    </w:rPr>
  </w:style>
  <w:style w:type="character" w:customStyle="1" w:styleId="CommentSubjectChar">
    <w:name w:val="Comment Subject Char"/>
    <w:basedOn w:val="CommentTextChar1"/>
    <w:link w:val="CommentSubject"/>
    <w:uiPriority w:val="99"/>
    <w:semiHidden/>
    <w:rsid w:val="002315AD"/>
    <w:rPr>
      <w:b/>
      <w:bCs/>
      <w:sz w:val="20"/>
      <w:szCs w:val="20"/>
    </w:rPr>
  </w:style>
  <w:style w:type="paragraph" w:styleId="Header">
    <w:name w:val="header"/>
    <w:basedOn w:val="Normal"/>
    <w:link w:val="HeaderChar"/>
    <w:uiPriority w:val="99"/>
    <w:unhideWhenUsed/>
    <w:rsid w:val="00243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D91"/>
  </w:style>
  <w:style w:type="paragraph" w:styleId="Footer">
    <w:name w:val="footer"/>
    <w:basedOn w:val="Normal"/>
    <w:link w:val="FooterChar"/>
    <w:uiPriority w:val="99"/>
    <w:unhideWhenUsed/>
    <w:rsid w:val="00243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D91"/>
  </w:style>
  <w:style w:type="paragraph" w:styleId="ListParagraph">
    <w:name w:val="List Paragraph"/>
    <w:basedOn w:val="Normal"/>
    <w:uiPriority w:val="34"/>
    <w:qFormat/>
    <w:rsid w:val="0027358C"/>
    <w:pPr>
      <w:ind w:left="720"/>
      <w:contextualSpacing/>
    </w:pPr>
  </w:style>
  <w:style w:type="paragraph" w:styleId="Revision">
    <w:name w:val="Revision"/>
    <w:hidden/>
    <w:uiPriority w:val="99"/>
    <w:semiHidden/>
    <w:rsid w:val="002106F0"/>
    <w:pPr>
      <w:spacing w:after="0" w:line="240" w:lineRule="auto"/>
    </w:pPr>
  </w:style>
  <w:style w:type="character" w:customStyle="1" w:styleId="Heading1Char">
    <w:name w:val="Heading 1 Char"/>
    <w:basedOn w:val="DefaultParagraphFont"/>
    <w:link w:val="Heading1"/>
    <w:uiPriority w:val="9"/>
    <w:rsid w:val="00880A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565">
      <w:bodyDiv w:val="1"/>
      <w:marLeft w:val="0"/>
      <w:marRight w:val="0"/>
      <w:marTop w:val="0"/>
      <w:marBottom w:val="0"/>
      <w:divBdr>
        <w:top w:val="none" w:sz="0" w:space="0" w:color="auto"/>
        <w:left w:val="none" w:sz="0" w:space="0" w:color="auto"/>
        <w:bottom w:val="none" w:sz="0" w:space="0" w:color="auto"/>
        <w:right w:val="none" w:sz="0" w:space="0" w:color="auto"/>
      </w:divBdr>
    </w:div>
    <w:div w:id="417992677">
      <w:bodyDiv w:val="1"/>
      <w:marLeft w:val="0"/>
      <w:marRight w:val="0"/>
      <w:marTop w:val="0"/>
      <w:marBottom w:val="0"/>
      <w:divBdr>
        <w:top w:val="none" w:sz="0" w:space="0" w:color="auto"/>
        <w:left w:val="none" w:sz="0" w:space="0" w:color="auto"/>
        <w:bottom w:val="none" w:sz="0" w:space="0" w:color="auto"/>
        <w:right w:val="none" w:sz="0" w:space="0" w:color="auto"/>
      </w:divBdr>
    </w:div>
    <w:div w:id="20345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8D812.9A981A20"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6.png@01D8D812.9A981A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13.png@01D8D812.9A981A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cid:image004.png@01D8D812.9A981A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12.png@01D8D812.9A981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2023-01-31T13:45:00Z</dcterms:created>
  <dcterms:modified xsi:type="dcterms:W3CDTF">2023-01-31T13:46:00Z</dcterms:modified>
</cp:coreProperties>
</file>