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0904" w14:textId="12E716AD" w:rsidR="00E749D8" w:rsidRDefault="00E749D8" w:rsidP="003B28FC">
      <w:pPr>
        <w:rPr>
          <w:rFonts w:ascii="Arial" w:hAnsi="Arial" w:cs="Arial"/>
          <w:sz w:val="24"/>
          <w:szCs w:val="24"/>
        </w:rPr>
      </w:pPr>
    </w:p>
    <w:p w14:paraId="7C27C507" w14:textId="1BA3BABE" w:rsidR="00E749D8" w:rsidRPr="00E749D8" w:rsidRDefault="00E4036D" w:rsidP="00407264">
      <w:pPr>
        <w:spacing w:line="1200" w:lineRule="auto"/>
        <w:jc w:val="center"/>
        <w:rPr>
          <w:rFonts w:ascii="Arial" w:hAnsi="Arial" w:cs="Arial"/>
          <w:sz w:val="24"/>
          <w:szCs w:val="24"/>
        </w:rPr>
      </w:pPr>
      <w:r>
        <w:rPr>
          <w:noProof/>
        </w:rPr>
        <w:drawing>
          <wp:inline distT="0" distB="0" distL="0" distR="0" wp14:anchorId="733FCEFB" wp14:editId="7CEAA58B">
            <wp:extent cx="1266825" cy="1381125"/>
            <wp:effectExtent l="0" t="0" r="9525" b="9525"/>
            <wp:docPr id="4" name="Picture 4"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rth East Lincolnshire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381125"/>
                    </a:xfrm>
                    <a:prstGeom prst="rect">
                      <a:avLst/>
                    </a:prstGeom>
                    <a:noFill/>
                  </pic:spPr>
                </pic:pic>
              </a:graphicData>
            </a:graphic>
          </wp:inline>
        </w:drawing>
      </w:r>
    </w:p>
    <w:p w14:paraId="1CBE90EF" w14:textId="77777777" w:rsidR="00E749D8" w:rsidRPr="00E749D8" w:rsidRDefault="00E749D8" w:rsidP="00407264">
      <w:pPr>
        <w:keepNext/>
        <w:spacing w:before="240" w:after="60"/>
        <w:jc w:val="center"/>
        <w:outlineLvl w:val="0"/>
        <w:rPr>
          <w:rFonts w:ascii="Arial" w:hAnsi="Arial" w:cs="Arial"/>
          <w:b/>
          <w:bCs/>
          <w:kern w:val="32"/>
          <w:sz w:val="48"/>
          <w:szCs w:val="32"/>
        </w:rPr>
      </w:pPr>
      <w:r w:rsidRPr="00E749D8">
        <w:rPr>
          <w:rFonts w:ascii="Arial" w:hAnsi="Arial" w:cs="Arial"/>
          <w:b/>
          <w:bCs/>
          <w:kern w:val="32"/>
          <w:sz w:val="48"/>
          <w:szCs w:val="32"/>
        </w:rPr>
        <w:t xml:space="preserve">North </w:t>
      </w:r>
      <w:r>
        <w:rPr>
          <w:rFonts w:ascii="Arial" w:hAnsi="Arial" w:cs="Arial"/>
          <w:b/>
          <w:bCs/>
          <w:kern w:val="32"/>
          <w:sz w:val="48"/>
          <w:szCs w:val="32"/>
        </w:rPr>
        <w:t xml:space="preserve">East </w:t>
      </w:r>
      <w:r w:rsidRPr="00E749D8">
        <w:rPr>
          <w:rFonts w:ascii="Arial" w:hAnsi="Arial" w:cs="Arial"/>
          <w:b/>
          <w:bCs/>
          <w:kern w:val="32"/>
          <w:sz w:val="48"/>
          <w:szCs w:val="32"/>
        </w:rPr>
        <w:t>Lincolnshire Council</w:t>
      </w:r>
    </w:p>
    <w:p w14:paraId="55CAF02C" w14:textId="77777777" w:rsidR="00E749D8" w:rsidRPr="00E749D8" w:rsidRDefault="00E749D8" w:rsidP="00E749D8">
      <w:pPr>
        <w:keepNext/>
        <w:spacing w:before="240" w:after="60"/>
        <w:jc w:val="center"/>
        <w:outlineLvl w:val="0"/>
        <w:rPr>
          <w:rFonts w:ascii="Arial" w:hAnsi="Arial" w:cs="Arial"/>
          <w:b/>
          <w:bCs/>
          <w:kern w:val="32"/>
          <w:sz w:val="48"/>
          <w:szCs w:val="32"/>
        </w:rPr>
      </w:pPr>
    </w:p>
    <w:p w14:paraId="656CAF89" w14:textId="77777777" w:rsidR="00E749D8" w:rsidRPr="00E749D8" w:rsidRDefault="00E749D8" w:rsidP="00E749D8">
      <w:pPr>
        <w:keepNext/>
        <w:spacing w:before="240" w:after="60"/>
        <w:jc w:val="center"/>
        <w:outlineLvl w:val="0"/>
        <w:rPr>
          <w:rFonts w:ascii="Arial" w:hAnsi="Arial" w:cs="Arial"/>
          <w:b/>
          <w:bCs/>
          <w:kern w:val="32"/>
          <w:sz w:val="48"/>
          <w:szCs w:val="32"/>
        </w:rPr>
      </w:pPr>
      <w:r w:rsidRPr="00E749D8">
        <w:rPr>
          <w:rFonts w:ascii="Arial" w:hAnsi="Arial" w:cs="Arial"/>
          <w:b/>
          <w:bCs/>
          <w:kern w:val="32"/>
          <w:sz w:val="48"/>
          <w:szCs w:val="32"/>
        </w:rPr>
        <w:t>Annual Fraud Report</w:t>
      </w:r>
    </w:p>
    <w:p w14:paraId="1596F5A9" w14:textId="77777777" w:rsidR="00E749D8" w:rsidRPr="00E749D8" w:rsidRDefault="00E749D8" w:rsidP="00E749D8">
      <w:pPr>
        <w:keepNext/>
        <w:spacing w:before="240" w:after="60"/>
        <w:jc w:val="center"/>
        <w:outlineLvl w:val="0"/>
        <w:rPr>
          <w:rFonts w:ascii="Arial" w:hAnsi="Arial" w:cs="Arial"/>
          <w:b/>
          <w:bCs/>
          <w:kern w:val="32"/>
          <w:sz w:val="48"/>
          <w:szCs w:val="32"/>
        </w:rPr>
      </w:pPr>
    </w:p>
    <w:p w14:paraId="5B5B1488" w14:textId="2D280AEC" w:rsidR="00E749D8" w:rsidRPr="00E749D8" w:rsidRDefault="00686BE4" w:rsidP="00E749D8">
      <w:pPr>
        <w:keepNext/>
        <w:spacing w:before="240" w:after="60"/>
        <w:jc w:val="center"/>
        <w:outlineLvl w:val="0"/>
        <w:rPr>
          <w:rFonts w:ascii="Arial" w:hAnsi="Arial" w:cs="Arial"/>
          <w:b/>
          <w:bCs/>
          <w:kern w:val="32"/>
          <w:sz w:val="48"/>
          <w:szCs w:val="32"/>
        </w:rPr>
      </w:pPr>
      <w:r>
        <w:rPr>
          <w:rFonts w:ascii="Arial" w:hAnsi="Arial" w:cs="Arial"/>
          <w:b/>
          <w:bCs/>
          <w:kern w:val="32"/>
          <w:sz w:val="48"/>
          <w:szCs w:val="32"/>
        </w:rPr>
        <w:t>20</w:t>
      </w:r>
      <w:r w:rsidR="00D34626">
        <w:rPr>
          <w:rFonts w:ascii="Arial" w:hAnsi="Arial" w:cs="Arial"/>
          <w:b/>
          <w:bCs/>
          <w:kern w:val="32"/>
          <w:sz w:val="48"/>
          <w:szCs w:val="32"/>
        </w:rPr>
        <w:t>2</w:t>
      </w:r>
      <w:r w:rsidR="00F02B4B">
        <w:rPr>
          <w:rFonts w:ascii="Arial" w:hAnsi="Arial" w:cs="Arial"/>
          <w:b/>
          <w:bCs/>
          <w:kern w:val="32"/>
          <w:sz w:val="48"/>
          <w:szCs w:val="32"/>
        </w:rPr>
        <w:t>2/23</w:t>
      </w:r>
    </w:p>
    <w:p w14:paraId="502F91D4" w14:textId="77777777" w:rsidR="00E749D8" w:rsidRPr="00830C44" w:rsidRDefault="00E749D8" w:rsidP="0035294D">
      <w:pPr>
        <w:pStyle w:val="Heading1"/>
        <w:rPr>
          <w:b/>
        </w:rPr>
      </w:pPr>
      <w:r w:rsidRPr="0035294D">
        <w:br w:type="page"/>
      </w:r>
      <w:r w:rsidRPr="00830C44">
        <w:rPr>
          <w:b/>
        </w:rPr>
        <w:lastRenderedPageBreak/>
        <w:t>Introduction</w:t>
      </w:r>
    </w:p>
    <w:p w14:paraId="4BFA457C" w14:textId="77777777" w:rsidR="0035294D" w:rsidRDefault="0035294D" w:rsidP="0035294D">
      <w:pPr>
        <w:rPr>
          <w:rFonts w:ascii="Arial" w:hAnsi="Arial" w:cs="Arial"/>
          <w:sz w:val="24"/>
          <w:szCs w:val="24"/>
        </w:rPr>
      </w:pPr>
    </w:p>
    <w:p w14:paraId="2AFBF2C1" w14:textId="77777777" w:rsidR="004860D4" w:rsidRDefault="00C32B80" w:rsidP="00A330CC">
      <w:pPr>
        <w:jc w:val="both"/>
      </w:pPr>
      <w:r w:rsidRPr="00C32B80">
        <w:rPr>
          <w:rFonts w:ascii="Arial" w:hAnsi="Arial" w:cs="Arial"/>
          <w:sz w:val="24"/>
          <w:szCs w:val="24"/>
        </w:rPr>
        <w:t xml:space="preserve">The North </w:t>
      </w:r>
      <w:r>
        <w:rPr>
          <w:rFonts w:ascii="Arial" w:hAnsi="Arial" w:cs="Arial"/>
          <w:sz w:val="24"/>
          <w:szCs w:val="24"/>
        </w:rPr>
        <w:t xml:space="preserve">East </w:t>
      </w:r>
      <w:r w:rsidRPr="00C32B80">
        <w:rPr>
          <w:rFonts w:ascii="Arial" w:hAnsi="Arial" w:cs="Arial"/>
          <w:sz w:val="24"/>
          <w:szCs w:val="24"/>
        </w:rPr>
        <w:t>Lincolnshire Council Anti-fraud and corruption strategy sets out our approach to minimising the risk of fraud and corruption occurring, detecting its possible occurrence and the actions we will take when fraudulent activity is suspected and identified</w:t>
      </w:r>
      <w:r>
        <w:rPr>
          <w:rFonts w:ascii="Arial" w:hAnsi="Arial" w:cs="Arial"/>
          <w:sz w:val="24"/>
          <w:szCs w:val="24"/>
        </w:rPr>
        <w:t>.</w:t>
      </w:r>
      <w:r w:rsidR="004860D4" w:rsidRPr="004860D4">
        <w:t xml:space="preserve"> </w:t>
      </w:r>
    </w:p>
    <w:p w14:paraId="777F4A34" w14:textId="77777777" w:rsidR="004860D4" w:rsidRDefault="004860D4" w:rsidP="00A330CC">
      <w:pPr>
        <w:jc w:val="both"/>
      </w:pPr>
    </w:p>
    <w:p w14:paraId="14A3B1C8" w14:textId="2E742991" w:rsidR="004860D4" w:rsidRDefault="004860D4" w:rsidP="00A330CC">
      <w:pPr>
        <w:jc w:val="both"/>
        <w:rPr>
          <w:rFonts w:ascii="Arial" w:hAnsi="Arial" w:cs="Arial"/>
          <w:sz w:val="24"/>
          <w:szCs w:val="24"/>
        </w:rPr>
      </w:pPr>
      <w:r w:rsidRPr="004860D4">
        <w:rPr>
          <w:rFonts w:ascii="Arial" w:hAnsi="Arial" w:cs="Arial"/>
          <w:sz w:val="24"/>
          <w:szCs w:val="24"/>
        </w:rPr>
        <w:t>Our approach to delivering the strategy is led by the Audit &amp; Assurance team, in which the Counter Fraud and Audit functions work collaboratively to deliver the response.</w:t>
      </w:r>
    </w:p>
    <w:p w14:paraId="62665784" w14:textId="77777777" w:rsidR="00C32B80" w:rsidRDefault="00C32B80" w:rsidP="00A330CC">
      <w:pPr>
        <w:jc w:val="both"/>
        <w:rPr>
          <w:rFonts w:ascii="Arial" w:hAnsi="Arial" w:cs="Arial"/>
          <w:sz w:val="24"/>
          <w:szCs w:val="24"/>
        </w:rPr>
      </w:pPr>
    </w:p>
    <w:p w14:paraId="5B488D39" w14:textId="1E554740" w:rsidR="00E749D8" w:rsidRPr="0035294D" w:rsidRDefault="00E749D8" w:rsidP="00A330CC">
      <w:pPr>
        <w:jc w:val="both"/>
        <w:rPr>
          <w:rFonts w:ascii="Arial" w:hAnsi="Arial" w:cs="Arial"/>
          <w:sz w:val="24"/>
          <w:szCs w:val="24"/>
        </w:rPr>
      </w:pPr>
      <w:r w:rsidRPr="0035294D">
        <w:rPr>
          <w:rFonts w:ascii="Arial" w:hAnsi="Arial" w:cs="Arial"/>
          <w:sz w:val="24"/>
          <w:szCs w:val="24"/>
        </w:rPr>
        <w:t xml:space="preserve">This report highlights the work which has been carried out </w:t>
      </w:r>
      <w:r w:rsidR="00D31882">
        <w:rPr>
          <w:rFonts w:ascii="Arial" w:hAnsi="Arial" w:cs="Arial"/>
          <w:sz w:val="24"/>
          <w:szCs w:val="24"/>
        </w:rPr>
        <w:t>across the council during 202</w:t>
      </w:r>
      <w:r w:rsidR="00873BD3">
        <w:rPr>
          <w:rFonts w:ascii="Arial" w:hAnsi="Arial" w:cs="Arial"/>
          <w:sz w:val="24"/>
          <w:szCs w:val="24"/>
        </w:rPr>
        <w:t>2/23</w:t>
      </w:r>
      <w:r w:rsidR="00D31882">
        <w:rPr>
          <w:rFonts w:ascii="Arial" w:hAnsi="Arial" w:cs="Arial"/>
          <w:sz w:val="24"/>
          <w:szCs w:val="24"/>
        </w:rPr>
        <w:t xml:space="preserve"> </w:t>
      </w:r>
      <w:r w:rsidRPr="0035294D">
        <w:rPr>
          <w:rFonts w:ascii="Arial" w:hAnsi="Arial" w:cs="Arial"/>
          <w:sz w:val="24"/>
          <w:szCs w:val="24"/>
        </w:rPr>
        <w:t>under the key principles of:</w:t>
      </w:r>
    </w:p>
    <w:p w14:paraId="095EA21F" w14:textId="77777777" w:rsidR="00E749D8" w:rsidRPr="0035294D" w:rsidRDefault="00E749D8" w:rsidP="00A330CC">
      <w:pPr>
        <w:jc w:val="both"/>
        <w:rPr>
          <w:rFonts w:ascii="Arial" w:hAnsi="Arial" w:cs="Arial"/>
          <w:sz w:val="24"/>
          <w:szCs w:val="24"/>
        </w:rPr>
      </w:pPr>
    </w:p>
    <w:p w14:paraId="418DE42D"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 xml:space="preserve">Govern </w:t>
      </w:r>
    </w:p>
    <w:p w14:paraId="7B7778FF"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 xml:space="preserve">Acknowledge and </w:t>
      </w:r>
      <w:proofErr w:type="gramStart"/>
      <w:r w:rsidRPr="000C7B32">
        <w:rPr>
          <w:rFonts w:ascii="Arial" w:eastAsia="Arial" w:hAnsi="Arial"/>
          <w:sz w:val="24"/>
          <w:szCs w:val="24"/>
          <w:lang w:eastAsia="en-US"/>
        </w:rPr>
        <w:t>understand</w:t>
      </w:r>
      <w:proofErr w:type="gramEnd"/>
    </w:p>
    <w:p w14:paraId="3169C8FF"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 xml:space="preserve">Prevent and </w:t>
      </w:r>
      <w:proofErr w:type="gramStart"/>
      <w:r w:rsidRPr="000C7B32">
        <w:rPr>
          <w:rFonts w:ascii="Arial" w:eastAsia="Arial" w:hAnsi="Arial"/>
          <w:sz w:val="24"/>
          <w:szCs w:val="24"/>
          <w:lang w:eastAsia="en-US"/>
        </w:rPr>
        <w:t>detect</w:t>
      </w:r>
      <w:proofErr w:type="gramEnd"/>
    </w:p>
    <w:p w14:paraId="4250A9F1"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Pursue</w:t>
      </w:r>
    </w:p>
    <w:p w14:paraId="2B944B15" w14:textId="77777777" w:rsidR="000C7B32" w:rsidRPr="000C7B32" w:rsidRDefault="000C7B32" w:rsidP="000C7B32">
      <w:pPr>
        <w:numPr>
          <w:ilvl w:val="0"/>
          <w:numId w:val="11"/>
        </w:numPr>
        <w:spacing w:after="160" w:line="259" w:lineRule="auto"/>
        <w:contextualSpacing/>
        <w:rPr>
          <w:rFonts w:ascii="Arial" w:eastAsia="Arial" w:hAnsi="Arial"/>
          <w:sz w:val="24"/>
          <w:szCs w:val="24"/>
          <w:lang w:eastAsia="en-US"/>
        </w:rPr>
      </w:pPr>
      <w:r w:rsidRPr="000C7B32">
        <w:rPr>
          <w:rFonts w:ascii="Arial" w:eastAsia="Arial" w:hAnsi="Arial"/>
          <w:sz w:val="24"/>
          <w:szCs w:val="24"/>
          <w:lang w:eastAsia="en-US"/>
        </w:rPr>
        <w:t>Protect</w:t>
      </w:r>
    </w:p>
    <w:p w14:paraId="1C573F3D" w14:textId="0B2DF7A8" w:rsidR="00DA764B" w:rsidRDefault="00DA764B" w:rsidP="00B05F77">
      <w:pPr>
        <w:pStyle w:val="Heading1"/>
        <w:rPr>
          <w:b/>
        </w:rPr>
      </w:pPr>
      <w:r>
        <w:rPr>
          <w:b/>
        </w:rPr>
        <w:t>Govern</w:t>
      </w:r>
    </w:p>
    <w:p w14:paraId="0A6279AC" w14:textId="319FEB22" w:rsidR="00DA764B" w:rsidRDefault="00DA764B" w:rsidP="00A330CC">
      <w:pPr>
        <w:jc w:val="both"/>
      </w:pPr>
    </w:p>
    <w:p w14:paraId="405EECCF" w14:textId="7FCAB262" w:rsidR="001C71D9" w:rsidRDefault="001C71D9" w:rsidP="001C71D9">
      <w:pPr>
        <w:jc w:val="both"/>
        <w:rPr>
          <w:rFonts w:ascii="Arial" w:hAnsi="Arial" w:cs="Arial"/>
          <w:sz w:val="24"/>
          <w:szCs w:val="24"/>
        </w:rPr>
      </w:pPr>
      <w:r w:rsidRPr="001C71D9">
        <w:rPr>
          <w:rFonts w:ascii="Arial" w:hAnsi="Arial" w:cs="Arial"/>
          <w:sz w:val="24"/>
          <w:szCs w:val="24"/>
        </w:rPr>
        <w:t xml:space="preserve">The council has a robust framework of procedures and controls to minimise the risk of losses due to fraud. </w:t>
      </w:r>
    </w:p>
    <w:p w14:paraId="1E2A4A5F" w14:textId="77777777" w:rsidR="001C71D9" w:rsidRPr="001C71D9" w:rsidRDefault="001C71D9" w:rsidP="001C71D9">
      <w:pPr>
        <w:jc w:val="both"/>
        <w:rPr>
          <w:rFonts w:ascii="Arial" w:hAnsi="Arial" w:cs="Arial"/>
          <w:sz w:val="24"/>
          <w:szCs w:val="24"/>
        </w:rPr>
      </w:pPr>
    </w:p>
    <w:p w14:paraId="14AF9A24" w14:textId="01A13D2F" w:rsidR="001C71D9" w:rsidRDefault="001C71D9" w:rsidP="001C71D9">
      <w:pPr>
        <w:jc w:val="both"/>
        <w:rPr>
          <w:rFonts w:ascii="Arial" w:hAnsi="Arial" w:cs="Arial"/>
          <w:sz w:val="24"/>
          <w:szCs w:val="24"/>
        </w:rPr>
      </w:pPr>
      <w:r w:rsidRPr="001C71D9">
        <w:rPr>
          <w:rFonts w:ascii="Arial" w:hAnsi="Arial" w:cs="Arial"/>
          <w:sz w:val="24"/>
          <w:szCs w:val="24"/>
        </w:rPr>
        <w:t>The council’s anti-fraud and corruption strategy is strongly influenced by 'Fighting fraud and corruption locally (FFCL)- the local government counter fraud and corruption strategy 2020’ and provides the basis for our anti-fraud activities</w:t>
      </w:r>
      <w:r w:rsidR="00DF749B">
        <w:rPr>
          <w:rFonts w:ascii="Arial" w:hAnsi="Arial" w:cs="Arial"/>
          <w:sz w:val="24"/>
          <w:szCs w:val="24"/>
        </w:rPr>
        <w:t xml:space="preserve">. The </w:t>
      </w:r>
      <w:r w:rsidR="00DF749B" w:rsidRPr="00DF749B">
        <w:rPr>
          <w:rFonts w:ascii="Arial" w:hAnsi="Arial" w:cs="Arial"/>
          <w:sz w:val="24"/>
          <w:szCs w:val="24"/>
        </w:rPr>
        <w:t xml:space="preserve">strategy makes it </w:t>
      </w:r>
      <w:proofErr w:type="gramStart"/>
      <w:r w:rsidR="00DF749B" w:rsidRPr="00DF749B">
        <w:rPr>
          <w:rFonts w:ascii="Arial" w:hAnsi="Arial" w:cs="Arial"/>
          <w:sz w:val="24"/>
          <w:szCs w:val="24"/>
        </w:rPr>
        <w:t>absolutely clear</w:t>
      </w:r>
      <w:proofErr w:type="gramEnd"/>
      <w:r w:rsidR="00DF749B" w:rsidRPr="00DF749B">
        <w:rPr>
          <w:rFonts w:ascii="Arial" w:hAnsi="Arial" w:cs="Arial"/>
          <w:sz w:val="24"/>
          <w:szCs w:val="24"/>
        </w:rPr>
        <w:t xml:space="preserve"> that fraud and corruption will not be tolerated</w:t>
      </w:r>
      <w:r w:rsidR="00582F47">
        <w:rPr>
          <w:rFonts w:ascii="Arial" w:hAnsi="Arial" w:cs="Arial"/>
          <w:sz w:val="24"/>
          <w:szCs w:val="24"/>
        </w:rPr>
        <w:t xml:space="preserve"> and has the endorsement of the Chief Executive and Leader of the Council</w:t>
      </w:r>
      <w:r w:rsidR="00DF749B" w:rsidRPr="00DF749B">
        <w:rPr>
          <w:rFonts w:ascii="Arial" w:hAnsi="Arial" w:cs="Arial"/>
          <w:sz w:val="24"/>
          <w:szCs w:val="24"/>
        </w:rPr>
        <w:t>.</w:t>
      </w:r>
    </w:p>
    <w:p w14:paraId="46140456" w14:textId="77777777" w:rsidR="001C71D9" w:rsidRPr="001C71D9" w:rsidRDefault="001C71D9" w:rsidP="001C71D9">
      <w:pPr>
        <w:jc w:val="both"/>
        <w:rPr>
          <w:rFonts w:ascii="Arial" w:hAnsi="Arial" w:cs="Arial"/>
          <w:sz w:val="24"/>
          <w:szCs w:val="24"/>
        </w:rPr>
      </w:pPr>
    </w:p>
    <w:p w14:paraId="422C2D7C" w14:textId="77777777" w:rsidR="00BC6A89" w:rsidRPr="00BC6A89" w:rsidRDefault="00BC6A89" w:rsidP="00BC6A89">
      <w:pPr>
        <w:jc w:val="both"/>
        <w:rPr>
          <w:rFonts w:ascii="Arial" w:hAnsi="Arial" w:cs="Arial"/>
          <w:sz w:val="24"/>
          <w:szCs w:val="24"/>
        </w:rPr>
      </w:pPr>
      <w:r w:rsidRPr="00BC6A89">
        <w:rPr>
          <w:rFonts w:ascii="Arial" w:hAnsi="Arial" w:cs="Arial"/>
          <w:sz w:val="24"/>
          <w:szCs w:val="24"/>
        </w:rPr>
        <w:t>FFCL includes a checklist enabling the council to conduct a self-assessment of its counter fraud arrangements. This is completed annually and the outcome included as part of this annual report. To provide further assurance that our fraud response is appropriate and meets the needs of the council, we have invited Lincolnshire County Council to provide an independent ‘peer review’ of our arrangements. This is currently ongoing and the outcome will be reported in the mid-year fraud progress report.</w:t>
      </w:r>
    </w:p>
    <w:p w14:paraId="34EEC131" w14:textId="77777777" w:rsidR="007B1548" w:rsidRDefault="007B1548" w:rsidP="00BC6A89">
      <w:pPr>
        <w:jc w:val="both"/>
        <w:rPr>
          <w:rFonts w:ascii="Arial" w:hAnsi="Arial" w:cs="Arial"/>
          <w:sz w:val="24"/>
          <w:szCs w:val="24"/>
        </w:rPr>
      </w:pPr>
    </w:p>
    <w:p w14:paraId="6C54B309" w14:textId="5699D457" w:rsidR="001C71D9" w:rsidRDefault="00BC6A89" w:rsidP="00654AD3">
      <w:pPr>
        <w:jc w:val="both"/>
        <w:rPr>
          <w:rFonts w:ascii="Arial" w:hAnsi="Arial" w:cs="Arial"/>
          <w:sz w:val="24"/>
          <w:szCs w:val="24"/>
        </w:rPr>
      </w:pPr>
      <w:r w:rsidRPr="00BC6A89">
        <w:rPr>
          <w:rFonts w:ascii="Arial" w:hAnsi="Arial" w:cs="Arial"/>
          <w:sz w:val="24"/>
          <w:szCs w:val="24"/>
        </w:rPr>
        <w:t xml:space="preserve">Our supporting policies and procedures are regularly reviewed to ensure they continue to provide clear guidance to protect the council from the risks of bribery, </w:t>
      </w:r>
      <w:proofErr w:type="gramStart"/>
      <w:r w:rsidRPr="00BC6A89">
        <w:rPr>
          <w:rFonts w:ascii="Arial" w:hAnsi="Arial" w:cs="Arial"/>
          <w:sz w:val="24"/>
          <w:szCs w:val="24"/>
        </w:rPr>
        <w:t>corruption</w:t>
      </w:r>
      <w:proofErr w:type="gramEnd"/>
      <w:r w:rsidRPr="00BC6A89">
        <w:rPr>
          <w:rFonts w:ascii="Arial" w:hAnsi="Arial" w:cs="Arial"/>
          <w:sz w:val="24"/>
          <w:szCs w:val="24"/>
        </w:rPr>
        <w:t xml:space="preserve"> and money laundering. As part of this review process, our Anti-Money Laundering policy has been reviewed, </w:t>
      </w:r>
      <w:proofErr w:type="gramStart"/>
      <w:r w:rsidRPr="00BC6A89">
        <w:rPr>
          <w:rFonts w:ascii="Arial" w:hAnsi="Arial" w:cs="Arial"/>
          <w:sz w:val="24"/>
          <w:szCs w:val="24"/>
        </w:rPr>
        <w:t>updated</w:t>
      </w:r>
      <w:proofErr w:type="gramEnd"/>
      <w:r w:rsidR="009C6B1B">
        <w:rPr>
          <w:rFonts w:ascii="Arial" w:hAnsi="Arial" w:cs="Arial"/>
          <w:sz w:val="24"/>
          <w:szCs w:val="24"/>
        </w:rPr>
        <w:t xml:space="preserve"> and </w:t>
      </w:r>
      <w:r w:rsidR="00F63C38">
        <w:rPr>
          <w:rFonts w:ascii="Arial" w:hAnsi="Arial" w:cs="Arial"/>
          <w:sz w:val="24"/>
          <w:szCs w:val="24"/>
        </w:rPr>
        <w:t xml:space="preserve">will be republished </w:t>
      </w:r>
      <w:r w:rsidR="00E35630">
        <w:rPr>
          <w:rFonts w:ascii="Arial" w:hAnsi="Arial" w:cs="Arial"/>
          <w:sz w:val="24"/>
          <w:szCs w:val="24"/>
        </w:rPr>
        <w:t>once approved by this committee.</w:t>
      </w:r>
    </w:p>
    <w:p w14:paraId="183FE952" w14:textId="77777777" w:rsidR="004C5CB6" w:rsidRPr="001C71D9" w:rsidRDefault="004C5CB6" w:rsidP="001C71D9">
      <w:pPr>
        <w:jc w:val="both"/>
        <w:rPr>
          <w:rFonts w:ascii="Arial" w:hAnsi="Arial" w:cs="Arial"/>
          <w:sz w:val="24"/>
          <w:szCs w:val="24"/>
        </w:rPr>
      </w:pPr>
    </w:p>
    <w:p w14:paraId="038151DA" w14:textId="46C4A832" w:rsidR="00630D22" w:rsidRDefault="001C71D9" w:rsidP="001C71D9">
      <w:pPr>
        <w:jc w:val="both"/>
        <w:rPr>
          <w:rFonts w:ascii="Arial" w:hAnsi="Arial" w:cs="Arial"/>
          <w:sz w:val="24"/>
          <w:szCs w:val="24"/>
        </w:rPr>
      </w:pPr>
      <w:r w:rsidRPr="001C71D9">
        <w:rPr>
          <w:rFonts w:ascii="Arial" w:hAnsi="Arial" w:cs="Arial"/>
          <w:sz w:val="24"/>
          <w:szCs w:val="24"/>
        </w:rPr>
        <w:t xml:space="preserve">All our policies and plans are published on our website and internally as appropriate to ensure they are available to staff and the </w:t>
      </w:r>
      <w:proofErr w:type="gramStart"/>
      <w:r w:rsidRPr="001C71D9">
        <w:rPr>
          <w:rFonts w:ascii="Arial" w:hAnsi="Arial" w:cs="Arial"/>
          <w:sz w:val="24"/>
          <w:szCs w:val="24"/>
        </w:rPr>
        <w:t>general public</w:t>
      </w:r>
      <w:proofErr w:type="gramEnd"/>
      <w:r w:rsidRPr="001C71D9">
        <w:rPr>
          <w:rFonts w:ascii="Arial" w:hAnsi="Arial" w:cs="Arial"/>
          <w:sz w:val="24"/>
          <w:szCs w:val="24"/>
        </w:rPr>
        <w:t>.</w:t>
      </w:r>
    </w:p>
    <w:p w14:paraId="672C90E8" w14:textId="3A830894" w:rsidR="00E749D8" w:rsidRPr="00830C44" w:rsidRDefault="00E749D8" w:rsidP="00A330CC">
      <w:pPr>
        <w:pStyle w:val="Heading1"/>
        <w:jc w:val="both"/>
        <w:rPr>
          <w:b/>
        </w:rPr>
      </w:pPr>
      <w:r w:rsidRPr="00830C44">
        <w:rPr>
          <w:b/>
        </w:rPr>
        <w:t>Acknowledg</w:t>
      </w:r>
      <w:r w:rsidR="00D64ECD">
        <w:rPr>
          <w:b/>
        </w:rPr>
        <w:t xml:space="preserve">e and </w:t>
      </w:r>
      <w:proofErr w:type="gramStart"/>
      <w:r w:rsidR="00D64ECD">
        <w:rPr>
          <w:b/>
        </w:rPr>
        <w:t>understand</w:t>
      </w:r>
      <w:proofErr w:type="gramEnd"/>
    </w:p>
    <w:p w14:paraId="33BFF457" w14:textId="77777777" w:rsidR="00E749D8" w:rsidRPr="00E749D8" w:rsidRDefault="00E749D8" w:rsidP="00A330CC">
      <w:pPr>
        <w:ind w:left="432"/>
        <w:jc w:val="both"/>
        <w:rPr>
          <w:rFonts w:ascii="Arial" w:hAnsi="Arial"/>
          <w:b/>
          <w:sz w:val="24"/>
        </w:rPr>
      </w:pPr>
    </w:p>
    <w:p w14:paraId="3F73AA67" w14:textId="5238044F" w:rsidR="003B535F" w:rsidRDefault="003B535F" w:rsidP="003B535F">
      <w:pPr>
        <w:jc w:val="both"/>
        <w:rPr>
          <w:rFonts w:ascii="Arial" w:hAnsi="Arial"/>
          <w:sz w:val="24"/>
        </w:rPr>
      </w:pPr>
      <w:r w:rsidRPr="003B535F">
        <w:rPr>
          <w:rFonts w:ascii="Arial" w:hAnsi="Arial"/>
          <w:sz w:val="24"/>
        </w:rPr>
        <w:lastRenderedPageBreak/>
        <w:t xml:space="preserve">Over the past three years, we have experienced </w:t>
      </w:r>
      <w:proofErr w:type="gramStart"/>
      <w:r w:rsidRPr="003B535F">
        <w:rPr>
          <w:rFonts w:ascii="Arial" w:hAnsi="Arial"/>
          <w:sz w:val="24"/>
        </w:rPr>
        <w:t>a number of</w:t>
      </w:r>
      <w:proofErr w:type="gramEnd"/>
      <w:r w:rsidRPr="003B535F">
        <w:rPr>
          <w:rFonts w:ascii="Arial" w:hAnsi="Arial"/>
          <w:sz w:val="24"/>
        </w:rPr>
        <w:t xml:space="preserve"> unexpected events that have changed how we live and work. These changes have provided fraudsters with new opportunities to commit offences and these continue to evolve.</w:t>
      </w:r>
    </w:p>
    <w:p w14:paraId="4A0A2224" w14:textId="77777777" w:rsidR="00385F0D" w:rsidRPr="003B535F" w:rsidRDefault="00385F0D" w:rsidP="003B535F">
      <w:pPr>
        <w:jc w:val="both"/>
        <w:rPr>
          <w:rFonts w:ascii="Arial" w:hAnsi="Arial"/>
          <w:sz w:val="24"/>
        </w:rPr>
      </w:pPr>
    </w:p>
    <w:p w14:paraId="535CF59A" w14:textId="161E051E" w:rsidR="003B535F" w:rsidRDefault="003B535F" w:rsidP="003B535F">
      <w:pPr>
        <w:jc w:val="both"/>
        <w:rPr>
          <w:rFonts w:ascii="Arial" w:hAnsi="Arial"/>
          <w:sz w:val="24"/>
        </w:rPr>
      </w:pPr>
      <w:r w:rsidRPr="003B535F">
        <w:rPr>
          <w:rFonts w:ascii="Arial" w:hAnsi="Arial"/>
          <w:sz w:val="24"/>
        </w:rPr>
        <w:t xml:space="preserve">The legacy of the COVID pandemic, the rise in fuel prices and the general cost of living has created an ideal environment for professional fraudsters. Many of us will have received a phishing text or e-mail pretending to be from a </w:t>
      </w:r>
      <w:proofErr w:type="gramStart"/>
      <w:r w:rsidRPr="003B535F">
        <w:rPr>
          <w:rFonts w:ascii="Arial" w:hAnsi="Arial"/>
          <w:sz w:val="24"/>
        </w:rPr>
        <w:t>Government</w:t>
      </w:r>
      <w:proofErr w:type="gramEnd"/>
      <w:r w:rsidRPr="003B535F">
        <w:rPr>
          <w:rFonts w:ascii="Arial" w:hAnsi="Arial"/>
          <w:sz w:val="24"/>
        </w:rPr>
        <w:t xml:space="preserve"> agency or even a Local Authority, in connection with financial or health support during COVID. These have now largely been replaced by similar fraudulent messages encouraging us to ‘claim’ energy payments. The Council is at no lesser risk to fraud than we are as individuals as we are tasked in supporting the borough and its residents through these turbulent times.</w:t>
      </w:r>
    </w:p>
    <w:p w14:paraId="18B7155C" w14:textId="77777777" w:rsidR="00977E28" w:rsidRPr="003B535F" w:rsidRDefault="00977E28" w:rsidP="003B535F">
      <w:pPr>
        <w:jc w:val="both"/>
        <w:rPr>
          <w:rFonts w:ascii="Arial" w:hAnsi="Arial"/>
          <w:sz w:val="24"/>
        </w:rPr>
      </w:pPr>
    </w:p>
    <w:p w14:paraId="3046FA06" w14:textId="42BB2C82" w:rsidR="003B535F" w:rsidRDefault="003B535F" w:rsidP="003B535F">
      <w:pPr>
        <w:jc w:val="both"/>
        <w:rPr>
          <w:rFonts w:ascii="Arial" w:hAnsi="Arial"/>
          <w:sz w:val="24"/>
        </w:rPr>
      </w:pPr>
      <w:r w:rsidRPr="003B535F">
        <w:rPr>
          <w:rFonts w:ascii="Arial" w:hAnsi="Arial"/>
          <w:sz w:val="24"/>
        </w:rPr>
        <w:t>However, as household budgets are stretched, it’s not just the professional fraudster that poses a risk. Spiralling household costs may increase the pressure or motivation to commit fraud. It may also make it easier to rationalise committing fraud, due to the pressures being faced; pressures such as being unable to heat the home, buy food to feed themselves or their children, to pay increasing debts, or even the threat of losing the home completely. For others, the motive might be to maintain a standard of living they are used to, or believe they are entitled to.</w:t>
      </w:r>
    </w:p>
    <w:p w14:paraId="21A75903" w14:textId="77777777" w:rsidR="00977E28" w:rsidRPr="003B535F" w:rsidRDefault="00977E28" w:rsidP="003B535F">
      <w:pPr>
        <w:jc w:val="both"/>
        <w:rPr>
          <w:rFonts w:ascii="Arial" w:hAnsi="Arial"/>
          <w:sz w:val="24"/>
        </w:rPr>
      </w:pPr>
    </w:p>
    <w:p w14:paraId="2DF2934B" w14:textId="2C0E7D24" w:rsidR="003B535F" w:rsidRDefault="003B535F" w:rsidP="003B535F">
      <w:pPr>
        <w:jc w:val="both"/>
        <w:rPr>
          <w:rFonts w:ascii="Arial" w:hAnsi="Arial"/>
          <w:sz w:val="24"/>
        </w:rPr>
      </w:pPr>
      <w:r w:rsidRPr="003B535F">
        <w:rPr>
          <w:rFonts w:ascii="Arial" w:hAnsi="Arial"/>
          <w:sz w:val="24"/>
        </w:rPr>
        <w:t>Add to this the considerable pressures the Council has been operating under and this may lead to increased opportunities to defraud us as we concentrate on ‘the day job’ at the expense of applying our policies and procedures designed to protect us and our resources from the fraudster.</w:t>
      </w:r>
    </w:p>
    <w:p w14:paraId="42E398A2" w14:textId="77777777" w:rsidR="00977E28" w:rsidRPr="003B535F" w:rsidRDefault="00977E28" w:rsidP="003B535F">
      <w:pPr>
        <w:jc w:val="both"/>
        <w:rPr>
          <w:rFonts w:ascii="Arial" w:hAnsi="Arial"/>
          <w:sz w:val="24"/>
        </w:rPr>
      </w:pPr>
    </w:p>
    <w:p w14:paraId="4E09794A" w14:textId="30634E6D" w:rsidR="003B535F" w:rsidRDefault="003B535F" w:rsidP="003B535F">
      <w:pPr>
        <w:jc w:val="both"/>
        <w:rPr>
          <w:rFonts w:ascii="Arial" w:hAnsi="Arial"/>
          <w:sz w:val="24"/>
        </w:rPr>
      </w:pPr>
      <w:r w:rsidRPr="003B535F">
        <w:rPr>
          <w:rFonts w:ascii="Arial" w:hAnsi="Arial"/>
          <w:sz w:val="24"/>
        </w:rPr>
        <w:t>It is now as important as ever to ensure that all our employees know what fraud looks like, what to do when they suspect it and how to report it. This knowledge will also help them to understand why we have those policies and procedures in place, rather than them just being a barrier to getting the ‘day job’ done. Effective counter fraud measures are part of the day job and should not be seen as an unwelcome encumbrance.</w:t>
      </w:r>
    </w:p>
    <w:p w14:paraId="6CC481B0" w14:textId="77777777" w:rsidR="00977E28" w:rsidRPr="003B535F" w:rsidRDefault="00977E28" w:rsidP="003B535F">
      <w:pPr>
        <w:jc w:val="both"/>
        <w:rPr>
          <w:rFonts w:ascii="Arial" w:hAnsi="Arial"/>
          <w:sz w:val="24"/>
        </w:rPr>
      </w:pPr>
    </w:p>
    <w:p w14:paraId="5C7EEBF1" w14:textId="0B816BDC" w:rsidR="003B535F" w:rsidRDefault="003B535F" w:rsidP="003B535F">
      <w:pPr>
        <w:jc w:val="both"/>
        <w:rPr>
          <w:rFonts w:ascii="Arial" w:hAnsi="Arial"/>
          <w:sz w:val="24"/>
        </w:rPr>
      </w:pPr>
      <w:r w:rsidRPr="003B535F">
        <w:rPr>
          <w:rFonts w:ascii="Arial" w:hAnsi="Arial"/>
          <w:sz w:val="24"/>
        </w:rPr>
        <w:t>To mitigate this heightened risk, we have developed three fraud awareness e-learning modules available on Learning Lincs. These have been developed to provide all our employees with a basic understanding of fraud and what to do about it. These modules are:</w:t>
      </w:r>
    </w:p>
    <w:p w14:paraId="7F139E8D" w14:textId="77777777" w:rsidR="00A44F0E" w:rsidRPr="003B535F" w:rsidRDefault="00A44F0E" w:rsidP="003B535F">
      <w:pPr>
        <w:jc w:val="both"/>
        <w:rPr>
          <w:rFonts w:ascii="Arial" w:hAnsi="Arial"/>
          <w:sz w:val="24"/>
        </w:rPr>
      </w:pPr>
    </w:p>
    <w:p w14:paraId="0C2E5126" w14:textId="2EB679F0" w:rsidR="003B535F" w:rsidRDefault="003B535F" w:rsidP="007B72F8">
      <w:pPr>
        <w:pStyle w:val="ListParagraph"/>
        <w:numPr>
          <w:ilvl w:val="0"/>
          <w:numId w:val="14"/>
        </w:numPr>
        <w:jc w:val="both"/>
        <w:rPr>
          <w:rFonts w:ascii="Arial" w:hAnsi="Arial"/>
          <w:sz w:val="24"/>
        </w:rPr>
      </w:pPr>
      <w:r w:rsidRPr="007B72F8">
        <w:rPr>
          <w:rFonts w:ascii="Arial" w:hAnsi="Arial"/>
          <w:sz w:val="24"/>
        </w:rPr>
        <w:t>Fraud awareness</w:t>
      </w:r>
    </w:p>
    <w:p w14:paraId="2970C9A0" w14:textId="77777777" w:rsidR="00A44F0E" w:rsidRPr="007B72F8" w:rsidRDefault="00A44F0E" w:rsidP="00A44F0E">
      <w:pPr>
        <w:pStyle w:val="ListParagraph"/>
        <w:ind w:left="360"/>
        <w:jc w:val="both"/>
        <w:rPr>
          <w:rFonts w:ascii="Arial" w:hAnsi="Arial"/>
          <w:sz w:val="24"/>
        </w:rPr>
      </w:pPr>
    </w:p>
    <w:p w14:paraId="67EBD50D" w14:textId="51780AC7" w:rsidR="003B535F" w:rsidRDefault="003B535F" w:rsidP="007B72F8">
      <w:pPr>
        <w:pStyle w:val="ListParagraph"/>
        <w:numPr>
          <w:ilvl w:val="0"/>
          <w:numId w:val="13"/>
        </w:numPr>
        <w:jc w:val="both"/>
        <w:rPr>
          <w:rFonts w:ascii="Arial" w:hAnsi="Arial"/>
          <w:sz w:val="24"/>
        </w:rPr>
      </w:pPr>
      <w:r w:rsidRPr="007B72F8">
        <w:rPr>
          <w:rFonts w:ascii="Arial" w:hAnsi="Arial"/>
          <w:sz w:val="24"/>
        </w:rPr>
        <w:t xml:space="preserve">Bribery awareness (including the reporting of gifts, </w:t>
      </w:r>
      <w:proofErr w:type="gramStart"/>
      <w:r w:rsidRPr="007B72F8">
        <w:rPr>
          <w:rFonts w:ascii="Arial" w:hAnsi="Arial"/>
          <w:sz w:val="24"/>
        </w:rPr>
        <w:t>hospitality</w:t>
      </w:r>
      <w:proofErr w:type="gramEnd"/>
      <w:r w:rsidRPr="007B72F8">
        <w:rPr>
          <w:rFonts w:ascii="Arial" w:hAnsi="Arial"/>
          <w:sz w:val="24"/>
        </w:rPr>
        <w:t xml:space="preserve"> and conflicts of interest</w:t>
      </w:r>
      <w:r w:rsidR="00A44F0E">
        <w:rPr>
          <w:rFonts w:ascii="Arial" w:hAnsi="Arial"/>
          <w:sz w:val="24"/>
        </w:rPr>
        <w:t>)</w:t>
      </w:r>
    </w:p>
    <w:p w14:paraId="05424691" w14:textId="77777777" w:rsidR="00A44F0E" w:rsidRPr="007B72F8" w:rsidRDefault="00A44F0E" w:rsidP="00A44F0E">
      <w:pPr>
        <w:pStyle w:val="ListParagraph"/>
        <w:ind w:left="360"/>
        <w:jc w:val="both"/>
        <w:rPr>
          <w:rFonts w:ascii="Arial" w:hAnsi="Arial"/>
          <w:sz w:val="24"/>
        </w:rPr>
      </w:pPr>
    </w:p>
    <w:p w14:paraId="5D59410B" w14:textId="3EF06679" w:rsidR="003B535F" w:rsidRPr="007B72F8" w:rsidRDefault="003B535F" w:rsidP="007B72F8">
      <w:pPr>
        <w:pStyle w:val="ListParagraph"/>
        <w:numPr>
          <w:ilvl w:val="0"/>
          <w:numId w:val="13"/>
        </w:numPr>
        <w:jc w:val="both"/>
        <w:rPr>
          <w:rFonts w:ascii="Arial" w:hAnsi="Arial"/>
          <w:sz w:val="24"/>
        </w:rPr>
      </w:pPr>
      <w:r w:rsidRPr="007B72F8">
        <w:rPr>
          <w:rFonts w:ascii="Arial" w:hAnsi="Arial"/>
          <w:sz w:val="24"/>
        </w:rPr>
        <w:t>Mandate fraud.</w:t>
      </w:r>
    </w:p>
    <w:p w14:paraId="07745348" w14:textId="77777777" w:rsidR="00977E28" w:rsidRDefault="00977E28" w:rsidP="003B535F">
      <w:pPr>
        <w:jc w:val="both"/>
        <w:rPr>
          <w:rFonts w:ascii="Arial" w:hAnsi="Arial"/>
          <w:sz w:val="24"/>
        </w:rPr>
      </w:pPr>
    </w:p>
    <w:p w14:paraId="4D36DD6C" w14:textId="2B9B2C38" w:rsidR="00205CA4" w:rsidRDefault="003B535F" w:rsidP="003B535F">
      <w:pPr>
        <w:jc w:val="both"/>
        <w:rPr>
          <w:rFonts w:ascii="Arial" w:hAnsi="Arial"/>
          <w:sz w:val="24"/>
        </w:rPr>
      </w:pPr>
      <w:r w:rsidRPr="003B535F">
        <w:rPr>
          <w:rFonts w:ascii="Arial" w:hAnsi="Arial"/>
          <w:sz w:val="24"/>
        </w:rPr>
        <w:t xml:space="preserve">The more employees understand what fraud is, how their service might be targeted by fraudsters and how to respond to instances of fraud, the harder we make it for fraudsters to steal public money. Employees have been encouraged to complete these courses </w:t>
      </w:r>
      <w:r w:rsidR="00CC09EF">
        <w:rPr>
          <w:rFonts w:ascii="Arial" w:hAnsi="Arial"/>
          <w:sz w:val="24"/>
        </w:rPr>
        <w:t xml:space="preserve">via their managers, </w:t>
      </w:r>
      <w:r w:rsidR="00C93C04">
        <w:rPr>
          <w:rFonts w:ascii="Arial" w:hAnsi="Arial"/>
          <w:sz w:val="24"/>
        </w:rPr>
        <w:t>through the posts on the council</w:t>
      </w:r>
      <w:r w:rsidR="00205CA4">
        <w:rPr>
          <w:rFonts w:ascii="Arial" w:hAnsi="Arial"/>
          <w:sz w:val="24"/>
        </w:rPr>
        <w:t>’</w:t>
      </w:r>
      <w:r w:rsidR="00C93C04">
        <w:rPr>
          <w:rFonts w:ascii="Arial" w:hAnsi="Arial"/>
          <w:sz w:val="24"/>
        </w:rPr>
        <w:t>s internal media</w:t>
      </w:r>
      <w:r w:rsidRPr="003B535F">
        <w:rPr>
          <w:rFonts w:ascii="Arial" w:hAnsi="Arial"/>
          <w:sz w:val="24"/>
        </w:rPr>
        <w:t xml:space="preserve"> </w:t>
      </w:r>
      <w:proofErr w:type="gramStart"/>
      <w:r w:rsidR="00C93C04">
        <w:rPr>
          <w:rFonts w:ascii="Arial" w:hAnsi="Arial"/>
          <w:sz w:val="24"/>
        </w:rPr>
        <w:t>and also</w:t>
      </w:r>
      <w:proofErr w:type="gramEnd"/>
      <w:r w:rsidR="00C93C04">
        <w:rPr>
          <w:rFonts w:ascii="Arial" w:hAnsi="Arial"/>
          <w:sz w:val="24"/>
        </w:rPr>
        <w:t xml:space="preserve"> in the </w:t>
      </w:r>
      <w:r w:rsidR="00A44F0E">
        <w:rPr>
          <w:rFonts w:ascii="Arial" w:hAnsi="Arial"/>
          <w:sz w:val="24"/>
        </w:rPr>
        <w:t xml:space="preserve">internal </w:t>
      </w:r>
      <w:r w:rsidR="00C93C04">
        <w:rPr>
          <w:rFonts w:ascii="Arial" w:hAnsi="Arial"/>
          <w:sz w:val="24"/>
        </w:rPr>
        <w:t xml:space="preserve">Vision magazine. </w:t>
      </w:r>
    </w:p>
    <w:p w14:paraId="48D80CF2" w14:textId="77777777" w:rsidR="00205CA4" w:rsidRDefault="00205CA4" w:rsidP="003B535F">
      <w:pPr>
        <w:jc w:val="both"/>
        <w:rPr>
          <w:rFonts w:ascii="Arial" w:hAnsi="Arial"/>
          <w:sz w:val="24"/>
        </w:rPr>
      </w:pPr>
    </w:p>
    <w:p w14:paraId="44211D5C" w14:textId="7AFC2799" w:rsidR="003B535F" w:rsidRDefault="00205CA4" w:rsidP="003B535F">
      <w:pPr>
        <w:jc w:val="both"/>
        <w:rPr>
          <w:rFonts w:ascii="Arial" w:hAnsi="Arial"/>
          <w:sz w:val="24"/>
        </w:rPr>
      </w:pPr>
      <w:r>
        <w:rPr>
          <w:rFonts w:ascii="Arial" w:hAnsi="Arial"/>
          <w:sz w:val="24"/>
        </w:rPr>
        <w:lastRenderedPageBreak/>
        <w:t>Additionally,</w:t>
      </w:r>
      <w:r w:rsidR="00416294">
        <w:rPr>
          <w:rFonts w:ascii="Arial" w:hAnsi="Arial"/>
          <w:sz w:val="24"/>
        </w:rPr>
        <w:t xml:space="preserve"> it has been agreed by </w:t>
      </w:r>
      <w:r w:rsidR="006C7F4E">
        <w:rPr>
          <w:rFonts w:ascii="Arial" w:hAnsi="Arial"/>
          <w:sz w:val="24"/>
        </w:rPr>
        <w:t xml:space="preserve">the council’s </w:t>
      </w:r>
      <w:r w:rsidR="004F20EA">
        <w:rPr>
          <w:rFonts w:ascii="Arial" w:hAnsi="Arial"/>
          <w:sz w:val="24"/>
        </w:rPr>
        <w:t xml:space="preserve">Assurance </w:t>
      </w:r>
      <w:r w:rsidR="00FB4BD0">
        <w:rPr>
          <w:rFonts w:ascii="Arial" w:hAnsi="Arial"/>
          <w:sz w:val="24"/>
        </w:rPr>
        <w:t>B</w:t>
      </w:r>
      <w:r w:rsidR="004F20EA">
        <w:rPr>
          <w:rFonts w:ascii="Arial" w:hAnsi="Arial"/>
          <w:sz w:val="24"/>
        </w:rPr>
        <w:t>oard</w:t>
      </w:r>
      <w:r w:rsidR="00424100">
        <w:rPr>
          <w:rFonts w:ascii="Arial" w:hAnsi="Arial"/>
          <w:sz w:val="24"/>
        </w:rPr>
        <w:t xml:space="preserve"> that</w:t>
      </w:r>
      <w:r>
        <w:rPr>
          <w:rFonts w:ascii="Arial" w:hAnsi="Arial"/>
          <w:sz w:val="24"/>
        </w:rPr>
        <w:t xml:space="preserve"> the fraud awareness </w:t>
      </w:r>
      <w:r w:rsidR="00416294">
        <w:rPr>
          <w:rFonts w:ascii="Arial" w:hAnsi="Arial"/>
          <w:sz w:val="24"/>
        </w:rPr>
        <w:t xml:space="preserve">module </w:t>
      </w:r>
      <w:r w:rsidR="00424100">
        <w:rPr>
          <w:rFonts w:ascii="Arial" w:hAnsi="Arial"/>
          <w:sz w:val="24"/>
        </w:rPr>
        <w:t>should be mandatory for all employees</w:t>
      </w:r>
      <w:r w:rsidR="00467EC4">
        <w:rPr>
          <w:rFonts w:ascii="Arial" w:hAnsi="Arial"/>
          <w:sz w:val="24"/>
        </w:rPr>
        <w:t xml:space="preserve">. The </w:t>
      </w:r>
      <w:r w:rsidR="00467EC4" w:rsidRPr="00467EC4">
        <w:rPr>
          <w:rFonts w:ascii="Arial" w:hAnsi="Arial"/>
          <w:sz w:val="24"/>
        </w:rPr>
        <w:t>Member Development Steering Group</w:t>
      </w:r>
      <w:r w:rsidR="00467EC4">
        <w:rPr>
          <w:rFonts w:ascii="Arial" w:hAnsi="Arial"/>
          <w:sz w:val="24"/>
        </w:rPr>
        <w:t xml:space="preserve"> has also </w:t>
      </w:r>
      <w:r w:rsidR="00B06FB7">
        <w:rPr>
          <w:rFonts w:ascii="Arial" w:hAnsi="Arial"/>
          <w:sz w:val="24"/>
        </w:rPr>
        <w:t xml:space="preserve">agreed to make the course mandatory for all elected members, </w:t>
      </w:r>
      <w:r w:rsidR="003B535F" w:rsidRPr="003B535F">
        <w:rPr>
          <w:rFonts w:ascii="Arial" w:hAnsi="Arial"/>
          <w:sz w:val="24"/>
        </w:rPr>
        <w:t xml:space="preserve">such is its importance. </w:t>
      </w:r>
    </w:p>
    <w:p w14:paraId="3E73A3CF" w14:textId="77777777" w:rsidR="00682550" w:rsidRPr="003B535F" w:rsidRDefault="00682550" w:rsidP="003B535F">
      <w:pPr>
        <w:jc w:val="both"/>
        <w:rPr>
          <w:rFonts w:ascii="Arial" w:hAnsi="Arial"/>
          <w:sz w:val="24"/>
        </w:rPr>
      </w:pPr>
    </w:p>
    <w:p w14:paraId="45702E82" w14:textId="56C5BDD9" w:rsidR="003B535F" w:rsidRDefault="003B535F" w:rsidP="003B535F">
      <w:pPr>
        <w:jc w:val="both"/>
        <w:rPr>
          <w:rFonts w:ascii="Arial" w:hAnsi="Arial"/>
          <w:sz w:val="24"/>
        </w:rPr>
      </w:pPr>
      <w:r w:rsidRPr="003B535F">
        <w:rPr>
          <w:rFonts w:ascii="Arial" w:hAnsi="Arial"/>
          <w:sz w:val="24"/>
        </w:rPr>
        <w:t xml:space="preserve">However, simply providing the tools to prevent fraud is only effective if those tools are used and understood. Therefore, we are developing a short staff survey, not only to assess the level of knowledge and understanding of fraud but also to assess our employees’ confidence in using those tools (such as the reporting a concern policy). The survey </w:t>
      </w:r>
      <w:r w:rsidR="00935641">
        <w:rPr>
          <w:rFonts w:ascii="Arial" w:hAnsi="Arial"/>
          <w:sz w:val="24"/>
        </w:rPr>
        <w:t xml:space="preserve">is currently live and </w:t>
      </w:r>
      <w:r w:rsidRPr="003B535F">
        <w:rPr>
          <w:rFonts w:ascii="Arial" w:hAnsi="Arial"/>
          <w:sz w:val="24"/>
        </w:rPr>
        <w:t xml:space="preserve">employees </w:t>
      </w:r>
      <w:r w:rsidR="00935641">
        <w:rPr>
          <w:rFonts w:ascii="Arial" w:hAnsi="Arial"/>
          <w:sz w:val="24"/>
        </w:rPr>
        <w:t>are encourage</w:t>
      </w:r>
      <w:r w:rsidR="001F192D">
        <w:rPr>
          <w:rFonts w:ascii="Arial" w:hAnsi="Arial"/>
          <w:sz w:val="24"/>
        </w:rPr>
        <w:t>d</w:t>
      </w:r>
      <w:r w:rsidR="00935641">
        <w:rPr>
          <w:rFonts w:ascii="Arial" w:hAnsi="Arial"/>
          <w:sz w:val="24"/>
        </w:rPr>
        <w:t xml:space="preserve"> to complete this. T</w:t>
      </w:r>
      <w:r w:rsidRPr="003B535F">
        <w:rPr>
          <w:rFonts w:ascii="Arial" w:hAnsi="Arial"/>
          <w:sz w:val="24"/>
        </w:rPr>
        <w:t xml:space="preserve">he </w:t>
      </w:r>
      <w:r w:rsidR="00935641">
        <w:rPr>
          <w:rFonts w:ascii="Arial" w:hAnsi="Arial"/>
          <w:sz w:val="24"/>
        </w:rPr>
        <w:t>findings</w:t>
      </w:r>
      <w:r w:rsidR="004E6C50">
        <w:rPr>
          <w:rFonts w:ascii="Arial" w:hAnsi="Arial"/>
          <w:sz w:val="24"/>
        </w:rPr>
        <w:t>, including any actions identified as necessary will be</w:t>
      </w:r>
      <w:r w:rsidRPr="003B535F">
        <w:rPr>
          <w:rFonts w:ascii="Arial" w:hAnsi="Arial"/>
          <w:sz w:val="24"/>
        </w:rPr>
        <w:t xml:space="preserve"> included in the mid-year </w:t>
      </w:r>
      <w:r w:rsidR="00FF7638">
        <w:rPr>
          <w:rFonts w:ascii="Arial" w:hAnsi="Arial"/>
          <w:sz w:val="24"/>
        </w:rPr>
        <w:t>interim</w:t>
      </w:r>
      <w:r w:rsidRPr="003B535F">
        <w:rPr>
          <w:rFonts w:ascii="Arial" w:hAnsi="Arial"/>
          <w:sz w:val="24"/>
        </w:rPr>
        <w:t xml:space="preserve"> report.</w:t>
      </w:r>
    </w:p>
    <w:p w14:paraId="0100FD68" w14:textId="77777777" w:rsidR="00682550" w:rsidRPr="003B535F" w:rsidRDefault="00682550" w:rsidP="003B535F">
      <w:pPr>
        <w:jc w:val="both"/>
        <w:rPr>
          <w:rFonts w:ascii="Arial" w:hAnsi="Arial"/>
          <w:sz w:val="24"/>
        </w:rPr>
      </w:pPr>
    </w:p>
    <w:p w14:paraId="09A58912" w14:textId="7BB51421" w:rsidR="00A330CC" w:rsidRDefault="003B535F" w:rsidP="003B535F">
      <w:pPr>
        <w:jc w:val="both"/>
        <w:rPr>
          <w:rFonts w:ascii="Arial" w:hAnsi="Arial"/>
          <w:sz w:val="24"/>
        </w:rPr>
      </w:pPr>
      <w:r w:rsidRPr="003B535F">
        <w:rPr>
          <w:rFonts w:ascii="Arial" w:hAnsi="Arial"/>
          <w:sz w:val="24"/>
        </w:rPr>
        <w:t>We continue to identify and monitor risk through alerts issued by law enforcement agencies and the National Anti-Fraud Network (NAFN). These risks are disseminated to the relevant services including local taxation &amp; benefits, electoral services, blue badge administration and finance teams as appropriate. The value of receiving such alerts is clear and is another line in our defence against fraudulent activity.</w:t>
      </w:r>
    </w:p>
    <w:p w14:paraId="4DC2DEC8" w14:textId="77777777" w:rsidR="00E749D8" w:rsidRPr="00830C44" w:rsidRDefault="00E749D8" w:rsidP="0035294D">
      <w:pPr>
        <w:pStyle w:val="Heading1"/>
        <w:rPr>
          <w:b/>
        </w:rPr>
      </w:pPr>
      <w:r w:rsidRPr="00830C44">
        <w:rPr>
          <w:b/>
        </w:rPr>
        <w:t>Preventing and detecting fraud</w:t>
      </w:r>
    </w:p>
    <w:p w14:paraId="47E983CF" w14:textId="77777777" w:rsidR="007A610B" w:rsidRDefault="007A610B" w:rsidP="00E749D8">
      <w:pPr>
        <w:jc w:val="both"/>
        <w:rPr>
          <w:rFonts w:ascii="Arial" w:hAnsi="Arial"/>
          <w:sz w:val="24"/>
        </w:rPr>
      </w:pPr>
    </w:p>
    <w:p w14:paraId="64727E47" w14:textId="77777777" w:rsidR="00E749D8" w:rsidRPr="00E749D8" w:rsidRDefault="00E749D8" w:rsidP="00E749D8">
      <w:pPr>
        <w:jc w:val="both"/>
        <w:rPr>
          <w:rFonts w:ascii="Arial" w:hAnsi="Arial"/>
          <w:sz w:val="24"/>
        </w:rPr>
      </w:pPr>
      <w:r w:rsidRPr="00E749D8">
        <w:rPr>
          <w:rFonts w:ascii="Arial" w:hAnsi="Arial"/>
          <w:sz w:val="24"/>
        </w:rPr>
        <w:t xml:space="preserve">Although the detection and recovery of fraudulently obtained finances and assets is important, it is also costly and there is no guarantee that lost monies will be recovered. Therefore, it is imperative that we take all reasonable steps to prevent fraud from entering our systems in the first place. </w:t>
      </w:r>
    </w:p>
    <w:p w14:paraId="17636115" w14:textId="77777777" w:rsidR="00E749D8" w:rsidRPr="00E749D8" w:rsidRDefault="00E749D8" w:rsidP="00E749D8">
      <w:pPr>
        <w:ind w:left="432"/>
        <w:jc w:val="both"/>
        <w:rPr>
          <w:rFonts w:ascii="Arial" w:hAnsi="Arial"/>
          <w:sz w:val="24"/>
        </w:rPr>
      </w:pPr>
    </w:p>
    <w:p w14:paraId="5ED5C485" w14:textId="17791417" w:rsidR="00F60B5D" w:rsidRPr="00C61B6C" w:rsidRDefault="00E749D8" w:rsidP="00F60B5D">
      <w:pPr>
        <w:jc w:val="both"/>
        <w:rPr>
          <w:rFonts w:ascii="Arial" w:hAnsi="Arial"/>
          <w:sz w:val="24"/>
        </w:rPr>
      </w:pPr>
      <w:r w:rsidRPr="00C61B6C">
        <w:rPr>
          <w:rFonts w:ascii="Arial" w:hAnsi="Arial"/>
          <w:sz w:val="24"/>
        </w:rPr>
        <w:t xml:space="preserve">The protection of assets in one of the five key items of an effective control environment, and thus plays a critical role in the work of internal audit. </w:t>
      </w:r>
      <w:r w:rsidR="00BF480C" w:rsidRPr="00C61B6C">
        <w:rPr>
          <w:rFonts w:ascii="Arial" w:hAnsi="Arial"/>
          <w:sz w:val="24"/>
        </w:rPr>
        <w:t xml:space="preserve">When determining the Annual Audit Plan, as well as scoping the work programmes for individual assignments, the audit team consider those areas at risk of fraud and ensure that sufficient coverage is given to the identification and testing of anti – fraud controls within those services in order to assess their effectiveness and where appropriate </w:t>
      </w:r>
      <w:r w:rsidR="00F60B5D" w:rsidRPr="00C61B6C">
        <w:rPr>
          <w:rFonts w:ascii="Arial" w:hAnsi="Arial"/>
          <w:sz w:val="24"/>
        </w:rPr>
        <w:t xml:space="preserve">carrying out substantive testing to establish the effectiveness of the controls and identify any unusual transactions. Improvements are recommended to be made to controls to mitigate any risks identified. </w:t>
      </w:r>
    </w:p>
    <w:p w14:paraId="49E116FB" w14:textId="77777777" w:rsidR="00F60B5D" w:rsidRPr="00C61B6C" w:rsidRDefault="00F60B5D" w:rsidP="00F60B5D">
      <w:pPr>
        <w:jc w:val="both"/>
        <w:rPr>
          <w:rFonts w:ascii="Arial" w:hAnsi="Arial"/>
          <w:sz w:val="24"/>
        </w:rPr>
      </w:pPr>
    </w:p>
    <w:p w14:paraId="2BFBC742" w14:textId="77777777" w:rsidR="008D500C" w:rsidRPr="00C61B6C" w:rsidRDefault="00ED6062" w:rsidP="008D500C">
      <w:pPr>
        <w:jc w:val="both"/>
        <w:rPr>
          <w:rFonts w:ascii="Arial" w:hAnsi="Arial" w:cs="Arial"/>
          <w:sz w:val="24"/>
        </w:rPr>
      </w:pPr>
      <w:r w:rsidRPr="00C61B6C">
        <w:rPr>
          <w:rFonts w:ascii="Arial" w:hAnsi="Arial"/>
          <w:sz w:val="24"/>
        </w:rPr>
        <w:t xml:space="preserve">During </w:t>
      </w:r>
      <w:r w:rsidR="001367D4" w:rsidRPr="00C61B6C">
        <w:rPr>
          <w:rFonts w:ascii="Arial" w:hAnsi="Arial"/>
          <w:sz w:val="24"/>
        </w:rPr>
        <w:t>2022/23</w:t>
      </w:r>
      <w:r w:rsidRPr="00C61B6C">
        <w:rPr>
          <w:rFonts w:ascii="Arial" w:hAnsi="Arial"/>
          <w:sz w:val="24"/>
        </w:rPr>
        <w:t xml:space="preserve">, proactive work has also been completed in relation to </w:t>
      </w:r>
      <w:r w:rsidR="001367D4" w:rsidRPr="00C61B6C">
        <w:rPr>
          <w:rFonts w:ascii="Arial" w:hAnsi="Arial"/>
          <w:sz w:val="24"/>
        </w:rPr>
        <w:t>allotments income, overtime claims during the period of the COVID-19 pandemic and car hire process.</w:t>
      </w:r>
      <w:r w:rsidR="008D500C" w:rsidRPr="00C61B6C">
        <w:rPr>
          <w:rFonts w:ascii="Arial" w:hAnsi="Arial"/>
          <w:sz w:val="24"/>
        </w:rPr>
        <w:t xml:space="preserve"> </w:t>
      </w:r>
      <w:r w:rsidR="008D500C" w:rsidRPr="00C61B6C">
        <w:rPr>
          <w:rFonts w:ascii="Arial" w:hAnsi="Arial" w:cs="Arial"/>
          <w:sz w:val="24"/>
        </w:rPr>
        <w:t>Work is currently ongoing in relation to the controls in place to prevent mandate fraud.</w:t>
      </w:r>
    </w:p>
    <w:p w14:paraId="48434CFC" w14:textId="77777777" w:rsidR="00ED6062" w:rsidRPr="00C61B6C" w:rsidRDefault="00ED6062" w:rsidP="008D500C">
      <w:pPr>
        <w:jc w:val="both"/>
        <w:rPr>
          <w:rFonts w:ascii="Arial" w:hAnsi="Arial"/>
          <w:sz w:val="24"/>
        </w:rPr>
      </w:pPr>
    </w:p>
    <w:p w14:paraId="58ED4A52" w14:textId="77777777" w:rsidR="00ED6062" w:rsidRPr="00ED6062" w:rsidRDefault="00ED6062" w:rsidP="008D500C">
      <w:pPr>
        <w:jc w:val="both"/>
        <w:rPr>
          <w:rFonts w:ascii="Arial" w:hAnsi="Arial"/>
          <w:sz w:val="24"/>
        </w:rPr>
      </w:pPr>
      <w:r w:rsidRPr="00C61B6C">
        <w:rPr>
          <w:rFonts w:ascii="Arial" w:hAnsi="Arial"/>
          <w:sz w:val="24"/>
        </w:rPr>
        <w:t>From the sample tested to date, no issues relating to fraud have been identified. Where appropriate, actions to improve the existing controls have been highlighted to the relevant departments.</w:t>
      </w:r>
    </w:p>
    <w:p w14:paraId="6C77C3DA" w14:textId="77777777" w:rsidR="00024921" w:rsidRDefault="00024921" w:rsidP="008D500C">
      <w:pPr>
        <w:jc w:val="both"/>
        <w:rPr>
          <w:rFonts w:ascii="Arial" w:hAnsi="Arial"/>
          <w:sz w:val="24"/>
        </w:rPr>
      </w:pPr>
    </w:p>
    <w:p w14:paraId="3B4A0E1F" w14:textId="2B3C7013" w:rsidR="003331F8" w:rsidRDefault="003331F8" w:rsidP="00407264">
      <w:pPr>
        <w:pStyle w:val="Heading2"/>
      </w:pPr>
      <w:r>
        <w:t>Council Tax single residency review</w:t>
      </w:r>
    </w:p>
    <w:p w14:paraId="48A44080" w14:textId="604B3FCC" w:rsidR="00DC542C" w:rsidRDefault="00DC542C" w:rsidP="00DC542C"/>
    <w:p w14:paraId="59E09EF2" w14:textId="77777777" w:rsidR="00E9459E" w:rsidRPr="00E9459E" w:rsidRDefault="00E9459E" w:rsidP="00E9459E">
      <w:pPr>
        <w:spacing w:line="276" w:lineRule="auto"/>
        <w:jc w:val="both"/>
        <w:rPr>
          <w:rFonts w:ascii="Arial" w:hAnsi="Arial"/>
          <w:sz w:val="24"/>
        </w:rPr>
      </w:pPr>
      <w:r w:rsidRPr="00E9459E">
        <w:rPr>
          <w:rFonts w:ascii="Arial" w:hAnsi="Arial"/>
          <w:sz w:val="24"/>
        </w:rPr>
        <w:t xml:space="preserve">Council Tax single residency discounts (SRDs) are a significant area of risk to fraud and error. </w:t>
      </w:r>
    </w:p>
    <w:p w14:paraId="193E8900" w14:textId="77777777" w:rsidR="00E9459E" w:rsidRPr="00E9459E" w:rsidRDefault="00E9459E" w:rsidP="00E9459E">
      <w:pPr>
        <w:spacing w:line="276" w:lineRule="auto"/>
        <w:rPr>
          <w:rFonts w:ascii="Arial" w:hAnsi="Arial"/>
          <w:sz w:val="24"/>
        </w:rPr>
      </w:pPr>
    </w:p>
    <w:p w14:paraId="0F1A8BBC" w14:textId="6CD2D5F7" w:rsidR="00E9459E" w:rsidRPr="00E9459E" w:rsidRDefault="00E9459E" w:rsidP="00E9459E">
      <w:pPr>
        <w:spacing w:line="276" w:lineRule="auto"/>
        <w:jc w:val="both"/>
        <w:rPr>
          <w:rFonts w:ascii="Arial" w:hAnsi="Arial"/>
          <w:sz w:val="24"/>
        </w:rPr>
      </w:pPr>
      <w:r w:rsidRPr="00E9459E">
        <w:rPr>
          <w:rFonts w:ascii="Arial" w:hAnsi="Arial"/>
          <w:sz w:val="24"/>
        </w:rPr>
        <w:t>The council has approximately 7</w:t>
      </w:r>
      <w:r w:rsidR="00113D68">
        <w:rPr>
          <w:rFonts w:ascii="Arial" w:hAnsi="Arial"/>
          <w:sz w:val="24"/>
        </w:rPr>
        <w:t>5</w:t>
      </w:r>
      <w:r w:rsidRPr="00E9459E">
        <w:rPr>
          <w:rFonts w:ascii="Arial" w:hAnsi="Arial"/>
          <w:sz w:val="24"/>
        </w:rPr>
        <w:t xml:space="preserve">,000 Council </w:t>
      </w:r>
      <w:proofErr w:type="gramStart"/>
      <w:r w:rsidRPr="00E9459E">
        <w:rPr>
          <w:rFonts w:ascii="Arial" w:hAnsi="Arial"/>
          <w:sz w:val="24"/>
        </w:rPr>
        <w:t>Tax payers</w:t>
      </w:r>
      <w:proofErr w:type="gramEnd"/>
      <w:r w:rsidRPr="00E9459E">
        <w:rPr>
          <w:rFonts w:ascii="Arial" w:hAnsi="Arial"/>
          <w:sz w:val="24"/>
        </w:rPr>
        <w:t>, of which about 2</w:t>
      </w:r>
      <w:r w:rsidR="00A07402">
        <w:rPr>
          <w:rFonts w:ascii="Arial" w:hAnsi="Arial"/>
          <w:sz w:val="24"/>
        </w:rPr>
        <w:t>8</w:t>
      </w:r>
      <w:r w:rsidRPr="00E9459E">
        <w:rPr>
          <w:rFonts w:ascii="Arial" w:hAnsi="Arial"/>
          <w:sz w:val="24"/>
        </w:rPr>
        <w:t>,000 receive a SRD entitling them to a 25% reduction in their Council Tax bill. Evidence suggests that without intervention, the number of SRD’s increases due to the failure of a small number of Council Tax payers to report when they are no longer entitled to the discount. This in turn reduces the income available to collect and use on council priorities</w:t>
      </w:r>
      <w:r w:rsidR="00A541B1">
        <w:rPr>
          <w:rFonts w:ascii="Arial" w:hAnsi="Arial"/>
          <w:sz w:val="24"/>
        </w:rPr>
        <w:t>.</w:t>
      </w:r>
    </w:p>
    <w:p w14:paraId="086F70C2" w14:textId="77777777" w:rsidR="00E9459E" w:rsidRPr="00E9459E" w:rsidRDefault="00E9459E" w:rsidP="00E9459E">
      <w:pPr>
        <w:spacing w:line="276" w:lineRule="auto"/>
        <w:rPr>
          <w:rFonts w:ascii="Arial" w:hAnsi="Arial"/>
          <w:sz w:val="24"/>
        </w:rPr>
      </w:pPr>
    </w:p>
    <w:p w14:paraId="23FB6A19" w14:textId="173AE3C5" w:rsidR="00E9459E" w:rsidRDefault="00C20D39" w:rsidP="000B31B3">
      <w:pPr>
        <w:spacing w:line="276" w:lineRule="auto"/>
        <w:jc w:val="both"/>
        <w:rPr>
          <w:rFonts w:ascii="Arial" w:hAnsi="Arial"/>
          <w:sz w:val="24"/>
          <w:szCs w:val="24"/>
        </w:rPr>
      </w:pPr>
      <w:r w:rsidRPr="00C20D39">
        <w:rPr>
          <w:rFonts w:ascii="Arial" w:hAnsi="Arial"/>
          <w:sz w:val="24"/>
          <w:szCs w:val="24"/>
        </w:rPr>
        <w:t xml:space="preserve">Having successfully implemented a monthly review of SRD entitlements in 21/22 </w:t>
      </w:r>
      <w:proofErr w:type="gramStart"/>
      <w:r w:rsidRPr="00C20D39">
        <w:rPr>
          <w:rFonts w:ascii="Arial" w:hAnsi="Arial"/>
          <w:sz w:val="24"/>
          <w:szCs w:val="24"/>
        </w:rPr>
        <w:t>as a result of</w:t>
      </w:r>
      <w:proofErr w:type="gramEnd"/>
      <w:r w:rsidRPr="00C20D39">
        <w:rPr>
          <w:rFonts w:ascii="Arial" w:hAnsi="Arial"/>
          <w:sz w:val="24"/>
          <w:szCs w:val="24"/>
        </w:rPr>
        <w:t xml:space="preserve"> which additional liabilities amounting to £</w:t>
      </w:r>
      <w:r w:rsidR="00FA799C">
        <w:rPr>
          <w:rFonts w:ascii="Arial" w:hAnsi="Arial"/>
          <w:sz w:val="24"/>
          <w:szCs w:val="24"/>
        </w:rPr>
        <w:t>262</w:t>
      </w:r>
      <w:r w:rsidRPr="00C20D39">
        <w:rPr>
          <w:rFonts w:ascii="Arial" w:hAnsi="Arial"/>
          <w:sz w:val="24"/>
          <w:szCs w:val="24"/>
        </w:rPr>
        <w:t>k were identified, this work has been ongoing throughout 22/23.</w:t>
      </w:r>
    </w:p>
    <w:p w14:paraId="5C49B893" w14:textId="77777777" w:rsidR="00FA7EF3" w:rsidRPr="00E9459E" w:rsidRDefault="00FA7EF3" w:rsidP="00E9459E">
      <w:pPr>
        <w:spacing w:line="276" w:lineRule="auto"/>
        <w:rPr>
          <w:rFonts w:ascii="Arial" w:hAnsi="Arial"/>
          <w:sz w:val="24"/>
          <w:szCs w:val="24"/>
        </w:rPr>
      </w:pPr>
    </w:p>
    <w:p w14:paraId="7F21F621" w14:textId="6096E0A6" w:rsidR="00E9459E" w:rsidRPr="00E9459E" w:rsidRDefault="00E9459E" w:rsidP="00E9459E">
      <w:pPr>
        <w:spacing w:line="276" w:lineRule="auto"/>
        <w:rPr>
          <w:rFonts w:ascii="Arial" w:hAnsi="Arial"/>
          <w:sz w:val="24"/>
          <w:szCs w:val="24"/>
        </w:rPr>
      </w:pPr>
      <w:r w:rsidRPr="00E9459E">
        <w:rPr>
          <w:rFonts w:ascii="Arial" w:hAnsi="Arial"/>
          <w:sz w:val="24"/>
          <w:szCs w:val="24"/>
        </w:rPr>
        <w:t xml:space="preserve">As </w:t>
      </w:r>
      <w:r w:rsidR="00FA799C">
        <w:rPr>
          <w:rFonts w:ascii="Arial" w:hAnsi="Arial"/>
          <w:sz w:val="24"/>
          <w:szCs w:val="24"/>
        </w:rPr>
        <w:t>of 9</w:t>
      </w:r>
      <w:r w:rsidR="00963B01" w:rsidRPr="00963B01">
        <w:rPr>
          <w:rFonts w:ascii="Arial" w:hAnsi="Arial"/>
          <w:sz w:val="24"/>
          <w:szCs w:val="24"/>
          <w:vertAlign w:val="superscript"/>
        </w:rPr>
        <w:t>th</w:t>
      </w:r>
      <w:r w:rsidR="00963B01">
        <w:rPr>
          <w:rFonts w:ascii="Arial" w:hAnsi="Arial"/>
          <w:sz w:val="24"/>
          <w:szCs w:val="24"/>
        </w:rPr>
        <w:t xml:space="preserve"> </w:t>
      </w:r>
      <w:r w:rsidRPr="00E9459E">
        <w:rPr>
          <w:rFonts w:ascii="Arial" w:hAnsi="Arial"/>
          <w:sz w:val="24"/>
          <w:szCs w:val="24"/>
        </w:rPr>
        <w:t>March 202</w:t>
      </w:r>
      <w:r w:rsidR="00FA7EF3">
        <w:rPr>
          <w:rFonts w:ascii="Arial" w:hAnsi="Arial"/>
          <w:sz w:val="24"/>
          <w:szCs w:val="24"/>
        </w:rPr>
        <w:t>3</w:t>
      </w:r>
      <w:r w:rsidRPr="00E9459E">
        <w:rPr>
          <w:rFonts w:ascii="Arial" w:hAnsi="Arial"/>
          <w:sz w:val="24"/>
          <w:szCs w:val="24"/>
        </w:rPr>
        <w:t>, the monthly reviews have achieved the following results:</w:t>
      </w:r>
    </w:p>
    <w:p w14:paraId="54EC40E7" w14:textId="77777777" w:rsidR="00E9459E" w:rsidRPr="00E9459E" w:rsidRDefault="00E9459E" w:rsidP="00E9459E">
      <w:pPr>
        <w:spacing w:line="276" w:lineRule="auto"/>
        <w:rPr>
          <w:rFonts w:ascii="Arial" w:hAnsi="Arial"/>
          <w:sz w:val="24"/>
          <w:szCs w:val="24"/>
        </w:rPr>
      </w:pPr>
    </w:p>
    <w:tbl>
      <w:tblPr>
        <w:tblStyle w:val="PlainTable1"/>
        <w:tblW w:w="0" w:type="auto"/>
        <w:tblLook w:val="04A0" w:firstRow="1" w:lastRow="0" w:firstColumn="1" w:lastColumn="0" w:noHBand="0" w:noVBand="1"/>
        <w:tblCaption w:val="breakdown of reactive investigations"/>
        <w:tblDescription w:val="table showing breakdown of reactive referals and monies overpaid"/>
      </w:tblPr>
      <w:tblGrid>
        <w:gridCol w:w="2468"/>
        <w:gridCol w:w="6548"/>
      </w:tblGrid>
      <w:tr w:rsidR="00E9459E" w:rsidRPr="00E9459E" w14:paraId="4F4A9515" w14:textId="77777777" w:rsidTr="00963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Pr>
          <w:p w14:paraId="0682D3EF" w14:textId="4305F041" w:rsidR="00E9459E" w:rsidRPr="00E9459E" w:rsidRDefault="00103A52" w:rsidP="00E9459E">
            <w:pPr>
              <w:spacing w:after="160" w:line="259" w:lineRule="auto"/>
              <w:jc w:val="center"/>
              <w:rPr>
                <w:rFonts w:ascii="Arial" w:hAnsi="Arial" w:cs="Arial"/>
                <w:b w:val="0"/>
                <w:bCs w:val="0"/>
                <w:sz w:val="36"/>
                <w:szCs w:val="36"/>
                <w:lang w:val="en-US" w:eastAsia="en-US"/>
              </w:rPr>
            </w:pPr>
            <w:r>
              <w:rPr>
                <w:rFonts w:ascii="Arial" w:hAnsi="Arial" w:cs="Arial"/>
                <w:b w:val="0"/>
                <w:bCs w:val="0"/>
                <w:sz w:val="36"/>
                <w:szCs w:val="36"/>
                <w:lang w:val="en-US" w:eastAsia="en-US"/>
              </w:rPr>
              <w:t>631</w:t>
            </w:r>
          </w:p>
        </w:tc>
        <w:tc>
          <w:tcPr>
            <w:tcW w:w="6548" w:type="dxa"/>
          </w:tcPr>
          <w:p w14:paraId="64092E85" w14:textId="77777777" w:rsidR="00E9459E" w:rsidRPr="00E9459E" w:rsidRDefault="00E9459E" w:rsidP="00E9459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US" w:eastAsia="en-US"/>
              </w:rPr>
            </w:pPr>
            <w:r w:rsidRPr="00E9459E">
              <w:rPr>
                <w:rFonts w:ascii="Arial" w:hAnsi="Arial" w:cs="Arial"/>
                <w:b w:val="0"/>
                <w:bCs w:val="0"/>
                <w:sz w:val="24"/>
                <w:szCs w:val="24"/>
                <w:lang w:val="en-US" w:eastAsia="en-US"/>
              </w:rPr>
              <w:t>Letters sent</w:t>
            </w:r>
          </w:p>
        </w:tc>
      </w:tr>
      <w:tr w:rsidR="00E9459E" w:rsidRPr="00E9459E" w14:paraId="6160D080" w14:textId="77777777" w:rsidTr="00963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Pr>
          <w:p w14:paraId="7B462EA0" w14:textId="3BF7B316" w:rsidR="00E9459E" w:rsidRPr="00E9459E" w:rsidRDefault="00910AAC" w:rsidP="00E9459E">
            <w:pPr>
              <w:spacing w:after="160" w:line="259" w:lineRule="auto"/>
              <w:jc w:val="center"/>
              <w:rPr>
                <w:rFonts w:ascii="Arial" w:hAnsi="Arial" w:cs="Arial"/>
                <w:b w:val="0"/>
                <w:bCs w:val="0"/>
                <w:sz w:val="36"/>
                <w:szCs w:val="36"/>
                <w:lang w:val="en-US" w:eastAsia="en-US"/>
              </w:rPr>
            </w:pPr>
            <w:r>
              <w:rPr>
                <w:rFonts w:ascii="Arial" w:hAnsi="Arial" w:cs="Arial"/>
                <w:b w:val="0"/>
                <w:bCs w:val="0"/>
                <w:sz w:val="36"/>
                <w:szCs w:val="36"/>
                <w:lang w:val="en-US" w:eastAsia="en-US"/>
              </w:rPr>
              <w:t>198</w:t>
            </w:r>
          </w:p>
        </w:tc>
        <w:tc>
          <w:tcPr>
            <w:tcW w:w="6548" w:type="dxa"/>
          </w:tcPr>
          <w:p w14:paraId="4E77B4D3" w14:textId="77777777" w:rsidR="00E9459E" w:rsidRPr="00E9459E" w:rsidRDefault="00E9459E" w:rsidP="00E9459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en-US"/>
              </w:rPr>
            </w:pPr>
            <w:r w:rsidRPr="00E9459E">
              <w:rPr>
                <w:rFonts w:ascii="Arial" w:hAnsi="Arial" w:cs="Arial"/>
                <w:sz w:val="24"/>
                <w:szCs w:val="24"/>
                <w:lang w:val="en-US" w:eastAsia="en-US"/>
              </w:rPr>
              <w:t>Reminders sent</w:t>
            </w:r>
          </w:p>
        </w:tc>
      </w:tr>
      <w:tr w:rsidR="00E9459E" w:rsidRPr="00E9459E" w14:paraId="7D7BD99D" w14:textId="77777777" w:rsidTr="00963B01">
        <w:tc>
          <w:tcPr>
            <w:cnfStyle w:val="001000000000" w:firstRow="0" w:lastRow="0" w:firstColumn="1" w:lastColumn="0" w:oddVBand="0" w:evenVBand="0" w:oddHBand="0" w:evenHBand="0" w:firstRowFirstColumn="0" w:firstRowLastColumn="0" w:lastRowFirstColumn="0" w:lastRowLastColumn="0"/>
            <w:tcW w:w="2468" w:type="dxa"/>
          </w:tcPr>
          <w:p w14:paraId="5A2BB423" w14:textId="2E79DCEF" w:rsidR="00E9459E" w:rsidRPr="00E9459E" w:rsidRDefault="00910AAC" w:rsidP="00E9459E">
            <w:pPr>
              <w:spacing w:after="160" w:line="259" w:lineRule="auto"/>
              <w:jc w:val="center"/>
              <w:rPr>
                <w:rFonts w:ascii="Arial" w:hAnsi="Arial" w:cs="Arial"/>
                <w:b w:val="0"/>
                <w:bCs w:val="0"/>
                <w:sz w:val="36"/>
                <w:szCs w:val="36"/>
                <w:lang w:val="en-US" w:eastAsia="en-US"/>
              </w:rPr>
            </w:pPr>
            <w:r>
              <w:rPr>
                <w:rFonts w:ascii="Arial" w:hAnsi="Arial" w:cs="Arial"/>
                <w:b w:val="0"/>
                <w:bCs w:val="0"/>
                <w:sz w:val="36"/>
                <w:szCs w:val="36"/>
                <w:lang w:val="en-US" w:eastAsia="en-US"/>
              </w:rPr>
              <w:t>412</w:t>
            </w:r>
          </w:p>
        </w:tc>
        <w:tc>
          <w:tcPr>
            <w:tcW w:w="6548" w:type="dxa"/>
          </w:tcPr>
          <w:p w14:paraId="59AA834C" w14:textId="77777777" w:rsidR="00E9459E" w:rsidRPr="00E9459E" w:rsidRDefault="00E9459E" w:rsidP="00E9459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en-US"/>
              </w:rPr>
            </w:pPr>
            <w:r w:rsidRPr="00E9459E">
              <w:rPr>
                <w:rFonts w:ascii="Arial" w:hAnsi="Arial" w:cs="Arial"/>
                <w:sz w:val="24"/>
                <w:szCs w:val="24"/>
                <w:lang w:val="en-US" w:eastAsia="en-US"/>
              </w:rPr>
              <w:t>Responses received with no change reported</w:t>
            </w:r>
          </w:p>
        </w:tc>
      </w:tr>
      <w:tr w:rsidR="00E9459E" w:rsidRPr="00E9459E" w14:paraId="69EFB7B5" w14:textId="77777777" w:rsidTr="00963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Pr>
          <w:p w14:paraId="13586887" w14:textId="44313CFF" w:rsidR="00E9459E" w:rsidRPr="00E9459E" w:rsidRDefault="00910AAC" w:rsidP="00E9459E">
            <w:pPr>
              <w:spacing w:after="160" w:line="259" w:lineRule="auto"/>
              <w:jc w:val="center"/>
              <w:rPr>
                <w:rFonts w:ascii="Arial" w:hAnsi="Arial" w:cs="Arial"/>
                <w:b w:val="0"/>
                <w:bCs w:val="0"/>
                <w:sz w:val="36"/>
                <w:szCs w:val="36"/>
                <w:lang w:val="en-US" w:eastAsia="en-US"/>
              </w:rPr>
            </w:pPr>
            <w:r>
              <w:rPr>
                <w:rFonts w:ascii="Arial" w:hAnsi="Arial" w:cs="Arial"/>
                <w:b w:val="0"/>
                <w:bCs w:val="0"/>
                <w:sz w:val="36"/>
                <w:szCs w:val="36"/>
                <w:lang w:val="en-US" w:eastAsia="en-US"/>
              </w:rPr>
              <w:t>156</w:t>
            </w:r>
          </w:p>
        </w:tc>
        <w:tc>
          <w:tcPr>
            <w:tcW w:w="6548" w:type="dxa"/>
          </w:tcPr>
          <w:p w14:paraId="41AECCB3" w14:textId="77777777" w:rsidR="00E9459E" w:rsidRPr="00E9459E" w:rsidRDefault="00E9459E" w:rsidP="00E9459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en-US"/>
              </w:rPr>
            </w:pPr>
            <w:r w:rsidRPr="00E9459E">
              <w:rPr>
                <w:rFonts w:ascii="Arial" w:hAnsi="Arial" w:cs="Arial"/>
                <w:sz w:val="24"/>
                <w:szCs w:val="24"/>
                <w:lang w:val="en-US" w:eastAsia="en-US"/>
              </w:rPr>
              <w:t>Responses received reporting a change</w:t>
            </w:r>
          </w:p>
        </w:tc>
      </w:tr>
      <w:tr w:rsidR="00E9459E" w:rsidRPr="00E9459E" w14:paraId="407FD981" w14:textId="77777777" w:rsidTr="00963B01">
        <w:tc>
          <w:tcPr>
            <w:cnfStyle w:val="001000000000" w:firstRow="0" w:lastRow="0" w:firstColumn="1" w:lastColumn="0" w:oddVBand="0" w:evenVBand="0" w:oddHBand="0" w:evenHBand="0" w:firstRowFirstColumn="0" w:firstRowLastColumn="0" w:lastRowFirstColumn="0" w:lastRowLastColumn="0"/>
            <w:tcW w:w="2468" w:type="dxa"/>
          </w:tcPr>
          <w:p w14:paraId="2C677BF0" w14:textId="17457800" w:rsidR="00E9459E" w:rsidRPr="00E9459E" w:rsidRDefault="00910AAC" w:rsidP="00E9459E">
            <w:pPr>
              <w:spacing w:after="160" w:line="259" w:lineRule="auto"/>
              <w:jc w:val="center"/>
              <w:rPr>
                <w:rFonts w:ascii="Arial" w:hAnsi="Arial" w:cs="Arial"/>
                <w:b w:val="0"/>
                <w:bCs w:val="0"/>
                <w:sz w:val="36"/>
                <w:szCs w:val="36"/>
                <w:lang w:val="en-US" w:eastAsia="en-US"/>
              </w:rPr>
            </w:pPr>
            <w:r>
              <w:rPr>
                <w:rFonts w:ascii="Arial" w:hAnsi="Arial" w:cs="Arial"/>
                <w:b w:val="0"/>
                <w:bCs w:val="0"/>
                <w:sz w:val="36"/>
                <w:szCs w:val="36"/>
                <w:lang w:val="en-US" w:eastAsia="en-US"/>
              </w:rPr>
              <w:t>61</w:t>
            </w:r>
          </w:p>
        </w:tc>
        <w:tc>
          <w:tcPr>
            <w:tcW w:w="6548" w:type="dxa"/>
          </w:tcPr>
          <w:p w14:paraId="190A7038" w14:textId="77777777" w:rsidR="00E9459E" w:rsidRPr="00E9459E" w:rsidRDefault="00E9459E" w:rsidP="00E9459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en-US"/>
              </w:rPr>
            </w:pPr>
            <w:proofErr w:type="gramStart"/>
            <w:r w:rsidRPr="00E9459E">
              <w:rPr>
                <w:rFonts w:ascii="Arial" w:hAnsi="Arial" w:cs="Arial"/>
                <w:sz w:val="24"/>
                <w:szCs w:val="24"/>
                <w:lang w:val="en-US" w:eastAsia="en-US"/>
              </w:rPr>
              <w:t>SRD’s</w:t>
            </w:r>
            <w:proofErr w:type="gramEnd"/>
            <w:r w:rsidRPr="00E9459E">
              <w:rPr>
                <w:rFonts w:ascii="Arial" w:hAnsi="Arial" w:cs="Arial"/>
                <w:sz w:val="24"/>
                <w:szCs w:val="24"/>
                <w:lang w:val="en-US" w:eastAsia="en-US"/>
              </w:rPr>
              <w:t xml:space="preserve"> removed as a result of a change being reported</w:t>
            </w:r>
          </w:p>
        </w:tc>
      </w:tr>
      <w:tr w:rsidR="00E9459E" w:rsidRPr="00E9459E" w14:paraId="0138228F" w14:textId="77777777" w:rsidTr="00963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Pr>
          <w:p w14:paraId="03C7F672" w14:textId="29984741" w:rsidR="00E9459E" w:rsidRPr="00E9459E" w:rsidRDefault="00910AAC" w:rsidP="00E9459E">
            <w:pPr>
              <w:spacing w:after="160" w:line="259" w:lineRule="auto"/>
              <w:jc w:val="center"/>
              <w:rPr>
                <w:rFonts w:ascii="Arial" w:hAnsi="Arial" w:cs="Arial"/>
                <w:b w:val="0"/>
                <w:bCs w:val="0"/>
                <w:sz w:val="36"/>
                <w:szCs w:val="36"/>
                <w:lang w:val="en-US" w:eastAsia="en-US"/>
              </w:rPr>
            </w:pPr>
            <w:r>
              <w:rPr>
                <w:rFonts w:ascii="Arial" w:hAnsi="Arial" w:cs="Arial"/>
                <w:b w:val="0"/>
                <w:bCs w:val="0"/>
                <w:sz w:val="36"/>
                <w:szCs w:val="36"/>
                <w:lang w:val="en-US" w:eastAsia="en-US"/>
              </w:rPr>
              <w:t>37</w:t>
            </w:r>
          </w:p>
        </w:tc>
        <w:tc>
          <w:tcPr>
            <w:tcW w:w="6548" w:type="dxa"/>
          </w:tcPr>
          <w:p w14:paraId="294618F4" w14:textId="77777777" w:rsidR="00E9459E" w:rsidRPr="00E9459E" w:rsidRDefault="00E9459E" w:rsidP="00E9459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en-US"/>
              </w:rPr>
            </w:pPr>
            <w:r w:rsidRPr="00E9459E">
              <w:rPr>
                <w:rFonts w:ascii="Arial" w:hAnsi="Arial" w:cs="Arial"/>
                <w:sz w:val="24"/>
                <w:szCs w:val="24"/>
                <w:lang w:val="en-US" w:eastAsia="en-US"/>
              </w:rPr>
              <w:t>SRD’s removed due to failure to reply</w:t>
            </w:r>
          </w:p>
        </w:tc>
      </w:tr>
      <w:tr w:rsidR="00E9459E" w:rsidRPr="00E9459E" w14:paraId="69E35BAB" w14:textId="77777777" w:rsidTr="00963B01">
        <w:tc>
          <w:tcPr>
            <w:cnfStyle w:val="001000000000" w:firstRow="0" w:lastRow="0" w:firstColumn="1" w:lastColumn="0" w:oddVBand="0" w:evenVBand="0" w:oddHBand="0" w:evenHBand="0" w:firstRowFirstColumn="0" w:firstRowLastColumn="0" w:lastRowFirstColumn="0" w:lastRowLastColumn="0"/>
            <w:tcW w:w="2468" w:type="dxa"/>
          </w:tcPr>
          <w:p w14:paraId="61927A39" w14:textId="582B3983" w:rsidR="00E9459E" w:rsidRPr="00E9459E" w:rsidRDefault="00910AAC" w:rsidP="00E9459E">
            <w:pPr>
              <w:spacing w:after="160" w:line="259" w:lineRule="auto"/>
              <w:jc w:val="center"/>
              <w:rPr>
                <w:rFonts w:ascii="Arial" w:hAnsi="Arial" w:cs="Arial"/>
                <w:b w:val="0"/>
                <w:bCs w:val="0"/>
                <w:sz w:val="36"/>
                <w:szCs w:val="36"/>
                <w:lang w:val="en-US" w:eastAsia="en-US"/>
              </w:rPr>
            </w:pPr>
            <w:r>
              <w:rPr>
                <w:rFonts w:ascii="Arial" w:hAnsi="Arial" w:cs="Arial"/>
                <w:b w:val="0"/>
                <w:bCs w:val="0"/>
                <w:sz w:val="36"/>
                <w:szCs w:val="36"/>
                <w:lang w:val="en-US" w:eastAsia="en-US"/>
              </w:rPr>
              <w:t>98</w:t>
            </w:r>
          </w:p>
        </w:tc>
        <w:tc>
          <w:tcPr>
            <w:tcW w:w="6548" w:type="dxa"/>
          </w:tcPr>
          <w:p w14:paraId="4B67D857" w14:textId="77777777" w:rsidR="00E9459E" w:rsidRPr="00E9459E" w:rsidRDefault="00E9459E" w:rsidP="00E9459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en-US"/>
              </w:rPr>
            </w:pPr>
            <w:r w:rsidRPr="00E9459E">
              <w:rPr>
                <w:rFonts w:ascii="Arial" w:hAnsi="Arial" w:cs="Arial"/>
                <w:sz w:val="24"/>
                <w:szCs w:val="24"/>
                <w:lang w:val="en-US" w:eastAsia="en-US"/>
              </w:rPr>
              <w:t>Total number of SRD’s removed</w:t>
            </w:r>
          </w:p>
        </w:tc>
      </w:tr>
      <w:tr w:rsidR="00E9459E" w:rsidRPr="00E9459E" w14:paraId="47EA056F" w14:textId="77777777" w:rsidTr="00963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8" w:type="dxa"/>
          </w:tcPr>
          <w:p w14:paraId="524095B2" w14:textId="42E6D54B" w:rsidR="00E9459E" w:rsidRPr="00E9459E" w:rsidRDefault="00E9459E" w:rsidP="00E9459E">
            <w:pPr>
              <w:spacing w:after="160" w:line="259" w:lineRule="auto"/>
              <w:jc w:val="center"/>
              <w:rPr>
                <w:rFonts w:ascii="Arial" w:hAnsi="Arial" w:cs="Arial"/>
                <w:b w:val="0"/>
                <w:bCs w:val="0"/>
                <w:sz w:val="36"/>
                <w:szCs w:val="36"/>
                <w:lang w:val="en-US" w:eastAsia="en-US"/>
              </w:rPr>
            </w:pPr>
            <w:r w:rsidRPr="00E9459E">
              <w:rPr>
                <w:rFonts w:ascii="Arial" w:hAnsi="Arial" w:cs="Arial"/>
                <w:b w:val="0"/>
                <w:bCs w:val="0"/>
                <w:sz w:val="36"/>
                <w:szCs w:val="36"/>
                <w:lang w:val="en-US" w:eastAsia="en-US"/>
              </w:rPr>
              <w:t>£</w:t>
            </w:r>
            <w:r w:rsidR="008B63C9">
              <w:rPr>
                <w:rFonts w:ascii="Arial" w:hAnsi="Arial" w:cs="Arial"/>
                <w:b w:val="0"/>
                <w:bCs w:val="0"/>
                <w:sz w:val="36"/>
                <w:szCs w:val="36"/>
                <w:lang w:val="en-US" w:eastAsia="en-US"/>
              </w:rPr>
              <w:t>30</w:t>
            </w:r>
            <w:r w:rsidRPr="00E9459E">
              <w:rPr>
                <w:rFonts w:ascii="Arial" w:hAnsi="Arial" w:cs="Arial"/>
                <w:b w:val="0"/>
                <w:bCs w:val="0"/>
                <w:sz w:val="36"/>
                <w:szCs w:val="36"/>
                <w:lang w:val="en-US" w:eastAsia="en-US"/>
              </w:rPr>
              <w:t>k</w:t>
            </w:r>
          </w:p>
        </w:tc>
        <w:tc>
          <w:tcPr>
            <w:tcW w:w="6548" w:type="dxa"/>
          </w:tcPr>
          <w:p w14:paraId="12BBC10F" w14:textId="4F27CA67" w:rsidR="00E9459E" w:rsidRPr="00E9459E" w:rsidRDefault="00F91919" w:rsidP="00E9459E">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en-US"/>
              </w:rPr>
            </w:pPr>
            <w:r>
              <w:rPr>
                <w:rFonts w:ascii="Arial" w:hAnsi="Arial" w:cs="Arial"/>
                <w:sz w:val="24"/>
                <w:szCs w:val="24"/>
                <w:lang w:val="en-US" w:eastAsia="en-US"/>
              </w:rPr>
              <w:t>Annual c</w:t>
            </w:r>
            <w:r w:rsidR="00E9459E" w:rsidRPr="00E9459E">
              <w:rPr>
                <w:rFonts w:ascii="Arial" w:hAnsi="Arial" w:cs="Arial"/>
                <w:sz w:val="24"/>
                <w:szCs w:val="24"/>
                <w:lang w:val="en-US" w:eastAsia="en-US"/>
              </w:rPr>
              <w:t>harge generated</w:t>
            </w:r>
          </w:p>
        </w:tc>
      </w:tr>
      <w:tr w:rsidR="00E9459E" w:rsidRPr="00E9459E" w14:paraId="08CBD6EC" w14:textId="77777777" w:rsidTr="00963B01">
        <w:tc>
          <w:tcPr>
            <w:cnfStyle w:val="001000000000" w:firstRow="0" w:lastRow="0" w:firstColumn="1" w:lastColumn="0" w:oddVBand="0" w:evenVBand="0" w:oddHBand="0" w:evenHBand="0" w:firstRowFirstColumn="0" w:firstRowLastColumn="0" w:lastRowFirstColumn="0" w:lastRowLastColumn="0"/>
            <w:tcW w:w="2468" w:type="dxa"/>
          </w:tcPr>
          <w:p w14:paraId="77DF5ADF" w14:textId="0D54AA50" w:rsidR="00E9459E" w:rsidRPr="00E9459E" w:rsidRDefault="00E9459E" w:rsidP="00E9459E">
            <w:pPr>
              <w:spacing w:after="160" w:line="259" w:lineRule="auto"/>
              <w:jc w:val="center"/>
              <w:rPr>
                <w:rFonts w:ascii="Arial" w:hAnsi="Arial" w:cs="Arial"/>
                <w:b w:val="0"/>
                <w:bCs w:val="0"/>
                <w:sz w:val="36"/>
                <w:szCs w:val="36"/>
                <w:lang w:val="en-US" w:eastAsia="en-US"/>
              </w:rPr>
            </w:pPr>
            <w:r w:rsidRPr="00E9459E">
              <w:rPr>
                <w:rFonts w:ascii="Arial" w:hAnsi="Arial" w:cs="Arial"/>
                <w:b w:val="0"/>
                <w:bCs w:val="0"/>
                <w:sz w:val="36"/>
                <w:szCs w:val="36"/>
                <w:lang w:val="en-US" w:eastAsia="en-US"/>
              </w:rPr>
              <w:t>£</w:t>
            </w:r>
            <w:r w:rsidR="008B63C9">
              <w:rPr>
                <w:rFonts w:ascii="Arial" w:hAnsi="Arial" w:cs="Arial"/>
                <w:b w:val="0"/>
                <w:bCs w:val="0"/>
                <w:sz w:val="36"/>
                <w:szCs w:val="36"/>
                <w:lang w:val="en-US" w:eastAsia="en-US"/>
              </w:rPr>
              <w:t>3</w:t>
            </w:r>
            <w:r w:rsidRPr="00E9459E">
              <w:rPr>
                <w:rFonts w:ascii="Arial" w:hAnsi="Arial" w:cs="Arial"/>
                <w:b w:val="0"/>
                <w:bCs w:val="0"/>
                <w:sz w:val="36"/>
                <w:szCs w:val="36"/>
                <w:lang w:val="en-US" w:eastAsia="en-US"/>
              </w:rPr>
              <w:t>k</w:t>
            </w:r>
          </w:p>
        </w:tc>
        <w:tc>
          <w:tcPr>
            <w:tcW w:w="6548" w:type="dxa"/>
          </w:tcPr>
          <w:p w14:paraId="4EAE1E43" w14:textId="77777777" w:rsidR="00E9459E" w:rsidRPr="00E9459E" w:rsidRDefault="00E9459E" w:rsidP="00E9459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en-US"/>
              </w:rPr>
            </w:pPr>
            <w:r w:rsidRPr="00E9459E">
              <w:rPr>
                <w:rFonts w:ascii="Arial" w:hAnsi="Arial" w:cs="Arial"/>
                <w:sz w:val="24"/>
                <w:szCs w:val="24"/>
                <w:lang w:val="en-US" w:eastAsia="en-US"/>
              </w:rPr>
              <w:t>Additional liability for previous years</w:t>
            </w:r>
          </w:p>
        </w:tc>
      </w:tr>
    </w:tbl>
    <w:p w14:paraId="0F00C267" w14:textId="77777777" w:rsidR="00E9459E" w:rsidRPr="00E9459E" w:rsidRDefault="00E9459E" w:rsidP="00E9459E">
      <w:pPr>
        <w:spacing w:line="276" w:lineRule="auto"/>
        <w:rPr>
          <w:rFonts w:ascii="Arial" w:hAnsi="Arial"/>
          <w:sz w:val="24"/>
          <w:szCs w:val="24"/>
        </w:rPr>
      </w:pPr>
    </w:p>
    <w:p w14:paraId="2B2E9268" w14:textId="77777777" w:rsidR="00E9459E" w:rsidRPr="00E9459E" w:rsidRDefault="00E9459E" w:rsidP="00E9459E">
      <w:pPr>
        <w:spacing w:line="276" w:lineRule="auto"/>
        <w:rPr>
          <w:rFonts w:ascii="Arial" w:hAnsi="Arial"/>
          <w:sz w:val="24"/>
        </w:rPr>
      </w:pPr>
    </w:p>
    <w:p w14:paraId="34B360F8" w14:textId="77777777" w:rsidR="00E9459E" w:rsidRPr="00E9459E" w:rsidRDefault="00E9459E" w:rsidP="000B31B3">
      <w:pPr>
        <w:spacing w:line="276" w:lineRule="auto"/>
        <w:jc w:val="both"/>
        <w:rPr>
          <w:rFonts w:ascii="Arial" w:hAnsi="Arial"/>
          <w:sz w:val="24"/>
        </w:rPr>
      </w:pPr>
      <w:r w:rsidRPr="00E9459E">
        <w:rPr>
          <w:rFonts w:ascii="Arial" w:hAnsi="Arial"/>
          <w:sz w:val="24"/>
        </w:rPr>
        <w:t xml:space="preserve">We continue to monitor every council tax liability that receives a single residency discount </w:t>
      </w:r>
      <w:proofErr w:type="gramStart"/>
      <w:r w:rsidRPr="00E9459E">
        <w:rPr>
          <w:rFonts w:ascii="Arial" w:hAnsi="Arial"/>
          <w:sz w:val="24"/>
        </w:rPr>
        <w:t>on a monthly basis</w:t>
      </w:r>
      <w:proofErr w:type="gramEnd"/>
      <w:r w:rsidRPr="00E9459E">
        <w:rPr>
          <w:rFonts w:ascii="Arial" w:hAnsi="Arial"/>
          <w:sz w:val="24"/>
        </w:rPr>
        <w:t>, in order to quickly amend liabilities, thus ensuring that the maximum amount of Council Tax is available for collection.</w:t>
      </w:r>
    </w:p>
    <w:p w14:paraId="35593144" w14:textId="77777777" w:rsidR="003331F8" w:rsidRDefault="003331F8" w:rsidP="00407264">
      <w:pPr>
        <w:pStyle w:val="Heading2"/>
      </w:pPr>
    </w:p>
    <w:p w14:paraId="2D697553" w14:textId="230C9913" w:rsidR="00F402FD" w:rsidRDefault="00F402FD" w:rsidP="00407264">
      <w:pPr>
        <w:pStyle w:val="Heading2"/>
      </w:pPr>
      <w:r w:rsidRPr="00F402FD">
        <w:t xml:space="preserve">Participation in the National Fraud Initiative (NFI) </w:t>
      </w:r>
    </w:p>
    <w:p w14:paraId="41C6B410" w14:textId="77777777" w:rsidR="00F402FD" w:rsidRPr="00F402FD" w:rsidRDefault="00F402FD" w:rsidP="00F402FD">
      <w:pPr>
        <w:shd w:val="clear" w:color="auto" w:fill="FFFFFF"/>
        <w:jc w:val="both"/>
        <w:rPr>
          <w:rFonts w:ascii="Arial" w:hAnsi="Arial" w:cs="Arial"/>
          <w:b/>
          <w:sz w:val="24"/>
          <w:szCs w:val="24"/>
        </w:rPr>
      </w:pPr>
    </w:p>
    <w:p w14:paraId="7D637A5A" w14:textId="7E8AE99D" w:rsidR="00137340" w:rsidRDefault="00137340" w:rsidP="000B31B3">
      <w:pPr>
        <w:pStyle w:val="ListParagraph"/>
        <w:ind w:left="0"/>
        <w:jc w:val="both"/>
        <w:rPr>
          <w:rFonts w:ascii="Arial" w:hAnsi="Arial" w:cs="Arial"/>
          <w:sz w:val="24"/>
          <w:szCs w:val="24"/>
        </w:rPr>
      </w:pPr>
      <w:r w:rsidRPr="00137340">
        <w:rPr>
          <w:rFonts w:ascii="Arial" w:hAnsi="Arial" w:cs="Arial"/>
          <w:sz w:val="24"/>
          <w:szCs w:val="24"/>
        </w:rPr>
        <w:t xml:space="preserve">The NFI is a Cabinet Office initiative matching data from </w:t>
      </w:r>
      <w:proofErr w:type="gramStart"/>
      <w:r w:rsidRPr="00137340">
        <w:rPr>
          <w:rFonts w:ascii="Arial" w:hAnsi="Arial" w:cs="Arial"/>
          <w:sz w:val="24"/>
          <w:szCs w:val="24"/>
        </w:rPr>
        <w:t>a number of</w:t>
      </w:r>
      <w:proofErr w:type="gramEnd"/>
      <w:r w:rsidRPr="00137340">
        <w:rPr>
          <w:rFonts w:ascii="Arial" w:hAnsi="Arial" w:cs="Arial"/>
          <w:sz w:val="24"/>
          <w:szCs w:val="24"/>
        </w:rPr>
        <w:t xml:space="preserve"> public and private organisations to identify potential fraud which takes place on a cyclical basis. </w:t>
      </w:r>
    </w:p>
    <w:p w14:paraId="32313515" w14:textId="77777777" w:rsidR="00137340" w:rsidRPr="00137340" w:rsidRDefault="00137340" w:rsidP="00137340">
      <w:pPr>
        <w:pStyle w:val="ListParagraph"/>
        <w:ind w:left="0"/>
        <w:jc w:val="both"/>
        <w:rPr>
          <w:rFonts w:ascii="Arial" w:hAnsi="Arial" w:cs="Arial"/>
          <w:sz w:val="24"/>
          <w:szCs w:val="24"/>
        </w:rPr>
      </w:pPr>
    </w:p>
    <w:p w14:paraId="6C59D56A" w14:textId="77777777" w:rsidR="00137340" w:rsidRPr="00137340" w:rsidRDefault="00137340" w:rsidP="00137340">
      <w:pPr>
        <w:pStyle w:val="ListParagraph"/>
        <w:ind w:left="0"/>
        <w:jc w:val="both"/>
        <w:rPr>
          <w:rFonts w:ascii="Arial" w:hAnsi="Arial" w:cs="Arial"/>
          <w:sz w:val="24"/>
          <w:szCs w:val="24"/>
        </w:rPr>
      </w:pPr>
      <w:r w:rsidRPr="00137340">
        <w:rPr>
          <w:rFonts w:ascii="Arial" w:hAnsi="Arial" w:cs="Arial"/>
          <w:sz w:val="24"/>
          <w:szCs w:val="24"/>
        </w:rPr>
        <w:lastRenderedPageBreak/>
        <w:t>The results of the 22/23 exercise have recently been released and have identified 4,915 matches in 27 separate reports. The Fraud and Audit teams will review these matches and act as appropriate to ensure any losses are identified and recovered.</w:t>
      </w:r>
    </w:p>
    <w:p w14:paraId="4D5D3420" w14:textId="24CE22A6" w:rsidR="00137340" w:rsidRDefault="00137340" w:rsidP="00137340">
      <w:pPr>
        <w:pStyle w:val="ListParagraph"/>
        <w:ind w:left="0"/>
        <w:jc w:val="both"/>
        <w:rPr>
          <w:rFonts w:ascii="Arial" w:hAnsi="Arial" w:cs="Arial"/>
          <w:sz w:val="24"/>
          <w:szCs w:val="24"/>
        </w:rPr>
      </w:pPr>
      <w:r w:rsidRPr="00137340">
        <w:rPr>
          <w:rFonts w:ascii="Arial" w:hAnsi="Arial" w:cs="Arial"/>
          <w:sz w:val="24"/>
          <w:szCs w:val="24"/>
        </w:rPr>
        <w:t>From the 20/21 exercise, less than 1% of cases reviewed were found to be fraudulent or erroneous. This continues to provide assurance that the quality of the council’s data and processes remains high minimising the risk of losses.</w:t>
      </w:r>
    </w:p>
    <w:p w14:paraId="131400BE" w14:textId="77777777" w:rsidR="00137340" w:rsidRPr="00137340" w:rsidRDefault="00137340" w:rsidP="00137340">
      <w:pPr>
        <w:pStyle w:val="ListParagraph"/>
        <w:ind w:left="0"/>
        <w:jc w:val="both"/>
        <w:rPr>
          <w:rFonts w:ascii="Arial" w:hAnsi="Arial" w:cs="Arial"/>
          <w:sz w:val="24"/>
          <w:szCs w:val="24"/>
        </w:rPr>
      </w:pPr>
    </w:p>
    <w:p w14:paraId="0BA589C4" w14:textId="63DDC3CF" w:rsidR="00137340" w:rsidRDefault="00137340" w:rsidP="00137340">
      <w:pPr>
        <w:pStyle w:val="ListParagraph"/>
        <w:ind w:left="0"/>
        <w:jc w:val="both"/>
        <w:rPr>
          <w:rFonts w:ascii="Arial" w:hAnsi="Arial" w:cs="Arial"/>
          <w:sz w:val="24"/>
          <w:szCs w:val="24"/>
        </w:rPr>
      </w:pPr>
      <w:r w:rsidRPr="00137340">
        <w:rPr>
          <w:rFonts w:ascii="Arial" w:hAnsi="Arial" w:cs="Arial"/>
          <w:sz w:val="24"/>
          <w:szCs w:val="24"/>
        </w:rPr>
        <w:t xml:space="preserve">Additionally, the internal audit team have developed the use of data analytics to supplement the use of NFI data and conducted a review of trade creditor payments </w:t>
      </w:r>
      <w:r w:rsidR="00B5776A">
        <w:rPr>
          <w:rFonts w:ascii="Arial" w:hAnsi="Arial" w:cs="Arial"/>
          <w:sz w:val="24"/>
          <w:szCs w:val="24"/>
        </w:rPr>
        <w:t>between October 2021 and October 2022</w:t>
      </w:r>
      <w:r w:rsidRPr="00137340">
        <w:rPr>
          <w:rFonts w:ascii="Arial" w:hAnsi="Arial" w:cs="Arial"/>
          <w:sz w:val="24"/>
          <w:szCs w:val="24"/>
        </w:rPr>
        <w:t xml:space="preserve">. This approach has </w:t>
      </w:r>
      <w:proofErr w:type="gramStart"/>
      <w:r w:rsidRPr="00137340">
        <w:rPr>
          <w:rFonts w:ascii="Arial" w:hAnsi="Arial" w:cs="Arial"/>
          <w:sz w:val="24"/>
          <w:szCs w:val="24"/>
        </w:rPr>
        <w:t>a number of</w:t>
      </w:r>
      <w:proofErr w:type="gramEnd"/>
      <w:r w:rsidRPr="00137340">
        <w:rPr>
          <w:rFonts w:ascii="Arial" w:hAnsi="Arial" w:cs="Arial"/>
          <w:sz w:val="24"/>
          <w:szCs w:val="24"/>
        </w:rPr>
        <w:t xml:space="preserve"> advantages over the traditional method of checking NFI matches:</w:t>
      </w:r>
    </w:p>
    <w:p w14:paraId="52D58D3E" w14:textId="77777777" w:rsidR="00137340" w:rsidRPr="00137340" w:rsidRDefault="00137340" w:rsidP="00137340">
      <w:pPr>
        <w:pStyle w:val="ListParagraph"/>
        <w:ind w:left="0"/>
        <w:jc w:val="both"/>
        <w:rPr>
          <w:rFonts w:ascii="Arial" w:hAnsi="Arial" w:cs="Arial"/>
          <w:sz w:val="24"/>
          <w:szCs w:val="24"/>
        </w:rPr>
      </w:pPr>
    </w:p>
    <w:p w14:paraId="68A2EB62" w14:textId="77777777" w:rsidR="00137340" w:rsidRPr="00137340" w:rsidRDefault="00137340" w:rsidP="00FC6EAA">
      <w:pPr>
        <w:pStyle w:val="ListParagraph"/>
        <w:ind w:hanging="720"/>
        <w:jc w:val="both"/>
        <w:rPr>
          <w:rFonts w:ascii="Arial" w:hAnsi="Arial" w:cs="Arial"/>
          <w:sz w:val="24"/>
          <w:szCs w:val="24"/>
        </w:rPr>
      </w:pPr>
      <w:r w:rsidRPr="00137340">
        <w:rPr>
          <w:rFonts w:ascii="Arial" w:hAnsi="Arial" w:cs="Arial"/>
          <w:sz w:val="24"/>
          <w:szCs w:val="24"/>
        </w:rPr>
        <w:t>•</w:t>
      </w:r>
      <w:r w:rsidRPr="00137340">
        <w:rPr>
          <w:rFonts w:ascii="Arial" w:hAnsi="Arial" w:cs="Arial"/>
          <w:sz w:val="24"/>
          <w:szCs w:val="24"/>
        </w:rPr>
        <w:tab/>
        <w:t xml:space="preserve">It enables 100% of trade creditor payments to be checked, providing a high level of assurance around duplicate </w:t>
      </w:r>
      <w:proofErr w:type="gramStart"/>
      <w:r w:rsidRPr="00137340">
        <w:rPr>
          <w:rFonts w:ascii="Arial" w:hAnsi="Arial" w:cs="Arial"/>
          <w:sz w:val="24"/>
          <w:szCs w:val="24"/>
        </w:rPr>
        <w:t>rates;</w:t>
      </w:r>
      <w:proofErr w:type="gramEnd"/>
    </w:p>
    <w:p w14:paraId="4D2CFDDF" w14:textId="77777777" w:rsidR="00137340" w:rsidRPr="00137340" w:rsidRDefault="00137340" w:rsidP="00FC6EAA">
      <w:pPr>
        <w:pStyle w:val="ListParagraph"/>
        <w:ind w:left="709" w:hanging="709"/>
        <w:jc w:val="both"/>
        <w:rPr>
          <w:rFonts w:ascii="Arial" w:hAnsi="Arial" w:cs="Arial"/>
          <w:sz w:val="24"/>
          <w:szCs w:val="24"/>
        </w:rPr>
      </w:pPr>
      <w:r w:rsidRPr="00137340">
        <w:rPr>
          <w:rFonts w:ascii="Arial" w:hAnsi="Arial" w:cs="Arial"/>
          <w:sz w:val="24"/>
          <w:szCs w:val="24"/>
        </w:rPr>
        <w:t>•</w:t>
      </w:r>
      <w:r w:rsidRPr="00137340">
        <w:rPr>
          <w:rFonts w:ascii="Arial" w:hAnsi="Arial" w:cs="Arial"/>
          <w:sz w:val="24"/>
          <w:szCs w:val="24"/>
        </w:rPr>
        <w:tab/>
        <w:t xml:space="preserve">It is more focussed and reduces the number of false positives that require further </w:t>
      </w:r>
      <w:proofErr w:type="gramStart"/>
      <w:r w:rsidRPr="00137340">
        <w:rPr>
          <w:rFonts w:ascii="Arial" w:hAnsi="Arial" w:cs="Arial"/>
          <w:sz w:val="24"/>
          <w:szCs w:val="24"/>
        </w:rPr>
        <w:t>investigation;</w:t>
      </w:r>
      <w:proofErr w:type="gramEnd"/>
    </w:p>
    <w:p w14:paraId="521423BC" w14:textId="77777777" w:rsidR="00137340" w:rsidRPr="00137340" w:rsidRDefault="00137340" w:rsidP="00FC6EAA">
      <w:pPr>
        <w:pStyle w:val="ListParagraph"/>
        <w:ind w:left="709" w:hanging="709"/>
        <w:jc w:val="both"/>
        <w:rPr>
          <w:rFonts w:ascii="Arial" w:hAnsi="Arial" w:cs="Arial"/>
          <w:sz w:val="24"/>
          <w:szCs w:val="24"/>
        </w:rPr>
      </w:pPr>
      <w:r w:rsidRPr="00137340">
        <w:rPr>
          <w:rFonts w:ascii="Arial" w:hAnsi="Arial" w:cs="Arial"/>
          <w:sz w:val="24"/>
          <w:szCs w:val="24"/>
        </w:rPr>
        <w:t>•</w:t>
      </w:r>
      <w:r w:rsidRPr="00137340">
        <w:rPr>
          <w:rFonts w:ascii="Arial" w:hAnsi="Arial" w:cs="Arial"/>
          <w:sz w:val="24"/>
          <w:szCs w:val="24"/>
        </w:rPr>
        <w:tab/>
        <w:t>It can be conducted more regularly than the biannual NFI exercise meaning that any duplicated payments can be quickly identified and recovered.</w:t>
      </w:r>
    </w:p>
    <w:p w14:paraId="69ABC753" w14:textId="659863CE" w:rsidR="00137340" w:rsidRDefault="00137340" w:rsidP="00137340">
      <w:pPr>
        <w:pStyle w:val="ListParagraph"/>
        <w:ind w:left="0"/>
        <w:jc w:val="both"/>
        <w:rPr>
          <w:rFonts w:ascii="Arial" w:hAnsi="Arial" w:cs="Arial"/>
          <w:sz w:val="24"/>
          <w:szCs w:val="24"/>
        </w:rPr>
      </w:pPr>
      <w:r w:rsidRPr="00137340">
        <w:rPr>
          <w:rFonts w:ascii="Arial" w:hAnsi="Arial" w:cs="Arial"/>
          <w:sz w:val="24"/>
          <w:szCs w:val="24"/>
        </w:rPr>
        <w:t>•</w:t>
      </w:r>
      <w:r w:rsidRPr="00137340">
        <w:rPr>
          <w:rFonts w:ascii="Arial" w:hAnsi="Arial" w:cs="Arial"/>
          <w:sz w:val="24"/>
          <w:szCs w:val="24"/>
        </w:rPr>
        <w:tab/>
        <w:t>It removes the need to conduct time consuming manual checks.</w:t>
      </w:r>
    </w:p>
    <w:p w14:paraId="2239CACD" w14:textId="77777777" w:rsidR="00137340" w:rsidRPr="00137340" w:rsidRDefault="00137340" w:rsidP="00137340">
      <w:pPr>
        <w:pStyle w:val="ListParagraph"/>
        <w:ind w:left="0"/>
        <w:jc w:val="both"/>
        <w:rPr>
          <w:rFonts w:ascii="Arial" w:hAnsi="Arial" w:cs="Arial"/>
          <w:sz w:val="24"/>
          <w:szCs w:val="24"/>
        </w:rPr>
      </w:pPr>
    </w:p>
    <w:p w14:paraId="16A41701" w14:textId="67EED539" w:rsidR="00F1358B" w:rsidRDefault="001627B4" w:rsidP="00137340">
      <w:pPr>
        <w:pStyle w:val="ListParagraph"/>
        <w:ind w:left="0"/>
        <w:jc w:val="both"/>
        <w:rPr>
          <w:rFonts w:ascii="Arial" w:hAnsi="Arial" w:cs="Arial"/>
          <w:sz w:val="24"/>
          <w:szCs w:val="24"/>
        </w:rPr>
      </w:pPr>
      <w:r w:rsidRPr="00093934">
        <w:rPr>
          <w:rFonts w:ascii="Arial" w:hAnsi="Arial" w:cs="Arial"/>
          <w:sz w:val="24"/>
          <w:szCs w:val="24"/>
        </w:rPr>
        <w:t>30,354</w:t>
      </w:r>
      <w:r w:rsidR="00137340" w:rsidRPr="00093934">
        <w:rPr>
          <w:rFonts w:ascii="Arial" w:hAnsi="Arial" w:cs="Arial"/>
          <w:sz w:val="24"/>
          <w:szCs w:val="24"/>
        </w:rPr>
        <w:t xml:space="preserve"> invoices </w:t>
      </w:r>
      <w:r w:rsidR="00DF4CEC" w:rsidRPr="00093934">
        <w:rPr>
          <w:rFonts w:ascii="Arial" w:hAnsi="Arial" w:cs="Arial"/>
          <w:sz w:val="24"/>
          <w:szCs w:val="24"/>
        </w:rPr>
        <w:t>were checked with a value of £1</w:t>
      </w:r>
      <w:r w:rsidR="00A700A1">
        <w:rPr>
          <w:rFonts w:ascii="Arial" w:hAnsi="Arial" w:cs="Arial"/>
          <w:sz w:val="24"/>
          <w:szCs w:val="24"/>
        </w:rPr>
        <w:t>2</w:t>
      </w:r>
      <w:r w:rsidR="00DF4CEC" w:rsidRPr="00093934">
        <w:rPr>
          <w:rFonts w:ascii="Arial" w:hAnsi="Arial" w:cs="Arial"/>
          <w:sz w:val="24"/>
          <w:szCs w:val="24"/>
        </w:rPr>
        <w:t xml:space="preserve">9M. Of these, </w:t>
      </w:r>
      <w:r w:rsidR="00137340" w:rsidRPr="00093934">
        <w:rPr>
          <w:rFonts w:ascii="Arial" w:hAnsi="Arial" w:cs="Arial"/>
          <w:sz w:val="24"/>
          <w:szCs w:val="24"/>
        </w:rPr>
        <w:t xml:space="preserve">six </w:t>
      </w:r>
      <w:r w:rsidR="00613D5A">
        <w:rPr>
          <w:rFonts w:ascii="Arial" w:hAnsi="Arial" w:cs="Arial"/>
          <w:sz w:val="24"/>
          <w:szCs w:val="24"/>
        </w:rPr>
        <w:t xml:space="preserve">payments were </w:t>
      </w:r>
      <w:r w:rsidR="00137340" w:rsidRPr="00093934">
        <w:rPr>
          <w:rFonts w:ascii="Arial" w:hAnsi="Arial" w:cs="Arial"/>
          <w:sz w:val="24"/>
          <w:szCs w:val="24"/>
        </w:rPr>
        <w:t>identified</w:t>
      </w:r>
      <w:r w:rsidR="00613D5A">
        <w:rPr>
          <w:rFonts w:ascii="Arial" w:hAnsi="Arial" w:cs="Arial"/>
          <w:sz w:val="24"/>
          <w:szCs w:val="24"/>
        </w:rPr>
        <w:t xml:space="preserve"> as</w:t>
      </w:r>
      <w:r w:rsidR="00137340" w:rsidRPr="00093934">
        <w:rPr>
          <w:rFonts w:ascii="Arial" w:hAnsi="Arial" w:cs="Arial"/>
          <w:sz w:val="24"/>
          <w:szCs w:val="24"/>
        </w:rPr>
        <w:t xml:space="preserve"> potential duplicate payments totalling approximately £</w:t>
      </w:r>
      <w:r w:rsidRPr="00093934">
        <w:rPr>
          <w:rFonts w:ascii="Arial" w:hAnsi="Arial" w:cs="Arial"/>
          <w:sz w:val="24"/>
          <w:szCs w:val="24"/>
        </w:rPr>
        <w:t>22</w:t>
      </w:r>
      <w:r w:rsidR="00137340" w:rsidRPr="00093934">
        <w:rPr>
          <w:rFonts w:ascii="Arial" w:hAnsi="Arial" w:cs="Arial"/>
          <w:sz w:val="24"/>
          <w:szCs w:val="24"/>
        </w:rPr>
        <w:t>k.</w:t>
      </w:r>
      <w:r w:rsidR="00613D5A">
        <w:rPr>
          <w:rFonts w:ascii="Arial" w:hAnsi="Arial" w:cs="Arial"/>
          <w:sz w:val="24"/>
          <w:szCs w:val="24"/>
        </w:rPr>
        <w:t xml:space="preserve"> </w:t>
      </w:r>
      <w:r w:rsidR="009D7634">
        <w:rPr>
          <w:rFonts w:ascii="Arial" w:hAnsi="Arial" w:cs="Arial"/>
          <w:sz w:val="24"/>
          <w:szCs w:val="24"/>
        </w:rPr>
        <w:t>Accountancy Service desk have taken appropriate action</w:t>
      </w:r>
      <w:r w:rsidR="00A66296">
        <w:rPr>
          <w:rFonts w:ascii="Arial" w:hAnsi="Arial" w:cs="Arial"/>
          <w:sz w:val="24"/>
          <w:szCs w:val="24"/>
        </w:rPr>
        <w:t>.</w:t>
      </w:r>
    </w:p>
    <w:p w14:paraId="42504760" w14:textId="77777777" w:rsidR="00FE24BD" w:rsidRDefault="00FE24BD" w:rsidP="00137340">
      <w:pPr>
        <w:pStyle w:val="ListParagraph"/>
        <w:ind w:left="0"/>
        <w:jc w:val="both"/>
        <w:rPr>
          <w:rFonts w:ascii="Arial" w:hAnsi="Arial" w:cs="Arial"/>
          <w:sz w:val="24"/>
          <w:szCs w:val="24"/>
        </w:rPr>
      </w:pPr>
    </w:p>
    <w:p w14:paraId="3013494C" w14:textId="77777777" w:rsidR="00A91C18" w:rsidRPr="00E749D8" w:rsidRDefault="00D37338" w:rsidP="00407264">
      <w:pPr>
        <w:pStyle w:val="Heading2"/>
        <w:rPr>
          <w:lang w:val="en-US" w:eastAsia="en-US"/>
        </w:rPr>
      </w:pPr>
      <w:r>
        <w:rPr>
          <w:lang w:val="en-US" w:eastAsia="en-US"/>
        </w:rPr>
        <w:t>Fraud referrals</w:t>
      </w:r>
    </w:p>
    <w:p w14:paraId="6EEFAA78" w14:textId="77777777" w:rsidR="00E749D8" w:rsidRPr="00CD25B8" w:rsidRDefault="00E749D8" w:rsidP="00E749D8">
      <w:pPr>
        <w:spacing w:after="120"/>
        <w:ind w:left="283"/>
        <w:jc w:val="both"/>
        <w:rPr>
          <w:rFonts w:ascii="Arial" w:hAnsi="Arial" w:cs="Arial"/>
          <w:color w:val="FF0000"/>
          <w:sz w:val="16"/>
          <w:szCs w:val="24"/>
        </w:rPr>
      </w:pPr>
    </w:p>
    <w:p w14:paraId="7B6BB0D5" w14:textId="77777777" w:rsidR="00E749D8" w:rsidRDefault="009553D5" w:rsidP="00E749D8">
      <w:pPr>
        <w:jc w:val="both"/>
        <w:rPr>
          <w:rFonts w:ascii="Arial" w:hAnsi="Arial" w:cs="Arial"/>
          <w:sz w:val="24"/>
          <w:szCs w:val="24"/>
          <w:lang w:val="en-US" w:eastAsia="en-US"/>
        </w:rPr>
      </w:pPr>
      <w:r w:rsidRPr="00083BF3">
        <w:rPr>
          <w:rFonts w:ascii="Arial" w:hAnsi="Arial" w:cs="Arial"/>
          <w:sz w:val="24"/>
          <w:szCs w:val="24"/>
          <w:lang w:val="en-US" w:eastAsia="en-US"/>
        </w:rPr>
        <w:t>Allegations are received from a variety of sources, including members of the public, internal teams, the Police, the NFI exercise and the Department for Work and Pensions (DWP).</w:t>
      </w:r>
      <w:r w:rsidRPr="009553D5">
        <w:rPr>
          <w:rFonts w:ascii="Arial" w:hAnsi="Arial" w:cs="Arial"/>
          <w:sz w:val="24"/>
          <w:szCs w:val="24"/>
          <w:lang w:val="en-US" w:eastAsia="en-US"/>
        </w:rPr>
        <w:t xml:space="preserve"> </w:t>
      </w:r>
    </w:p>
    <w:p w14:paraId="6D6BC34D" w14:textId="77777777" w:rsidR="009753B8" w:rsidRDefault="009753B8" w:rsidP="00E749D8">
      <w:pPr>
        <w:jc w:val="both"/>
        <w:rPr>
          <w:rFonts w:ascii="Arial" w:hAnsi="Arial" w:cs="Arial"/>
          <w:sz w:val="24"/>
          <w:szCs w:val="24"/>
          <w:lang w:val="en-US" w:eastAsia="en-US"/>
        </w:rPr>
      </w:pPr>
    </w:p>
    <w:p w14:paraId="1DF1FDA3" w14:textId="06C9FA80" w:rsidR="001F6AC1" w:rsidRDefault="00D75A11" w:rsidP="00D75A11">
      <w:pPr>
        <w:spacing w:after="200" w:line="276" w:lineRule="auto"/>
        <w:jc w:val="both"/>
        <w:rPr>
          <w:rFonts w:ascii="Arial" w:hAnsi="Arial" w:cs="Arial"/>
          <w:sz w:val="24"/>
          <w:szCs w:val="24"/>
          <w:lang w:val="en-US" w:eastAsia="en-US"/>
        </w:rPr>
      </w:pPr>
      <w:r w:rsidRPr="00D75A11">
        <w:rPr>
          <w:rFonts w:ascii="Arial" w:hAnsi="Arial" w:cs="Arial"/>
          <w:sz w:val="24"/>
          <w:szCs w:val="24"/>
          <w:lang w:val="en-US" w:eastAsia="en-US"/>
        </w:rPr>
        <w:t xml:space="preserve">In </w:t>
      </w:r>
      <w:r w:rsidR="00A47466">
        <w:rPr>
          <w:rFonts w:ascii="Arial" w:hAnsi="Arial" w:cs="Arial"/>
          <w:sz w:val="24"/>
          <w:szCs w:val="24"/>
          <w:lang w:val="en-US" w:eastAsia="en-US"/>
        </w:rPr>
        <w:t>2</w:t>
      </w:r>
      <w:r w:rsidR="00AB7E88">
        <w:rPr>
          <w:rFonts w:ascii="Arial" w:hAnsi="Arial" w:cs="Arial"/>
          <w:sz w:val="24"/>
          <w:szCs w:val="24"/>
          <w:lang w:val="en-US" w:eastAsia="en-US"/>
        </w:rPr>
        <w:t>0</w:t>
      </w:r>
      <w:r w:rsidR="00F95211">
        <w:rPr>
          <w:rFonts w:ascii="Arial" w:hAnsi="Arial" w:cs="Arial"/>
          <w:sz w:val="24"/>
          <w:szCs w:val="24"/>
          <w:lang w:val="en-US" w:eastAsia="en-US"/>
        </w:rPr>
        <w:t>2</w:t>
      </w:r>
      <w:r w:rsidR="00175A92">
        <w:rPr>
          <w:rFonts w:ascii="Arial" w:hAnsi="Arial" w:cs="Arial"/>
          <w:sz w:val="24"/>
          <w:szCs w:val="24"/>
          <w:lang w:val="en-US" w:eastAsia="en-US"/>
        </w:rPr>
        <w:t>2/23</w:t>
      </w:r>
      <w:r w:rsidR="00AB7E88">
        <w:rPr>
          <w:rFonts w:ascii="Arial" w:hAnsi="Arial" w:cs="Arial"/>
          <w:sz w:val="24"/>
          <w:szCs w:val="24"/>
          <w:lang w:val="en-US" w:eastAsia="en-US"/>
        </w:rPr>
        <w:t xml:space="preserve">, </w:t>
      </w:r>
      <w:r w:rsidR="00F21B44">
        <w:rPr>
          <w:rFonts w:ascii="Arial" w:hAnsi="Arial" w:cs="Arial"/>
          <w:sz w:val="24"/>
          <w:szCs w:val="24"/>
          <w:lang w:val="en-US" w:eastAsia="en-US"/>
        </w:rPr>
        <w:t xml:space="preserve">the number of referrals received </w:t>
      </w:r>
      <w:r w:rsidR="00545661" w:rsidRPr="00545661">
        <w:rPr>
          <w:rFonts w:ascii="Arial" w:hAnsi="Arial" w:cs="Arial"/>
          <w:sz w:val="24"/>
          <w:szCs w:val="24"/>
          <w:lang w:val="en-US" w:eastAsia="en-US"/>
        </w:rPr>
        <w:t>relating to allegations of fraud or finan</w:t>
      </w:r>
      <w:r w:rsidR="00BD3EA8">
        <w:rPr>
          <w:rFonts w:ascii="Arial" w:hAnsi="Arial" w:cs="Arial"/>
          <w:sz w:val="24"/>
          <w:szCs w:val="24"/>
          <w:lang w:val="en-US" w:eastAsia="en-US"/>
        </w:rPr>
        <w:t xml:space="preserve">cial misconduct </w:t>
      </w:r>
      <w:r w:rsidR="00026AA3">
        <w:rPr>
          <w:rFonts w:ascii="Arial" w:hAnsi="Arial" w:cs="Arial"/>
          <w:sz w:val="24"/>
          <w:szCs w:val="24"/>
          <w:lang w:val="en-US" w:eastAsia="en-US"/>
        </w:rPr>
        <w:t>amount</w:t>
      </w:r>
      <w:r w:rsidR="00545661">
        <w:rPr>
          <w:rFonts w:ascii="Arial" w:hAnsi="Arial" w:cs="Arial"/>
          <w:sz w:val="24"/>
          <w:szCs w:val="24"/>
          <w:lang w:val="en-US" w:eastAsia="en-US"/>
        </w:rPr>
        <w:t>ed</w:t>
      </w:r>
      <w:r w:rsidR="00026AA3">
        <w:rPr>
          <w:rFonts w:ascii="Arial" w:hAnsi="Arial" w:cs="Arial"/>
          <w:sz w:val="24"/>
          <w:szCs w:val="24"/>
          <w:lang w:val="en-US" w:eastAsia="en-US"/>
        </w:rPr>
        <w:t xml:space="preserve"> to 1</w:t>
      </w:r>
      <w:r w:rsidR="00175A92">
        <w:rPr>
          <w:rFonts w:ascii="Arial" w:hAnsi="Arial" w:cs="Arial"/>
          <w:sz w:val="24"/>
          <w:szCs w:val="24"/>
          <w:lang w:val="en-US" w:eastAsia="en-US"/>
        </w:rPr>
        <w:t>3</w:t>
      </w:r>
      <w:r w:rsidR="00026AA3">
        <w:rPr>
          <w:rFonts w:ascii="Arial" w:hAnsi="Arial" w:cs="Arial"/>
          <w:sz w:val="24"/>
          <w:szCs w:val="24"/>
          <w:lang w:val="en-US" w:eastAsia="en-US"/>
        </w:rPr>
        <w:t>6</w:t>
      </w:r>
      <w:r w:rsidRPr="00D75A11">
        <w:rPr>
          <w:rFonts w:ascii="Arial" w:hAnsi="Arial" w:cs="Arial"/>
          <w:sz w:val="24"/>
          <w:szCs w:val="24"/>
          <w:lang w:val="en-US" w:eastAsia="en-US"/>
        </w:rPr>
        <w:t xml:space="preserve"> </w:t>
      </w:r>
      <w:r w:rsidR="0064392A">
        <w:rPr>
          <w:rFonts w:ascii="Arial" w:hAnsi="Arial" w:cs="Arial"/>
          <w:sz w:val="24"/>
          <w:szCs w:val="24"/>
          <w:lang w:val="en-US" w:eastAsia="en-US"/>
        </w:rPr>
        <w:t xml:space="preserve">(to </w:t>
      </w:r>
      <w:r w:rsidR="00175A92">
        <w:rPr>
          <w:rFonts w:ascii="Arial" w:hAnsi="Arial" w:cs="Arial"/>
          <w:sz w:val="24"/>
          <w:szCs w:val="24"/>
          <w:lang w:val="en-US" w:eastAsia="en-US"/>
        </w:rPr>
        <w:t>9</w:t>
      </w:r>
      <w:r w:rsidR="00E741C0" w:rsidRPr="00E741C0">
        <w:rPr>
          <w:rFonts w:ascii="Arial" w:hAnsi="Arial" w:cs="Arial"/>
          <w:sz w:val="24"/>
          <w:szCs w:val="24"/>
          <w:vertAlign w:val="superscript"/>
          <w:lang w:val="en-US" w:eastAsia="en-US"/>
        </w:rPr>
        <w:t>th</w:t>
      </w:r>
      <w:r w:rsidR="00E741C0">
        <w:rPr>
          <w:rFonts w:ascii="Arial" w:hAnsi="Arial" w:cs="Arial"/>
          <w:sz w:val="24"/>
          <w:szCs w:val="24"/>
          <w:lang w:val="en-US" w:eastAsia="en-US"/>
        </w:rPr>
        <w:t xml:space="preserve"> </w:t>
      </w:r>
      <w:r w:rsidRPr="00D75A11">
        <w:rPr>
          <w:rFonts w:ascii="Arial" w:hAnsi="Arial" w:cs="Arial"/>
          <w:sz w:val="24"/>
          <w:szCs w:val="24"/>
          <w:lang w:val="en-US" w:eastAsia="en-US"/>
        </w:rPr>
        <w:t>March 202</w:t>
      </w:r>
      <w:r w:rsidR="00BD3EA8">
        <w:rPr>
          <w:rFonts w:ascii="Arial" w:hAnsi="Arial" w:cs="Arial"/>
          <w:sz w:val="24"/>
          <w:szCs w:val="24"/>
          <w:lang w:val="en-US" w:eastAsia="en-US"/>
        </w:rPr>
        <w:t>2</w:t>
      </w:r>
      <w:r w:rsidRPr="00D75A11">
        <w:rPr>
          <w:rFonts w:ascii="Arial" w:hAnsi="Arial" w:cs="Arial"/>
          <w:sz w:val="24"/>
          <w:szCs w:val="24"/>
          <w:lang w:val="en-US" w:eastAsia="en-US"/>
        </w:rPr>
        <w:t>)</w:t>
      </w:r>
      <w:r w:rsidR="000B2B1C">
        <w:rPr>
          <w:rFonts w:ascii="Arial" w:hAnsi="Arial" w:cs="Arial"/>
          <w:sz w:val="24"/>
          <w:szCs w:val="24"/>
          <w:lang w:val="en-US" w:eastAsia="en-US"/>
        </w:rPr>
        <w:t xml:space="preserve">. </w:t>
      </w:r>
      <w:r w:rsidR="00175A92">
        <w:rPr>
          <w:rFonts w:ascii="Arial" w:hAnsi="Arial" w:cs="Arial"/>
          <w:sz w:val="24"/>
          <w:szCs w:val="24"/>
          <w:lang w:val="en-US" w:eastAsia="en-US"/>
        </w:rPr>
        <w:t xml:space="preserve">This is 40 fewer than in </w:t>
      </w:r>
      <w:r w:rsidR="00170FF6">
        <w:rPr>
          <w:rFonts w:ascii="Arial" w:hAnsi="Arial" w:cs="Arial"/>
          <w:sz w:val="24"/>
          <w:szCs w:val="24"/>
          <w:lang w:val="en-US" w:eastAsia="en-US"/>
        </w:rPr>
        <w:t xml:space="preserve">2021/22. However, </w:t>
      </w:r>
      <w:r w:rsidR="004E6475">
        <w:rPr>
          <w:rFonts w:ascii="Arial" w:hAnsi="Arial" w:cs="Arial"/>
          <w:sz w:val="24"/>
          <w:szCs w:val="24"/>
          <w:lang w:val="en-US" w:eastAsia="en-US"/>
        </w:rPr>
        <w:t xml:space="preserve">this drop is accounted for by a significant decrease in the number of </w:t>
      </w:r>
      <w:r w:rsidR="00DC0C4C">
        <w:rPr>
          <w:rFonts w:ascii="Arial" w:hAnsi="Arial" w:cs="Arial"/>
          <w:sz w:val="24"/>
          <w:szCs w:val="24"/>
          <w:lang w:val="en-US" w:eastAsia="en-US"/>
        </w:rPr>
        <w:t xml:space="preserve">referrals </w:t>
      </w:r>
      <w:r w:rsidR="004E6475">
        <w:rPr>
          <w:rFonts w:ascii="Arial" w:hAnsi="Arial" w:cs="Arial"/>
          <w:sz w:val="24"/>
          <w:szCs w:val="24"/>
          <w:lang w:val="en-US" w:eastAsia="en-US"/>
        </w:rPr>
        <w:t>where no further action was required</w:t>
      </w:r>
      <w:r w:rsidR="00C32F25">
        <w:rPr>
          <w:rFonts w:ascii="Arial" w:hAnsi="Arial" w:cs="Arial"/>
          <w:sz w:val="24"/>
          <w:szCs w:val="24"/>
          <w:lang w:val="en-US" w:eastAsia="en-US"/>
        </w:rPr>
        <w:t xml:space="preserve"> from 37 to 14 </w:t>
      </w:r>
      <w:r w:rsidR="00861F87">
        <w:rPr>
          <w:rFonts w:ascii="Arial" w:hAnsi="Arial" w:cs="Arial"/>
          <w:sz w:val="24"/>
          <w:szCs w:val="24"/>
          <w:lang w:val="en-US" w:eastAsia="en-US"/>
        </w:rPr>
        <w:t xml:space="preserve">and the number of cases referred to DWP also reducing </w:t>
      </w:r>
      <w:r w:rsidR="009E3C42">
        <w:rPr>
          <w:rFonts w:ascii="Arial" w:hAnsi="Arial" w:cs="Arial"/>
          <w:sz w:val="24"/>
          <w:szCs w:val="24"/>
          <w:lang w:val="en-US" w:eastAsia="en-US"/>
        </w:rPr>
        <w:t>from 82 to 59</w:t>
      </w:r>
      <w:r w:rsidR="00861F87">
        <w:rPr>
          <w:rFonts w:ascii="Arial" w:hAnsi="Arial" w:cs="Arial"/>
          <w:sz w:val="24"/>
          <w:szCs w:val="24"/>
          <w:lang w:val="en-US" w:eastAsia="en-US"/>
        </w:rPr>
        <w:t xml:space="preserve">. </w:t>
      </w:r>
      <w:r w:rsidR="003174B5">
        <w:rPr>
          <w:rFonts w:ascii="Arial" w:hAnsi="Arial" w:cs="Arial"/>
          <w:sz w:val="24"/>
          <w:szCs w:val="24"/>
          <w:lang w:val="en-US" w:eastAsia="en-US"/>
        </w:rPr>
        <w:t xml:space="preserve">The result is a small </w:t>
      </w:r>
      <w:r w:rsidR="00765B9C">
        <w:rPr>
          <w:rFonts w:ascii="Arial" w:hAnsi="Arial" w:cs="Arial"/>
          <w:sz w:val="24"/>
          <w:szCs w:val="24"/>
          <w:lang w:val="en-US" w:eastAsia="en-US"/>
        </w:rPr>
        <w:t xml:space="preserve">overall </w:t>
      </w:r>
      <w:r w:rsidR="003174B5">
        <w:rPr>
          <w:rFonts w:ascii="Arial" w:hAnsi="Arial" w:cs="Arial"/>
          <w:sz w:val="24"/>
          <w:szCs w:val="24"/>
          <w:lang w:val="en-US" w:eastAsia="en-US"/>
        </w:rPr>
        <w:t>increase in the number of cases suitable for investigation</w:t>
      </w:r>
      <w:r w:rsidR="00345898">
        <w:rPr>
          <w:rFonts w:ascii="Arial" w:hAnsi="Arial" w:cs="Arial"/>
          <w:sz w:val="24"/>
          <w:szCs w:val="24"/>
          <w:lang w:val="en-US" w:eastAsia="en-US"/>
        </w:rPr>
        <w:t>.</w:t>
      </w:r>
      <w:r w:rsidR="003174B5">
        <w:rPr>
          <w:rFonts w:ascii="Arial" w:hAnsi="Arial" w:cs="Arial"/>
          <w:sz w:val="24"/>
          <w:szCs w:val="24"/>
          <w:lang w:val="en-US" w:eastAsia="en-US"/>
        </w:rPr>
        <w:t xml:space="preserve"> </w:t>
      </w:r>
    </w:p>
    <w:p w14:paraId="6FAA342B" w14:textId="77777777" w:rsidR="00EC56C1" w:rsidRPr="00EC56C1" w:rsidRDefault="00EC56C1" w:rsidP="00EC56C1">
      <w:pPr>
        <w:spacing w:after="200" w:line="276" w:lineRule="auto"/>
        <w:jc w:val="both"/>
        <w:rPr>
          <w:rFonts w:ascii="Arial" w:hAnsi="Arial" w:cs="Arial"/>
          <w:sz w:val="24"/>
          <w:szCs w:val="24"/>
          <w:lang w:val="en-US" w:eastAsia="en-US"/>
        </w:rPr>
      </w:pPr>
      <w:r w:rsidRPr="00EC56C1">
        <w:rPr>
          <w:rFonts w:ascii="Arial" w:hAnsi="Arial" w:cs="Arial"/>
          <w:sz w:val="24"/>
          <w:szCs w:val="24"/>
          <w:lang w:val="en-US" w:eastAsia="en-US"/>
        </w:rPr>
        <w:t xml:space="preserve">The number of Council Tax Support referrals suitable for Council Tax Support investigations has levelled off after declining for </w:t>
      </w:r>
      <w:proofErr w:type="gramStart"/>
      <w:r w:rsidRPr="00EC56C1">
        <w:rPr>
          <w:rFonts w:ascii="Arial" w:hAnsi="Arial" w:cs="Arial"/>
          <w:sz w:val="24"/>
          <w:szCs w:val="24"/>
          <w:lang w:val="en-US" w:eastAsia="en-US"/>
        </w:rPr>
        <w:t>a number of</w:t>
      </w:r>
      <w:proofErr w:type="gramEnd"/>
      <w:r w:rsidRPr="00EC56C1">
        <w:rPr>
          <w:rFonts w:ascii="Arial" w:hAnsi="Arial" w:cs="Arial"/>
          <w:sz w:val="24"/>
          <w:szCs w:val="24"/>
          <w:lang w:val="en-US" w:eastAsia="en-US"/>
        </w:rPr>
        <w:t xml:space="preserve"> years. Most allegations relating to Council Tax Support also relate to Universal Credit or other DWP benefits and are therefore, referred to DWP to investigate, but there has also been a noticeable reduction in the number of referrals made to DWP over the past 12 months. </w:t>
      </w:r>
    </w:p>
    <w:p w14:paraId="6FA04184" w14:textId="7CE8EEE3" w:rsidR="00EC56C1" w:rsidRPr="00EC56C1" w:rsidRDefault="00EC56C1" w:rsidP="00EC56C1">
      <w:pPr>
        <w:spacing w:after="200" w:line="276" w:lineRule="auto"/>
        <w:jc w:val="both"/>
        <w:rPr>
          <w:rFonts w:ascii="Arial" w:hAnsi="Arial" w:cs="Arial"/>
          <w:sz w:val="24"/>
          <w:szCs w:val="24"/>
          <w:lang w:val="en-US" w:eastAsia="en-US"/>
        </w:rPr>
      </w:pPr>
      <w:r w:rsidRPr="00EC56C1">
        <w:rPr>
          <w:rFonts w:ascii="Arial" w:hAnsi="Arial" w:cs="Arial"/>
          <w:sz w:val="24"/>
          <w:szCs w:val="24"/>
          <w:lang w:val="en-US" w:eastAsia="en-US"/>
        </w:rPr>
        <w:t xml:space="preserve">The levelling </w:t>
      </w:r>
      <w:proofErr w:type="gramStart"/>
      <w:r w:rsidRPr="00EC56C1">
        <w:rPr>
          <w:rFonts w:ascii="Arial" w:hAnsi="Arial" w:cs="Arial"/>
          <w:sz w:val="24"/>
          <w:szCs w:val="24"/>
          <w:lang w:val="en-US" w:eastAsia="en-US"/>
        </w:rPr>
        <w:t>off of</w:t>
      </w:r>
      <w:proofErr w:type="gramEnd"/>
      <w:r w:rsidRPr="00EC56C1">
        <w:rPr>
          <w:rFonts w:ascii="Arial" w:hAnsi="Arial" w:cs="Arial"/>
          <w:sz w:val="24"/>
          <w:szCs w:val="24"/>
          <w:lang w:val="en-US" w:eastAsia="en-US"/>
        </w:rPr>
        <w:t xml:space="preserve"> Council Tax Support referrals and the reduction in the numbers of referrals sent to DWP may relate to the fact that most Housing Benefit customers have now migrated to Universal Credit and as such referrals are being made directly to DWP, rather than </w:t>
      </w:r>
      <w:r w:rsidR="00D6015A">
        <w:rPr>
          <w:rFonts w:ascii="Arial" w:hAnsi="Arial" w:cs="Arial"/>
          <w:sz w:val="24"/>
          <w:szCs w:val="24"/>
          <w:lang w:val="en-US" w:eastAsia="en-US"/>
        </w:rPr>
        <w:t xml:space="preserve">to </w:t>
      </w:r>
      <w:r w:rsidRPr="00EC56C1">
        <w:rPr>
          <w:rFonts w:ascii="Arial" w:hAnsi="Arial" w:cs="Arial"/>
          <w:sz w:val="24"/>
          <w:szCs w:val="24"/>
          <w:lang w:val="en-US" w:eastAsia="en-US"/>
        </w:rPr>
        <w:t xml:space="preserve">the </w:t>
      </w:r>
      <w:r w:rsidR="00D6015A">
        <w:rPr>
          <w:rFonts w:ascii="Arial" w:hAnsi="Arial" w:cs="Arial"/>
          <w:sz w:val="24"/>
          <w:szCs w:val="24"/>
          <w:lang w:val="en-US" w:eastAsia="en-US"/>
        </w:rPr>
        <w:t>C</w:t>
      </w:r>
      <w:r w:rsidRPr="00EC56C1">
        <w:rPr>
          <w:rFonts w:ascii="Arial" w:hAnsi="Arial" w:cs="Arial"/>
          <w:sz w:val="24"/>
          <w:szCs w:val="24"/>
          <w:lang w:val="en-US" w:eastAsia="en-US"/>
        </w:rPr>
        <w:t>ouncil.</w:t>
      </w:r>
    </w:p>
    <w:p w14:paraId="4A0A5798" w14:textId="57F7AB75" w:rsidR="00F95211" w:rsidRDefault="001F6AC1" w:rsidP="009753B8">
      <w:pPr>
        <w:spacing w:after="200" w:line="276" w:lineRule="auto"/>
        <w:jc w:val="both"/>
        <w:rPr>
          <w:rFonts w:ascii="Arial" w:hAnsi="Arial" w:cs="Arial"/>
          <w:sz w:val="24"/>
          <w:szCs w:val="24"/>
          <w:lang w:val="en-US" w:eastAsia="en-US"/>
        </w:rPr>
      </w:pPr>
      <w:r>
        <w:rPr>
          <w:noProof/>
        </w:rPr>
        <w:lastRenderedPageBreak/>
        <w:drawing>
          <wp:inline distT="0" distB="0" distL="0" distR="0" wp14:anchorId="41AF3709" wp14:editId="6BDF6D5B">
            <wp:extent cx="4572000" cy="2743200"/>
            <wp:effectExtent l="0" t="0" r="0" b="0"/>
            <wp:docPr id="1" name="Chart 1" descr="Pie chart showing breakdown of referrals received in 2020/21&#10;-Blue Badge Referrals 11 total (10%)&#10;-Internal referrals (incl whistleblowing) 1 total (1%)&#10;-Council Tax discount referrals 23 total (22%)&#10;-Council Tax Support referrals 10 total (10%)&#10;-Housing Benefit/Universal Credit referrals 60 Total (57%)">
              <a:extLst xmlns:a="http://schemas.openxmlformats.org/drawingml/2006/main">
                <a:ext uri="{FF2B5EF4-FFF2-40B4-BE49-F238E27FC236}">
                  <a16:creationId xmlns:a16="http://schemas.microsoft.com/office/drawing/2014/main" id="{EADEA2E7-875B-4A9F-8171-4FF86084B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799BDE" w14:textId="5C4FFEBD" w:rsidR="00852D26" w:rsidRDefault="00B77B41" w:rsidP="009753B8">
      <w:pPr>
        <w:spacing w:after="200" w:line="276" w:lineRule="auto"/>
        <w:jc w:val="both"/>
        <w:rPr>
          <w:rFonts w:ascii="Arial" w:hAnsi="Arial" w:cs="Arial"/>
          <w:sz w:val="24"/>
          <w:szCs w:val="24"/>
          <w:lang w:val="en-US" w:eastAsia="en-US"/>
        </w:rPr>
      </w:pPr>
      <w:r>
        <w:rPr>
          <w:noProof/>
        </w:rPr>
        <w:drawing>
          <wp:inline distT="0" distB="0" distL="0" distR="0" wp14:anchorId="3F64FD2F" wp14:editId="75EFDA83">
            <wp:extent cx="4572000" cy="2743200"/>
            <wp:effectExtent l="0" t="0" r="0" b="0"/>
            <wp:docPr id="3" name="Chart 3" descr="Pie chart showing breakdown of referrals received in 2021/22&#10;-No further action required 37 total (21%)&#10;-Blue Badge Referrals 11 total (6%)&#10;-Internal referrals (incl whistleblowing) 5 total (2%)&#10;-Council Tax discount referrals 22 total (22%)&#10;-Council Tax Support referrals 4 total (2%)&#10;-Housing Benefit/Universal Credit referrals 82 Total (47%)">
              <a:extLst xmlns:a="http://schemas.openxmlformats.org/drawingml/2006/main">
                <a:ext uri="{FF2B5EF4-FFF2-40B4-BE49-F238E27FC236}">
                  <a16:creationId xmlns:a16="http://schemas.microsoft.com/office/drawing/2014/main" id="{EADEA2E7-875B-4A9F-8171-4FF86084B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EC7294" w14:textId="57ECA66D" w:rsidR="00D474B9" w:rsidRDefault="00EF50BB" w:rsidP="009753B8">
      <w:pPr>
        <w:spacing w:after="200" w:line="276" w:lineRule="auto"/>
        <w:jc w:val="both"/>
        <w:rPr>
          <w:rFonts w:ascii="Arial" w:hAnsi="Arial" w:cs="Arial"/>
          <w:sz w:val="24"/>
          <w:szCs w:val="24"/>
          <w:lang w:val="en-US" w:eastAsia="en-US"/>
        </w:rPr>
      </w:pPr>
      <w:r>
        <w:rPr>
          <w:noProof/>
        </w:rPr>
        <w:drawing>
          <wp:inline distT="0" distB="0" distL="0" distR="0" wp14:anchorId="2CB9962A" wp14:editId="629F6A5D">
            <wp:extent cx="4572000" cy="2743200"/>
            <wp:effectExtent l="0" t="0" r="0" b="0"/>
            <wp:docPr id="2" name="Chart 2" descr="Pie chart showing breakdown of referrals received in 2022/23&#10;-No further action required 14 total (10%)&#10;-Blue Badge Referrals 14 total (10%)&#10;-Internal referrals (incl whistleblowing) 3 total (2%)&#10;-Council Tax discount referrals 42 total (31%)&#10;-Council Tax Support referrals 4 total (3%)&#10;-Housing Benefit/Universal Credit referrals 59 Total (43%)">
              <a:extLst xmlns:a="http://schemas.openxmlformats.org/drawingml/2006/main">
                <a:ext uri="{FF2B5EF4-FFF2-40B4-BE49-F238E27FC236}">
                  <a16:creationId xmlns:a16="http://schemas.microsoft.com/office/drawing/2014/main" id="{B95C9036-5C3C-EE9D-9B7A-649DE234F2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6ED8E1" w14:textId="2A34AE8C" w:rsidR="00D37338" w:rsidRDefault="00D37338" w:rsidP="00D37338">
      <w:pPr>
        <w:pStyle w:val="Heading2"/>
      </w:pPr>
      <w:r w:rsidRPr="00E749D8">
        <w:lastRenderedPageBreak/>
        <w:t>Internal investigations</w:t>
      </w:r>
    </w:p>
    <w:p w14:paraId="3DF5B2A5" w14:textId="77777777" w:rsidR="001F21E9" w:rsidRDefault="001F21E9" w:rsidP="00412ADA">
      <w:pPr>
        <w:pStyle w:val="ListParagraph"/>
        <w:ind w:left="0"/>
        <w:jc w:val="both"/>
        <w:rPr>
          <w:rFonts w:ascii="Arial" w:hAnsi="Arial" w:cs="Arial"/>
          <w:b/>
          <w:sz w:val="24"/>
          <w:szCs w:val="24"/>
        </w:rPr>
      </w:pPr>
    </w:p>
    <w:p w14:paraId="71BD55B5" w14:textId="6FA58FF8" w:rsidR="00705D6B" w:rsidRDefault="00DC7297" w:rsidP="00412ADA">
      <w:pPr>
        <w:pStyle w:val="ListParagraph"/>
        <w:ind w:left="0"/>
        <w:jc w:val="both"/>
        <w:rPr>
          <w:rFonts w:ascii="Arial" w:hAnsi="Arial" w:cs="Arial"/>
          <w:sz w:val="24"/>
          <w:szCs w:val="24"/>
        </w:rPr>
      </w:pPr>
      <w:r>
        <w:rPr>
          <w:rFonts w:ascii="Arial" w:hAnsi="Arial" w:cs="Arial"/>
          <w:bCs/>
          <w:sz w:val="24"/>
          <w:szCs w:val="24"/>
        </w:rPr>
        <w:t>Three</w:t>
      </w:r>
      <w:r w:rsidR="00412ADA">
        <w:rPr>
          <w:rFonts w:ascii="Arial" w:hAnsi="Arial" w:cs="Arial"/>
          <w:sz w:val="24"/>
          <w:szCs w:val="24"/>
        </w:rPr>
        <w:t xml:space="preserve"> </w:t>
      </w:r>
      <w:r w:rsidR="00D37338" w:rsidRPr="00E749D8">
        <w:rPr>
          <w:rFonts w:ascii="Arial" w:hAnsi="Arial" w:cs="Arial"/>
          <w:sz w:val="24"/>
          <w:szCs w:val="24"/>
        </w:rPr>
        <w:t>internal allegation</w:t>
      </w:r>
      <w:r w:rsidR="00502410">
        <w:rPr>
          <w:rFonts w:ascii="Arial" w:hAnsi="Arial" w:cs="Arial"/>
          <w:sz w:val="24"/>
          <w:szCs w:val="24"/>
        </w:rPr>
        <w:t>s</w:t>
      </w:r>
      <w:r w:rsidR="00D37338" w:rsidRPr="00E749D8">
        <w:rPr>
          <w:rFonts w:ascii="Arial" w:hAnsi="Arial" w:cs="Arial"/>
          <w:sz w:val="24"/>
          <w:szCs w:val="24"/>
        </w:rPr>
        <w:t xml:space="preserve"> h</w:t>
      </w:r>
      <w:r w:rsidR="00412ADA">
        <w:rPr>
          <w:rFonts w:ascii="Arial" w:hAnsi="Arial" w:cs="Arial"/>
          <w:sz w:val="24"/>
          <w:szCs w:val="24"/>
        </w:rPr>
        <w:t>a</w:t>
      </w:r>
      <w:r w:rsidR="00502410">
        <w:rPr>
          <w:rFonts w:ascii="Arial" w:hAnsi="Arial" w:cs="Arial"/>
          <w:sz w:val="24"/>
          <w:szCs w:val="24"/>
        </w:rPr>
        <w:t>v</w:t>
      </w:r>
      <w:r w:rsidR="00C26DF7">
        <w:rPr>
          <w:rFonts w:ascii="Arial" w:hAnsi="Arial" w:cs="Arial"/>
          <w:sz w:val="24"/>
          <w:szCs w:val="24"/>
        </w:rPr>
        <w:t>e</w:t>
      </w:r>
      <w:r w:rsidR="00412ADA">
        <w:rPr>
          <w:rFonts w:ascii="Arial" w:hAnsi="Arial" w:cs="Arial"/>
          <w:sz w:val="24"/>
          <w:szCs w:val="24"/>
        </w:rPr>
        <w:t xml:space="preserve"> been</w:t>
      </w:r>
      <w:r w:rsidR="00D37338" w:rsidRPr="00E749D8">
        <w:rPr>
          <w:rFonts w:ascii="Arial" w:hAnsi="Arial" w:cs="Arial"/>
          <w:sz w:val="24"/>
          <w:szCs w:val="24"/>
        </w:rPr>
        <w:t xml:space="preserve"> reported during </w:t>
      </w:r>
      <w:r w:rsidR="00D37338">
        <w:rPr>
          <w:rFonts w:ascii="Arial" w:hAnsi="Arial" w:cs="Arial"/>
          <w:sz w:val="24"/>
          <w:szCs w:val="24"/>
        </w:rPr>
        <w:t>20</w:t>
      </w:r>
      <w:r w:rsidR="00412ADA">
        <w:rPr>
          <w:rFonts w:ascii="Arial" w:hAnsi="Arial" w:cs="Arial"/>
          <w:sz w:val="24"/>
          <w:szCs w:val="24"/>
        </w:rPr>
        <w:t>2</w:t>
      </w:r>
      <w:r>
        <w:rPr>
          <w:rFonts w:ascii="Arial" w:hAnsi="Arial" w:cs="Arial"/>
          <w:sz w:val="24"/>
          <w:szCs w:val="24"/>
        </w:rPr>
        <w:t xml:space="preserve">2/23, </w:t>
      </w:r>
      <w:r w:rsidR="00600328">
        <w:rPr>
          <w:rFonts w:ascii="Arial" w:hAnsi="Arial" w:cs="Arial"/>
          <w:sz w:val="24"/>
          <w:szCs w:val="24"/>
        </w:rPr>
        <w:t>two</w:t>
      </w:r>
      <w:r>
        <w:rPr>
          <w:rFonts w:ascii="Arial" w:hAnsi="Arial" w:cs="Arial"/>
          <w:sz w:val="24"/>
          <w:szCs w:val="24"/>
        </w:rPr>
        <w:t xml:space="preserve"> of which </w:t>
      </w:r>
      <w:r w:rsidR="00600328">
        <w:rPr>
          <w:rFonts w:ascii="Arial" w:hAnsi="Arial" w:cs="Arial"/>
          <w:sz w:val="24"/>
          <w:szCs w:val="24"/>
        </w:rPr>
        <w:t xml:space="preserve">constitute </w:t>
      </w:r>
      <w:r w:rsidR="00767F61">
        <w:rPr>
          <w:rFonts w:ascii="Arial" w:hAnsi="Arial" w:cs="Arial"/>
          <w:sz w:val="24"/>
          <w:szCs w:val="24"/>
        </w:rPr>
        <w:t xml:space="preserve">disclosures under the Public Interest </w:t>
      </w:r>
      <w:r w:rsidR="00504D62">
        <w:rPr>
          <w:rFonts w:ascii="Arial" w:hAnsi="Arial" w:cs="Arial"/>
          <w:sz w:val="24"/>
          <w:szCs w:val="24"/>
        </w:rPr>
        <w:t>D</w:t>
      </w:r>
      <w:r w:rsidR="00767F61">
        <w:rPr>
          <w:rFonts w:ascii="Arial" w:hAnsi="Arial" w:cs="Arial"/>
          <w:sz w:val="24"/>
          <w:szCs w:val="24"/>
        </w:rPr>
        <w:t>isclosure Act</w:t>
      </w:r>
      <w:r w:rsidR="00502410">
        <w:rPr>
          <w:rFonts w:ascii="Arial" w:hAnsi="Arial" w:cs="Arial"/>
          <w:sz w:val="24"/>
          <w:szCs w:val="24"/>
        </w:rPr>
        <w:t xml:space="preserve">. </w:t>
      </w:r>
      <w:r w:rsidR="009C169F">
        <w:rPr>
          <w:rFonts w:ascii="Arial" w:hAnsi="Arial" w:cs="Arial"/>
          <w:sz w:val="24"/>
          <w:szCs w:val="24"/>
        </w:rPr>
        <w:t xml:space="preserve">Of these, </w:t>
      </w:r>
      <w:r w:rsidR="002C4EB4">
        <w:rPr>
          <w:rFonts w:ascii="Arial" w:hAnsi="Arial" w:cs="Arial"/>
          <w:sz w:val="24"/>
          <w:szCs w:val="24"/>
        </w:rPr>
        <w:t>one</w:t>
      </w:r>
      <w:r w:rsidR="009C169F">
        <w:rPr>
          <w:rFonts w:ascii="Arial" w:hAnsi="Arial" w:cs="Arial"/>
          <w:sz w:val="24"/>
          <w:szCs w:val="24"/>
        </w:rPr>
        <w:t xml:space="preserve"> relate</w:t>
      </w:r>
      <w:r w:rsidR="0074317D">
        <w:rPr>
          <w:rFonts w:ascii="Arial" w:hAnsi="Arial" w:cs="Arial"/>
          <w:sz w:val="24"/>
          <w:szCs w:val="24"/>
        </w:rPr>
        <w:t xml:space="preserve">d to misuse of </w:t>
      </w:r>
      <w:r w:rsidR="002C4EB4">
        <w:rPr>
          <w:rFonts w:ascii="Arial" w:hAnsi="Arial" w:cs="Arial"/>
          <w:sz w:val="24"/>
          <w:szCs w:val="24"/>
        </w:rPr>
        <w:t>council vehicles, one t</w:t>
      </w:r>
      <w:r w:rsidR="0018136C">
        <w:rPr>
          <w:rFonts w:ascii="Arial" w:hAnsi="Arial" w:cs="Arial"/>
          <w:sz w:val="24"/>
          <w:szCs w:val="24"/>
        </w:rPr>
        <w:t>o misuse of data</w:t>
      </w:r>
      <w:r w:rsidR="00705D6B">
        <w:rPr>
          <w:rFonts w:ascii="Arial" w:hAnsi="Arial" w:cs="Arial"/>
          <w:sz w:val="24"/>
          <w:szCs w:val="24"/>
        </w:rPr>
        <w:t xml:space="preserve"> and one to </w:t>
      </w:r>
      <w:r w:rsidR="0040789C">
        <w:rPr>
          <w:rFonts w:ascii="Arial" w:hAnsi="Arial" w:cs="Arial"/>
          <w:sz w:val="24"/>
          <w:szCs w:val="24"/>
        </w:rPr>
        <w:t>alleged theft</w:t>
      </w:r>
      <w:r w:rsidR="00705D6B">
        <w:rPr>
          <w:rFonts w:ascii="Arial" w:hAnsi="Arial" w:cs="Arial"/>
          <w:sz w:val="24"/>
          <w:szCs w:val="24"/>
        </w:rPr>
        <w:t>.</w:t>
      </w:r>
    </w:p>
    <w:p w14:paraId="6B3B0608" w14:textId="77777777" w:rsidR="00705D6B" w:rsidRDefault="00705D6B" w:rsidP="00412ADA">
      <w:pPr>
        <w:pStyle w:val="ListParagraph"/>
        <w:ind w:left="0"/>
        <w:jc w:val="both"/>
        <w:rPr>
          <w:rFonts w:ascii="Arial" w:hAnsi="Arial" w:cs="Arial"/>
          <w:sz w:val="24"/>
          <w:szCs w:val="24"/>
        </w:rPr>
      </w:pPr>
    </w:p>
    <w:p w14:paraId="7707F7F1" w14:textId="786CAADA" w:rsidR="009351FF" w:rsidRDefault="00504D62" w:rsidP="00412ADA">
      <w:pPr>
        <w:pStyle w:val="ListParagraph"/>
        <w:ind w:left="0"/>
        <w:jc w:val="both"/>
        <w:rPr>
          <w:rFonts w:ascii="Arial" w:hAnsi="Arial" w:cs="Arial"/>
          <w:sz w:val="24"/>
          <w:szCs w:val="24"/>
        </w:rPr>
      </w:pPr>
      <w:r>
        <w:rPr>
          <w:rFonts w:ascii="Arial" w:hAnsi="Arial" w:cs="Arial"/>
          <w:sz w:val="24"/>
          <w:szCs w:val="24"/>
        </w:rPr>
        <w:t xml:space="preserve">Five investigations </w:t>
      </w:r>
      <w:r w:rsidR="00390D1F">
        <w:rPr>
          <w:rFonts w:ascii="Arial" w:hAnsi="Arial" w:cs="Arial"/>
          <w:sz w:val="24"/>
          <w:szCs w:val="24"/>
        </w:rPr>
        <w:t>have been completed during 2022/23 (two carried over from 2021/22).</w:t>
      </w:r>
      <w:r w:rsidR="00802909">
        <w:rPr>
          <w:rFonts w:ascii="Arial" w:hAnsi="Arial" w:cs="Arial"/>
          <w:sz w:val="24"/>
          <w:szCs w:val="24"/>
        </w:rPr>
        <w:t xml:space="preserve"> Of these cases, two were closed with no </w:t>
      </w:r>
      <w:r w:rsidR="00317F0D">
        <w:rPr>
          <w:rFonts w:ascii="Arial" w:hAnsi="Arial" w:cs="Arial"/>
          <w:sz w:val="24"/>
          <w:szCs w:val="24"/>
        </w:rPr>
        <w:t xml:space="preserve">issues identified. One resulted in informal management action being taken, </w:t>
      </w:r>
      <w:r w:rsidR="00C8234D">
        <w:rPr>
          <w:rFonts w:ascii="Arial" w:hAnsi="Arial" w:cs="Arial"/>
          <w:sz w:val="24"/>
          <w:szCs w:val="24"/>
        </w:rPr>
        <w:t>one was identified as a clerical error and addressed by the service</w:t>
      </w:r>
      <w:r w:rsidR="005278FB">
        <w:rPr>
          <w:rFonts w:ascii="Arial" w:hAnsi="Arial" w:cs="Arial"/>
          <w:sz w:val="24"/>
          <w:szCs w:val="24"/>
        </w:rPr>
        <w:t xml:space="preserve"> and the final case</w:t>
      </w:r>
      <w:r w:rsidR="00F16D40">
        <w:rPr>
          <w:rFonts w:ascii="Arial" w:hAnsi="Arial" w:cs="Arial"/>
          <w:sz w:val="24"/>
          <w:szCs w:val="24"/>
        </w:rPr>
        <w:t xml:space="preserve"> resulted in</w:t>
      </w:r>
      <w:r w:rsidR="00C83E68">
        <w:rPr>
          <w:rFonts w:ascii="Arial" w:hAnsi="Arial" w:cs="Arial"/>
          <w:sz w:val="24"/>
          <w:szCs w:val="24"/>
        </w:rPr>
        <w:t xml:space="preserve"> advice being provided to </w:t>
      </w:r>
      <w:r w:rsidR="00F16D40">
        <w:rPr>
          <w:rFonts w:ascii="Arial" w:hAnsi="Arial" w:cs="Arial"/>
          <w:sz w:val="24"/>
          <w:szCs w:val="24"/>
        </w:rPr>
        <w:t xml:space="preserve">the service </w:t>
      </w:r>
      <w:r w:rsidR="00C83E68">
        <w:rPr>
          <w:rFonts w:ascii="Arial" w:hAnsi="Arial" w:cs="Arial"/>
          <w:sz w:val="24"/>
          <w:szCs w:val="24"/>
        </w:rPr>
        <w:t>area to prevent future issues</w:t>
      </w:r>
      <w:r w:rsidR="00D6015A">
        <w:rPr>
          <w:rFonts w:ascii="Arial" w:hAnsi="Arial" w:cs="Arial"/>
          <w:sz w:val="24"/>
          <w:szCs w:val="24"/>
        </w:rPr>
        <w:t>.</w:t>
      </w:r>
    </w:p>
    <w:p w14:paraId="4B7CD0C9" w14:textId="10797F13" w:rsidR="00390D1F" w:rsidRDefault="00390D1F" w:rsidP="00412ADA">
      <w:pPr>
        <w:pStyle w:val="ListParagraph"/>
        <w:ind w:left="0"/>
        <w:jc w:val="both"/>
        <w:rPr>
          <w:rFonts w:ascii="Arial" w:hAnsi="Arial" w:cs="Arial"/>
          <w:sz w:val="24"/>
          <w:szCs w:val="24"/>
        </w:rPr>
      </w:pPr>
    </w:p>
    <w:p w14:paraId="56621475" w14:textId="77777777" w:rsidR="00D37338" w:rsidRPr="00524B05" w:rsidRDefault="00D37338" w:rsidP="00D37338">
      <w:pPr>
        <w:pStyle w:val="Heading2"/>
      </w:pPr>
      <w:r>
        <w:t>Disabled Persons Blue Badge Scheme</w:t>
      </w:r>
    </w:p>
    <w:p w14:paraId="0BB7ABF7" w14:textId="77777777" w:rsidR="00D37338" w:rsidRDefault="00D37338" w:rsidP="00D37338">
      <w:pPr>
        <w:jc w:val="both"/>
        <w:rPr>
          <w:rFonts w:ascii="Arial" w:hAnsi="Arial" w:cs="Arial"/>
          <w:sz w:val="24"/>
          <w:szCs w:val="24"/>
        </w:rPr>
      </w:pPr>
    </w:p>
    <w:p w14:paraId="204CE5F2" w14:textId="77777777" w:rsidR="00D37338" w:rsidRPr="006D0A1E" w:rsidRDefault="00D37338" w:rsidP="00D37338">
      <w:pPr>
        <w:jc w:val="both"/>
        <w:rPr>
          <w:rFonts w:ascii="Arial" w:hAnsi="Arial" w:cs="Arial"/>
          <w:sz w:val="24"/>
          <w:szCs w:val="24"/>
        </w:rPr>
      </w:pPr>
      <w:r w:rsidRPr="006D0A1E">
        <w:rPr>
          <w:rFonts w:ascii="Arial" w:hAnsi="Arial" w:cs="Arial"/>
          <w:sz w:val="24"/>
          <w:szCs w:val="24"/>
        </w:rPr>
        <w:t>The Blue Badge (Disabled Parking) Scheme provides a national arrangement of parking concessions for those people who have a permanent or substantial disability</w:t>
      </w:r>
      <w:r>
        <w:rPr>
          <w:rFonts w:ascii="Arial" w:hAnsi="Arial" w:cs="Arial"/>
          <w:sz w:val="24"/>
          <w:szCs w:val="24"/>
        </w:rPr>
        <w:t>.</w:t>
      </w:r>
      <w:r w:rsidRPr="006D0A1E">
        <w:t xml:space="preserve"> </w:t>
      </w:r>
      <w:r w:rsidRPr="006D0A1E">
        <w:rPr>
          <w:rFonts w:ascii="Arial" w:hAnsi="Arial" w:cs="Arial"/>
          <w:sz w:val="24"/>
          <w:szCs w:val="24"/>
        </w:rPr>
        <w:t xml:space="preserve">The misuse of the Blue Badge scheme undermines the benefits of the scheme, impacts upon local traffic </w:t>
      </w:r>
      <w:proofErr w:type="gramStart"/>
      <w:r w:rsidRPr="006D0A1E">
        <w:rPr>
          <w:rFonts w:ascii="Arial" w:hAnsi="Arial" w:cs="Arial"/>
          <w:sz w:val="24"/>
          <w:szCs w:val="24"/>
        </w:rPr>
        <w:t>management</w:t>
      </w:r>
      <w:proofErr w:type="gramEnd"/>
      <w:r w:rsidRPr="006D0A1E">
        <w:rPr>
          <w:rFonts w:ascii="Arial" w:hAnsi="Arial" w:cs="Arial"/>
          <w:sz w:val="24"/>
          <w:szCs w:val="24"/>
        </w:rPr>
        <w:t xml:space="preserve"> and creates hostility amongst other badge holders and members of the public. It can result in a genuinely disabled person being unable to access designated parking spaces.</w:t>
      </w:r>
    </w:p>
    <w:p w14:paraId="411E25C4" w14:textId="77777777" w:rsidR="00D37338" w:rsidRDefault="00D37338" w:rsidP="00D37338">
      <w:pPr>
        <w:shd w:val="clear" w:color="auto" w:fill="FFFFFF"/>
        <w:spacing w:after="200"/>
        <w:jc w:val="both"/>
        <w:rPr>
          <w:rFonts w:ascii="Arial" w:hAnsi="Arial" w:cs="Arial"/>
          <w:sz w:val="24"/>
          <w:szCs w:val="24"/>
        </w:rPr>
      </w:pPr>
    </w:p>
    <w:p w14:paraId="3C9BBA87" w14:textId="77777777" w:rsidR="00D37338" w:rsidRDefault="00D37338" w:rsidP="00D37338">
      <w:pPr>
        <w:shd w:val="clear" w:color="auto" w:fill="FFFFFF"/>
        <w:spacing w:after="200"/>
        <w:jc w:val="both"/>
        <w:rPr>
          <w:rFonts w:ascii="Arial" w:hAnsi="Arial" w:cs="Arial"/>
          <w:sz w:val="24"/>
          <w:szCs w:val="24"/>
        </w:rPr>
      </w:pPr>
      <w:r>
        <w:rPr>
          <w:rFonts w:ascii="Arial" w:hAnsi="Arial" w:cs="Arial"/>
          <w:sz w:val="24"/>
          <w:szCs w:val="24"/>
        </w:rPr>
        <w:t>The following action has been taken in relation to misuse of the blue badge scheme:</w:t>
      </w:r>
    </w:p>
    <w:tbl>
      <w:tblPr>
        <w:tblStyle w:val="PlainTable1"/>
        <w:tblW w:w="0" w:type="auto"/>
        <w:tblLook w:val="04A0" w:firstRow="1" w:lastRow="0" w:firstColumn="1" w:lastColumn="0" w:noHBand="0" w:noVBand="1"/>
        <w:tblCaption w:val="Blue badge referrals"/>
        <w:tblDescription w:val="Table showing number of blue badge referrals received and outcomes"/>
      </w:tblPr>
      <w:tblGrid>
        <w:gridCol w:w="2350"/>
        <w:gridCol w:w="6178"/>
      </w:tblGrid>
      <w:tr w:rsidR="00D37338" w:rsidRPr="00E749D8" w14:paraId="22B6126D" w14:textId="77777777" w:rsidTr="004B3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dxa"/>
          </w:tcPr>
          <w:p w14:paraId="3D4F9D37" w14:textId="0B94D754" w:rsidR="00D37338" w:rsidRPr="004B3DDC" w:rsidRDefault="00560886" w:rsidP="00B00A34">
            <w:pPr>
              <w:jc w:val="center"/>
              <w:rPr>
                <w:rFonts w:ascii="Arial" w:hAnsi="Arial" w:cs="Arial"/>
                <w:b w:val="0"/>
                <w:bCs w:val="0"/>
                <w:sz w:val="36"/>
                <w:szCs w:val="36"/>
              </w:rPr>
            </w:pPr>
            <w:r w:rsidRPr="004B3DDC">
              <w:rPr>
                <w:rFonts w:ascii="Arial" w:hAnsi="Arial" w:cs="Arial"/>
                <w:b w:val="0"/>
                <w:bCs w:val="0"/>
                <w:sz w:val="36"/>
                <w:szCs w:val="36"/>
              </w:rPr>
              <w:t>1</w:t>
            </w:r>
            <w:r w:rsidR="00A1004D">
              <w:rPr>
                <w:rFonts w:ascii="Arial" w:hAnsi="Arial" w:cs="Arial"/>
                <w:b w:val="0"/>
                <w:bCs w:val="0"/>
                <w:sz w:val="36"/>
                <w:szCs w:val="36"/>
              </w:rPr>
              <w:t>4</w:t>
            </w:r>
          </w:p>
        </w:tc>
        <w:tc>
          <w:tcPr>
            <w:tcW w:w="6178" w:type="dxa"/>
          </w:tcPr>
          <w:p w14:paraId="324F2E75" w14:textId="77777777" w:rsidR="00D37338" w:rsidRPr="004B3DDC" w:rsidRDefault="00D37338" w:rsidP="00B00A34">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4B3DDC">
              <w:rPr>
                <w:rFonts w:ascii="Arial" w:hAnsi="Arial" w:cs="Arial"/>
                <w:b w:val="0"/>
                <w:bCs w:val="0"/>
                <w:sz w:val="24"/>
                <w:szCs w:val="24"/>
              </w:rPr>
              <w:t>Number of allegations of misuse received for investigation</w:t>
            </w:r>
          </w:p>
        </w:tc>
      </w:tr>
      <w:tr w:rsidR="00D37338" w:rsidRPr="00E749D8" w14:paraId="26272065" w14:textId="77777777" w:rsidTr="004B3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dxa"/>
          </w:tcPr>
          <w:p w14:paraId="3DEDA3DC" w14:textId="7CF95564" w:rsidR="00D37338" w:rsidRPr="00E749D8" w:rsidRDefault="00504B80" w:rsidP="00B00A34">
            <w:pPr>
              <w:jc w:val="center"/>
              <w:rPr>
                <w:rFonts w:ascii="Arial" w:hAnsi="Arial" w:cs="Arial"/>
                <w:b w:val="0"/>
                <w:sz w:val="36"/>
                <w:szCs w:val="36"/>
              </w:rPr>
            </w:pPr>
            <w:r>
              <w:rPr>
                <w:rFonts w:ascii="Arial" w:hAnsi="Arial" w:cs="Arial"/>
                <w:b w:val="0"/>
                <w:sz w:val="36"/>
                <w:szCs w:val="36"/>
              </w:rPr>
              <w:t>1</w:t>
            </w:r>
            <w:r w:rsidR="00703E3E">
              <w:rPr>
                <w:rFonts w:ascii="Arial" w:hAnsi="Arial" w:cs="Arial"/>
                <w:b w:val="0"/>
                <w:sz w:val="36"/>
                <w:szCs w:val="36"/>
              </w:rPr>
              <w:t>4</w:t>
            </w:r>
          </w:p>
        </w:tc>
        <w:tc>
          <w:tcPr>
            <w:tcW w:w="6178" w:type="dxa"/>
          </w:tcPr>
          <w:p w14:paraId="60B3F49B" w14:textId="77777777" w:rsidR="00D37338" w:rsidRDefault="00D37338" w:rsidP="00B00A3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D25B8">
              <w:rPr>
                <w:rFonts w:ascii="Arial" w:hAnsi="Arial" w:cs="Arial"/>
                <w:sz w:val="24"/>
                <w:szCs w:val="24"/>
              </w:rPr>
              <w:t xml:space="preserve">Investigations </w:t>
            </w:r>
            <w:proofErr w:type="gramStart"/>
            <w:r w:rsidRPr="00CD25B8">
              <w:rPr>
                <w:rFonts w:ascii="Arial" w:hAnsi="Arial" w:cs="Arial"/>
                <w:sz w:val="24"/>
                <w:szCs w:val="24"/>
              </w:rPr>
              <w:t>complete</w:t>
            </w:r>
            <w:r>
              <w:rPr>
                <w:rFonts w:ascii="Arial" w:hAnsi="Arial" w:cs="Arial"/>
                <w:sz w:val="24"/>
                <w:szCs w:val="24"/>
              </w:rPr>
              <w:t>d</w:t>
            </w:r>
            <w:proofErr w:type="gramEnd"/>
          </w:p>
          <w:p w14:paraId="72BBB54C" w14:textId="77777777" w:rsidR="00D37338" w:rsidRPr="00E749D8" w:rsidRDefault="00D37338" w:rsidP="00B00A3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37338" w:rsidRPr="00E749D8" w14:paraId="010769BE" w14:textId="77777777" w:rsidTr="004B3DDC">
        <w:tc>
          <w:tcPr>
            <w:cnfStyle w:val="001000000000" w:firstRow="0" w:lastRow="0" w:firstColumn="1" w:lastColumn="0" w:oddVBand="0" w:evenVBand="0" w:oddHBand="0" w:evenHBand="0" w:firstRowFirstColumn="0" w:firstRowLastColumn="0" w:lastRowFirstColumn="0" w:lastRowLastColumn="0"/>
            <w:tcW w:w="2350" w:type="dxa"/>
          </w:tcPr>
          <w:p w14:paraId="461278DD" w14:textId="218FECAE" w:rsidR="00D37338" w:rsidRPr="00E749D8" w:rsidRDefault="00565CCC" w:rsidP="00B00A34">
            <w:pPr>
              <w:jc w:val="center"/>
              <w:rPr>
                <w:rFonts w:ascii="Arial" w:hAnsi="Arial" w:cs="Arial"/>
                <w:b w:val="0"/>
                <w:sz w:val="36"/>
                <w:szCs w:val="36"/>
              </w:rPr>
            </w:pPr>
            <w:r>
              <w:rPr>
                <w:rFonts w:ascii="Arial" w:hAnsi="Arial" w:cs="Arial"/>
                <w:b w:val="0"/>
                <w:sz w:val="36"/>
                <w:szCs w:val="36"/>
              </w:rPr>
              <w:t>3</w:t>
            </w:r>
          </w:p>
        </w:tc>
        <w:tc>
          <w:tcPr>
            <w:tcW w:w="6178" w:type="dxa"/>
          </w:tcPr>
          <w:p w14:paraId="7E8CF7B2" w14:textId="51760178" w:rsidR="00D37338" w:rsidRPr="00E749D8" w:rsidRDefault="00565CCC" w:rsidP="00B00A3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Offences proven but no</w:t>
            </w:r>
            <w:r w:rsidR="00DA7060">
              <w:rPr>
                <w:rFonts w:ascii="Arial" w:hAnsi="Arial" w:cs="Arial"/>
                <w:sz w:val="24"/>
                <w:szCs w:val="24"/>
              </w:rPr>
              <w:t>t in the</w:t>
            </w:r>
            <w:r>
              <w:rPr>
                <w:rFonts w:ascii="Arial" w:hAnsi="Arial" w:cs="Arial"/>
                <w:sz w:val="24"/>
                <w:szCs w:val="24"/>
              </w:rPr>
              <w:t xml:space="preserve"> public interest </w:t>
            </w:r>
            <w:r w:rsidR="00DA7060">
              <w:rPr>
                <w:rFonts w:ascii="Arial" w:hAnsi="Arial" w:cs="Arial"/>
                <w:sz w:val="24"/>
                <w:szCs w:val="24"/>
              </w:rPr>
              <w:t>to prosecute</w:t>
            </w:r>
            <w:r>
              <w:rPr>
                <w:rFonts w:ascii="Arial" w:hAnsi="Arial" w:cs="Arial"/>
                <w:sz w:val="24"/>
                <w:szCs w:val="24"/>
              </w:rPr>
              <w:t xml:space="preserve"> </w:t>
            </w:r>
          </w:p>
        </w:tc>
      </w:tr>
      <w:tr w:rsidR="00565CCC" w:rsidRPr="00E749D8" w14:paraId="5458B15A" w14:textId="77777777" w:rsidTr="004B3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dxa"/>
          </w:tcPr>
          <w:p w14:paraId="14705E17" w14:textId="32B63458" w:rsidR="00565CCC" w:rsidRPr="00E749D8" w:rsidRDefault="00565CCC" w:rsidP="00565CCC">
            <w:pPr>
              <w:jc w:val="center"/>
              <w:rPr>
                <w:rFonts w:ascii="Arial" w:hAnsi="Arial" w:cs="Arial"/>
                <w:b w:val="0"/>
                <w:sz w:val="36"/>
                <w:szCs w:val="36"/>
              </w:rPr>
            </w:pPr>
            <w:r>
              <w:rPr>
                <w:rFonts w:ascii="Arial" w:hAnsi="Arial" w:cs="Arial"/>
                <w:b w:val="0"/>
                <w:sz w:val="36"/>
                <w:szCs w:val="36"/>
              </w:rPr>
              <w:t>0</w:t>
            </w:r>
          </w:p>
        </w:tc>
        <w:tc>
          <w:tcPr>
            <w:tcW w:w="6178" w:type="dxa"/>
          </w:tcPr>
          <w:p w14:paraId="1302D024" w14:textId="77777777" w:rsidR="00565CCC" w:rsidRDefault="00565CCC" w:rsidP="00565CC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Sanctions applied for </w:t>
            </w:r>
            <w:proofErr w:type="gramStart"/>
            <w:r>
              <w:rPr>
                <w:rFonts w:ascii="Arial" w:hAnsi="Arial" w:cs="Arial"/>
                <w:sz w:val="24"/>
                <w:szCs w:val="24"/>
              </w:rPr>
              <w:t>misuse</w:t>
            </w:r>
            <w:proofErr w:type="gramEnd"/>
          </w:p>
          <w:p w14:paraId="7AE59381" w14:textId="77777777" w:rsidR="00565CCC" w:rsidRPr="00E749D8" w:rsidRDefault="00565CCC" w:rsidP="00565CC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CCC" w:rsidRPr="00E749D8" w14:paraId="1F3861D0" w14:textId="77777777" w:rsidTr="004B3DDC">
        <w:tc>
          <w:tcPr>
            <w:cnfStyle w:val="001000000000" w:firstRow="0" w:lastRow="0" w:firstColumn="1" w:lastColumn="0" w:oddVBand="0" w:evenVBand="0" w:oddHBand="0" w:evenHBand="0" w:firstRowFirstColumn="0" w:firstRowLastColumn="0" w:lastRowFirstColumn="0" w:lastRowLastColumn="0"/>
            <w:tcW w:w="2350" w:type="dxa"/>
          </w:tcPr>
          <w:p w14:paraId="69989C57" w14:textId="6DF7A315" w:rsidR="00565CCC" w:rsidRDefault="00565CCC" w:rsidP="00565CCC">
            <w:pPr>
              <w:jc w:val="center"/>
              <w:rPr>
                <w:rFonts w:ascii="Arial" w:hAnsi="Arial" w:cs="Arial"/>
                <w:b w:val="0"/>
                <w:sz w:val="36"/>
                <w:szCs w:val="36"/>
              </w:rPr>
            </w:pPr>
            <w:r>
              <w:rPr>
                <w:rFonts w:ascii="Arial" w:hAnsi="Arial" w:cs="Arial"/>
                <w:b w:val="0"/>
                <w:sz w:val="36"/>
                <w:szCs w:val="36"/>
              </w:rPr>
              <w:t>0</w:t>
            </w:r>
          </w:p>
        </w:tc>
        <w:tc>
          <w:tcPr>
            <w:tcW w:w="6178" w:type="dxa"/>
          </w:tcPr>
          <w:p w14:paraId="50384AB3" w14:textId="77777777" w:rsidR="00565CCC" w:rsidRDefault="00565CCC" w:rsidP="00565CC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Badges withdrawn or </w:t>
            </w:r>
            <w:proofErr w:type="gramStart"/>
            <w:r>
              <w:rPr>
                <w:rFonts w:ascii="Arial" w:hAnsi="Arial" w:cs="Arial"/>
                <w:sz w:val="24"/>
                <w:szCs w:val="24"/>
              </w:rPr>
              <w:t>refused</w:t>
            </w:r>
            <w:proofErr w:type="gramEnd"/>
          </w:p>
          <w:p w14:paraId="453862F0" w14:textId="77777777" w:rsidR="00565CCC" w:rsidRDefault="00565CCC" w:rsidP="00565CC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CCC" w:rsidRPr="00E749D8" w14:paraId="2D8C0607" w14:textId="77777777" w:rsidTr="004B3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dxa"/>
          </w:tcPr>
          <w:p w14:paraId="510D2D1F" w14:textId="1A96886D" w:rsidR="00565CCC" w:rsidRDefault="00565CCC" w:rsidP="00565CCC">
            <w:pPr>
              <w:jc w:val="center"/>
              <w:rPr>
                <w:rFonts w:ascii="Arial" w:hAnsi="Arial" w:cs="Arial"/>
                <w:b w:val="0"/>
                <w:sz w:val="36"/>
                <w:szCs w:val="36"/>
              </w:rPr>
            </w:pPr>
            <w:r>
              <w:rPr>
                <w:rFonts w:ascii="Arial" w:hAnsi="Arial" w:cs="Arial"/>
                <w:b w:val="0"/>
                <w:sz w:val="36"/>
                <w:szCs w:val="36"/>
              </w:rPr>
              <w:t>5</w:t>
            </w:r>
          </w:p>
        </w:tc>
        <w:tc>
          <w:tcPr>
            <w:tcW w:w="6178" w:type="dxa"/>
          </w:tcPr>
          <w:p w14:paraId="1BFC7772" w14:textId="77777777" w:rsidR="00565CCC" w:rsidRDefault="00565CCC" w:rsidP="00565CC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Other action </w:t>
            </w:r>
            <w:proofErr w:type="gramStart"/>
            <w:r>
              <w:rPr>
                <w:rFonts w:ascii="Arial" w:hAnsi="Arial" w:cs="Arial"/>
                <w:sz w:val="24"/>
                <w:szCs w:val="24"/>
              </w:rPr>
              <w:t>taken</w:t>
            </w:r>
            <w:proofErr w:type="gramEnd"/>
          </w:p>
          <w:p w14:paraId="7AFF41CB" w14:textId="77777777" w:rsidR="00565CCC" w:rsidRDefault="00565CCC" w:rsidP="00565CC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CCC" w:rsidRPr="00E749D8" w14:paraId="0088D1ED" w14:textId="77777777" w:rsidTr="004B3DDC">
        <w:tc>
          <w:tcPr>
            <w:cnfStyle w:val="001000000000" w:firstRow="0" w:lastRow="0" w:firstColumn="1" w:lastColumn="0" w:oddVBand="0" w:evenVBand="0" w:oddHBand="0" w:evenHBand="0" w:firstRowFirstColumn="0" w:firstRowLastColumn="0" w:lastRowFirstColumn="0" w:lastRowLastColumn="0"/>
            <w:tcW w:w="2350" w:type="dxa"/>
          </w:tcPr>
          <w:p w14:paraId="6FD01487" w14:textId="3F7F0C95" w:rsidR="00565CCC" w:rsidRPr="004C636D" w:rsidRDefault="00565CCC" w:rsidP="00565CCC">
            <w:pPr>
              <w:jc w:val="center"/>
              <w:rPr>
                <w:rFonts w:ascii="Arial" w:hAnsi="Arial" w:cs="Arial"/>
                <w:b w:val="0"/>
                <w:sz w:val="36"/>
                <w:szCs w:val="36"/>
              </w:rPr>
            </w:pPr>
            <w:r w:rsidRPr="004C636D">
              <w:rPr>
                <w:rFonts w:ascii="Arial" w:hAnsi="Arial" w:cs="Arial"/>
                <w:b w:val="0"/>
                <w:sz w:val="36"/>
                <w:szCs w:val="36"/>
              </w:rPr>
              <w:t>6</w:t>
            </w:r>
          </w:p>
        </w:tc>
        <w:tc>
          <w:tcPr>
            <w:tcW w:w="6178" w:type="dxa"/>
          </w:tcPr>
          <w:p w14:paraId="08128480" w14:textId="77777777" w:rsidR="00565CCC" w:rsidRPr="004C636D" w:rsidRDefault="00565CCC" w:rsidP="00565CC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C636D">
              <w:rPr>
                <w:rFonts w:ascii="Arial" w:hAnsi="Arial" w:cs="Arial"/>
                <w:sz w:val="24"/>
                <w:szCs w:val="24"/>
              </w:rPr>
              <w:t xml:space="preserve">No misuse </w:t>
            </w:r>
            <w:proofErr w:type="gramStart"/>
            <w:r w:rsidRPr="004C636D">
              <w:rPr>
                <w:rFonts w:ascii="Arial" w:hAnsi="Arial" w:cs="Arial"/>
                <w:sz w:val="24"/>
                <w:szCs w:val="24"/>
              </w:rPr>
              <w:t>identified</w:t>
            </w:r>
            <w:proofErr w:type="gramEnd"/>
          </w:p>
          <w:p w14:paraId="3AEBBB9A" w14:textId="77777777" w:rsidR="00565CCC" w:rsidRPr="004C636D" w:rsidRDefault="00565CCC" w:rsidP="00565CC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65CCC" w:rsidRPr="00E749D8" w14:paraId="3724AD8E" w14:textId="77777777" w:rsidTr="004B3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0" w:type="dxa"/>
          </w:tcPr>
          <w:p w14:paraId="1BEA0F72" w14:textId="2932D821" w:rsidR="00565CCC" w:rsidRPr="004C636D" w:rsidRDefault="00565CCC" w:rsidP="00565CCC">
            <w:pPr>
              <w:jc w:val="center"/>
              <w:rPr>
                <w:rFonts w:ascii="Arial" w:hAnsi="Arial" w:cs="Arial"/>
                <w:b w:val="0"/>
                <w:sz w:val="36"/>
                <w:szCs w:val="36"/>
              </w:rPr>
            </w:pPr>
            <w:r w:rsidRPr="004C636D">
              <w:rPr>
                <w:rFonts w:ascii="Arial" w:hAnsi="Arial" w:cs="Arial"/>
                <w:b w:val="0"/>
                <w:sz w:val="36"/>
                <w:szCs w:val="36"/>
              </w:rPr>
              <w:t>1</w:t>
            </w:r>
            <w:r w:rsidR="004C636D" w:rsidRPr="004C636D">
              <w:rPr>
                <w:rFonts w:ascii="Arial" w:hAnsi="Arial" w:cs="Arial"/>
                <w:b w:val="0"/>
                <w:sz w:val="36"/>
                <w:szCs w:val="36"/>
              </w:rPr>
              <w:t>3</w:t>
            </w:r>
          </w:p>
        </w:tc>
        <w:tc>
          <w:tcPr>
            <w:tcW w:w="6178" w:type="dxa"/>
          </w:tcPr>
          <w:p w14:paraId="3232C693" w14:textId="77777777" w:rsidR="00565CCC" w:rsidRPr="004C636D" w:rsidRDefault="00565CCC" w:rsidP="00565CC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C636D">
              <w:rPr>
                <w:rFonts w:ascii="Arial" w:hAnsi="Arial" w:cs="Arial"/>
                <w:sz w:val="24"/>
                <w:szCs w:val="24"/>
              </w:rPr>
              <w:t xml:space="preserve">Number of parking charge notices issued for </w:t>
            </w:r>
            <w:proofErr w:type="gramStart"/>
            <w:r w:rsidRPr="004C636D">
              <w:rPr>
                <w:rFonts w:ascii="Arial" w:hAnsi="Arial" w:cs="Arial"/>
                <w:sz w:val="24"/>
                <w:szCs w:val="24"/>
              </w:rPr>
              <w:t>misuse</w:t>
            </w:r>
            <w:proofErr w:type="gramEnd"/>
          </w:p>
          <w:p w14:paraId="4CC831A0" w14:textId="77777777" w:rsidR="00565CCC" w:rsidRPr="004C636D" w:rsidRDefault="00565CCC" w:rsidP="00565CC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65CCC" w:rsidRPr="00E749D8" w14:paraId="6036355C" w14:textId="77777777" w:rsidTr="004B3DDC">
        <w:tc>
          <w:tcPr>
            <w:cnfStyle w:val="001000000000" w:firstRow="0" w:lastRow="0" w:firstColumn="1" w:lastColumn="0" w:oddVBand="0" w:evenVBand="0" w:oddHBand="0" w:evenHBand="0" w:firstRowFirstColumn="0" w:firstRowLastColumn="0" w:lastRowFirstColumn="0" w:lastRowLastColumn="0"/>
            <w:tcW w:w="2350" w:type="dxa"/>
          </w:tcPr>
          <w:p w14:paraId="71BCFD99" w14:textId="13839F2E" w:rsidR="00565CCC" w:rsidRPr="00A134D3" w:rsidRDefault="00944699" w:rsidP="00565CCC">
            <w:pPr>
              <w:jc w:val="center"/>
              <w:rPr>
                <w:rFonts w:ascii="Arial" w:hAnsi="Arial" w:cs="Arial"/>
                <w:b w:val="0"/>
                <w:bCs w:val="0"/>
                <w:sz w:val="36"/>
                <w:szCs w:val="36"/>
              </w:rPr>
            </w:pPr>
            <w:r w:rsidRPr="00A134D3">
              <w:rPr>
                <w:rFonts w:ascii="Arial" w:hAnsi="Arial" w:cs="Arial"/>
                <w:b w:val="0"/>
                <w:bCs w:val="0"/>
                <w:sz w:val="36"/>
                <w:szCs w:val="36"/>
              </w:rPr>
              <w:t>1</w:t>
            </w:r>
          </w:p>
        </w:tc>
        <w:tc>
          <w:tcPr>
            <w:tcW w:w="6178" w:type="dxa"/>
          </w:tcPr>
          <w:p w14:paraId="441C503B" w14:textId="77777777" w:rsidR="00565CCC" w:rsidRDefault="00565CCC" w:rsidP="00565CC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Number of warning letters issued to badge </w:t>
            </w:r>
            <w:proofErr w:type="gramStart"/>
            <w:r>
              <w:rPr>
                <w:rFonts w:ascii="Arial" w:hAnsi="Arial" w:cs="Arial"/>
                <w:sz w:val="24"/>
                <w:szCs w:val="24"/>
              </w:rPr>
              <w:t>holders</w:t>
            </w:r>
            <w:proofErr w:type="gramEnd"/>
          </w:p>
          <w:p w14:paraId="7A59C061" w14:textId="77777777" w:rsidR="00565CCC" w:rsidRDefault="00565CCC" w:rsidP="00565CC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522DFAE" w14:textId="77777777" w:rsidR="00D37338" w:rsidRDefault="00D37338" w:rsidP="00D37338">
      <w:pPr>
        <w:shd w:val="clear" w:color="auto" w:fill="FFFFFF"/>
        <w:jc w:val="both"/>
        <w:rPr>
          <w:rFonts w:ascii="Arial" w:hAnsi="Arial" w:cs="Arial"/>
          <w:b/>
          <w:sz w:val="24"/>
          <w:szCs w:val="24"/>
        </w:rPr>
      </w:pPr>
    </w:p>
    <w:p w14:paraId="75EBC770" w14:textId="16E7521F" w:rsidR="00D37338" w:rsidRDefault="00562061" w:rsidP="00D37338">
      <w:pPr>
        <w:shd w:val="clear" w:color="auto" w:fill="FFFFFF"/>
        <w:jc w:val="both"/>
        <w:rPr>
          <w:rFonts w:ascii="Arial" w:hAnsi="Arial" w:cs="Arial"/>
          <w:sz w:val="24"/>
          <w:szCs w:val="24"/>
        </w:rPr>
      </w:pPr>
      <w:r>
        <w:rPr>
          <w:rFonts w:ascii="Arial" w:hAnsi="Arial" w:cs="Arial"/>
          <w:sz w:val="24"/>
          <w:szCs w:val="24"/>
        </w:rPr>
        <w:t xml:space="preserve">Additionally, </w:t>
      </w:r>
      <w:r w:rsidR="00FD6F05">
        <w:rPr>
          <w:rFonts w:ascii="Arial" w:hAnsi="Arial" w:cs="Arial"/>
          <w:sz w:val="24"/>
          <w:szCs w:val="24"/>
        </w:rPr>
        <w:t>the operational guidance relating to Blue Badge</w:t>
      </w:r>
      <w:r w:rsidR="00B77530">
        <w:rPr>
          <w:rFonts w:ascii="Arial" w:hAnsi="Arial" w:cs="Arial"/>
          <w:sz w:val="24"/>
          <w:szCs w:val="24"/>
        </w:rPr>
        <w:t xml:space="preserve"> enforcement</w:t>
      </w:r>
      <w:r w:rsidR="00FD6F05">
        <w:rPr>
          <w:rFonts w:ascii="Arial" w:hAnsi="Arial" w:cs="Arial"/>
          <w:sz w:val="24"/>
          <w:szCs w:val="24"/>
        </w:rPr>
        <w:t xml:space="preserve"> has been </w:t>
      </w:r>
      <w:r w:rsidR="000914C3">
        <w:rPr>
          <w:rFonts w:ascii="Arial" w:hAnsi="Arial" w:cs="Arial"/>
          <w:sz w:val="24"/>
          <w:szCs w:val="24"/>
        </w:rPr>
        <w:t xml:space="preserve">updated and training sessions have been held with Civil Enforcement Officers </w:t>
      </w:r>
      <w:r w:rsidR="004B2F5B">
        <w:rPr>
          <w:rFonts w:ascii="Arial" w:hAnsi="Arial" w:cs="Arial"/>
          <w:sz w:val="24"/>
          <w:szCs w:val="24"/>
        </w:rPr>
        <w:t xml:space="preserve">to maximise </w:t>
      </w:r>
      <w:r w:rsidR="00A418CD">
        <w:rPr>
          <w:rFonts w:ascii="Arial" w:hAnsi="Arial" w:cs="Arial"/>
          <w:sz w:val="24"/>
          <w:szCs w:val="24"/>
        </w:rPr>
        <w:t xml:space="preserve">their understanding of </w:t>
      </w:r>
      <w:r w:rsidR="002440FA">
        <w:rPr>
          <w:rFonts w:ascii="Arial" w:hAnsi="Arial" w:cs="Arial"/>
          <w:sz w:val="24"/>
          <w:szCs w:val="24"/>
        </w:rPr>
        <w:t xml:space="preserve">Blue Badge offences </w:t>
      </w:r>
      <w:r w:rsidR="00942085">
        <w:rPr>
          <w:rFonts w:ascii="Arial" w:hAnsi="Arial" w:cs="Arial"/>
          <w:sz w:val="24"/>
          <w:szCs w:val="24"/>
        </w:rPr>
        <w:t xml:space="preserve">and the enforcement options (including referral for investigation) available to them. </w:t>
      </w:r>
    </w:p>
    <w:p w14:paraId="43463638" w14:textId="779ADCB4" w:rsidR="00942085" w:rsidRDefault="00942085" w:rsidP="00D37338">
      <w:pPr>
        <w:shd w:val="clear" w:color="auto" w:fill="FFFFFF"/>
        <w:jc w:val="both"/>
        <w:rPr>
          <w:rFonts w:ascii="Arial" w:hAnsi="Arial" w:cs="Arial"/>
          <w:sz w:val="24"/>
          <w:szCs w:val="24"/>
        </w:rPr>
      </w:pPr>
    </w:p>
    <w:p w14:paraId="0B11E7D8" w14:textId="616A47D2" w:rsidR="00942085" w:rsidRDefault="00942085" w:rsidP="00D37338">
      <w:pPr>
        <w:shd w:val="clear" w:color="auto" w:fill="FFFFFF"/>
        <w:jc w:val="both"/>
        <w:rPr>
          <w:rFonts w:ascii="Arial" w:hAnsi="Arial" w:cs="Arial"/>
          <w:sz w:val="24"/>
          <w:szCs w:val="24"/>
        </w:rPr>
      </w:pPr>
      <w:r>
        <w:rPr>
          <w:rFonts w:ascii="Arial" w:hAnsi="Arial" w:cs="Arial"/>
          <w:sz w:val="24"/>
          <w:szCs w:val="24"/>
        </w:rPr>
        <w:lastRenderedPageBreak/>
        <w:t xml:space="preserve">The Council have also joined </w:t>
      </w:r>
      <w:r w:rsidR="00D22E59">
        <w:rPr>
          <w:rFonts w:ascii="Arial" w:hAnsi="Arial" w:cs="Arial"/>
          <w:sz w:val="24"/>
          <w:szCs w:val="24"/>
        </w:rPr>
        <w:t xml:space="preserve">a ‘Parking </w:t>
      </w:r>
      <w:r w:rsidR="005460B3">
        <w:rPr>
          <w:rFonts w:ascii="Arial" w:hAnsi="Arial" w:cs="Arial"/>
          <w:sz w:val="24"/>
          <w:szCs w:val="24"/>
        </w:rPr>
        <w:t>F</w:t>
      </w:r>
      <w:r w:rsidR="00D22E59">
        <w:rPr>
          <w:rFonts w:ascii="Arial" w:hAnsi="Arial" w:cs="Arial"/>
          <w:sz w:val="24"/>
          <w:szCs w:val="24"/>
        </w:rPr>
        <w:t xml:space="preserve">raud </w:t>
      </w:r>
      <w:r w:rsidR="005460B3">
        <w:rPr>
          <w:rFonts w:ascii="Arial" w:hAnsi="Arial" w:cs="Arial"/>
          <w:sz w:val="24"/>
          <w:szCs w:val="24"/>
        </w:rPr>
        <w:t>F</w:t>
      </w:r>
      <w:r w:rsidR="00D22E59">
        <w:rPr>
          <w:rFonts w:ascii="Arial" w:hAnsi="Arial" w:cs="Arial"/>
          <w:sz w:val="24"/>
          <w:szCs w:val="24"/>
        </w:rPr>
        <w:t xml:space="preserve">orum’ run by Lambeth City Council </w:t>
      </w:r>
      <w:r w:rsidR="005460B3">
        <w:rPr>
          <w:rFonts w:ascii="Arial" w:hAnsi="Arial" w:cs="Arial"/>
          <w:sz w:val="24"/>
          <w:szCs w:val="24"/>
        </w:rPr>
        <w:t xml:space="preserve">with the aim of </w:t>
      </w:r>
      <w:r w:rsidR="00201738">
        <w:rPr>
          <w:rFonts w:ascii="Arial" w:hAnsi="Arial" w:cs="Arial"/>
          <w:sz w:val="24"/>
          <w:szCs w:val="24"/>
        </w:rPr>
        <w:t>accessing practical advice and assistance to support Blue Badge enforcement within the borough.</w:t>
      </w:r>
    </w:p>
    <w:p w14:paraId="45523208" w14:textId="77777777" w:rsidR="00201738" w:rsidRDefault="00201738" w:rsidP="00D37338">
      <w:pPr>
        <w:shd w:val="clear" w:color="auto" w:fill="FFFFFF"/>
        <w:jc w:val="both"/>
        <w:rPr>
          <w:rFonts w:ascii="Arial" w:hAnsi="Arial" w:cs="Arial"/>
          <w:sz w:val="24"/>
          <w:szCs w:val="24"/>
        </w:rPr>
      </w:pPr>
    </w:p>
    <w:p w14:paraId="68B05F95" w14:textId="77777777" w:rsidR="00D37338" w:rsidRDefault="00D37338" w:rsidP="00D37338">
      <w:pPr>
        <w:pStyle w:val="Heading2"/>
        <w:rPr>
          <w:lang w:val="en-US" w:eastAsia="en-US"/>
        </w:rPr>
      </w:pPr>
      <w:r>
        <w:rPr>
          <w:lang w:val="en-US" w:eastAsia="en-US"/>
        </w:rPr>
        <w:t>Council Tax investigations</w:t>
      </w:r>
    </w:p>
    <w:p w14:paraId="514FCFC3" w14:textId="77777777" w:rsidR="00D37338" w:rsidRPr="00D37338" w:rsidRDefault="00D37338" w:rsidP="00D37338">
      <w:pPr>
        <w:rPr>
          <w:lang w:val="en-US" w:eastAsia="en-US"/>
        </w:rPr>
      </w:pPr>
    </w:p>
    <w:p w14:paraId="2791A2B8" w14:textId="1DDACAE1" w:rsidR="003C11C8" w:rsidRDefault="00EC0E53" w:rsidP="00071041">
      <w:pPr>
        <w:jc w:val="both"/>
        <w:rPr>
          <w:rFonts w:ascii="Arial" w:hAnsi="Arial" w:cs="Arial"/>
          <w:sz w:val="24"/>
          <w:szCs w:val="24"/>
          <w:lang w:val="en-US" w:eastAsia="en-US"/>
        </w:rPr>
      </w:pPr>
      <w:r>
        <w:rPr>
          <w:rFonts w:ascii="Arial" w:hAnsi="Arial" w:cs="Arial"/>
          <w:sz w:val="24"/>
          <w:szCs w:val="24"/>
          <w:lang w:val="en-US" w:eastAsia="en-US"/>
        </w:rPr>
        <w:t>53</w:t>
      </w:r>
      <w:r w:rsidR="00B66698">
        <w:rPr>
          <w:rFonts w:ascii="Arial" w:hAnsi="Arial" w:cs="Arial"/>
          <w:sz w:val="24"/>
          <w:szCs w:val="24"/>
          <w:lang w:val="en-US" w:eastAsia="en-US"/>
        </w:rPr>
        <w:t xml:space="preserve"> </w:t>
      </w:r>
      <w:r w:rsidR="009322D3">
        <w:rPr>
          <w:rFonts w:ascii="Arial" w:hAnsi="Arial" w:cs="Arial"/>
          <w:sz w:val="24"/>
          <w:szCs w:val="24"/>
          <w:lang w:val="en-US" w:eastAsia="en-US"/>
        </w:rPr>
        <w:t xml:space="preserve">reactive </w:t>
      </w:r>
      <w:r w:rsidR="00B66698">
        <w:rPr>
          <w:rFonts w:ascii="Arial" w:hAnsi="Arial" w:cs="Arial"/>
          <w:sz w:val="24"/>
          <w:szCs w:val="24"/>
          <w:lang w:val="en-US" w:eastAsia="en-US"/>
        </w:rPr>
        <w:t>investigations</w:t>
      </w:r>
      <w:r w:rsidR="007B54D3">
        <w:rPr>
          <w:rFonts w:ascii="Arial" w:hAnsi="Arial" w:cs="Arial"/>
          <w:sz w:val="24"/>
          <w:szCs w:val="24"/>
          <w:lang w:val="en-US" w:eastAsia="en-US"/>
        </w:rPr>
        <w:t xml:space="preserve"> </w:t>
      </w:r>
      <w:r w:rsidR="00B66698">
        <w:rPr>
          <w:rFonts w:ascii="Arial" w:hAnsi="Arial" w:cs="Arial"/>
          <w:sz w:val="24"/>
          <w:szCs w:val="24"/>
          <w:lang w:val="en-US" w:eastAsia="en-US"/>
        </w:rPr>
        <w:t>have been completed achieving the following outcomes:</w:t>
      </w:r>
    </w:p>
    <w:p w14:paraId="75116D6C" w14:textId="77777777" w:rsidR="007B54D3" w:rsidRDefault="007B54D3" w:rsidP="00071041">
      <w:pPr>
        <w:jc w:val="both"/>
        <w:rPr>
          <w:rFonts w:ascii="Arial" w:hAnsi="Arial" w:cs="Arial"/>
          <w:sz w:val="24"/>
          <w:szCs w:val="24"/>
          <w:lang w:val="en-US" w:eastAsia="en-US"/>
        </w:rPr>
      </w:pPr>
    </w:p>
    <w:tbl>
      <w:tblPr>
        <w:tblStyle w:val="PlainTable1"/>
        <w:tblW w:w="0" w:type="auto"/>
        <w:tblLook w:val="04A0" w:firstRow="1" w:lastRow="0" w:firstColumn="1" w:lastColumn="0" w:noHBand="0" w:noVBand="1"/>
        <w:tblCaption w:val="Council Tax investigation outcomes"/>
        <w:tblDescription w:val="Table showing the number of Council tax investigations completed and the outcomes of those investigations"/>
      </w:tblPr>
      <w:tblGrid>
        <w:gridCol w:w="2354"/>
        <w:gridCol w:w="6174"/>
      </w:tblGrid>
      <w:tr w:rsidR="00D75A11" w:rsidRPr="00E749D8" w14:paraId="11D155E7" w14:textId="77777777" w:rsidTr="004B3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6F2198A7" w14:textId="5504B0A3" w:rsidR="00D75A11" w:rsidRPr="004B3DDC" w:rsidRDefault="0031581E" w:rsidP="00072999">
            <w:pPr>
              <w:jc w:val="center"/>
              <w:rPr>
                <w:rFonts w:ascii="Arial" w:hAnsi="Arial" w:cs="Arial"/>
                <w:b w:val="0"/>
                <w:bCs w:val="0"/>
                <w:sz w:val="36"/>
                <w:szCs w:val="36"/>
                <w:lang w:val="en-US" w:eastAsia="en-US"/>
              </w:rPr>
            </w:pPr>
            <w:r>
              <w:rPr>
                <w:rFonts w:ascii="Arial" w:hAnsi="Arial" w:cs="Arial"/>
                <w:b w:val="0"/>
                <w:bCs w:val="0"/>
                <w:sz w:val="36"/>
                <w:szCs w:val="36"/>
                <w:lang w:val="en-US" w:eastAsia="en-US"/>
              </w:rPr>
              <w:t>4</w:t>
            </w:r>
          </w:p>
        </w:tc>
        <w:tc>
          <w:tcPr>
            <w:tcW w:w="6174" w:type="dxa"/>
          </w:tcPr>
          <w:p w14:paraId="76EA33C7" w14:textId="77777777" w:rsidR="00D75A11" w:rsidRPr="004B3DDC" w:rsidRDefault="00D75A11" w:rsidP="00072999">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US" w:eastAsia="en-US"/>
              </w:rPr>
            </w:pPr>
            <w:r w:rsidRPr="004B3DDC">
              <w:rPr>
                <w:rFonts w:ascii="Arial" w:hAnsi="Arial" w:cs="Arial"/>
                <w:b w:val="0"/>
                <w:bCs w:val="0"/>
                <w:sz w:val="24"/>
                <w:szCs w:val="24"/>
                <w:lang w:val="en-US" w:eastAsia="en-US"/>
              </w:rPr>
              <w:t>Number of Council Tax Support investigations completed</w:t>
            </w:r>
          </w:p>
        </w:tc>
      </w:tr>
      <w:tr w:rsidR="00D75A11" w:rsidRPr="00E749D8" w14:paraId="44D3933D" w14:textId="77777777" w:rsidTr="004B3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26D93518" w14:textId="20BAE4A1" w:rsidR="00D75A11" w:rsidRPr="00E749D8" w:rsidRDefault="00D75A11" w:rsidP="00072999">
            <w:pPr>
              <w:jc w:val="center"/>
              <w:rPr>
                <w:rFonts w:ascii="Arial" w:hAnsi="Arial" w:cs="Arial"/>
                <w:b w:val="0"/>
                <w:sz w:val="36"/>
                <w:szCs w:val="36"/>
                <w:lang w:val="en-US" w:eastAsia="en-US"/>
              </w:rPr>
            </w:pPr>
            <w:r w:rsidRPr="00E749D8">
              <w:rPr>
                <w:rFonts w:ascii="Arial" w:hAnsi="Arial" w:cs="Arial"/>
                <w:b w:val="0"/>
                <w:sz w:val="36"/>
                <w:szCs w:val="36"/>
                <w:lang w:val="en-US" w:eastAsia="en-US"/>
              </w:rPr>
              <w:t>£</w:t>
            </w:r>
            <w:r w:rsidR="007F558C">
              <w:rPr>
                <w:rFonts w:ascii="Arial" w:hAnsi="Arial" w:cs="Arial"/>
                <w:b w:val="0"/>
                <w:sz w:val="36"/>
                <w:szCs w:val="36"/>
                <w:lang w:val="en-US" w:eastAsia="en-US"/>
              </w:rPr>
              <w:t>3</w:t>
            </w:r>
            <w:r w:rsidRPr="00E749D8">
              <w:rPr>
                <w:rFonts w:ascii="Arial" w:hAnsi="Arial" w:cs="Arial"/>
                <w:b w:val="0"/>
                <w:sz w:val="36"/>
                <w:szCs w:val="36"/>
                <w:lang w:val="en-US" w:eastAsia="en-US"/>
              </w:rPr>
              <w:t>k</w:t>
            </w:r>
          </w:p>
        </w:tc>
        <w:tc>
          <w:tcPr>
            <w:tcW w:w="6174" w:type="dxa"/>
          </w:tcPr>
          <w:p w14:paraId="75D699B4" w14:textId="02FCDCCF" w:rsidR="00D75A11" w:rsidRPr="00E749D8" w:rsidRDefault="00A225D8" w:rsidP="0007299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en-US"/>
              </w:rPr>
            </w:pPr>
            <w:r>
              <w:rPr>
                <w:rFonts w:ascii="Arial" w:hAnsi="Arial" w:cs="Arial"/>
                <w:sz w:val="24"/>
                <w:szCs w:val="24"/>
                <w:lang w:val="en-US" w:eastAsia="en-US"/>
              </w:rPr>
              <w:t>A</w:t>
            </w:r>
            <w:r w:rsidR="00D75A11" w:rsidRPr="00E749D8">
              <w:rPr>
                <w:rFonts w:ascii="Arial" w:hAnsi="Arial" w:cs="Arial"/>
                <w:sz w:val="24"/>
                <w:szCs w:val="24"/>
                <w:lang w:val="en-US" w:eastAsia="en-US"/>
              </w:rPr>
              <w:t>mount of Council Tax Support</w:t>
            </w:r>
            <w:r>
              <w:rPr>
                <w:rFonts w:ascii="Arial" w:hAnsi="Arial" w:cs="Arial"/>
                <w:sz w:val="24"/>
                <w:szCs w:val="24"/>
                <w:lang w:val="en-US" w:eastAsia="en-US"/>
              </w:rPr>
              <w:t xml:space="preserve"> </w:t>
            </w:r>
            <w:r w:rsidR="007F558C">
              <w:rPr>
                <w:rFonts w:ascii="Arial" w:hAnsi="Arial" w:cs="Arial"/>
                <w:sz w:val="24"/>
                <w:szCs w:val="24"/>
                <w:lang w:val="en-US" w:eastAsia="en-US"/>
              </w:rPr>
              <w:t>identified for recovery</w:t>
            </w:r>
          </w:p>
        </w:tc>
      </w:tr>
      <w:tr w:rsidR="00D75A11" w:rsidRPr="00E749D8" w14:paraId="1B81F060" w14:textId="77777777" w:rsidTr="004B3DDC">
        <w:tc>
          <w:tcPr>
            <w:cnfStyle w:val="001000000000" w:firstRow="0" w:lastRow="0" w:firstColumn="1" w:lastColumn="0" w:oddVBand="0" w:evenVBand="0" w:oddHBand="0" w:evenHBand="0" w:firstRowFirstColumn="0" w:firstRowLastColumn="0" w:lastRowFirstColumn="0" w:lastRowLastColumn="0"/>
            <w:tcW w:w="2354" w:type="dxa"/>
          </w:tcPr>
          <w:p w14:paraId="152F4923" w14:textId="43570CF3" w:rsidR="00D75A11" w:rsidRPr="00E749D8" w:rsidRDefault="00D02BE1" w:rsidP="00072999">
            <w:pPr>
              <w:jc w:val="center"/>
              <w:rPr>
                <w:rFonts w:ascii="Arial" w:hAnsi="Arial" w:cs="Arial"/>
                <w:b w:val="0"/>
                <w:sz w:val="36"/>
                <w:szCs w:val="36"/>
                <w:lang w:val="en-US" w:eastAsia="en-US"/>
              </w:rPr>
            </w:pPr>
            <w:r>
              <w:rPr>
                <w:rFonts w:ascii="Arial" w:hAnsi="Arial" w:cs="Arial"/>
                <w:b w:val="0"/>
                <w:sz w:val="36"/>
                <w:szCs w:val="36"/>
                <w:lang w:val="en-US" w:eastAsia="en-US"/>
              </w:rPr>
              <w:t>4</w:t>
            </w:r>
            <w:r w:rsidR="00CB0A49">
              <w:rPr>
                <w:rFonts w:ascii="Arial" w:hAnsi="Arial" w:cs="Arial"/>
                <w:b w:val="0"/>
                <w:sz w:val="36"/>
                <w:szCs w:val="36"/>
                <w:lang w:val="en-US" w:eastAsia="en-US"/>
              </w:rPr>
              <w:t>9</w:t>
            </w:r>
          </w:p>
        </w:tc>
        <w:tc>
          <w:tcPr>
            <w:tcW w:w="6174" w:type="dxa"/>
          </w:tcPr>
          <w:p w14:paraId="5215704C" w14:textId="77777777" w:rsidR="00D75A11" w:rsidRPr="00E749D8" w:rsidRDefault="00D75A11" w:rsidP="0007299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en-US"/>
              </w:rPr>
            </w:pPr>
            <w:r w:rsidRPr="00E749D8">
              <w:rPr>
                <w:rFonts w:ascii="Arial" w:hAnsi="Arial" w:cs="Arial"/>
                <w:sz w:val="24"/>
                <w:szCs w:val="24"/>
                <w:lang w:val="en-US" w:eastAsia="en-US"/>
              </w:rPr>
              <w:t>Number of Council Tax discount investigations completed</w:t>
            </w:r>
          </w:p>
        </w:tc>
      </w:tr>
      <w:tr w:rsidR="00D75A11" w:rsidRPr="00E749D8" w14:paraId="7BA1EEC0" w14:textId="77777777" w:rsidTr="004B3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4" w:type="dxa"/>
          </w:tcPr>
          <w:p w14:paraId="62EF4167" w14:textId="46B6ADE6" w:rsidR="00D75A11" w:rsidRPr="00E749D8" w:rsidRDefault="00D75A11" w:rsidP="00072999">
            <w:pPr>
              <w:jc w:val="center"/>
              <w:rPr>
                <w:rFonts w:ascii="Arial" w:hAnsi="Arial" w:cs="Arial"/>
                <w:b w:val="0"/>
                <w:sz w:val="36"/>
                <w:szCs w:val="36"/>
                <w:lang w:val="en-US" w:eastAsia="en-US"/>
              </w:rPr>
            </w:pPr>
            <w:r w:rsidRPr="00E749D8">
              <w:rPr>
                <w:rFonts w:ascii="Arial" w:hAnsi="Arial" w:cs="Arial"/>
                <w:b w:val="0"/>
                <w:sz w:val="36"/>
                <w:szCs w:val="36"/>
                <w:lang w:val="en-US" w:eastAsia="en-US"/>
              </w:rPr>
              <w:t>£</w:t>
            </w:r>
            <w:r w:rsidR="00CB0A49">
              <w:rPr>
                <w:rFonts w:ascii="Arial" w:hAnsi="Arial" w:cs="Arial"/>
                <w:b w:val="0"/>
                <w:sz w:val="36"/>
                <w:szCs w:val="36"/>
                <w:lang w:val="en-US" w:eastAsia="en-US"/>
              </w:rPr>
              <w:t>13</w:t>
            </w:r>
            <w:r w:rsidRPr="00E749D8">
              <w:rPr>
                <w:rFonts w:ascii="Arial" w:hAnsi="Arial" w:cs="Arial"/>
                <w:b w:val="0"/>
                <w:sz w:val="36"/>
                <w:szCs w:val="36"/>
                <w:lang w:val="en-US" w:eastAsia="en-US"/>
              </w:rPr>
              <w:t>k</w:t>
            </w:r>
          </w:p>
        </w:tc>
        <w:tc>
          <w:tcPr>
            <w:tcW w:w="6174" w:type="dxa"/>
          </w:tcPr>
          <w:p w14:paraId="0FAD04E8" w14:textId="77777777" w:rsidR="00D75A11" w:rsidRPr="00E749D8" w:rsidRDefault="00D75A11" w:rsidP="00072999">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en-US"/>
              </w:rPr>
            </w:pPr>
            <w:r w:rsidRPr="00E749D8">
              <w:rPr>
                <w:rFonts w:ascii="Arial" w:hAnsi="Arial" w:cs="Arial"/>
                <w:sz w:val="24"/>
                <w:szCs w:val="24"/>
                <w:lang w:val="en-US" w:eastAsia="en-US"/>
              </w:rPr>
              <w:t>Increase in amount of Council Tax available for collection</w:t>
            </w:r>
          </w:p>
        </w:tc>
      </w:tr>
    </w:tbl>
    <w:p w14:paraId="26FBA599" w14:textId="77777777" w:rsidR="004A5FAE" w:rsidRDefault="004A5FAE" w:rsidP="00E749D8">
      <w:pPr>
        <w:jc w:val="both"/>
        <w:rPr>
          <w:rFonts w:ascii="Arial" w:hAnsi="Arial" w:cs="Arial"/>
          <w:sz w:val="24"/>
          <w:szCs w:val="24"/>
          <w:lang w:val="en-US" w:eastAsia="en-US"/>
        </w:rPr>
      </w:pPr>
    </w:p>
    <w:p w14:paraId="0E513DFB" w14:textId="60E7F287" w:rsidR="00D37338" w:rsidRDefault="004A5FAE" w:rsidP="00E749D8">
      <w:pPr>
        <w:jc w:val="both"/>
        <w:rPr>
          <w:rFonts w:ascii="Arial" w:hAnsi="Arial" w:cs="Arial"/>
          <w:sz w:val="24"/>
          <w:szCs w:val="24"/>
          <w:lang w:val="en-US" w:eastAsia="en-US"/>
        </w:rPr>
      </w:pPr>
      <w:r w:rsidRPr="004A5FAE">
        <w:rPr>
          <w:rFonts w:ascii="Arial" w:hAnsi="Arial" w:cs="Arial"/>
          <w:sz w:val="24"/>
          <w:szCs w:val="24"/>
          <w:lang w:val="en-US" w:eastAsia="en-US"/>
        </w:rPr>
        <w:t>The increase in the amount of Council Tax available for collection is in addition to that identified as part of the single residency review.</w:t>
      </w:r>
    </w:p>
    <w:p w14:paraId="3D500015" w14:textId="411FF3B4" w:rsidR="00566D28" w:rsidRDefault="00566D28" w:rsidP="00E749D8">
      <w:pPr>
        <w:jc w:val="both"/>
        <w:rPr>
          <w:rFonts w:ascii="Arial" w:hAnsi="Arial" w:cs="Arial"/>
          <w:sz w:val="24"/>
          <w:szCs w:val="24"/>
          <w:lang w:val="en-US" w:eastAsia="en-US"/>
        </w:rPr>
      </w:pPr>
    </w:p>
    <w:p w14:paraId="01D52493" w14:textId="5A49AE82" w:rsidR="00566D28" w:rsidRDefault="00566D28" w:rsidP="002F2064">
      <w:pPr>
        <w:pStyle w:val="Heading2"/>
        <w:rPr>
          <w:lang w:val="en-US" w:eastAsia="en-US"/>
        </w:rPr>
      </w:pPr>
      <w:r>
        <w:rPr>
          <w:lang w:val="en-US" w:eastAsia="en-US"/>
        </w:rPr>
        <w:t>National Non-Domestic Rates (NNDR)</w:t>
      </w:r>
    </w:p>
    <w:p w14:paraId="57B8A0B8" w14:textId="60FA9779" w:rsidR="00566D28" w:rsidRDefault="00566D28" w:rsidP="00E749D8">
      <w:pPr>
        <w:jc w:val="both"/>
        <w:rPr>
          <w:rFonts w:ascii="Arial" w:hAnsi="Arial" w:cs="Arial"/>
          <w:sz w:val="24"/>
          <w:szCs w:val="24"/>
          <w:lang w:val="en-US" w:eastAsia="en-US"/>
        </w:rPr>
      </w:pPr>
    </w:p>
    <w:p w14:paraId="0891D4A0" w14:textId="7A1EB8E2" w:rsidR="00566D28" w:rsidRDefault="007217A9" w:rsidP="00E749D8">
      <w:pPr>
        <w:jc w:val="both"/>
        <w:rPr>
          <w:rFonts w:ascii="Arial" w:hAnsi="Arial" w:cs="Arial"/>
          <w:sz w:val="24"/>
          <w:szCs w:val="24"/>
          <w:lang w:val="en-US" w:eastAsia="en-US"/>
        </w:rPr>
      </w:pPr>
      <w:r>
        <w:rPr>
          <w:rFonts w:ascii="Arial" w:hAnsi="Arial" w:cs="Arial"/>
          <w:sz w:val="24"/>
          <w:szCs w:val="24"/>
          <w:lang w:val="en-US" w:eastAsia="en-US"/>
        </w:rPr>
        <w:t>The National Fraud Initiative (NFI) undertook a one</w:t>
      </w:r>
      <w:r w:rsidR="00915FEB">
        <w:rPr>
          <w:rFonts w:ascii="Arial" w:hAnsi="Arial" w:cs="Arial"/>
          <w:sz w:val="24"/>
          <w:szCs w:val="24"/>
          <w:lang w:val="en-US" w:eastAsia="en-US"/>
        </w:rPr>
        <w:t>-</w:t>
      </w:r>
      <w:r>
        <w:rPr>
          <w:rFonts w:ascii="Arial" w:hAnsi="Arial" w:cs="Arial"/>
          <w:sz w:val="24"/>
          <w:szCs w:val="24"/>
          <w:lang w:val="en-US" w:eastAsia="en-US"/>
        </w:rPr>
        <w:t>off data matching exercise based on data provided by local authorities</w:t>
      </w:r>
      <w:r w:rsidR="00756B67">
        <w:rPr>
          <w:rFonts w:ascii="Arial" w:hAnsi="Arial" w:cs="Arial"/>
          <w:sz w:val="24"/>
          <w:szCs w:val="24"/>
          <w:lang w:val="en-US" w:eastAsia="en-US"/>
        </w:rPr>
        <w:t xml:space="preserve"> as part of returns </w:t>
      </w:r>
      <w:r w:rsidR="00CC2F91">
        <w:rPr>
          <w:rFonts w:ascii="Arial" w:hAnsi="Arial" w:cs="Arial"/>
          <w:sz w:val="24"/>
          <w:szCs w:val="24"/>
          <w:lang w:val="en-US" w:eastAsia="en-US"/>
        </w:rPr>
        <w:t>made in respect of COVID business grants.</w:t>
      </w:r>
    </w:p>
    <w:p w14:paraId="116884B4" w14:textId="35BE86AA" w:rsidR="00CC2F91" w:rsidRDefault="00CC2F91" w:rsidP="00E749D8">
      <w:pPr>
        <w:jc w:val="both"/>
        <w:rPr>
          <w:rFonts w:ascii="Arial" w:hAnsi="Arial" w:cs="Arial"/>
          <w:sz w:val="24"/>
          <w:szCs w:val="24"/>
          <w:lang w:val="en-US" w:eastAsia="en-US"/>
        </w:rPr>
      </w:pPr>
    </w:p>
    <w:p w14:paraId="5CD46E1F" w14:textId="5E1C891C" w:rsidR="005D0BB0" w:rsidRDefault="00A80A27" w:rsidP="00E749D8">
      <w:pPr>
        <w:jc w:val="both"/>
        <w:rPr>
          <w:rFonts w:ascii="Arial" w:hAnsi="Arial" w:cs="Arial"/>
          <w:sz w:val="24"/>
          <w:szCs w:val="24"/>
          <w:lang w:val="en-US" w:eastAsia="en-US"/>
        </w:rPr>
      </w:pPr>
      <w:r w:rsidRPr="00915FEB">
        <w:rPr>
          <w:rFonts w:ascii="Arial" w:hAnsi="Arial" w:cs="Arial"/>
          <w:sz w:val="24"/>
          <w:szCs w:val="24"/>
          <w:lang w:val="en-US" w:eastAsia="en-US"/>
        </w:rPr>
        <w:t xml:space="preserve">The matches identified </w:t>
      </w:r>
      <w:r w:rsidR="009730B5">
        <w:rPr>
          <w:rFonts w:ascii="Arial" w:hAnsi="Arial" w:cs="Arial"/>
          <w:sz w:val="24"/>
          <w:szCs w:val="24"/>
          <w:lang w:val="en-US" w:eastAsia="en-US"/>
        </w:rPr>
        <w:t xml:space="preserve">businesses that </w:t>
      </w:r>
      <w:r w:rsidR="00583E48">
        <w:rPr>
          <w:rFonts w:ascii="Arial" w:hAnsi="Arial" w:cs="Arial"/>
          <w:sz w:val="24"/>
          <w:szCs w:val="24"/>
          <w:lang w:val="en-US" w:eastAsia="en-US"/>
        </w:rPr>
        <w:t xml:space="preserve">appeared to be operating </w:t>
      </w:r>
      <w:r w:rsidR="00AA718E">
        <w:rPr>
          <w:rFonts w:ascii="Arial" w:hAnsi="Arial" w:cs="Arial"/>
          <w:sz w:val="24"/>
          <w:szCs w:val="24"/>
          <w:lang w:val="en-US" w:eastAsia="en-US"/>
        </w:rPr>
        <w:t xml:space="preserve">from </w:t>
      </w:r>
      <w:r w:rsidR="00583E48">
        <w:rPr>
          <w:rFonts w:ascii="Arial" w:hAnsi="Arial" w:cs="Arial"/>
          <w:sz w:val="24"/>
          <w:szCs w:val="24"/>
          <w:lang w:val="en-US" w:eastAsia="en-US"/>
        </w:rPr>
        <w:t xml:space="preserve">more than one </w:t>
      </w:r>
      <w:proofErr w:type="gramStart"/>
      <w:r w:rsidR="00583E48">
        <w:rPr>
          <w:rFonts w:ascii="Arial" w:hAnsi="Arial" w:cs="Arial"/>
          <w:sz w:val="24"/>
          <w:szCs w:val="24"/>
          <w:lang w:val="en-US" w:eastAsia="en-US"/>
        </w:rPr>
        <w:t>property,</w:t>
      </w:r>
      <w:r w:rsidR="00915FEB">
        <w:rPr>
          <w:rFonts w:ascii="Arial" w:hAnsi="Arial" w:cs="Arial"/>
          <w:sz w:val="24"/>
          <w:szCs w:val="24"/>
          <w:lang w:val="en-US" w:eastAsia="en-US"/>
        </w:rPr>
        <w:t xml:space="preserve"> </w:t>
      </w:r>
      <w:r w:rsidR="00583E48">
        <w:rPr>
          <w:rFonts w:ascii="Arial" w:hAnsi="Arial" w:cs="Arial"/>
          <w:sz w:val="24"/>
          <w:szCs w:val="24"/>
          <w:lang w:val="en-US" w:eastAsia="en-US"/>
        </w:rPr>
        <w:t>but</w:t>
      </w:r>
      <w:proofErr w:type="gramEnd"/>
      <w:r w:rsidR="00583E48">
        <w:rPr>
          <w:rFonts w:ascii="Arial" w:hAnsi="Arial" w:cs="Arial"/>
          <w:sz w:val="24"/>
          <w:szCs w:val="24"/>
          <w:lang w:val="en-US" w:eastAsia="en-US"/>
        </w:rPr>
        <w:t xml:space="preserve"> received small business rate relief </w:t>
      </w:r>
      <w:r w:rsidR="00AA718E">
        <w:rPr>
          <w:rFonts w:ascii="Arial" w:hAnsi="Arial" w:cs="Arial"/>
          <w:sz w:val="24"/>
          <w:szCs w:val="24"/>
          <w:lang w:val="en-US" w:eastAsia="en-US"/>
        </w:rPr>
        <w:t xml:space="preserve">(SBRR) </w:t>
      </w:r>
      <w:r w:rsidR="00583E48">
        <w:rPr>
          <w:rFonts w:ascii="Arial" w:hAnsi="Arial" w:cs="Arial"/>
          <w:sz w:val="24"/>
          <w:szCs w:val="24"/>
          <w:lang w:val="en-US" w:eastAsia="en-US"/>
        </w:rPr>
        <w:t>on one</w:t>
      </w:r>
      <w:r w:rsidR="00E3335A">
        <w:rPr>
          <w:rFonts w:ascii="Arial" w:hAnsi="Arial" w:cs="Arial"/>
          <w:sz w:val="24"/>
          <w:szCs w:val="24"/>
          <w:lang w:val="en-US" w:eastAsia="en-US"/>
        </w:rPr>
        <w:t xml:space="preserve"> or more</w:t>
      </w:r>
      <w:r w:rsidR="00AA718E">
        <w:rPr>
          <w:rFonts w:ascii="Arial" w:hAnsi="Arial" w:cs="Arial"/>
          <w:sz w:val="24"/>
          <w:szCs w:val="24"/>
          <w:lang w:val="en-US" w:eastAsia="en-US"/>
        </w:rPr>
        <w:t xml:space="preserve"> of those </w:t>
      </w:r>
      <w:r w:rsidR="00E3335A">
        <w:rPr>
          <w:rFonts w:ascii="Arial" w:hAnsi="Arial" w:cs="Arial"/>
          <w:sz w:val="24"/>
          <w:szCs w:val="24"/>
          <w:lang w:val="en-US" w:eastAsia="en-US"/>
        </w:rPr>
        <w:t>properties</w:t>
      </w:r>
      <w:r w:rsidR="005D0BB0">
        <w:rPr>
          <w:rFonts w:ascii="Arial" w:hAnsi="Arial" w:cs="Arial"/>
          <w:sz w:val="24"/>
          <w:szCs w:val="24"/>
          <w:lang w:val="en-US" w:eastAsia="en-US"/>
        </w:rPr>
        <w:t xml:space="preserve">. </w:t>
      </w:r>
      <w:r w:rsidR="00AA718E">
        <w:rPr>
          <w:rFonts w:ascii="Arial" w:hAnsi="Arial" w:cs="Arial"/>
          <w:sz w:val="24"/>
          <w:szCs w:val="24"/>
          <w:lang w:val="en-US" w:eastAsia="en-US"/>
        </w:rPr>
        <w:t xml:space="preserve">In general, SBRR is only </w:t>
      </w:r>
      <w:r w:rsidR="008C556B">
        <w:rPr>
          <w:rFonts w:ascii="Arial" w:hAnsi="Arial" w:cs="Arial"/>
          <w:sz w:val="24"/>
          <w:szCs w:val="24"/>
          <w:lang w:val="en-US" w:eastAsia="en-US"/>
        </w:rPr>
        <w:t>awarded to businesses operating out of one property (although there are ex</w:t>
      </w:r>
      <w:r w:rsidR="00E409CC">
        <w:rPr>
          <w:rFonts w:ascii="Arial" w:hAnsi="Arial" w:cs="Arial"/>
          <w:sz w:val="24"/>
          <w:szCs w:val="24"/>
          <w:lang w:val="en-US" w:eastAsia="en-US"/>
        </w:rPr>
        <w:t>ceptions).</w:t>
      </w:r>
    </w:p>
    <w:p w14:paraId="56A49151" w14:textId="77777777" w:rsidR="005D0BB0" w:rsidRDefault="005D0BB0" w:rsidP="00E749D8">
      <w:pPr>
        <w:jc w:val="both"/>
        <w:rPr>
          <w:rFonts w:ascii="Arial" w:hAnsi="Arial" w:cs="Arial"/>
          <w:sz w:val="24"/>
          <w:szCs w:val="24"/>
          <w:lang w:val="en-US" w:eastAsia="en-US"/>
        </w:rPr>
      </w:pPr>
    </w:p>
    <w:p w14:paraId="6940F169" w14:textId="02F54917" w:rsidR="00A80A27" w:rsidRDefault="005D0BB0" w:rsidP="00E749D8">
      <w:pPr>
        <w:jc w:val="both"/>
        <w:rPr>
          <w:rFonts w:ascii="Arial" w:hAnsi="Arial" w:cs="Arial"/>
          <w:sz w:val="24"/>
          <w:szCs w:val="24"/>
          <w:lang w:val="en-US" w:eastAsia="en-US"/>
        </w:rPr>
      </w:pPr>
      <w:r>
        <w:rPr>
          <w:rFonts w:ascii="Arial" w:hAnsi="Arial" w:cs="Arial"/>
          <w:sz w:val="24"/>
          <w:szCs w:val="24"/>
          <w:lang w:val="en-US" w:eastAsia="en-US"/>
        </w:rPr>
        <w:t xml:space="preserve">As a result, </w:t>
      </w:r>
      <w:r w:rsidR="00D440D5">
        <w:rPr>
          <w:rFonts w:ascii="Arial" w:hAnsi="Arial" w:cs="Arial"/>
          <w:sz w:val="24"/>
          <w:szCs w:val="24"/>
          <w:lang w:val="en-US" w:eastAsia="en-US"/>
        </w:rPr>
        <w:t>three</w:t>
      </w:r>
      <w:r>
        <w:rPr>
          <w:rFonts w:ascii="Arial" w:hAnsi="Arial" w:cs="Arial"/>
          <w:sz w:val="24"/>
          <w:szCs w:val="24"/>
          <w:lang w:val="en-US" w:eastAsia="en-US"/>
        </w:rPr>
        <w:t xml:space="preserve"> investigations</w:t>
      </w:r>
      <w:r w:rsidR="00A80A27">
        <w:rPr>
          <w:rFonts w:ascii="Arial" w:hAnsi="Arial" w:cs="Arial"/>
          <w:sz w:val="24"/>
          <w:szCs w:val="24"/>
          <w:lang w:val="en-US" w:eastAsia="en-US"/>
        </w:rPr>
        <w:t xml:space="preserve"> </w:t>
      </w:r>
      <w:r w:rsidR="00D440D5">
        <w:rPr>
          <w:rFonts w:ascii="Arial" w:hAnsi="Arial" w:cs="Arial"/>
          <w:sz w:val="24"/>
          <w:szCs w:val="24"/>
          <w:lang w:val="en-US" w:eastAsia="en-US"/>
        </w:rPr>
        <w:t>were conducted</w:t>
      </w:r>
      <w:r w:rsidR="00D63DB6">
        <w:rPr>
          <w:rFonts w:ascii="Arial" w:hAnsi="Arial" w:cs="Arial"/>
          <w:sz w:val="24"/>
          <w:szCs w:val="24"/>
          <w:lang w:val="en-US" w:eastAsia="en-US"/>
        </w:rPr>
        <w:t xml:space="preserve">. Two resulted in the </w:t>
      </w:r>
      <w:r w:rsidR="0036774F">
        <w:rPr>
          <w:rFonts w:ascii="Arial" w:hAnsi="Arial" w:cs="Arial"/>
          <w:sz w:val="24"/>
          <w:szCs w:val="24"/>
          <w:lang w:val="en-US" w:eastAsia="en-US"/>
        </w:rPr>
        <w:t xml:space="preserve">removal of the SBRR, increasing the amount of </w:t>
      </w:r>
      <w:r w:rsidR="001D5C14">
        <w:rPr>
          <w:rFonts w:ascii="Arial" w:hAnsi="Arial" w:cs="Arial"/>
          <w:sz w:val="24"/>
          <w:szCs w:val="24"/>
          <w:lang w:val="en-US" w:eastAsia="en-US"/>
        </w:rPr>
        <w:t>the liabilities by £2.4k per year. It was also established that these two businesses</w:t>
      </w:r>
      <w:r w:rsidR="00777250">
        <w:rPr>
          <w:rFonts w:ascii="Arial" w:hAnsi="Arial" w:cs="Arial"/>
          <w:sz w:val="24"/>
          <w:szCs w:val="24"/>
          <w:lang w:val="en-US" w:eastAsia="en-US"/>
        </w:rPr>
        <w:t xml:space="preserve"> were also liable for a total of £17k in previous years liabilities</w:t>
      </w:r>
      <w:r w:rsidR="00927F78">
        <w:rPr>
          <w:rFonts w:ascii="Arial" w:hAnsi="Arial" w:cs="Arial"/>
          <w:sz w:val="24"/>
          <w:szCs w:val="24"/>
          <w:lang w:val="en-US" w:eastAsia="en-US"/>
        </w:rPr>
        <w:t>.</w:t>
      </w:r>
    </w:p>
    <w:p w14:paraId="3DE09062" w14:textId="77777777" w:rsidR="00446363" w:rsidRPr="00E749D8" w:rsidRDefault="00446363" w:rsidP="00E749D8">
      <w:pPr>
        <w:jc w:val="both"/>
        <w:rPr>
          <w:rFonts w:ascii="Arial" w:hAnsi="Arial" w:cs="Arial"/>
          <w:sz w:val="24"/>
          <w:szCs w:val="24"/>
          <w:lang w:val="en-US" w:eastAsia="en-US"/>
        </w:rPr>
      </w:pPr>
    </w:p>
    <w:p w14:paraId="4E1A6F2F" w14:textId="77777777" w:rsidR="00E749D8" w:rsidRDefault="0090045E" w:rsidP="00407264">
      <w:pPr>
        <w:pStyle w:val="Heading2"/>
        <w:rPr>
          <w:lang w:val="en-US" w:eastAsia="en-US"/>
        </w:rPr>
      </w:pPr>
      <w:r w:rsidRPr="00612C46">
        <w:rPr>
          <w:lang w:val="en-US" w:eastAsia="en-US"/>
        </w:rPr>
        <w:t>Third party requests for information</w:t>
      </w:r>
    </w:p>
    <w:p w14:paraId="67282E8C" w14:textId="77777777" w:rsidR="0090045E" w:rsidRPr="0090045E" w:rsidRDefault="0090045E" w:rsidP="00E749D8">
      <w:pPr>
        <w:jc w:val="both"/>
        <w:rPr>
          <w:rFonts w:ascii="Arial" w:hAnsi="Arial" w:cs="Arial"/>
          <w:b/>
          <w:sz w:val="24"/>
          <w:szCs w:val="24"/>
          <w:lang w:val="en-US" w:eastAsia="en-US"/>
        </w:rPr>
      </w:pPr>
    </w:p>
    <w:p w14:paraId="1C012E00" w14:textId="77777777" w:rsidR="002855E1" w:rsidRDefault="002131A4" w:rsidP="00E749D8">
      <w:pPr>
        <w:jc w:val="both"/>
        <w:rPr>
          <w:rFonts w:ascii="Arial" w:hAnsi="Arial" w:cs="Arial"/>
          <w:sz w:val="24"/>
          <w:szCs w:val="24"/>
          <w:lang w:val="en-US" w:eastAsia="en-US"/>
        </w:rPr>
      </w:pPr>
      <w:r w:rsidRPr="002131A4">
        <w:rPr>
          <w:rFonts w:ascii="Arial" w:hAnsi="Arial" w:cs="Arial"/>
          <w:sz w:val="24"/>
          <w:szCs w:val="24"/>
          <w:lang w:val="en-US" w:eastAsia="en-US"/>
        </w:rPr>
        <w:t xml:space="preserve">The investigation team continue to support other enforcement agencies in their efforts to prevent and detect crime and protect the public purse, acting as a single point of contact in the Council for the Department for Work and Pensions (DWP) fraud investigation team, who have responsibility for investigating allegations of Housing Benefit Fraud; and </w:t>
      </w:r>
      <w:proofErr w:type="gramStart"/>
      <w:r w:rsidRPr="002131A4">
        <w:rPr>
          <w:rFonts w:ascii="Arial" w:hAnsi="Arial" w:cs="Arial"/>
          <w:sz w:val="24"/>
          <w:szCs w:val="24"/>
          <w:lang w:val="en-US" w:eastAsia="en-US"/>
        </w:rPr>
        <w:t>also</w:t>
      </w:r>
      <w:proofErr w:type="gramEnd"/>
      <w:r w:rsidRPr="002131A4">
        <w:rPr>
          <w:rFonts w:ascii="Arial" w:hAnsi="Arial" w:cs="Arial"/>
          <w:sz w:val="24"/>
          <w:szCs w:val="24"/>
          <w:lang w:val="en-US" w:eastAsia="en-US"/>
        </w:rPr>
        <w:t xml:space="preserve"> for other enforcement agencies including the Police, UK Border Agency and other Local Authorities.</w:t>
      </w:r>
    </w:p>
    <w:p w14:paraId="256C7D38" w14:textId="77777777" w:rsidR="002855E1" w:rsidRDefault="002855E1" w:rsidP="00E749D8">
      <w:pPr>
        <w:jc w:val="both"/>
        <w:rPr>
          <w:rFonts w:ascii="Arial" w:hAnsi="Arial" w:cs="Arial"/>
          <w:sz w:val="24"/>
          <w:szCs w:val="24"/>
          <w:lang w:val="en-US" w:eastAsia="en-US"/>
        </w:rPr>
      </w:pPr>
    </w:p>
    <w:p w14:paraId="3D97EB6F" w14:textId="37F521E5" w:rsidR="00FD020C" w:rsidRDefault="00FD020C" w:rsidP="00E749D8">
      <w:pPr>
        <w:jc w:val="both"/>
        <w:rPr>
          <w:rFonts w:ascii="Arial" w:hAnsi="Arial" w:cs="Arial"/>
          <w:sz w:val="24"/>
          <w:szCs w:val="24"/>
          <w:lang w:val="en-US" w:eastAsia="en-US"/>
        </w:rPr>
      </w:pPr>
      <w:r>
        <w:rPr>
          <w:rFonts w:ascii="Arial" w:hAnsi="Arial" w:cs="Arial"/>
          <w:sz w:val="24"/>
          <w:szCs w:val="24"/>
          <w:lang w:val="en-US" w:eastAsia="en-US"/>
        </w:rPr>
        <w:t xml:space="preserve">The number of DWP requests for information has </w:t>
      </w:r>
      <w:r w:rsidR="00756104">
        <w:rPr>
          <w:rFonts w:ascii="Arial" w:hAnsi="Arial" w:cs="Arial"/>
          <w:sz w:val="24"/>
          <w:szCs w:val="24"/>
          <w:lang w:val="en-US" w:eastAsia="en-US"/>
        </w:rPr>
        <w:t xml:space="preserve">again </w:t>
      </w:r>
      <w:r w:rsidR="006143C0">
        <w:rPr>
          <w:rFonts w:ascii="Arial" w:hAnsi="Arial" w:cs="Arial"/>
          <w:sz w:val="24"/>
          <w:szCs w:val="24"/>
          <w:lang w:val="en-US" w:eastAsia="en-US"/>
        </w:rPr>
        <w:t>doubled</w:t>
      </w:r>
      <w:r w:rsidR="000E5B34">
        <w:rPr>
          <w:rFonts w:ascii="Arial" w:hAnsi="Arial" w:cs="Arial"/>
          <w:sz w:val="24"/>
          <w:szCs w:val="24"/>
          <w:lang w:val="en-US" w:eastAsia="en-US"/>
        </w:rPr>
        <w:t xml:space="preserve"> on last year as DWP colleagues </w:t>
      </w:r>
      <w:r w:rsidR="00C15B08">
        <w:rPr>
          <w:rFonts w:ascii="Arial" w:hAnsi="Arial" w:cs="Arial"/>
          <w:sz w:val="24"/>
          <w:szCs w:val="24"/>
          <w:lang w:val="en-US" w:eastAsia="en-US"/>
        </w:rPr>
        <w:t xml:space="preserve">continue to </w:t>
      </w:r>
      <w:r w:rsidR="000E5B34">
        <w:rPr>
          <w:rFonts w:ascii="Arial" w:hAnsi="Arial" w:cs="Arial"/>
          <w:sz w:val="24"/>
          <w:szCs w:val="24"/>
          <w:lang w:val="en-US" w:eastAsia="en-US"/>
        </w:rPr>
        <w:t>return to investigative duties after the pandemic</w:t>
      </w:r>
      <w:r w:rsidR="000C5581">
        <w:rPr>
          <w:rFonts w:ascii="Arial" w:hAnsi="Arial" w:cs="Arial"/>
          <w:sz w:val="24"/>
          <w:szCs w:val="24"/>
          <w:lang w:val="en-US" w:eastAsia="en-US"/>
        </w:rPr>
        <w:t xml:space="preserve">, although this is still only about </w:t>
      </w:r>
      <w:r w:rsidR="00C15B08">
        <w:rPr>
          <w:rFonts w:ascii="Arial" w:hAnsi="Arial" w:cs="Arial"/>
          <w:sz w:val="24"/>
          <w:szCs w:val="24"/>
          <w:lang w:val="en-US" w:eastAsia="en-US"/>
        </w:rPr>
        <w:t>4</w:t>
      </w:r>
      <w:r w:rsidR="000C5581">
        <w:rPr>
          <w:rFonts w:ascii="Arial" w:hAnsi="Arial" w:cs="Arial"/>
          <w:sz w:val="24"/>
          <w:szCs w:val="24"/>
          <w:lang w:val="en-US" w:eastAsia="en-US"/>
        </w:rPr>
        <w:t xml:space="preserve">0% of </w:t>
      </w:r>
      <w:r w:rsidR="00722131">
        <w:rPr>
          <w:rFonts w:ascii="Arial" w:hAnsi="Arial" w:cs="Arial"/>
          <w:sz w:val="24"/>
          <w:szCs w:val="24"/>
          <w:lang w:val="en-US" w:eastAsia="en-US"/>
        </w:rPr>
        <w:t>pre-pandemic requests</w:t>
      </w:r>
      <w:r w:rsidR="0099735D">
        <w:rPr>
          <w:rFonts w:ascii="Arial" w:hAnsi="Arial" w:cs="Arial"/>
          <w:sz w:val="24"/>
          <w:szCs w:val="24"/>
          <w:lang w:val="en-US" w:eastAsia="en-US"/>
        </w:rPr>
        <w:t>. It is anticipated that the numbers of requests will again increase next year.</w:t>
      </w:r>
    </w:p>
    <w:p w14:paraId="522214B3" w14:textId="0080EDF3" w:rsidR="005867B0" w:rsidRDefault="005867B0" w:rsidP="00E749D8">
      <w:pPr>
        <w:jc w:val="both"/>
        <w:rPr>
          <w:rFonts w:ascii="Arial" w:hAnsi="Arial" w:cs="Arial"/>
          <w:sz w:val="24"/>
          <w:szCs w:val="24"/>
          <w:lang w:val="en-US" w:eastAsia="en-US"/>
        </w:rPr>
      </w:pPr>
    </w:p>
    <w:p w14:paraId="6D352B5D" w14:textId="6D7233DE" w:rsidR="005867B0" w:rsidRDefault="005867B0" w:rsidP="00E749D8">
      <w:pPr>
        <w:jc w:val="both"/>
        <w:rPr>
          <w:rFonts w:ascii="Arial" w:hAnsi="Arial" w:cs="Arial"/>
          <w:sz w:val="24"/>
          <w:szCs w:val="24"/>
          <w:lang w:val="en-US" w:eastAsia="en-US"/>
        </w:rPr>
      </w:pPr>
      <w:r>
        <w:rPr>
          <w:rFonts w:ascii="Arial" w:hAnsi="Arial" w:cs="Arial"/>
          <w:sz w:val="24"/>
          <w:szCs w:val="24"/>
          <w:lang w:val="en-US" w:eastAsia="en-US"/>
        </w:rPr>
        <w:lastRenderedPageBreak/>
        <w:t>Police requests</w:t>
      </w:r>
      <w:r w:rsidR="00FC53F1">
        <w:rPr>
          <w:rFonts w:ascii="Arial" w:hAnsi="Arial" w:cs="Arial"/>
          <w:sz w:val="24"/>
          <w:szCs w:val="24"/>
          <w:lang w:val="en-US" w:eastAsia="en-US"/>
        </w:rPr>
        <w:t xml:space="preserve"> and those from other agencies have </w:t>
      </w:r>
      <w:r>
        <w:rPr>
          <w:rFonts w:ascii="Arial" w:hAnsi="Arial" w:cs="Arial"/>
          <w:sz w:val="24"/>
          <w:szCs w:val="24"/>
          <w:lang w:val="en-US" w:eastAsia="en-US"/>
        </w:rPr>
        <w:t>increase</w:t>
      </w:r>
      <w:r w:rsidR="001D50D2">
        <w:rPr>
          <w:rFonts w:ascii="Arial" w:hAnsi="Arial" w:cs="Arial"/>
          <w:sz w:val="24"/>
          <w:szCs w:val="24"/>
          <w:lang w:val="en-US" w:eastAsia="en-US"/>
        </w:rPr>
        <w:t>d</w:t>
      </w:r>
      <w:r>
        <w:rPr>
          <w:rFonts w:ascii="Arial" w:hAnsi="Arial" w:cs="Arial"/>
          <w:sz w:val="24"/>
          <w:szCs w:val="24"/>
          <w:lang w:val="en-US" w:eastAsia="en-US"/>
        </w:rPr>
        <w:t xml:space="preserve"> </w:t>
      </w:r>
      <w:r w:rsidR="007F6F02">
        <w:rPr>
          <w:rFonts w:ascii="Arial" w:hAnsi="Arial" w:cs="Arial"/>
          <w:sz w:val="24"/>
          <w:szCs w:val="24"/>
          <w:lang w:val="en-US" w:eastAsia="en-US"/>
        </w:rPr>
        <w:t xml:space="preserve">by almost 50% on </w:t>
      </w:r>
      <w:r w:rsidR="007F4810">
        <w:rPr>
          <w:rFonts w:ascii="Arial" w:hAnsi="Arial" w:cs="Arial"/>
          <w:sz w:val="24"/>
          <w:szCs w:val="24"/>
          <w:lang w:val="en-US" w:eastAsia="en-US"/>
        </w:rPr>
        <w:t>the previous</w:t>
      </w:r>
      <w:r w:rsidR="007F6F02">
        <w:rPr>
          <w:rFonts w:ascii="Arial" w:hAnsi="Arial" w:cs="Arial"/>
          <w:sz w:val="24"/>
          <w:szCs w:val="24"/>
          <w:lang w:val="en-US" w:eastAsia="en-US"/>
        </w:rPr>
        <w:t xml:space="preserve"> year</w:t>
      </w:r>
      <w:r w:rsidR="00693730">
        <w:rPr>
          <w:rFonts w:ascii="Arial" w:hAnsi="Arial" w:cs="Arial"/>
          <w:sz w:val="24"/>
          <w:szCs w:val="24"/>
          <w:lang w:val="en-US" w:eastAsia="en-US"/>
        </w:rPr>
        <w:t xml:space="preserve"> and in total are now approximately </w:t>
      </w:r>
      <w:r w:rsidR="00C906B2">
        <w:rPr>
          <w:rFonts w:ascii="Arial" w:hAnsi="Arial" w:cs="Arial"/>
          <w:sz w:val="24"/>
          <w:szCs w:val="24"/>
          <w:lang w:val="en-US" w:eastAsia="en-US"/>
        </w:rPr>
        <w:t>at 80% of pre-pandemic levels.</w:t>
      </w:r>
    </w:p>
    <w:p w14:paraId="76E48144" w14:textId="77777777" w:rsidR="00FE2FBB" w:rsidRDefault="00FE2FBB" w:rsidP="00E749D8">
      <w:pPr>
        <w:jc w:val="both"/>
        <w:rPr>
          <w:rFonts w:ascii="Arial" w:hAnsi="Arial" w:cs="Arial"/>
          <w:sz w:val="24"/>
          <w:szCs w:val="24"/>
          <w:lang w:val="en-US" w:eastAsia="en-US"/>
        </w:rPr>
      </w:pPr>
    </w:p>
    <w:p w14:paraId="373FF9D3" w14:textId="77777777" w:rsidR="00BD6C81" w:rsidRPr="00E749D8" w:rsidRDefault="00BD6C81" w:rsidP="00E749D8">
      <w:pPr>
        <w:jc w:val="both"/>
        <w:rPr>
          <w:rFonts w:ascii="Arial" w:hAnsi="Arial" w:cs="Arial"/>
          <w:sz w:val="24"/>
          <w:szCs w:val="24"/>
          <w:lang w:val="en-US" w:eastAsia="en-US"/>
        </w:rPr>
      </w:pPr>
    </w:p>
    <w:tbl>
      <w:tblPr>
        <w:tblStyle w:val="PlainTable1"/>
        <w:tblW w:w="0" w:type="auto"/>
        <w:tblLook w:val="04A0" w:firstRow="1" w:lastRow="0" w:firstColumn="1" w:lastColumn="0" w:noHBand="0" w:noVBand="1"/>
        <w:tblCaption w:val="number of 3rd party requests for information"/>
        <w:tblDescription w:val="table showing number of 3rd party request by requestor"/>
      </w:tblPr>
      <w:tblGrid>
        <w:gridCol w:w="2462"/>
        <w:gridCol w:w="6554"/>
      </w:tblGrid>
      <w:tr w:rsidR="00E749D8" w:rsidRPr="004B3DDC" w14:paraId="45E534AE" w14:textId="77777777" w:rsidTr="004B3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2C5FF1B0" w14:textId="1C7FCDE4" w:rsidR="00E749D8" w:rsidRPr="004B3DDC" w:rsidRDefault="00756104" w:rsidP="00A91C18">
            <w:pPr>
              <w:jc w:val="center"/>
              <w:rPr>
                <w:rFonts w:ascii="Arial" w:hAnsi="Arial" w:cs="Arial"/>
                <w:b w:val="0"/>
                <w:bCs w:val="0"/>
                <w:sz w:val="36"/>
                <w:szCs w:val="36"/>
                <w:lang w:val="en-US" w:eastAsia="en-US"/>
              </w:rPr>
            </w:pPr>
            <w:r>
              <w:rPr>
                <w:rFonts w:ascii="Arial" w:hAnsi="Arial" w:cs="Arial"/>
                <w:b w:val="0"/>
                <w:bCs w:val="0"/>
                <w:sz w:val="36"/>
                <w:szCs w:val="36"/>
                <w:lang w:val="en-US" w:eastAsia="en-US"/>
              </w:rPr>
              <w:t>121</w:t>
            </w:r>
          </w:p>
        </w:tc>
        <w:tc>
          <w:tcPr>
            <w:tcW w:w="6724" w:type="dxa"/>
          </w:tcPr>
          <w:p w14:paraId="77C7C533" w14:textId="77777777" w:rsidR="00E749D8" w:rsidRPr="004B3DDC" w:rsidRDefault="00E749D8" w:rsidP="009E2E85">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US" w:eastAsia="en-US"/>
              </w:rPr>
            </w:pPr>
            <w:r w:rsidRPr="004B3DDC">
              <w:rPr>
                <w:rFonts w:ascii="Arial" w:hAnsi="Arial" w:cs="Arial"/>
                <w:b w:val="0"/>
                <w:bCs w:val="0"/>
                <w:sz w:val="24"/>
                <w:szCs w:val="24"/>
                <w:lang w:val="en-US" w:eastAsia="en-US"/>
              </w:rPr>
              <w:t>Number of DWP requests for information</w:t>
            </w:r>
          </w:p>
        </w:tc>
      </w:tr>
      <w:tr w:rsidR="00E749D8" w:rsidRPr="004B3DDC" w14:paraId="12DC674F" w14:textId="77777777" w:rsidTr="004B3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0522DA7F" w14:textId="1765D04F" w:rsidR="00E749D8" w:rsidRPr="004B3DDC" w:rsidRDefault="005867B0" w:rsidP="005E5C0B">
            <w:pPr>
              <w:jc w:val="center"/>
              <w:rPr>
                <w:rFonts w:ascii="Arial" w:hAnsi="Arial" w:cs="Arial"/>
                <w:b w:val="0"/>
                <w:bCs w:val="0"/>
                <w:sz w:val="36"/>
                <w:szCs w:val="36"/>
                <w:lang w:val="en-US" w:eastAsia="en-US"/>
              </w:rPr>
            </w:pPr>
            <w:r>
              <w:rPr>
                <w:rFonts w:ascii="Arial" w:hAnsi="Arial" w:cs="Arial"/>
                <w:b w:val="0"/>
                <w:bCs w:val="0"/>
                <w:sz w:val="36"/>
                <w:szCs w:val="36"/>
                <w:lang w:val="en-US" w:eastAsia="en-US"/>
              </w:rPr>
              <w:t>341</w:t>
            </w:r>
          </w:p>
        </w:tc>
        <w:tc>
          <w:tcPr>
            <w:tcW w:w="6724" w:type="dxa"/>
          </w:tcPr>
          <w:p w14:paraId="2524E11A" w14:textId="77777777" w:rsidR="00E749D8" w:rsidRPr="004B3DDC" w:rsidRDefault="00E749D8" w:rsidP="009E2E8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val="en-US" w:eastAsia="en-US"/>
              </w:rPr>
            </w:pPr>
            <w:r w:rsidRPr="004B3DDC">
              <w:rPr>
                <w:rFonts w:ascii="Arial" w:hAnsi="Arial" w:cs="Arial"/>
                <w:sz w:val="24"/>
                <w:szCs w:val="24"/>
                <w:lang w:val="en-US" w:eastAsia="en-US"/>
              </w:rPr>
              <w:t>Number of Police requests for information</w:t>
            </w:r>
          </w:p>
        </w:tc>
      </w:tr>
      <w:tr w:rsidR="00E749D8" w:rsidRPr="004B3DDC" w14:paraId="3647F841" w14:textId="77777777" w:rsidTr="004B3DDC">
        <w:tc>
          <w:tcPr>
            <w:cnfStyle w:val="001000000000" w:firstRow="0" w:lastRow="0" w:firstColumn="1" w:lastColumn="0" w:oddVBand="0" w:evenVBand="0" w:oddHBand="0" w:evenHBand="0" w:firstRowFirstColumn="0" w:firstRowLastColumn="0" w:lastRowFirstColumn="0" w:lastRowLastColumn="0"/>
            <w:tcW w:w="2518" w:type="dxa"/>
          </w:tcPr>
          <w:p w14:paraId="2C73F267" w14:textId="58DD471A" w:rsidR="00E749D8" w:rsidRPr="004B3DDC" w:rsidRDefault="0057753C" w:rsidP="005E5C0B">
            <w:pPr>
              <w:jc w:val="center"/>
              <w:rPr>
                <w:rFonts w:ascii="Arial" w:hAnsi="Arial" w:cs="Arial"/>
                <w:b w:val="0"/>
                <w:bCs w:val="0"/>
                <w:sz w:val="36"/>
                <w:szCs w:val="36"/>
                <w:lang w:val="en-US" w:eastAsia="en-US"/>
              </w:rPr>
            </w:pPr>
            <w:r w:rsidRPr="004B3DDC">
              <w:rPr>
                <w:rFonts w:ascii="Arial" w:hAnsi="Arial" w:cs="Arial"/>
                <w:b w:val="0"/>
                <w:bCs w:val="0"/>
                <w:sz w:val="36"/>
                <w:szCs w:val="36"/>
                <w:lang w:val="en-US" w:eastAsia="en-US"/>
              </w:rPr>
              <w:t>1</w:t>
            </w:r>
            <w:r w:rsidR="00FC53F1">
              <w:rPr>
                <w:rFonts w:ascii="Arial" w:hAnsi="Arial" w:cs="Arial"/>
                <w:b w:val="0"/>
                <w:bCs w:val="0"/>
                <w:sz w:val="36"/>
                <w:szCs w:val="36"/>
                <w:lang w:val="en-US" w:eastAsia="en-US"/>
              </w:rPr>
              <w:t>51</w:t>
            </w:r>
          </w:p>
        </w:tc>
        <w:tc>
          <w:tcPr>
            <w:tcW w:w="6724" w:type="dxa"/>
          </w:tcPr>
          <w:p w14:paraId="772735CD" w14:textId="77777777" w:rsidR="00E749D8" w:rsidRPr="004B3DDC" w:rsidRDefault="00E749D8" w:rsidP="009E2E8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US" w:eastAsia="en-US"/>
              </w:rPr>
            </w:pPr>
            <w:r w:rsidRPr="004B3DDC">
              <w:rPr>
                <w:rFonts w:ascii="Arial" w:hAnsi="Arial" w:cs="Arial"/>
                <w:sz w:val="24"/>
                <w:szCs w:val="24"/>
                <w:lang w:val="en-US" w:eastAsia="en-US"/>
              </w:rPr>
              <w:t>Number of ‘other’ enforcement agency enquiries</w:t>
            </w:r>
          </w:p>
        </w:tc>
      </w:tr>
    </w:tbl>
    <w:p w14:paraId="020B95FB" w14:textId="77777777" w:rsidR="00612C46" w:rsidRDefault="00612C46" w:rsidP="00E749D8">
      <w:pPr>
        <w:jc w:val="both"/>
        <w:rPr>
          <w:rFonts w:ascii="Arial" w:hAnsi="Arial" w:cs="Arial"/>
          <w:sz w:val="24"/>
          <w:szCs w:val="24"/>
          <w:lang w:val="en-US" w:eastAsia="en-US"/>
        </w:rPr>
      </w:pPr>
    </w:p>
    <w:p w14:paraId="118572C9" w14:textId="069197B6" w:rsidR="00E749D8" w:rsidRPr="00830C44" w:rsidRDefault="00E749D8" w:rsidP="00407264">
      <w:pPr>
        <w:pStyle w:val="Heading1"/>
        <w:rPr>
          <w:b/>
          <w:sz w:val="24"/>
          <w:szCs w:val="24"/>
          <w:lang w:val="en-US" w:eastAsia="en-US"/>
        </w:rPr>
      </w:pPr>
      <w:r w:rsidRPr="00830C44">
        <w:rPr>
          <w:b/>
        </w:rPr>
        <w:t>Pursue</w:t>
      </w:r>
    </w:p>
    <w:p w14:paraId="47915021" w14:textId="77777777" w:rsidR="00E749D8" w:rsidRPr="00E749D8" w:rsidRDefault="00E749D8" w:rsidP="00E749D8">
      <w:pPr>
        <w:jc w:val="both"/>
        <w:rPr>
          <w:rFonts w:ascii="Arial" w:hAnsi="Arial" w:cs="Arial"/>
          <w:b/>
          <w:bCs/>
          <w:iCs/>
          <w:sz w:val="24"/>
          <w:szCs w:val="24"/>
        </w:rPr>
      </w:pPr>
    </w:p>
    <w:p w14:paraId="2A0ECD56" w14:textId="77777777" w:rsidR="00FA7CB7" w:rsidRPr="00FA7CB7" w:rsidRDefault="00FA7CB7" w:rsidP="00FA7CB7">
      <w:pPr>
        <w:jc w:val="both"/>
        <w:rPr>
          <w:rFonts w:ascii="Arial" w:hAnsi="Arial" w:cs="Arial"/>
          <w:bCs/>
          <w:iCs/>
          <w:sz w:val="24"/>
          <w:szCs w:val="24"/>
        </w:rPr>
      </w:pPr>
      <w:r w:rsidRPr="00FA7CB7">
        <w:rPr>
          <w:rFonts w:ascii="Arial" w:hAnsi="Arial" w:cs="Arial"/>
          <w:bCs/>
          <w:iCs/>
          <w:sz w:val="24"/>
          <w:szCs w:val="24"/>
        </w:rPr>
        <w:t xml:space="preserve">Post payment assurance work around business support grants is being undertaken to identify any grants that may have been paid incorrectly. This is particularly important given the Government’s emphasis on getting payments out quickly to support businesses. </w:t>
      </w:r>
    </w:p>
    <w:p w14:paraId="14E83662" w14:textId="77777777" w:rsidR="00FA7CB7" w:rsidRPr="00FA7CB7" w:rsidRDefault="00FA7CB7" w:rsidP="00FA7CB7">
      <w:pPr>
        <w:jc w:val="both"/>
        <w:rPr>
          <w:rFonts w:ascii="Arial" w:hAnsi="Arial" w:cs="Arial"/>
          <w:bCs/>
          <w:iCs/>
          <w:sz w:val="24"/>
          <w:szCs w:val="24"/>
        </w:rPr>
      </w:pPr>
    </w:p>
    <w:p w14:paraId="2B7B14C9" w14:textId="77777777" w:rsidR="00FA7CB7" w:rsidRPr="00FA7CB7" w:rsidRDefault="00FA7CB7" w:rsidP="00FA7CB7">
      <w:pPr>
        <w:jc w:val="both"/>
        <w:rPr>
          <w:rFonts w:ascii="Arial" w:hAnsi="Arial" w:cs="Arial"/>
          <w:bCs/>
          <w:iCs/>
          <w:sz w:val="24"/>
          <w:szCs w:val="24"/>
        </w:rPr>
      </w:pPr>
      <w:r w:rsidRPr="00FA7CB7">
        <w:rPr>
          <w:rFonts w:ascii="Arial" w:hAnsi="Arial" w:cs="Arial"/>
          <w:bCs/>
          <w:iCs/>
          <w:sz w:val="24"/>
          <w:szCs w:val="24"/>
        </w:rPr>
        <w:t xml:space="preserve">All losses identified (including those identified from reviews of single residency discounts) are pursued in line with the Council’s debt recovery strategy. </w:t>
      </w:r>
    </w:p>
    <w:p w14:paraId="2BD92BED" w14:textId="77777777" w:rsidR="00FA7CB7" w:rsidRPr="00FA7CB7" w:rsidRDefault="00FA7CB7" w:rsidP="00FA7CB7">
      <w:pPr>
        <w:jc w:val="both"/>
        <w:rPr>
          <w:rFonts w:ascii="Arial" w:hAnsi="Arial" w:cs="Arial"/>
          <w:bCs/>
          <w:iCs/>
          <w:sz w:val="24"/>
          <w:szCs w:val="24"/>
        </w:rPr>
      </w:pPr>
    </w:p>
    <w:p w14:paraId="4576F2D2" w14:textId="77777777" w:rsidR="00FA7CB7" w:rsidRPr="00FA7CB7" w:rsidRDefault="00FA7CB7" w:rsidP="00FA7CB7">
      <w:pPr>
        <w:jc w:val="both"/>
        <w:rPr>
          <w:rFonts w:ascii="Arial" w:hAnsi="Arial" w:cs="Arial"/>
          <w:bCs/>
          <w:iCs/>
          <w:sz w:val="24"/>
          <w:szCs w:val="24"/>
        </w:rPr>
      </w:pPr>
      <w:r w:rsidRPr="00FA7CB7">
        <w:rPr>
          <w:rFonts w:ascii="Arial" w:hAnsi="Arial" w:cs="Arial"/>
          <w:bCs/>
          <w:iCs/>
          <w:sz w:val="24"/>
          <w:szCs w:val="24"/>
        </w:rPr>
        <w:t>The Council will always consider prosecution of offenders where there is sufficient evidence and it is in the public interest to do so. It will also consider the use of alternative penalties in certain circumstances for less serious offences, including the offer of an administrative penalty or simple caution.</w:t>
      </w:r>
    </w:p>
    <w:p w14:paraId="7F4E4651" w14:textId="77777777" w:rsidR="00FA7CB7" w:rsidRPr="00FA7CB7" w:rsidRDefault="00FA7CB7" w:rsidP="00FA7CB7">
      <w:pPr>
        <w:jc w:val="both"/>
        <w:rPr>
          <w:rFonts w:ascii="Arial" w:hAnsi="Arial" w:cs="Arial"/>
          <w:bCs/>
          <w:iCs/>
          <w:sz w:val="24"/>
          <w:szCs w:val="24"/>
        </w:rPr>
      </w:pPr>
    </w:p>
    <w:p w14:paraId="09506F63" w14:textId="68C1DE4E" w:rsidR="00121F26" w:rsidRDefault="00FA7CB7" w:rsidP="00FA7CB7">
      <w:pPr>
        <w:jc w:val="both"/>
        <w:rPr>
          <w:rFonts w:ascii="Arial" w:hAnsi="Arial" w:cs="Arial"/>
          <w:bCs/>
          <w:iCs/>
          <w:sz w:val="24"/>
          <w:szCs w:val="24"/>
        </w:rPr>
      </w:pPr>
      <w:r w:rsidRPr="00FA7CB7">
        <w:rPr>
          <w:rFonts w:ascii="Arial" w:hAnsi="Arial" w:cs="Arial"/>
          <w:bCs/>
          <w:iCs/>
          <w:sz w:val="24"/>
          <w:szCs w:val="24"/>
        </w:rPr>
        <w:t xml:space="preserve">The COVID restrictions on 3rd party access to council premises has impacted on our ability to conduct interviews under caution over the past two years. </w:t>
      </w:r>
      <w:r w:rsidR="008475AB">
        <w:rPr>
          <w:rFonts w:ascii="Arial" w:hAnsi="Arial" w:cs="Arial"/>
          <w:bCs/>
          <w:iCs/>
          <w:sz w:val="24"/>
          <w:szCs w:val="24"/>
        </w:rPr>
        <w:t xml:space="preserve">However, we are now </w:t>
      </w:r>
      <w:proofErr w:type="gramStart"/>
      <w:r w:rsidR="008475AB">
        <w:rPr>
          <w:rFonts w:ascii="Arial" w:hAnsi="Arial" w:cs="Arial"/>
          <w:bCs/>
          <w:iCs/>
          <w:sz w:val="24"/>
          <w:szCs w:val="24"/>
        </w:rPr>
        <w:t>in a position</w:t>
      </w:r>
      <w:proofErr w:type="gramEnd"/>
      <w:r w:rsidR="008475AB">
        <w:rPr>
          <w:rFonts w:ascii="Arial" w:hAnsi="Arial" w:cs="Arial"/>
          <w:bCs/>
          <w:iCs/>
          <w:sz w:val="24"/>
          <w:szCs w:val="24"/>
        </w:rPr>
        <w:t xml:space="preserve"> to </w:t>
      </w:r>
      <w:r w:rsidR="00FD589E">
        <w:rPr>
          <w:rFonts w:ascii="Arial" w:hAnsi="Arial" w:cs="Arial"/>
          <w:bCs/>
          <w:iCs/>
          <w:sz w:val="24"/>
          <w:szCs w:val="24"/>
        </w:rPr>
        <w:t>conduct such interviews again and will do so where appropriate.</w:t>
      </w:r>
    </w:p>
    <w:p w14:paraId="6269FD89" w14:textId="6CF177E6" w:rsidR="00FD6ABC" w:rsidRDefault="00FD6ABC" w:rsidP="00FD6ABC">
      <w:pPr>
        <w:pStyle w:val="Heading1"/>
        <w:rPr>
          <w:b/>
          <w:bCs/>
        </w:rPr>
      </w:pPr>
      <w:r w:rsidRPr="00FD6ABC">
        <w:rPr>
          <w:b/>
          <w:bCs/>
        </w:rPr>
        <w:t>Protect</w:t>
      </w:r>
      <w:r>
        <w:rPr>
          <w:b/>
          <w:bCs/>
        </w:rPr>
        <w:t xml:space="preserve"> </w:t>
      </w:r>
    </w:p>
    <w:p w14:paraId="753487A0" w14:textId="7B43FF8E" w:rsidR="00FD6ABC" w:rsidRDefault="00FD6ABC" w:rsidP="00FD6ABC"/>
    <w:p w14:paraId="4931C1A4" w14:textId="6F2D4930" w:rsidR="0073307D" w:rsidRPr="0073307D" w:rsidRDefault="0073307D" w:rsidP="00ED0A31">
      <w:pPr>
        <w:spacing w:after="160" w:line="259" w:lineRule="auto"/>
        <w:jc w:val="both"/>
        <w:rPr>
          <w:rFonts w:ascii="Arial" w:eastAsia="Arial" w:hAnsi="Arial"/>
          <w:sz w:val="24"/>
          <w:szCs w:val="24"/>
        </w:rPr>
      </w:pPr>
      <w:r w:rsidRPr="0073307D">
        <w:rPr>
          <w:rFonts w:ascii="Arial" w:eastAsia="Arial" w:hAnsi="Arial"/>
          <w:sz w:val="24"/>
          <w:szCs w:val="24"/>
        </w:rPr>
        <w:t xml:space="preserve">The actions outlined above provide a robust response to the risks of fraud occurring, its detection and investigation. They enable the council to protect itself from fraud and the harm fraud can cause, both to the council and to the residents of North </w:t>
      </w:r>
      <w:r w:rsidR="00647EB2">
        <w:rPr>
          <w:rFonts w:ascii="Arial" w:eastAsia="Arial" w:hAnsi="Arial"/>
          <w:sz w:val="24"/>
          <w:szCs w:val="24"/>
        </w:rPr>
        <w:t>East</w:t>
      </w:r>
      <w:r w:rsidR="00ED0A31">
        <w:rPr>
          <w:rFonts w:ascii="Arial" w:eastAsia="Arial" w:hAnsi="Arial"/>
          <w:sz w:val="24"/>
          <w:szCs w:val="24"/>
        </w:rPr>
        <w:t xml:space="preserve"> </w:t>
      </w:r>
      <w:r w:rsidRPr="0073307D">
        <w:rPr>
          <w:rFonts w:ascii="Arial" w:eastAsia="Arial" w:hAnsi="Arial"/>
          <w:sz w:val="24"/>
          <w:szCs w:val="24"/>
        </w:rPr>
        <w:t>Lincolnshire.</w:t>
      </w:r>
    </w:p>
    <w:p w14:paraId="14DE9330" w14:textId="77777777" w:rsidR="0073307D" w:rsidRPr="00647EB2" w:rsidRDefault="0073307D" w:rsidP="00ED0A31">
      <w:pPr>
        <w:pStyle w:val="Heading1"/>
        <w:jc w:val="both"/>
        <w:rPr>
          <w:b/>
          <w:bCs/>
        </w:rPr>
      </w:pPr>
      <w:r w:rsidRPr="00647EB2">
        <w:rPr>
          <w:b/>
          <w:bCs/>
        </w:rPr>
        <w:t>Future developments</w:t>
      </w:r>
    </w:p>
    <w:p w14:paraId="39C14D6A" w14:textId="77777777" w:rsidR="0073307D" w:rsidRPr="0073307D" w:rsidRDefault="0073307D" w:rsidP="00ED0A31">
      <w:pPr>
        <w:jc w:val="both"/>
        <w:rPr>
          <w:rFonts w:ascii="Arial" w:hAnsi="Arial" w:cs="Arial"/>
          <w:b/>
          <w:bCs/>
          <w:iCs/>
          <w:sz w:val="24"/>
          <w:szCs w:val="24"/>
        </w:rPr>
      </w:pPr>
    </w:p>
    <w:p w14:paraId="7DBDA04F" w14:textId="5F100119" w:rsidR="00C006D7" w:rsidRDefault="00C006D7" w:rsidP="00C006D7">
      <w:pPr>
        <w:jc w:val="both"/>
        <w:rPr>
          <w:rFonts w:ascii="Arial" w:eastAsia="Arial" w:hAnsi="Arial"/>
          <w:sz w:val="24"/>
          <w:szCs w:val="24"/>
          <w:lang w:eastAsia="en-US"/>
        </w:rPr>
      </w:pPr>
      <w:r w:rsidRPr="00C006D7">
        <w:rPr>
          <w:rFonts w:ascii="Arial" w:eastAsia="Arial" w:hAnsi="Arial"/>
          <w:sz w:val="24"/>
          <w:szCs w:val="24"/>
          <w:lang w:eastAsia="en-US"/>
        </w:rPr>
        <w:t xml:space="preserve">The councils Anti-Fraud Strategy </w:t>
      </w:r>
      <w:r>
        <w:rPr>
          <w:rFonts w:ascii="Arial" w:eastAsia="Arial" w:hAnsi="Arial"/>
          <w:sz w:val="24"/>
          <w:szCs w:val="24"/>
          <w:lang w:eastAsia="en-US"/>
        </w:rPr>
        <w:t xml:space="preserve">and Fraud Response Plan </w:t>
      </w:r>
      <w:r w:rsidRPr="00C006D7">
        <w:rPr>
          <w:rFonts w:ascii="Arial" w:eastAsia="Arial" w:hAnsi="Arial"/>
          <w:sz w:val="24"/>
          <w:szCs w:val="24"/>
          <w:lang w:eastAsia="en-US"/>
        </w:rPr>
        <w:t xml:space="preserve">will be reviewed and updated as necessary to ensure </w:t>
      </w:r>
      <w:r w:rsidR="009719EA">
        <w:rPr>
          <w:rFonts w:ascii="Arial" w:eastAsia="Arial" w:hAnsi="Arial"/>
          <w:sz w:val="24"/>
          <w:szCs w:val="24"/>
          <w:lang w:eastAsia="en-US"/>
        </w:rPr>
        <w:t>they</w:t>
      </w:r>
      <w:r w:rsidRPr="00C006D7">
        <w:rPr>
          <w:rFonts w:ascii="Arial" w:eastAsia="Arial" w:hAnsi="Arial"/>
          <w:sz w:val="24"/>
          <w:szCs w:val="24"/>
          <w:lang w:eastAsia="en-US"/>
        </w:rPr>
        <w:t xml:space="preserve"> remain relevant and at the heart of our counter fraud arrangements.</w:t>
      </w:r>
    </w:p>
    <w:p w14:paraId="23287FA9" w14:textId="77777777" w:rsidR="00C006D7" w:rsidRPr="00C006D7" w:rsidRDefault="00C006D7" w:rsidP="00C006D7">
      <w:pPr>
        <w:jc w:val="both"/>
        <w:rPr>
          <w:rFonts w:ascii="Arial" w:eastAsia="Arial" w:hAnsi="Arial"/>
          <w:sz w:val="24"/>
          <w:szCs w:val="24"/>
          <w:lang w:eastAsia="en-US"/>
        </w:rPr>
      </w:pPr>
    </w:p>
    <w:p w14:paraId="6EBC0223" w14:textId="63B62AD8" w:rsidR="00C006D7" w:rsidRDefault="00C006D7" w:rsidP="00C006D7">
      <w:pPr>
        <w:jc w:val="both"/>
        <w:rPr>
          <w:rFonts w:ascii="Arial" w:eastAsia="Arial" w:hAnsi="Arial"/>
          <w:sz w:val="24"/>
          <w:szCs w:val="24"/>
          <w:lang w:eastAsia="en-US"/>
        </w:rPr>
      </w:pPr>
      <w:r w:rsidRPr="00C006D7">
        <w:rPr>
          <w:rFonts w:ascii="Arial" w:eastAsia="Arial" w:hAnsi="Arial"/>
          <w:sz w:val="24"/>
          <w:szCs w:val="24"/>
          <w:lang w:eastAsia="en-US"/>
        </w:rPr>
        <w:t>The outcome of the peer review will be considered with actions taken to address any areas where improvements can be made.</w:t>
      </w:r>
    </w:p>
    <w:p w14:paraId="5E968000" w14:textId="77777777" w:rsidR="00C006D7" w:rsidRPr="00C006D7" w:rsidRDefault="00C006D7" w:rsidP="00C006D7">
      <w:pPr>
        <w:jc w:val="both"/>
        <w:rPr>
          <w:rFonts w:ascii="Arial" w:eastAsia="Arial" w:hAnsi="Arial"/>
          <w:sz w:val="24"/>
          <w:szCs w:val="24"/>
          <w:lang w:eastAsia="en-US"/>
        </w:rPr>
      </w:pPr>
    </w:p>
    <w:p w14:paraId="3DAAFA44" w14:textId="4EB9708B" w:rsidR="00C006D7" w:rsidRDefault="00C006D7" w:rsidP="00C006D7">
      <w:pPr>
        <w:jc w:val="both"/>
        <w:rPr>
          <w:rFonts w:ascii="Arial" w:eastAsia="Arial" w:hAnsi="Arial"/>
          <w:sz w:val="24"/>
          <w:szCs w:val="24"/>
          <w:lang w:eastAsia="en-US"/>
        </w:rPr>
      </w:pPr>
      <w:r w:rsidRPr="00C006D7">
        <w:rPr>
          <w:rFonts w:ascii="Arial" w:eastAsia="Arial" w:hAnsi="Arial"/>
          <w:sz w:val="24"/>
          <w:szCs w:val="24"/>
          <w:lang w:eastAsia="en-US"/>
        </w:rPr>
        <w:t>We will continue to develop and produce online fraud awareness packages to take account of the shift from predominantly office-based working to home working, enabling employees to access content wherever they work.</w:t>
      </w:r>
    </w:p>
    <w:p w14:paraId="3583E23D" w14:textId="77777777" w:rsidR="00C006D7" w:rsidRPr="00C006D7" w:rsidRDefault="00C006D7" w:rsidP="00C006D7">
      <w:pPr>
        <w:jc w:val="both"/>
        <w:rPr>
          <w:rFonts w:ascii="Arial" w:eastAsia="Arial" w:hAnsi="Arial"/>
          <w:sz w:val="24"/>
          <w:szCs w:val="24"/>
          <w:lang w:eastAsia="en-US"/>
        </w:rPr>
      </w:pPr>
    </w:p>
    <w:p w14:paraId="634FDECA" w14:textId="1F8B1108" w:rsidR="00C006D7" w:rsidRDefault="00C006D7" w:rsidP="00C006D7">
      <w:pPr>
        <w:jc w:val="both"/>
        <w:rPr>
          <w:rFonts w:ascii="Arial" w:eastAsia="Arial" w:hAnsi="Arial"/>
          <w:sz w:val="24"/>
          <w:szCs w:val="24"/>
          <w:lang w:eastAsia="en-US"/>
        </w:rPr>
      </w:pPr>
      <w:r w:rsidRPr="00C006D7">
        <w:rPr>
          <w:rFonts w:ascii="Arial" w:eastAsia="Arial" w:hAnsi="Arial"/>
          <w:sz w:val="24"/>
          <w:szCs w:val="24"/>
          <w:lang w:eastAsia="en-US"/>
        </w:rPr>
        <w:t>We will undertake a review of fraud risk assessments to ensure that services understand and appropriately mitigate fraud risk (including the risk of bribery).</w:t>
      </w:r>
    </w:p>
    <w:p w14:paraId="351935B3" w14:textId="77777777" w:rsidR="00C006D7" w:rsidRPr="00C006D7" w:rsidRDefault="00C006D7" w:rsidP="00C006D7">
      <w:pPr>
        <w:jc w:val="both"/>
        <w:rPr>
          <w:rFonts w:ascii="Arial" w:eastAsia="Arial" w:hAnsi="Arial"/>
          <w:sz w:val="24"/>
          <w:szCs w:val="24"/>
          <w:lang w:eastAsia="en-US"/>
        </w:rPr>
      </w:pPr>
    </w:p>
    <w:p w14:paraId="486A278F" w14:textId="0A22CE4B" w:rsidR="00C7789D" w:rsidRDefault="00C006D7" w:rsidP="00C006D7">
      <w:pPr>
        <w:jc w:val="both"/>
        <w:rPr>
          <w:rFonts w:ascii="Arial" w:hAnsi="Arial" w:cs="Arial"/>
          <w:b/>
          <w:bCs/>
          <w:iCs/>
          <w:sz w:val="32"/>
          <w:szCs w:val="32"/>
        </w:rPr>
      </w:pPr>
      <w:r w:rsidRPr="00C61B6C">
        <w:rPr>
          <w:rFonts w:ascii="Arial" w:eastAsia="Arial" w:hAnsi="Arial"/>
          <w:sz w:val="24"/>
          <w:szCs w:val="24"/>
          <w:lang w:eastAsia="en-US"/>
        </w:rPr>
        <w:t>A draft plan for proactive fraud work to be completed in 2023/24 is also in the process of being developed as part of the audit planning process.  This will use the responses to the forthcoming fraud survey and review of fraud risk assessments to highlight areas of priority for future work.</w:t>
      </w:r>
    </w:p>
    <w:sectPr w:rsidR="00C7789D" w:rsidSect="00F1358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E5ED" w14:textId="77777777" w:rsidR="00972CAE" w:rsidRDefault="00972CAE" w:rsidP="00D37338">
      <w:r>
        <w:separator/>
      </w:r>
    </w:p>
  </w:endnote>
  <w:endnote w:type="continuationSeparator" w:id="0">
    <w:p w14:paraId="266D55BD" w14:textId="77777777" w:rsidR="00972CAE" w:rsidRDefault="00972CAE" w:rsidP="00D3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A9B1" w14:textId="77777777" w:rsidR="00972CAE" w:rsidRDefault="00972CAE" w:rsidP="00D37338">
      <w:r>
        <w:separator/>
      </w:r>
    </w:p>
  </w:footnote>
  <w:footnote w:type="continuationSeparator" w:id="0">
    <w:p w14:paraId="39EE7D25" w14:textId="77777777" w:rsidR="00972CAE" w:rsidRDefault="00972CAE" w:rsidP="00D37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5F0"/>
    <w:multiLevelType w:val="hybridMultilevel"/>
    <w:tmpl w:val="95C2C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696BB8"/>
    <w:multiLevelType w:val="hybridMultilevel"/>
    <w:tmpl w:val="716A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D108A"/>
    <w:multiLevelType w:val="hybridMultilevel"/>
    <w:tmpl w:val="8514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12498"/>
    <w:multiLevelType w:val="hybridMultilevel"/>
    <w:tmpl w:val="385C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C3237"/>
    <w:multiLevelType w:val="hybridMultilevel"/>
    <w:tmpl w:val="C64E31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F01A77"/>
    <w:multiLevelType w:val="multilevel"/>
    <w:tmpl w:val="9652775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8DE658C"/>
    <w:multiLevelType w:val="hybridMultilevel"/>
    <w:tmpl w:val="94EA8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FA5430"/>
    <w:multiLevelType w:val="hybridMultilevel"/>
    <w:tmpl w:val="16F658AE"/>
    <w:lvl w:ilvl="0" w:tplc="0FA8F20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67E0B"/>
    <w:multiLevelType w:val="hybridMultilevel"/>
    <w:tmpl w:val="10AAA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CB0675"/>
    <w:multiLevelType w:val="hybridMultilevel"/>
    <w:tmpl w:val="EF6A577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C00951"/>
    <w:multiLevelType w:val="hybridMultilevel"/>
    <w:tmpl w:val="2C7AC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171D6"/>
    <w:multiLevelType w:val="hybridMultilevel"/>
    <w:tmpl w:val="FF0636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B34E67"/>
    <w:multiLevelType w:val="hybridMultilevel"/>
    <w:tmpl w:val="7D92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258B1"/>
    <w:multiLevelType w:val="hybridMultilevel"/>
    <w:tmpl w:val="4808A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806328">
    <w:abstractNumId w:val="5"/>
  </w:num>
  <w:num w:numId="2" w16cid:durableId="1747263894">
    <w:abstractNumId w:val="11"/>
  </w:num>
  <w:num w:numId="3" w16cid:durableId="1327896767">
    <w:abstractNumId w:val="2"/>
  </w:num>
  <w:num w:numId="4" w16cid:durableId="1411777975">
    <w:abstractNumId w:val="4"/>
  </w:num>
  <w:num w:numId="5" w16cid:durableId="1734349978">
    <w:abstractNumId w:val="10"/>
  </w:num>
  <w:num w:numId="6" w16cid:durableId="153305063">
    <w:abstractNumId w:val="1"/>
  </w:num>
  <w:num w:numId="7" w16cid:durableId="44766981">
    <w:abstractNumId w:val="12"/>
  </w:num>
  <w:num w:numId="8" w16cid:durableId="852063588">
    <w:abstractNumId w:val="3"/>
  </w:num>
  <w:num w:numId="9" w16cid:durableId="52849904">
    <w:abstractNumId w:val="9"/>
  </w:num>
  <w:num w:numId="10" w16cid:durableId="1571964268">
    <w:abstractNumId w:val="13"/>
  </w:num>
  <w:num w:numId="11" w16cid:durableId="1765762854">
    <w:abstractNumId w:val="8"/>
  </w:num>
  <w:num w:numId="12" w16cid:durableId="350649607">
    <w:abstractNumId w:val="7"/>
  </w:num>
  <w:num w:numId="13" w16cid:durableId="552431307">
    <w:abstractNumId w:val="6"/>
  </w:num>
  <w:num w:numId="14" w16cid:durableId="64790567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9C"/>
    <w:rsid w:val="00000BD9"/>
    <w:rsid w:val="00004815"/>
    <w:rsid w:val="000105DD"/>
    <w:rsid w:val="00011039"/>
    <w:rsid w:val="00015696"/>
    <w:rsid w:val="00016D0C"/>
    <w:rsid w:val="00024921"/>
    <w:rsid w:val="00024F34"/>
    <w:rsid w:val="00026AA3"/>
    <w:rsid w:val="00030E6B"/>
    <w:rsid w:val="00031B4D"/>
    <w:rsid w:val="00033462"/>
    <w:rsid w:val="00036418"/>
    <w:rsid w:val="0004124A"/>
    <w:rsid w:val="00044164"/>
    <w:rsid w:val="00047D91"/>
    <w:rsid w:val="00052581"/>
    <w:rsid w:val="00053696"/>
    <w:rsid w:val="00054325"/>
    <w:rsid w:val="00062DE5"/>
    <w:rsid w:val="00071041"/>
    <w:rsid w:val="0007199E"/>
    <w:rsid w:val="00072999"/>
    <w:rsid w:val="00073C5E"/>
    <w:rsid w:val="00074317"/>
    <w:rsid w:val="00080044"/>
    <w:rsid w:val="00083BF3"/>
    <w:rsid w:val="00085831"/>
    <w:rsid w:val="00091180"/>
    <w:rsid w:val="000914C3"/>
    <w:rsid w:val="00093934"/>
    <w:rsid w:val="000943EE"/>
    <w:rsid w:val="00097BD1"/>
    <w:rsid w:val="000A46A3"/>
    <w:rsid w:val="000A722C"/>
    <w:rsid w:val="000A742B"/>
    <w:rsid w:val="000B2B1C"/>
    <w:rsid w:val="000B31B3"/>
    <w:rsid w:val="000B4F9E"/>
    <w:rsid w:val="000C5581"/>
    <w:rsid w:val="000C7B32"/>
    <w:rsid w:val="000C7BC8"/>
    <w:rsid w:val="000D0EE8"/>
    <w:rsid w:val="000D1DDE"/>
    <w:rsid w:val="000D20D1"/>
    <w:rsid w:val="000E0C17"/>
    <w:rsid w:val="000E4AE9"/>
    <w:rsid w:val="000E5B34"/>
    <w:rsid w:val="000F1B25"/>
    <w:rsid w:val="000F24A4"/>
    <w:rsid w:val="00100346"/>
    <w:rsid w:val="00103A52"/>
    <w:rsid w:val="001065D7"/>
    <w:rsid w:val="00111910"/>
    <w:rsid w:val="00113D68"/>
    <w:rsid w:val="00120775"/>
    <w:rsid w:val="00120BDD"/>
    <w:rsid w:val="00120F32"/>
    <w:rsid w:val="00121F26"/>
    <w:rsid w:val="001266E4"/>
    <w:rsid w:val="001367D4"/>
    <w:rsid w:val="00136A6A"/>
    <w:rsid w:val="00137340"/>
    <w:rsid w:val="00137DF5"/>
    <w:rsid w:val="00142E8F"/>
    <w:rsid w:val="001478E4"/>
    <w:rsid w:val="00147AA6"/>
    <w:rsid w:val="00150970"/>
    <w:rsid w:val="001512DC"/>
    <w:rsid w:val="0015669D"/>
    <w:rsid w:val="00157D7F"/>
    <w:rsid w:val="001627B4"/>
    <w:rsid w:val="001635D0"/>
    <w:rsid w:val="001658FD"/>
    <w:rsid w:val="00166AE4"/>
    <w:rsid w:val="00170FF6"/>
    <w:rsid w:val="00175A92"/>
    <w:rsid w:val="00177D71"/>
    <w:rsid w:val="0018136C"/>
    <w:rsid w:val="00182584"/>
    <w:rsid w:val="00182626"/>
    <w:rsid w:val="00184A5C"/>
    <w:rsid w:val="0018511E"/>
    <w:rsid w:val="0018645F"/>
    <w:rsid w:val="001875F2"/>
    <w:rsid w:val="00190F5C"/>
    <w:rsid w:val="001935B2"/>
    <w:rsid w:val="00194B5D"/>
    <w:rsid w:val="00197059"/>
    <w:rsid w:val="001A14A5"/>
    <w:rsid w:val="001A4AC4"/>
    <w:rsid w:val="001A7ACB"/>
    <w:rsid w:val="001A7BF4"/>
    <w:rsid w:val="001B2EDB"/>
    <w:rsid w:val="001C71D9"/>
    <w:rsid w:val="001C78E3"/>
    <w:rsid w:val="001C7941"/>
    <w:rsid w:val="001D35BF"/>
    <w:rsid w:val="001D449E"/>
    <w:rsid w:val="001D50D2"/>
    <w:rsid w:val="001D5C14"/>
    <w:rsid w:val="001D6D82"/>
    <w:rsid w:val="001E13B7"/>
    <w:rsid w:val="001E54BD"/>
    <w:rsid w:val="001F0648"/>
    <w:rsid w:val="001F192D"/>
    <w:rsid w:val="001F21E9"/>
    <w:rsid w:val="001F4108"/>
    <w:rsid w:val="001F6AC1"/>
    <w:rsid w:val="0020032B"/>
    <w:rsid w:val="002015B8"/>
    <w:rsid w:val="00201738"/>
    <w:rsid w:val="00205CA4"/>
    <w:rsid w:val="00211A5A"/>
    <w:rsid w:val="00213152"/>
    <w:rsid w:val="002131A4"/>
    <w:rsid w:val="0021340E"/>
    <w:rsid w:val="002245A3"/>
    <w:rsid w:val="00226E6D"/>
    <w:rsid w:val="0023053C"/>
    <w:rsid w:val="0023777B"/>
    <w:rsid w:val="0024153F"/>
    <w:rsid w:val="002440FA"/>
    <w:rsid w:val="00255D20"/>
    <w:rsid w:val="002623F5"/>
    <w:rsid w:val="00266FC9"/>
    <w:rsid w:val="00267612"/>
    <w:rsid w:val="00272D80"/>
    <w:rsid w:val="00273171"/>
    <w:rsid w:val="00274365"/>
    <w:rsid w:val="00275F8B"/>
    <w:rsid w:val="00276FDB"/>
    <w:rsid w:val="00277B36"/>
    <w:rsid w:val="002855E1"/>
    <w:rsid w:val="00286379"/>
    <w:rsid w:val="00291220"/>
    <w:rsid w:val="00292517"/>
    <w:rsid w:val="002A1A6E"/>
    <w:rsid w:val="002A2694"/>
    <w:rsid w:val="002A6E20"/>
    <w:rsid w:val="002B1A8C"/>
    <w:rsid w:val="002B216E"/>
    <w:rsid w:val="002C333A"/>
    <w:rsid w:val="002C3EE9"/>
    <w:rsid w:val="002C4EB4"/>
    <w:rsid w:val="002D0A93"/>
    <w:rsid w:val="002E1654"/>
    <w:rsid w:val="002E3E78"/>
    <w:rsid w:val="002E60EF"/>
    <w:rsid w:val="002E7794"/>
    <w:rsid w:val="002F1F60"/>
    <w:rsid w:val="002F2064"/>
    <w:rsid w:val="002F5FBB"/>
    <w:rsid w:val="00300725"/>
    <w:rsid w:val="00302AF9"/>
    <w:rsid w:val="0030315A"/>
    <w:rsid w:val="003072C8"/>
    <w:rsid w:val="00312825"/>
    <w:rsid w:val="00313F66"/>
    <w:rsid w:val="0031581E"/>
    <w:rsid w:val="003159E8"/>
    <w:rsid w:val="003174B5"/>
    <w:rsid w:val="00317F0D"/>
    <w:rsid w:val="003200EB"/>
    <w:rsid w:val="003201F4"/>
    <w:rsid w:val="0032211F"/>
    <w:rsid w:val="00325426"/>
    <w:rsid w:val="00326F4B"/>
    <w:rsid w:val="003319BB"/>
    <w:rsid w:val="003331F8"/>
    <w:rsid w:val="00335E32"/>
    <w:rsid w:val="003403A8"/>
    <w:rsid w:val="0034050B"/>
    <w:rsid w:val="00341D77"/>
    <w:rsid w:val="00342B5C"/>
    <w:rsid w:val="00345898"/>
    <w:rsid w:val="003470FB"/>
    <w:rsid w:val="0035294D"/>
    <w:rsid w:val="003609A9"/>
    <w:rsid w:val="0036207D"/>
    <w:rsid w:val="00366D38"/>
    <w:rsid w:val="00366F79"/>
    <w:rsid w:val="0036774F"/>
    <w:rsid w:val="00367B8B"/>
    <w:rsid w:val="00373485"/>
    <w:rsid w:val="00376195"/>
    <w:rsid w:val="00382994"/>
    <w:rsid w:val="00383709"/>
    <w:rsid w:val="00383A73"/>
    <w:rsid w:val="00385F0D"/>
    <w:rsid w:val="00390D1F"/>
    <w:rsid w:val="0039159C"/>
    <w:rsid w:val="003954C7"/>
    <w:rsid w:val="00395631"/>
    <w:rsid w:val="003A0BEB"/>
    <w:rsid w:val="003A3407"/>
    <w:rsid w:val="003B28FC"/>
    <w:rsid w:val="003B2D67"/>
    <w:rsid w:val="003B2EA1"/>
    <w:rsid w:val="003B535F"/>
    <w:rsid w:val="003C066A"/>
    <w:rsid w:val="003C11C8"/>
    <w:rsid w:val="003C1747"/>
    <w:rsid w:val="003C2155"/>
    <w:rsid w:val="003C2EF8"/>
    <w:rsid w:val="003C5B19"/>
    <w:rsid w:val="003D1FC4"/>
    <w:rsid w:val="003D2A64"/>
    <w:rsid w:val="003D717E"/>
    <w:rsid w:val="003E0AAA"/>
    <w:rsid w:val="003E1F6B"/>
    <w:rsid w:val="003E49FB"/>
    <w:rsid w:val="003E6A3A"/>
    <w:rsid w:val="003F352E"/>
    <w:rsid w:val="003F678F"/>
    <w:rsid w:val="003F7C24"/>
    <w:rsid w:val="00401F2F"/>
    <w:rsid w:val="00403994"/>
    <w:rsid w:val="00405027"/>
    <w:rsid w:val="00407264"/>
    <w:rsid w:val="0040789C"/>
    <w:rsid w:val="00412ADA"/>
    <w:rsid w:val="004149EE"/>
    <w:rsid w:val="00415049"/>
    <w:rsid w:val="00415E7F"/>
    <w:rsid w:val="00415F3A"/>
    <w:rsid w:val="00416294"/>
    <w:rsid w:val="00417968"/>
    <w:rsid w:val="00417C08"/>
    <w:rsid w:val="00424100"/>
    <w:rsid w:val="004410BA"/>
    <w:rsid w:val="004444CC"/>
    <w:rsid w:val="00446363"/>
    <w:rsid w:val="00451C99"/>
    <w:rsid w:val="00451E21"/>
    <w:rsid w:val="00453CD4"/>
    <w:rsid w:val="0045423E"/>
    <w:rsid w:val="00455B1C"/>
    <w:rsid w:val="00455BD6"/>
    <w:rsid w:val="00457CC6"/>
    <w:rsid w:val="00460F68"/>
    <w:rsid w:val="00461463"/>
    <w:rsid w:val="00461FCB"/>
    <w:rsid w:val="00467EC4"/>
    <w:rsid w:val="00470C3A"/>
    <w:rsid w:val="00471E16"/>
    <w:rsid w:val="00473313"/>
    <w:rsid w:val="00476BBC"/>
    <w:rsid w:val="004776C4"/>
    <w:rsid w:val="004831FE"/>
    <w:rsid w:val="00483256"/>
    <w:rsid w:val="004860D4"/>
    <w:rsid w:val="004906B8"/>
    <w:rsid w:val="00490FCE"/>
    <w:rsid w:val="0049527B"/>
    <w:rsid w:val="004A3D2A"/>
    <w:rsid w:val="004A5174"/>
    <w:rsid w:val="004A51D2"/>
    <w:rsid w:val="004A564D"/>
    <w:rsid w:val="004A5FAE"/>
    <w:rsid w:val="004B235D"/>
    <w:rsid w:val="004B2F5B"/>
    <w:rsid w:val="004B3DDC"/>
    <w:rsid w:val="004B4423"/>
    <w:rsid w:val="004C065F"/>
    <w:rsid w:val="004C19E3"/>
    <w:rsid w:val="004C5CB6"/>
    <w:rsid w:val="004C636D"/>
    <w:rsid w:val="004C6DBD"/>
    <w:rsid w:val="004D19B3"/>
    <w:rsid w:val="004D510D"/>
    <w:rsid w:val="004D527D"/>
    <w:rsid w:val="004E6475"/>
    <w:rsid w:val="004E6C50"/>
    <w:rsid w:val="004F20EA"/>
    <w:rsid w:val="004F29DE"/>
    <w:rsid w:val="004F36DA"/>
    <w:rsid w:val="00502410"/>
    <w:rsid w:val="00504B80"/>
    <w:rsid w:val="00504D62"/>
    <w:rsid w:val="00505C38"/>
    <w:rsid w:val="00511F65"/>
    <w:rsid w:val="00512240"/>
    <w:rsid w:val="00514178"/>
    <w:rsid w:val="0051474C"/>
    <w:rsid w:val="005218F3"/>
    <w:rsid w:val="00524B05"/>
    <w:rsid w:val="005276AA"/>
    <w:rsid w:val="005278FB"/>
    <w:rsid w:val="00530DFD"/>
    <w:rsid w:val="00530EE8"/>
    <w:rsid w:val="005369DF"/>
    <w:rsid w:val="0054143B"/>
    <w:rsid w:val="00542B5D"/>
    <w:rsid w:val="00543EDE"/>
    <w:rsid w:val="00545661"/>
    <w:rsid w:val="005460B3"/>
    <w:rsid w:val="00546297"/>
    <w:rsid w:val="00551E57"/>
    <w:rsid w:val="00555CB5"/>
    <w:rsid w:val="00556B78"/>
    <w:rsid w:val="00560886"/>
    <w:rsid w:val="00562061"/>
    <w:rsid w:val="00563DCE"/>
    <w:rsid w:val="005640D3"/>
    <w:rsid w:val="00565CCC"/>
    <w:rsid w:val="00565D5F"/>
    <w:rsid w:val="00565FBC"/>
    <w:rsid w:val="00566D28"/>
    <w:rsid w:val="005733F4"/>
    <w:rsid w:val="005752BC"/>
    <w:rsid w:val="005762B3"/>
    <w:rsid w:val="0057753C"/>
    <w:rsid w:val="00582975"/>
    <w:rsid w:val="00582F47"/>
    <w:rsid w:val="00583E48"/>
    <w:rsid w:val="00584FAC"/>
    <w:rsid w:val="005867B0"/>
    <w:rsid w:val="00596A13"/>
    <w:rsid w:val="005A02AB"/>
    <w:rsid w:val="005A2CED"/>
    <w:rsid w:val="005A566E"/>
    <w:rsid w:val="005A614D"/>
    <w:rsid w:val="005B1B80"/>
    <w:rsid w:val="005B799D"/>
    <w:rsid w:val="005C2929"/>
    <w:rsid w:val="005D0BB0"/>
    <w:rsid w:val="005E296A"/>
    <w:rsid w:val="005E2ABD"/>
    <w:rsid w:val="005E5C0B"/>
    <w:rsid w:val="005F36FD"/>
    <w:rsid w:val="005F4958"/>
    <w:rsid w:val="00600328"/>
    <w:rsid w:val="00601BF4"/>
    <w:rsid w:val="0060349E"/>
    <w:rsid w:val="0061163E"/>
    <w:rsid w:val="00611AC0"/>
    <w:rsid w:val="00611B82"/>
    <w:rsid w:val="00612098"/>
    <w:rsid w:val="00612C46"/>
    <w:rsid w:val="00613D5A"/>
    <w:rsid w:val="006143C0"/>
    <w:rsid w:val="0061521D"/>
    <w:rsid w:val="0061588D"/>
    <w:rsid w:val="0062101D"/>
    <w:rsid w:val="0062438B"/>
    <w:rsid w:val="00630D22"/>
    <w:rsid w:val="00631757"/>
    <w:rsid w:val="00640F45"/>
    <w:rsid w:val="0064271B"/>
    <w:rsid w:val="0064392A"/>
    <w:rsid w:val="00647EB2"/>
    <w:rsid w:val="0065124F"/>
    <w:rsid w:val="00653975"/>
    <w:rsid w:val="00654AD3"/>
    <w:rsid w:val="0066122D"/>
    <w:rsid w:val="0067621A"/>
    <w:rsid w:val="00682550"/>
    <w:rsid w:val="0068642F"/>
    <w:rsid w:val="00686BE4"/>
    <w:rsid w:val="006935A1"/>
    <w:rsid w:val="00693730"/>
    <w:rsid w:val="006937B8"/>
    <w:rsid w:val="006965F1"/>
    <w:rsid w:val="00697E40"/>
    <w:rsid w:val="006A6B05"/>
    <w:rsid w:val="006A7FFD"/>
    <w:rsid w:val="006B1065"/>
    <w:rsid w:val="006B1924"/>
    <w:rsid w:val="006B321B"/>
    <w:rsid w:val="006B5797"/>
    <w:rsid w:val="006B7126"/>
    <w:rsid w:val="006C3814"/>
    <w:rsid w:val="006C521C"/>
    <w:rsid w:val="006C7F4E"/>
    <w:rsid w:val="006D0A1E"/>
    <w:rsid w:val="006D5115"/>
    <w:rsid w:val="006D6C0A"/>
    <w:rsid w:val="006E3ABD"/>
    <w:rsid w:val="006E3DD7"/>
    <w:rsid w:val="006F019D"/>
    <w:rsid w:val="006F1F7E"/>
    <w:rsid w:val="006F3677"/>
    <w:rsid w:val="00702A4E"/>
    <w:rsid w:val="00703E3E"/>
    <w:rsid w:val="00704444"/>
    <w:rsid w:val="00704CA3"/>
    <w:rsid w:val="00705D6B"/>
    <w:rsid w:val="00706203"/>
    <w:rsid w:val="0071149D"/>
    <w:rsid w:val="00713608"/>
    <w:rsid w:val="0071505A"/>
    <w:rsid w:val="007217A9"/>
    <w:rsid w:val="00722131"/>
    <w:rsid w:val="00724C75"/>
    <w:rsid w:val="0073051F"/>
    <w:rsid w:val="0073307D"/>
    <w:rsid w:val="0073350F"/>
    <w:rsid w:val="00733D5A"/>
    <w:rsid w:val="00742167"/>
    <w:rsid w:val="0074317D"/>
    <w:rsid w:val="00750DEB"/>
    <w:rsid w:val="00754F3D"/>
    <w:rsid w:val="00756104"/>
    <w:rsid w:val="00756B67"/>
    <w:rsid w:val="00761C28"/>
    <w:rsid w:val="00764F5C"/>
    <w:rsid w:val="0076500F"/>
    <w:rsid w:val="00765B9C"/>
    <w:rsid w:val="0076708A"/>
    <w:rsid w:val="00767A77"/>
    <w:rsid w:val="00767F61"/>
    <w:rsid w:val="0077162A"/>
    <w:rsid w:val="00775A98"/>
    <w:rsid w:val="00777250"/>
    <w:rsid w:val="0078136A"/>
    <w:rsid w:val="00783853"/>
    <w:rsid w:val="007865EB"/>
    <w:rsid w:val="00790759"/>
    <w:rsid w:val="00790C5E"/>
    <w:rsid w:val="0079211E"/>
    <w:rsid w:val="007A0719"/>
    <w:rsid w:val="007A2D31"/>
    <w:rsid w:val="007A4C39"/>
    <w:rsid w:val="007A610B"/>
    <w:rsid w:val="007B0B23"/>
    <w:rsid w:val="007B1548"/>
    <w:rsid w:val="007B54D3"/>
    <w:rsid w:val="007B72F8"/>
    <w:rsid w:val="007C1695"/>
    <w:rsid w:val="007C1801"/>
    <w:rsid w:val="007C24FF"/>
    <w:rsid w:val="007C336F"/>
    <w:rsid w:val="007C3AA3"/>
    <w:rsid w:val="007C5E77"/>
    <w:rsid w:val="007D15C0"/>
    <w:rsid w:val="007D2BFF"/>
    <w:rsid w:val="007D516A"/>
    <w:rsid w:val="007E15A8"/>
    <w:rsid w:val="007E1B8C"/>
    <w:rsid w:val="007E236B"/>
    <w:rsid w:val="007E3581"/>
    <w:rsid w:val="007E36DB"/>
    <w:rsid w:val="007E3AAC"/>
    <w:rsid w:val="007E40B3"/>
    <w:rsid w:val="007F071F"/>
    <w:rsid w:val="007F4810"/>
    <w:rsid w:val="007F558C"/>
    <w:rsid w:val="007F56CB"/>
    <w:rsid w:val="007F6F02"/>
    <w:rsid w:val="007F7D51"/>
    <w:rsid w:val="00800852"/>
    <w:rsid w:val="00802909"/>
    <w:rsid w:val="008037B2"/>
    <w:rsid w:val="00820952"/>
    <w:rsid w:val="0082431A"/>
    <w:rsid w:val="00825284"/>
    <w:rsid w:val="00830C44"/>
    <w:rsid w:val="00831E9B"/>
    <w:rsid w:val="008323D0"/>
    <w:rsid w:val="00834647"/>
    <w:rsid w:val="00842450"/>
    <w:rsid w:val="0084299E"/>
    <w:rsid w:val="008463FD"/>
    <w:rsid w:val="00846A5C"/>
    <w:rsid w:val="008475AB"/>
    <w:rsid w:val="0085247E"/>
    <w:rsid w:val="00852D26"/>
    <w:rsid w:val="00861F87"/>
    <w:rsid w:val="00863095"/>
    <w:rsid w:val="00864791"/>
    <w:rsid w:val="00864D71"/>
    <w:rsid w:val="00865490"/>
    <w:rsid w:val="00865BD5"/>
    <w:rsid w:val="00867ACD"/>
    <w:rsid w:val="00873467"/>
    <w:rsid w:val="00873BD3"/>
    <w:rsid w:val="00877EE1"/>
    <w:rsid w:val="00883A83"/>
    <w:rsid w:val="00883BA1"/>
    <w:rsid w:val="00891BEF"/>
    <w:rsid w:val="00893372"/>
    <w:rsid w:val="00897C59"/>
    <w:rsid w:val="008A605D"/>
    <w:rsid w:val="008A770B"/>
    <w:rsid w:val="008B63C9"/>
    <w:rsid w:val="008B7159"/>
    <w:rsid w:val="008C08C1"/>
    <w:rsid w:val="008C24F4"/>
    <w:rsid w:val="008C263D"/>
    <w:rsid w:val="008C3B8A"/>
    <w:rsid w:val="008C4655"/>
    <w:rsid w:val="008C46A4"/>
    <w:rsid w:val="008C556B"/>
    <w:rsid w:val="008C616D"/>
    <w:rsid w:val="008C7576"/>
    <w:rsid w:val="008D0CB1"/>
    <w:rsid w:val="008D500C"/>
    <w:rsid w:val="008E3B2E"/>
    <w:rsid w:val="008E7290"/>
    <w:rsid w:val="008F015B"/>
    <w:rsid w:val="008F388D"/>
    <w:rsid w:val="008F3CB3"/>
    <w:rsid w:val="008F3FF7"/>
    <w:rsid w:val="008F541A"/>
    <w:rsid w:val="008F5AE9"/>
    <w:rsid w:val="008F5F81"/>
    <w:rsid w:val="009002B6"/>
    <w:rsid w:val="0090045E"/>
    <w:rsid w:val="00907323"/>
    <w:rsid w:val="00910AAC"/>
    <w:rsid w:val="00910EBB"/>
    <w:rsid w:val="00911FAC"/>
    <w:rsid w:val="00915C2E"/>
    <w:rsid w:val="00915FEB"/>
    <w:rsid w:val="00916FE5"/>
    <w:rsid w:val="00921DF1"/>
    <w:rsid w:val="00922E3C"/>
    <w:rsid w:val="00927F78"/>
    <w:rsid w:val="009322D3"/>
    <w:rsid w:val="009351FF"/>
    <w:rsid w:val="00935641"/>
    <w:rsid w:val="009413D1"/>
    <w:rsid w:val="009416E4"/>
    <w:rsid w:val="00942085"/>
    <w:rsid w:val="00944699"/>
    <w:rsid w:val="00951A22"/>
    <w:rsid w:val="009553D5"/>
    <w:rsid w:val="00955517"/>
    <w:rsid w:val="00963B01"/>
    <w:rsid w:val="00964510"/>
    <w:rsid w:val="00964A60"/>
    <w:rsid w:val="009653B7"/>
    <w:rsid w:val="009719EA"/>
    <w:rsid w:val="00972CAE"/>
    <w:rsid w:val="00972F64"/>
    <w:rsid w:val="009730B5"/>
    <w:rsid w:val="009745D0"/>
    <w:rsid w:val="00975334"/>
    <w:rsid w:val="009753B8"/>
    <w:rsid w:val="00977E28"/>
    <w:rsid w:val="009839E1"/>
    <w:rsid w:val="009841B4"/>
    <w:rsid w:val="00984F90"/>
    <w:rsid w:val="00986768"/>
    <w:rsid w:val="009870EA"/>
    <w:rsid w:val="00987B2F"/>
    <w:rsid w:val="0099735D"/>
    <w:rsid w:val="00997F14"/>
    <w:rsid w:val="009A1AFE"/>
    <w:rsid w:val="009A2E46"/>
    <w:rsid w:val="009A3944"/>
    <w:rsid w:val="009B0B0B"/>
    <w:rsid w:val="009B0B54"/>
    <w:rsid w:val="009B5C92"/>
    <w:rsid w:val="009B5D23"/>
    <w:rsid w:val="009B65B5"/>
    <w:rsid w:val="009B6816"/>
    <w:rsid w:val="009C1260"/>
    <w:rsid w:val="009C169F"/>
    <w:rsid w:val="009C37D1"/>
    <w:rsid w:val="009C42AF"/>
    <w:rsid w:val="009C61BC"/>
    <w:rsid w:val="009C6B1B"/>
    <w:rsid w:val="009D0568"/>
    <w:rsid w:val="009D23E6"/>
    <w:rsid w:val="009D4DEB"/>
    <w:rsid w:val="009D7634"/>
    <w:rsid w:val="009D7E5D"/>
    <w:rsid w:val="009E137F"/>
    <w:rsid w:val="009E2E85"/>
    <w:rsid w:val="009E3C42"/>
    <w:rsid w:val="009F32B3"/>
    <w:rsid w:val="009F398B"/>
    <w:rsid w:val="009F4E62"/>
    <w:rsid w:val="009F5C46"/>
    <w:rsid w:val="00A01692"/>
    <w:rsid w:val="00A030E5"/>
    <w:rsid w:val="00A03365"/>
    <w:rsid w:val="00A04DE4"/>
    <w:rsid w:val="00A057D9"/>
    <w:rsid w:val="00A07402"/>
    <w:rsid w:val="00A079A2"/>
    <w:rsid w:val="00A1004D"/>
    <w:rsid w:val="00A10276"/>
    <w:rsid w:val="00A134D3"/>
    <w:rsid w:val="00A140BE"/>
    <w:rsid w:val="00A16594"/>
    <w:rsid w:val="00A16BED"/>
    <w:rsid w:val="00A225D8"/>
    <w:rsid w:val="00A24A71"/>
    <w:rsid w:val="00A25F26"/>
    <w:rsid w:val="00A275DF"/>
    <w:rsid w:val="00A330CC"/>
    <w:rsid w:val="00A4048D"/>
    <w:rsid w:val="00A4056C"/>
    <w:rsid w:val="00A418CD"/>
    <w:rsid w:val="00A44F0E"/>
    <w:rsid w:val="00A47466"/>
    <w:rsid w:val="00A50B2C"/>
    <w:rsid w:val="00A51441"/>
    <w:rsid w:val="00A541B1"/>
    <w:rsid w:val="00A545DF"/>
    <w:rsid w:val="00A557AF"/>
    <w:rsid w:val="00A56429"/>
    <w:rsid w:val="00A579B7"/>
    <w:rsid w:val="00A60804"/>
    <w:rsid w:val="00A64B6D"/>
    <w:rsid w:val="00A66296"/>
    <w:rsid w:val="00A67795"/>
    <w:rsid w:val="00A67B70"/>
    <w:rsid w:val="00A700A1"/>
    <w:rsid w:val="00A72752"/>
    <w:rsid w:val="00A749DD"/>
    <w:rsid w:val="00A77E8D"/>
    <w:rsid w:val="00A80A27"/>
    <w:rsid w:val="00A812C2"/>
    <w:rsid w:val="00A82F6C"/>
    <w:rsid w:val="00A83AC8"/>
    <w:rsid w:val="00A90A3B"/>
    <w:rsid w:val="00A91C18"/>
    <w:rsid w:val="00A92EA0"/>
    <w:rsid w:val="00A9441D"/>
    <w:rsid w:val="00A9682F"/>
    <w:rsid w:val="00AA11D6"/>
    <w:rsid w:val="00AA2E4D"/>
    <w:rsid w:val="00AA31DB"/>
    <w:rsid w:val="00AA33FD"/>
    <w:rsid w:val="00AA718E"/>
    <w:rsid w:val="00AA7FE1"/>
    <w:rsid w:val="00AB1139"/>
    <w:rsid w:val="00AB124E"/>
    <w:rsid w:val="00AB5320"/>
    <w:rsid w:val="00AB5FB8"/>
    <w:rsid w:val="00AB7E88"/>
    <w:rsid w:val="00AC2D62"/>
    <w:rsid w:val="00AC38C4"/>
    <w:rsid w:val="00AC3F22"/>
    <w:rsid w:val="00AC4DCA"/>
    <w:rsid w:val="00AC5D24"/>
    <w:rsid w:val="00AC7B6C"/>
    <w:rsid w:val="00AD049E"/>
    <w:rsid w:val="00AD0C57"/>
    <w:rsid w:val="00AD2993"/>
    <w:rsid w:val="00AE2E16"/>
    <w:rsid w:val="00AE78D5"/>
    <w:rsid w:val="00AF0820"/>
    <w:rsid w:val="00AF14C8"/>
    <w:rsid w:val="00AF202F"/>
    <w:rsid w:val="00B014B3"/>
    <w:rsid w:val="00B01AE4"/>
    <w:rsid w:val="00B05F77"/>
    <w:rsid w:val="00B06FB7"/>
    <w:rsid w:val="00B074B6"/>
    <w:rsid w:val="00B21FED"/>
    <w:rsid w:val="00B22CEE"/>
    <w:rsid w:val="00B25787"/>
    <w:rsid w:val="00B276DF"/>
    <w:rsid w:val="00B34BCE"/>
    <w:rsid w:val="00B37538"/>
    <w:rsid w:val="00B4113B"/>
    <w:rsid w:val="00B441AC"/>
    <w:rsid w:val="00B45587"/>
    <w:rsid w:val="00B50805"/>
    <w:rsid w:val="00B5081C"/>
    <w:rsid w:val="00B55675"/>
    <w:rsid w:val="00B55897"/>
    <w:rsid w:val="00B5776A"/>
    <w:rsid w:val="00B65CD4"/>
    <w:rsid w:val="00B66698"/>
    <w:rsid w:val="00B675AF"/>
    <w:rsid w:val="00B7551E"/>
    <w:rsid w:val="00B77530"/>
    <w:rsid w:val="00B77B41"/>
    <w:rsid w:val="00B8174F"/>
    <w:rsid w:val="00B81B31"/>
    <w:rsid w:val="00B820F3"/>
    <w:rsid w:val="00B84A2A"/>
    <w:rsid w:val="00B855E4"/>
    <w:rsid w:val="00B8697A"/>
    <w:rsid w:val="00B905EB"/>
    <w:rsid w:val="00B919F5"/>
    <w:rsid w:val="00B92EB6"/>
    <w:rsid w:val="00B96385"/>
    <w:rsid w:val="00B96F58"/>
    <w:rsid w:val="00BA33F1"/>
    <w:rsid w:val="00BA4574"/>
    <w:rsid w:val="00BB3B21"/>
    <w:rsid w:val="00BB5FB8"/>
    <w:rsid w:val="00BC16BF"/>
    <w:rsid w:val="00BC6731"/>
    <w:rsid w:val="00BC6A89"/>
    <w:rsid w:val="00BC7ED4"/>
    <w:rsid w:val="00BC7EF1"/>
    <w:rsid w:val="00BD290E"/>
    <w:rsid w:val="00BD3EA8"/>
    <w:rsid w:val="00BD6C81"/>
    <w:rsid w:val="00BE084A"/>
    <w:rsid w:val="00BE40CD"/>
    <w:rsid w:val="00BE55ED"/>
    <w:rsid w:val="00BE6A56"/>
    <w:rsid w:val="00BF480C"/>
    <w:rsid w:val="00BF4F22"/>
    <w:rsid w:val="00BF562F"/>
    <w:rsid w:val="00C002FC"/>
    <w:rsid w:val="00C006D7"/>
    <w:rsid w:val="00C015EC"/>
    <w:rsid w:val="00C038D2"/>
    <w:rsid w:val="00C04630"/>
    <w:rsid w:val="00C077B8"/>
    <w:rsid w:val="00C07824"/>
    <w:rsid w:val="00C11F3A"/>
    <w:rsid w:val="00C15B08"/>
    <w:rsid w:val="00C20D39"/>
    <w:rsid w:val="00C2209B"/>
    <w:rsid w:val="00C22D7E"/>
    <w:rsid w:val="00C26DF7"/>
    <w:rsid w:val="00C32B80"/>
    <w:rsid w:val="00C32F25"/>
    <w:rsid w:val="00C361F4"/>
    <w:rsid w:val="00C375A4"/>
    <w:rsid w:val="00C42A9D"/>
    <w:rsid w:val="00C467D8"/>
    <w:rsid w:val="00C51672"/>
    <w:rsid w:val="00C543F7"/>
    <w:rsid w:val="00C55AD2"/>
    <w:rsid w:val="00C574E0"/>
    <w:rsid w:val="00C608D3"/>
    <w:rsid w:val="00C60BFD"/>
    <w:rsid w:val="00C61B6C"/>
    <w:rsid w:val="00C63A6C"/>
    <w:rsid w:val="00C66174"/>
    <w:rsid w:val="00C6760B"/>
    <w:rsid w:val="00C7650A"/>
    <w:rsid w:val="00C7789D"/>
    <w:rsid w:val="00C8205C"/>
    <w:rsid w:val="00C8234D"/>
    <w:rsid w:val="00C83E68"/>
    <w:rsid w:val="00C8479D"/>
    <w:rsid w:val="00C906B2"/>
    <w:rsid w:val="00C93C04"/>
    <w:rsid w:val="00C95093"/>
    <w:rsid w:val="00C97471"/>
    <w:rsid w:val="00C979B7"/>
    <w:rsid w:val="00CA0459"/>
    <w:rsid w:val="00CA2F4B"/>
    <w:rsid w:val="00CA3A00"/>
    <w:rsid w:val="00CA55B4"/>
    <w:rsid w:val="00CB0A49"/>
    <w:rsid w:val="00CB375F"/>
    <w:rsid w:val="00CC09EF"/>
    <w:rsid w:val="00CC2F91"/>
    <w:rsid w:val="00CD14DE"/>
    <w:rsid w:val="00CD1E3B"/>
    <w:rsid w:val="00CD25B8"/>
    <w:rsid w:val="00CD2672"/>
    <w:rsid w:val="00CE0334"/>
    <w:rsid w:val="00CE477E"/>
    <w:rsid w:val="00CE5C0F"/>
    <w:rsid w:val="00CE72BE"/>
    <w:rsid w:val="00CF44B0"/>
    <w:rsid w:val="00CF6B57"/>
    <w:rsid w:val="00D00FFD"/>
    <w:rsid w:val="00D01B31"/>
    <w:rsid w:val="00D02BE1"/>
    <w:rsid w:val="00D04AF2"/>
    <w:rsid w:val="00D0518D"/>
    <w:rsid w:val="00D11798"/>
    <w:rsid w:val="00D130B9"/>
    <w:rsid w:val="00D131EC"/>
    <w:rsid w:val="00D21075"/>
    <w:rsid w:val="00D22E59"/>
    <w:rsid w:val="00D31882"/>
    <w:rsid w:val="00D34626"/>
    <w:rsid w:val="00D35829"/>
    <w:rsid w:val="00D37338"/>
    <w:rsid w:val="00D4119C"/>
    <w:rsid w:val="00D42FDD"/>
    <w:rsid w:val="00D440D5"/>
    <w:rsid w:val="00D474B9"/>
    <w:rsid w:val="00D5214A"/>
    <w:rsid w:val="00D538DA"/>
    <w:rsid w:val="00D56A86"/>
    <w:rsid w:val="00D571AE"/>
    <w:rsid w:val="00D6015A"/>
    <w:rsid w:val="00D62083"/>
    <w:rsid w:val="00D62B36"/>
    <w:rsid w:val="00D63C3A"/>
    <w:rsid w:val="00D63DB6"/>
    <w:rsid w:val="00D63E1A"/>
    <w:rsid w:val="00D6407B"/>
    <w:rsid w:val="00D64ECD"/>
    <w:rsid w:val="00D71447"/>
    <w:rsid w:val="00D715DB"/>
    <w:rsid w:val="00D75A11"/>
    <w:rsid w:val="00D81E14"/>
    <w:rsid w:val="00D832CB"/>
    <w:rsid w:val="00D854C4"/>
    <w:rsid w:val="00D91FB8"/>
    <w:rsid w:val="00D921F5"/>
    <w:rsid w:val="00D9312A"/>
    <w:rsid w:val="00D9415B"/>
    <w:rsid w:val="00D9709D"/>
    <w:rsid w:val="00D97F9B"/>
    <w:rsid w:val="00DA391A"/>
    <w:rsid w:val="00DA4AE6"/>
    <w:rsid w:val="00DA7060"/>
    <w:rsid w:val="00DA764B"/>
    <w:rsid w:val="00DB3CF5"/>
    <w:rsid w:val="00DB4A65"/>
    <w:rsid w:val="00DB4F05"/>
    <w:rsid w:val="00DC0C4C"/>
    <w:rsid w:val="00DC36C4"/>
    <w:rsid w:val="00DC542C"/>
    <w:rsid w:val="00DC7297"/>
    <w:rsid w:val="00DD7A24"/>
    <w:rsid w:val="00DE038B"/>
    <w:rsid w:val="00DE32D2"/>
    <w:rsid w:val="00DE6011"/>
    <w:rsid w:val="00DF4CEC"/>
    <w:rsid w:val="00DF5203"/>
    <w:rsid w:val="00DF749B"/>
    <w:rsid w:val="00E01A69"/>
    <w:rsid w:val="00E02628"/>
    <w:rsid w:val="00E03F0F"/>
    <w:rsid w:val="00E06922"/>
    <w:rsid w:val="00E07BEC"/>
    <w:rsid w:val="00E114FF"/>
    <w:rsid w:val="00E153CD"/>
    <w:rsid w:val="00E24B8B"/>
    <w:rsid w:val="00E26496"/>
    <w:rsid w:val="00E26551"/>
    <w:rsid w:val="00E3335A"/>
    <w:rsid w:val="00E3436D"/>
    <w:rsid w:val="00E35630"/>
    <w:rsid w:val="00E359DC"/>
    <w:rsid w:val="00E4036D"/>
    <w:rsid w:val="00E409CC"/>
    <w:rsid w:val="00E411A3"/>
    <w:rsid w:val="00E43C82"/>
    <w:rsid w:val="00E47C83"/>
    <w:rsid w:val="00E5042B"/>
    <w:rsid w:val="00E505B9"/>
    <w:rsid w:val="00E51F42"/>
    <w:rsid w:val="00E53839"/>
    <w:rsid w:val="00E547CC"/>
    <w:rsid w:val="00E55E1C"/>
    <w:rsid w:val="00E725D6"/>
    <w:rsid w:val="00E7302F"/>
    <w:rsid w:val="00E741C0"/>
    <w:rsid w:val="00E749D8"/>
    <w:rsid w:val="00E753B2"/>
    <w:rsid w:val="00E772E9"/>
    <w:rsid w:val="00E81323"/>
    <w:rsid w:val="00E81DC4"/>
    <w:rsid w:val="00E8269A"/>
    <w:rsid w:val="00E84308"/>
    <w:rsid w:val="00E856F8"/>
    <w:rsid w:val="00E9005B"/>
    <w:rsid w:val="00E913B3"/>
    <w:rsid w:val="00E91503"/>
    <w:rsid w:val="00E91BD2"/>
    <w:rsid w:val="00E93B7E"/>
    <w:rsid w:val="00E9459E"/>
    <w:rsid w:val="00E957DA"/>
    <w:rsid w:val="00E95BE7"/>
    <w:rsid w:val="00E968C6"/>
    <w:rsid w:val="00EA2592"/>
    <w:rsid w:val="00EA3A8A"/>
    <w:rsid w:val="00EB1248"/>
    <w:rsid w:val="00EB3840"/>
    <w:rsid w:val="00EB5A2B"/>
    <w:rsid w:val="00EB71D9"/>
    <w:rsid w:val="00EC099E"/>
    <w:rsid w:val="00EC0E53"/>
    <w:rsid w:val="00EC1743"/>
    <w:rsid w:val="00EC26A5"/>
    <w:rsid w:val="00EC2F03"/>
    <w:rsid w:val="00EC4055"/>
    <w:rsid w:val="00EC56C1"/>
    <w:rsid w:val="00EC5A3A"/>
    <w:rsid w:val="00EC684E"/>
    <w:rsid w:val="00EC7F1E"/>
    <w:rsid w:val="00ED036D"/>
    <w:rsid w:val="00ED0A31"/>
    <w:rsid w:val="00ED0EA0"/>
    <w:rsid w:val="00ED108C"/>
    <w:rsid w:val="00ED5499"/>
    <w:rsid w:val="00ED6062"/>
    <w:rsid w:val="00EE5899"/>
    <w:rsid w:val="00EE5D1D"/>
    <w:rsid w:val="00EE6DD8"/>
    <w:rsid w:val="00EF035E"/>
    <w:rsid w:val="00EF05F7"/>
    <w:rsid w:val="00EF159C"/>
    <w:rsid w:val="00EF20BC"/>
    <w:rsid w:val="00EF50BB"/>
    <w:rsid w:val="00EF5B29"/>
    <w:rsid w:val="00EF715F"/>
    <w:rsid w:val="00F02B4B"/>
    <w:rsid w:val="00F03A1A"/>
    <w:rsid w:val="00F060F6"/>
    <w:rsid w:val="00F06A2C"/>
    <w:rsid w:val="00F10A5F"/>
    <w:rsid w:val="00F1358B"/>
    <w:rsid w:val="00F15E89"/>
    <w:rsid w:val="00F16D40"/>
    <w:rsid w:val="00F20255"/>
    <w:rsid w:val="00F21B44"/>
    <w:rsid w:val="00F247B0"/>
    <w:rsid w:val="00F26ABE"/>
    <w:rsid w:val="00F33564"/>
    <w:rsid w:val="00F34912"/>
    <w:rsid w:val="00F35992"/>
    <w:rsid w:val="00F36C7F"/>
    <w:rsid w:val="00F402FD"/>
    <w:rsid w:val="00F421B3"/>
    <w:rsid w:val="00F430E3"/>
    <w:rsid w:val="00F465B0"/>
    <w:rsid w:val="00F47385"/>
    <w:rsid w:val="00F51B10"/>
    <w:rsid w:val="00F5412F"/>
    <w:rsid w:val="00F601C9"/>
    <w:rsid w:val="00F60B5D"/>
    <w:rsid w:val="00F62FD2"/>
    <w:rsid w:val="00F631FC"/>
    <w:rsid w:val="00F63C38"/>
    <w:rsid w:val="00F73248"/>
    <w:rsid w:val="00F73456"/>
    <w:rsid w:val="00F73E17"/>
    <w:rsid w:val="00F75286"/>
    <w:rsid w:val="00F75639"/>
    <w:rsid w:val="00F770DB"/>
    <w:rsid w:val="00F84D91"/>
    <w:rsid w:val="00F85E9E"/>
    <w:rsid w:val="00F91919"/>
    <w:rsid w:val="00F95211"/>
    <w:rsid w:val="00F95686"/>
    <w:rsid w:val="00F962D7"/>
    <w:rsid w:val="00FA0608"/>
    <w:rsid w:val="00FA35FA"/>
    <w:rsid w:val="00FA463A"/>
    <w:rsid w:val="00FA5303"/>
    <w:rsid w:val="00FA58C5"/>
    <w:rsid w:val="00FA799C"/>
    <w:rsid w:val="00FA7B75"/>
    <w:rsid w:val="00FA7CB7"/>
    <w:rsid w:val="00FA7EF3"/>
    <w:rsid w:val="00FB1EA5"/>
    <w:rsid w:val="00FB2B96"/>
    <w:rsid w:val="00FB4BD0"/>
    <w:rsid w:val="00FC206D"/>
    <w:rsid w:val="00FC53F1"/>
    <w:rsid w:val="00FC6D87"/>
    <w:rsid w:val="00FC6EAA"/>
    <w:rsid w:val="00FD020C"/>
    <w:rsid w:val="00FD0A03"/>
    <w:rsid w:val="00FD22F7"/>
    <w:rsid w:val="00FD589E"/>
    <w:rsid w:val="00FD643E"/>
    <w:rsid w:val="00FD6ABC"/>
    <w:rsid w:val="00FD6F05"/>
    <w:rsid w:val="00FE24BD"/>
    <w:rsid w:val="00FE2FBB"/>
    <w:rsid w:val="00FE3145"/>
    <w:rsid w:val="00FE7AEB"/>
    <w:rsid w:val="00FF1CCB"/>
    <w:rsid w:val="00FF2B8D"/>
    <w:rsid w:val="00FF7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2273E"/>
  <w15:chartTrackingRefBased/>
  <w15:docId w15:val="{422E092D-D3EB-46BE-80F0-5358E30A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4DE"/>
  </w:style>
  <w:style w:type="paragraph" w:styleId="Heading1">
    <w:name w:val="heading 1"/>
    <w:basedOn w:val="Normal"/>
    <w:next w:val="Normal"/>
    <w:link w:val="Heading1Char"/>
    <w:qFormat/>
    <w:rsid w:val="003529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072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119C"/>
    <w:pPr>
      <w:jc w:val="both"/>
    </w:pPr>
    <w:rPr>
      <w:rFonts w:ascii="Arial" w:hAnsi="Arial"/>
      <w:snapToGrid w:val="0"/>
      <w:sz w:val="24"/>
      <w:lang w:eastAsia="en-US"/>
    </w:rPr>
  </w:style>
  <w:style w:type="paragraph" w:styleId="BodyTextIndent">
    <w:name w:val="Body Text Indent"/>
    <w:basedOn w:val="Normal"/>
    <w:rsid w:val="00D4119C"/>
    <w:pPr>
      <w:ind w:left="720" w:hanging="720"/>
    </w:pPr>
    <w:rPr>
      <w:rFonts w:ascii="Arial" w:hAnsi="Arial"/>
      <w:snapToGrid w:val="0"/>
      <w:sz w:val="24"/>
      <w:lang w:eastAsia="en-US"/>
    </w:rPr>
  </w:style>
  <w:style w:type="paragraph" w:styleId="Title">
    <w:name w:val="Title"/>
    <w:basedOn w:val="Normal"/>
    <w:link w:val="TitleChar"/>
    <w:qFormat/>
    <w:rsid w:val="00D4119C"/>
    <w:pPr>
      <w:jc w:val="center"/>
    </w:pPr>
    <w:rPr>
      <w:rFonts w:ascii="Arial" w:hAnsi="Arial"/>
      <w:b/>
      <w:sz w:val="24"/>
      <w:u w:val="single"/>
      <w:lang w:val="en-US"/>
    </w:rPr>
  </w:style>
  <w:style w:type="table" w:styleId="TableGrid">
    <w:name w:val="Table Grid"/>
    <w:basedOn w:val="TableNormal"/>
    <w:rsid w:val="00E85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1512DC"/>
    <w:rPr>
      <w:rFonts w:ascii="Arial" w:hAnsi="Arial"/>
      <w:snapToGrid w:val="0"/>
      <w:sz w:val="24"/>
      <w:lang w:val="en-GB" w:eastAsia="en-US" w:bidi="ar-SA"/>
    </w:rPr>
  </w:style>
  <w:style w:type="character" w:styleId="CommentReference">
    <w:name w:val="annotation reference"/>
    <w:semiHidden/>
    <w:rsid w:val="009C61BC"/>
    <w:rPr>
      <w:sz w:val="16"/>
      <w:szCs w:val="16"/>
    </w:rPr>
  </w:style>
  <w:style w:type="paragraph" w:styleId="CommentText">
    <w:name w:val="annotation text"/>
    <w:basedOn w:val="Normal"/>
    <w:link w:val="CommentTextChar"/>
    <w:semiHidden/>
    <w:rsid w:val="009C61BC"/>
  </w:style>
  <w:style w:type="paragraph" w:styleId="CommentSubject">
    <w:name w:val="annotation subject"/>
    <w:basedOn w:val="CommentText"/>
    <w:next w:val="CommentText"/>
    <w:semiHidden/>
    <w:rsid w:val="009C61BC"/>
    <w:rPr>
      <w:b/>
      <w:bCs/>
    </w:rPr>
  </w:style>
  <w:style w:type="paragraph" w:styleId="BalloonText">
    <w:name w:val="Balloon Text"/>
    <w:basedOn w:val="Normal"/>
    <w:semiHidden/>
    <w:rsid w:val="009C61BC"/>
    <w:rPr>
      <w:rFonts w:ascii="Tahoma" w:hAnsi="Tahoma" w:cs="Tahoma"/>
      <w:sz w:val="16"/>
      <w:szCs w:val="16"/>
    </w:rPr>
  </w:style>
  <w:style w:type="paragraph" w:customStyle="1" w:styleId="Default">
    <w:name w:val="Default"/>
    <w:rsid w:val="007A0719"/>
    <w:pPr>
      <w:autoSpaceDE w:val="0"/>
      <w:autoSpaceDN w:val="0"/>
      <w:adjustRightInd w:val="0"/>
    </w:pPr>
    <w:rPr>
      <w:rFonts w:ascii="Arial" w:hAnsi="Arial" w:cs="Arial"/>
      <w:color w:val="000000"/>
      <w:sz w:val="24"/>
      <w:szCs w:val="24"/>
    </w:rPr>
  </w:style>
  <w:style w:type="paragraph" w:customStyle="1" w:styleId="CharChar3CharCharCharCharCharCharCharCharCharCharCharCharChar">
    <w:name w:val="Char Char3 Char Char Char Char Char Char Char Char Char Char Char Char Char"/>
    <w:basedOn w:val="Normal"/>
    <w:rsid w:val="00F34912"/>
    <w:pPr>
      <w:keepLines/>
      <w:spacing w:after="160" w:line="240" w:lineRule="exact"/>
      <w:ind w:left="2977"/>
    </w:pPr>
    <w:rPr>
      <w:rFonts w:ascii="Tahoma" w:hAnsi="Tahoma" w:cs="Tahoma"/>
      <w:lang w:val="en-US" w:eastAsia="en-US"/>
    </w:rPr>
  </w:style>
  <w:style w:type="character" w:customStyle="1" w:styleId="CommentTextChar">
    <w:name w:val="Comment Text Char"/>
    <w:link w:val="CommentText"/>
    <w:semiHidden/>
    <w:rsid w:val="00D21075"/>
  </w:style>
  <w:style w:type="paragraph" w:customStyle="1" w:styleId="HeaderData">
    <w:name w:val="HeaderData"/>
    <w:basedOn w:val="Normal"/>
    <w:rsid w:val="00DE6011"/>
    <w:pPr>
      <w:keepLines/>
      <w:tabs>
        <w:tab w:val="left" w:pos="227"/>
      </w:tabs>
      <w:spacing w:before="60" w:after="60"/>
    </w:pPr>
    <w:rPr>
      <w:rFonts w:ascii="Arial" w:hAnsi="Arial"/>
      <w:sz w:val="24"/>
    </w:rPr>
  </w:style>
  <w:style w:type="paragraph" w:styleId="ListParagraph">
    <w:name w:val="List Paragraph"/>
    <w:basedOn w:val="Normal"/>
    <w:uiPriority w:val="34"/>
    <w:qFormat/>
    <w:rsid w:val="00BC7EF1"/>
    <w:pPr>
      <w:ind w:left="720"/>
    </w:pPr>
  </w:style>
  <w:style w:type="character" w:customStyle="1" w:styleId="TitleChar">
    <w:name w:val="Title Char"/>
    <w:link w:val="Title"/>
    <w:rsid w:val="00F06A2C"/>
    <w:rPr>
      <w:rFonts w:ascii="Arial" w:hAnsi="Arial"/>
      <w:b/>
      <w:sz w:val="24"/>
      <w:u w:val="single"/>
      <w:lang w:val="en-US"/>
    </w:rPr>
  </w:style>
  <w:style w:type="character" w:customStyle="1" w:styleId="Heading1Char">
    <w:name w:val="Heading 1 Char"/>
    <w:basedOn w:val="DefaultParagraphFont"/>
    <w:link w:val="Heading1"/>
    <w:rsid w:val="0035294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07264"/>
    <w:rPr>
      <w:rFonts w:asciiTheme="majorHAnsi" w:eastAsiaTheme="majorEastAsia" w:hAnsiTheme="majorHAnsi" w:cstheme="majorBidi"/>
      <w:color w:val="2E74B5" w:themeColor="accent1" w:themeShade="BF"/>
      <w:sz w:val="26"/>
      <w:szCs w:val="26"/>
    </w:rPr>
  </w:style>
  <w:style w:type="table" w:styleId="Table3Deffects1">
    <w:name w:val="Table 3D effects 1"/>
    <w:basedOn w:val="TableNormal"/>
    <w:rsid w:val="00407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ListTable1Light-Accent5">
    <w:name w:val="List Table 1 Light Accent 5"/>
    <w:basedOn w:val="TableNormal"/>
    <w:uiPriority w:val="46"/>
    <w:rsid w:val="0015097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ghtShading-Accent5">
    <w:name w:val="Light Shading Accent 5"/>
    <w:basedOn w:val="TableNormal"/>
    <w:uiPriority w:val="60"/>
    <w:rsid w:val="0015097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ableGrid1">
    <w:name w:val="Table Grid 1"/>
    <w:basedOn w:val="TableNormal"/>
    <w:rsid w:val="001509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lainTable1">
    <w:name w:val="Plain Table 1"/>
    <w:basedOn w:val="TableNormal"/>
    <w:uiPriority w:val="41"/>
    <w:rsid w:val="001509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4">
    <w:name w:val="Grid Table 2 Accent 4"/>
    <w:basedOn w:val="TableNormal"/>
    <w:uiPriority w:val="47"/>
    <w:rsid w:val="007C24FF"/>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val="0"/>
        <w:bCs/>
        <w:color w:val="auto"/>
      </w:rPr>
      <w:tblPr/>
      <w:tcPr>
        <w:shd w:val="clear" w:color="auto" w:fill="FFF2CC" w:themeFill="accent4" w:themeFillTint="33"/>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FFF" w:themeFill="background1"/>
      </w:tcPr>
    </w:tblStylePr>
    <w:tblStylePr w:type="band2Horz">
      <w:tblPr/>
      <w:tcPr>
        <w:shd w:val="clear" w:color="auto" w:fill="FFF2CC" w:themeFill="accent4" w:themeFillTint="33"/>
      </w:tcPr>
    </w:tblStylePr>
  </w:style>
  <w:style w:type="table" w:styleId="ListTable2-Accent4">
    <w:name w:val="List Table 2 Accent 4"/>
    <w:basedOn w:val="TableNormal"/>
    <w:uiPriority w:val="47"/>
    <w:rsid w:val="00CF6B5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val="0"/>
        <w:bCs/>
      </w:rPr>
      <w:tblPr/>
      <w:tcPr>
        <w:shd w:val="clear" w:color="auto" w:fill="FFF2CC" w:themeFill="accent4" w:themeFillTint="33"/>
      </w:tc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FFF" w:themeFill="background1"/>
      </w:tcPr>
    </w:tblStylePr>
    <w:tblStylePr w:type="band2Horz">
      <w:tblPr/>
      <w:tcPr>
        <w:shd w:val="clear" w:color="auto" w:fill="FFF2CC" w:themeFill="accent4" w:themeFillTint="33"/>
      </w:tcPr>
    </w:tblStylePr>
  </w:style>
  <w:style w:type="table" w:styleId="LightGrid-Accent4">
    <w:name w:val="Light Grid Accent 4"/>
    <w:basedOn w:val="TableNormal"/>
    <w:uiPriority w:val="62"/>
    <w:rsid w:val="00CF6B5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Header">
    <w:name w:val="header"/>
    <w:basedOn w:val="Normal"/>
    <w:link w:val="HeaderChar"/>
    <w:rsid w:val="00D37338"/>
    <w:pPr>
      <w:tabs>
        <w:tab w:val="center" w:pos="4513"/>
        <w:tab w:val="right" w:pos="9026"/>
      </w:tabs>
    </w:pPr>
  </w:style>
  <w:style w:type="character" w:customStyle="1" w:styleId="HeaderChar">
    <w:name w:val="Header Char"/>
    <w:basedOn w:val="DefaultParagraphFont"/>
    <w:link w:val="Header"/>
    <w:rsid w:val="00D37338"/>
  </w:style>
  <w:style w:type="paragraph" w:styleId="Footer">
    <w:name w:val="footer"/>
    <w:basedOn w:val="Normal"/>
    <w:link w:val="FooterChar"/>
    <w:rsid w:val="00D37338"/>
    <w:pPr>
      <w:tabs>
        <w:tab w:val="center" w:pos="4513"/>
        <w:tab w:val="right" w:pos="9026"/>
      </w:tabs>
    </w:pPr>
  </w:style>
  <w:style w:type="character" w:customStyle="1" w:styleId="FooterChar">
    <w:name w:val="Footer Char"/>
    <w:basedOn w:val="DefaultParagraphFont"/>
    <w:link w:val="Footer"/>
    <w:rsid w:val="00D37338"/>
  </w:style>
  <w:style w:type="paragraph" w:styleId="FootnoteText">
    <w:name w:val="footnote text"/>
    <w:basedOn w:val="Normal"/>
    <w:link w:val="FootnoteTextChar"/>
    <w:uiPriority w:val="99"/>
    <w:unhideWhenUsed/>
    <w:rsid w:val="008C263D"/>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8C263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8C263D"/>
    <w:rPr>
      <w:vertAlign w:val="superscript"/>
    </w:rPr>
  </w:style>
  <w:style w:type="character" w:styleId="Hyperlink">
    <w:name w:val="Hyperlink"/>
    <w:basedOn w:val="DefaultParagraphFont"/>
    <w:uiPriority w:val="99"/>
    <w:unhideWhenUsed/>
    <w:rsid w:val="008C263D"/>
    <w:rPr>
      <w:color w:val="0563C1" w:themeColor="hyperlink"/>
      <w:u w:val="single"/>
    </w:rPr>
  </w:style>
  <w:style w:type="table" w:styleId="GridTable2-Accent1">
    <w:name w:val="Grid Table 2 Accent 1"/>
    <w:basedOn w:val="TableNormal"/>
    <w:uiPriority w:val="47"/>
    <w:rsid w:val="004C6DB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Quote">
    <w:name w:val="Quote"/>
    <w:basedOn w:val="Normal"/>
    <w:next w:val="Normal"/>
    <w:link w:val="QuoteChar"/>
    <w:uiPriority w:val="29"/>
    <w:qFormat/>
    <w:rsid w:val="0049527B"/>
    <w:pPr>
      <w:spacing w:before="200" w:after="160" w:line="259" w:lineRule="auto"/>
      <w:ind w:left="864" w:right="864"/>
      <w:jc w:val="center"/>
    </w:pPr>
    <w:rPr>
      <w:rFonts w:ascii="Arial" w:eastAsiaTheme="minorHAnsi" w:hAnsi="Arial" w:cstheme="minorBidi"/>
      <w:i/>
      <w:iCs/>
      <w:color w:val="404040" w:themeColor="text1" w:themeTint="BF"/>
      <w:sz w:val="22"/>
      <w:szCs w:val="22"/>
      <w:lang w:eastAsia="en-US"/>
    </w:rPr>
  </w:style>
  <w:style w:type="character" w:customStyle="1" w:styleId="QuoteChar">
    <w:name w:val="Quote Char"/>
    <w:basedOn w:val="DefaultParagraphFont"/>
    <w:link w:val="Quote"/>
    <w:uiPriority w:val="29"/>
    <w:rsid w:val="0049527B"/>
    <w:rPr>
      <w:rFonts w:ascii="Arial" w:eastAsiaTheme="minorHAnsi" w:hAnsi="Arial" w:cstheme="minorBidi"/>
      <w:i/>
      <w:iCs/>
      <w:color w:val="404040" w:themeColor="text1" w:themeTint="BF"/>
      <w:sz w:val="22"/>
      <w:szCs w:val="22"/>
      <w:lang w:eastAsia="en-US"/>
    </w:rPr>
  </w:style>
  <w:style w:type="table" w:customStyle="1" w:styleId="TableGrid10">
    <w:name w:val="Table Grid1"/>
    <w:basedOn w:val="TableNormal"/>
    <w:next w:val="TableGrid"/>
    <w:uiPriority w:val="39"/>
    <w:rsid w:val="00E9459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73815">
      <w:bodyDiv w:val="1"/>
      <w:marLeft w:val="0"/>
      <w:marRight w:val="0"/>
      <w:marTop w:val="0"/>
      <w:marBottom w:val="0"/>
      <w:divBdr>
        <w:top w:val="none" w:sz="0" w:space="0" w:color="auto"/>
        <w:left w:val="none" w:sz="0" w:space="0" w:color="auto"/>
        <w:bottom w:val="none" w:sz="0" w:space="0" w:color="auto"/>
        <w:right w:val="none" w:sz="0" w:space="0" w:color="auto"/>
      </w:divBdr>
    </w:div>
    <w:div w:id="447241740">
      <w:bodyDiv w:val="1"/>
      <w:marLeft w:val="0"/>
      <w:marRight w:val="0"/>
      <w:marTop w:val="0"/>
      <w:marBottom w:val="0"/>
      <w:divBdr>
        <w:top w:val="none" w:sz="0" w:space="0" w:color="auto"/>
        <w:left w:val="none" w:sz="0" w:space="0" w:color="auto"/>
        <w:bottom w:val="none" w:sz="0" w:space="0" w:color="auto"/>
        <w:right w:val="none" w:sz="0" w:space="0" w:color="auto"/>
      </w:divBdr>
    </w:div>
    <w:div w:id="845826326">
      <w:bodyDiv w:val="1"/>
      <w:marLeft w:val="0"/>
      <w:marRight w:val="0"/>
      <w:marTop w:val="0"/>
      <w:marBottom w:val="0"/>
      <w:divBdr>
        <w:top w:val="none" w:sz="0" w:space="0" w:color="auto"/>
        <w:left w:val="none" w:sz="0" w:space="0" w:color="auto"/>
        <w:bottom w:val="none" w:sz="0" w:space="0" w:color="auto"/>
        <w:right w:val="none" w:sz="0" w:space="0" w:color="auto"/>
      </w:divBdr>
    </w:div>
    <w:div w:id="975767406">
      <w:bodyDiv w:val="1"/>
      <w:marLeft w:val="0"/>
      <w:marRight w:val="0"/>
      <w:marTop w:val="0"/>
      <w:marBottom w:val="0"/>
      <w:divBdr>
        <w:top w:val="none" w:sz="0" w:space="0" w:color="auto"/>
        <w:left w:val="none" w:sz="0" w:space="0" w:color="auto"/>
        <w:bottom w:val="none" w:sz="0" w:space="0" w:color="auto"/>
        <w:right w:val="none" w:sz="0" w:space="0" w:color="auto"/>
      </w:divBdr>
    </w:div>
    <w:div w:id="1377923887">
      <w:bodyDiv w:val="1"/>
      <w:marLeft w:val="0"/>
      <w:marRight w:val="0"/>
      <w:marTop w:val="0"/>
      <w:marBottom w:val="0"/>
      <w:divBdr>
        <w:top w:val="none" w:sz="0" w:space="0" w:color="auto"/>
        <w:left w:val="none" w:sz="0" w:space="0" w:color="auto"/>
        <w:bottom w:val="none" w:sz="0" w:space="0" w:color="auto"/>
        <w:right w:val="none" w:sz="0" w:space="0" w:color="auto"/>
      </w:divBdr>
    </w:div>
    <w:div w:id="1464422851">
      <w:bodyDiv w:val="1"/>
      <w:marLeft w:val="0"/>
      <w:marRight w:val="0"/>
      <w:marTop w:val="0"/>
      <w:marBottom w:val="0"/>
      <w:divBdr>
        <w:top w:val="none" w:sz="0" w:space="0" w:color="auto"/>
        <w:left w:val="none" w:sz="0" w:space="0" w:color="auto"/>
        <w:bottom w:val="none" w:sz="0" w:space="0" w:color="auto"/>
        <w:right w:val="none" w:sz="0" w:space="0" w:color="auto"/>
      </w:divBdr>
    </w:div>
    <w:div w:id="1548491440">
      <w:bodyDiv w:val="1"/>
      <w:marLeft w:val="0"/>
      <w:marRight w:val="0"/>
      <w:marTop w:val="0"/>
      <w:marBottom w:val="0"/>
      <w:divBdr>
        <w:top w:val="none" w:sz="0" w:space="0" w:color="auto"/>
        <w:left w:val="none" w:sz="0" w:space="0" w:color="auto"/>
        <w:bottom w:val="none" w:sz="0" w:space="0" w:color="auto"/>
        <w:right w:val="none" w:sz="0" w:space="0" w:color="auto"/>
      </w:divBdr>
    </w:div>
    <w:div w:id="20556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Referrals</a:t>
            </a:r>
            <a:r>
              <a:rPr lang="en-GB" baseline="0"/>
              <a:t> received 2020/21</a:t>
            </a:r>
            <a:endParaRPr lang="en-GB"/>
          </a:p>
        </c:rich>
      </c:tx>
      <c:layout>
        <c:manualLayout>
          <c:xMode val="edge"/>
          <c:yMode val="edge"/>
          <c:x val="0.3068193350831146"/>
          <c:y val="0.9027777777777777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3">
                  <a:shade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F424-4902-8DF7-8DEA8E2AABA3}"/>
              </c:ext>
            </c:extLst>
          </c:dPt>
          <c:dPt>
            <c:idx val="1"/>
            <c:bubble3D val="0"/>
            <c:spPr>
              <a:solidFill>
                <a:schemeClr val="accent3">
                  <a:shade val="7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F424-4902-8DF7-8DEA8E2AABA3}"/>
              </c:ext>
            </c:extLst>
          </c:dPt>
          <c:dPt>
            <c:idx val="2"/>
            <c:bubble3D val="0"/>
            <c:spPr>
              <a:solidFill>
                <a:schemeClr val="accent3">
                  <a:shade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F424-4902-8DF7-8DEA8E2AABA3}"/>
              </c:ext>
            </c:extLst>
          </c:dPt>
          <c:dPt>
            <c:idx val="3"/>
            <c:bubble3D val="0"/>
            <c:spPr>
              <a:solidFill>
                <a:schemeClr val="accent3">
                  <a:tint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F424-4902-8DF7-8DEA8E2AABA3}"/>
              </c:ext>
            </c:extLst>
          </c:dPt>
          <c:dPt>
            <c:idx val="4"/>
            <c:bubble3D val="0"/>
            <c:spPr>
              <a:solidFill>
                <a:schemeClr val="accent3">
                  <a:tint val="7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F424-4902-8DF7-8DEA8E2AABA3}"/>
              </c:ext>
            </c:extLst>
          </c:dPt>
          <c:dPt>
            <c:idx val="5"/>
            <c:bubble3D val="0"/>
            <c:spPr>
              <a:solidFill>
                <a:schemeClr val="accent3">
                  <a:tint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F424-4902-8DF7-8DEA8E2AABA3}"/>
              </c:ext>
            </c:extLst>
          </c:dPt>
          <c:dLbls>
            <c:dLbl>
              <c:idx val="0"/>
              <c:layout>
                <c:manualLayout>
                  <c:x val="-0.34722222222222221"/>
                  <c:y val="-7.669437153689122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Blue Badge referrals, 11 (10%)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30138888888888887"/>
                      <c:h val="0.12731481481481483"/>
                    </c:manualLayout>
                  </c15:layout>
                  <c15:showDataLabelsRange val="0"/>
                </c:ext>
                <c:ext xmlns:c16="http://schemas.microsoft.com/office/drawing/2014/chart" uri="{C3380CC4-5D6E-409C-BE32-E72D297353CC}">
                  <c16:uniqueId val="{00000001-F424-4902-8DF7-8DEA8E2AABA3}"/>
                </c:ext>
              </c:extLst>
            </c:dLbl>
            <c:dLbl>
              <c:idx val="1"/>
              <c:layout>
                <c:manualLayout>
                  <c:x val="-5.0872265966754156E-2"/>
                  <c:y val="-7.81645523476232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Internal referrals (inc whistleblowing),</a:t>
                    </a:r>
                    <a:r>
                      <a:rPr lang="en-US" baseline="0"/>
                      <a:t> 1 (1%)</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29583333333333334"/>
                      <c:h val="0.12152777777777778"/>
                    </c:manualLayout>
                  </c15:layout>
                  <c15:showDataLabelsRange val="0"/>
                </c:ext>
                <c:ext xmlns:c16="http://schemas.microsoft.com/office/drawing/2014/chart" uri="{C3380CC4-5D6E-409C-BE32-E72D297353CC}">
                  <c16:uniqueId val="{00000003-F424-4902-8DF7-8DEA8E2AABA3}"/>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Council Tax discount referrals, 23 (22%)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29444444444444445"/>
                      <c:h val="0.12152777777777778"/>
                    </c:manualLayout>
                  </c15:layout>
                  <c15:showDataLabelsRange val="0"/>
                </c:ext>
                <c:ext xmlns:c16="http://schemas.microsoft.com/office/drawing/2014/chart" uri="{C3380CC4-5D6E-409C-BE32-E72D297353CC}">
                  <c16:uniqueId val="{00000005-F424-4902-8DF7-8DEA8E2AABA3}"/>
                </c:ext>
              </c:extLst>
            </c:dLbl>
            <c:dLbl>
              <c:idx val="3"/>
              <c:layout>
                <c:manualLayout>
                  <c:x val="-2.0833333333333333E-3"/>
                  <c:y val="0.1845968212306795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Council Tax Support</a:t>
                    </a:r>
                    <a:r>
                      <a:rPr lang="en-US" baseline="0"/>
                      <a:t> referrals 10 (10%)</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21249999999999999"/>
                      <c:h val="0.1875"/>
                    </c:manualLayout>
                  </c15:layout>
                  <c15:showDataLabelsRange val="0"/>
                </c:ext>
                <c:ext xmlns:c16="http://schemas.microsoft.com/office/drawing/2014/chart" uri="{C3380CC4-5D6E-409C-BE32-E72D297353CC}">
                  <c16:uniqueId val="{00000007-F424-4902-8DF7-8DEA8E2AABA3}"/>
                </c:ext>
              </c:extLst>
            </c:dLbl>
            <c:dLbl>
              <c:idx val="4"/>
              <c:layout>
                <c:manualLayout>
                  <c:x val="0.25256933508311463"/>
                  <c:y val="-0.11717592592592592"/>
                </c:manualLayout>
              </c:layout>
              <c:tx>
                <c:rich>
                  <a:bodyPr/>
                  <a:lstStyle/>
                  <a:p>
                    <a:r>
                      <a:rPr lang="en-US"/>
                      <a:t>Housing Benefit/Universal Credit referrals, 60 (57%)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424-4902-8DF7-8DEA8E2AABA3}"/>
                </c:ext>
              </c:extLst>
            </c:dLbl>
            <c:dLbl>
              <c:idx val="5"/>
              <c:layout>
                <c:manualLayout>
                  <c:x val="0.17036504811898512"/>
                  <c:y val="9.5069626713327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No action</a:t>
                    </a:r>
                    <a:r>
                      <a:rPr lang="en-US" baseline="0"/>
                      <a:t> required 27 (21%)</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21388888888888888"/>
                      <c:h val="0.11689814814814815"/>
                    </c:manualLayout>
                  </c15:layout>
                  <c15:showDataLabelsRange val="0"/>
                </c:ext>
                <c:ext xmlns:c16="http://schemas.microsoft.com/office/drawing/2014/chart" uri="{C3380CC4-5D6E-409C-BE32-E72D297353CC}">
                  <c16:uniqueId val="{0000000B-F424-4902-8DF7-8DEA8E2AAB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Sheet1!$A$1:$A$6</c:f>
              <c:numCache>
                <c:formatCode>General</c:formatCode>
                <c:ptCount val="6"/>
                <c:pt idx="0">
                  <c:v>10</c:v>
                </c:pt>
                <c:pt idx="1">
                  <c:v>1</c:v>
                </c:pt>
                <c:pt idx="2">
                  <c:v>17</c:v>
                </c:pt>
                <c:pt idx="3">
                  <c:v>8</c:v>
                </c:pt>
                <c:pt idx="4">
                  <c:v>45</c:v>
                </c:pt>
              </c:numCache>
            </c:numRef>
          </c:val>
          <c:extLst>
            <c:ext xmlns:c16="http://schemas.microsoft.com/office/drawing/2014/chart" uri="{C3380CC4-5D6E-409C-BE32-E72D297353CC}">
              <c16:uniqueId val="{0000000C-F424-4902-8DF7-8DEA8E2AABA3}"/>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Referrals</a:t>
            </a:r>
            <a:r>
              <a:rPr lang="en-GB" baseline="0"/>
              <a:t> received 2021/22</a:t>
            </a:r>
            <a:endParaRPr lang="en-GB"/>
          </a:p>
        </c:rich>
      </c:tx>
      <c:layout>
        <c:manualLayout>
          <c:xMode val="edge"/>
          <c:yMode val="edge"/>
          <c:x val="0.3068193350831146"/>
          <c:y val="0.9027777777777777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3">
                  <a:shade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D68D-4C80-9EBD-70FD7724FF87}"/>
              </c:ext>
            </c:extLst>
          </c:dPt>
          <c:dPt>
            <c:idx val="1"/>
            <c:bubble3D val="0"/>
            <c:spPr>
              <a:solidFill>
                <a:schemeClr val="accent3">
                  <a:shade val="7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D68D-4C80-9EBD-70FD7724FF87}"/>
              </c:ext>
            </c:extLst>
          </c:dPt>
          <c:dPt>
            <c:idx val="2"/>
            <c:bubble3D val="0"/>
            <c:spPr>
              <a:solidFill>
                <a:schemeClr val="accent3">
                  <a:shade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D68D-4C80-9EBD-70FD7724FF87}"/>
              </c:ext>
            </c:extLst>
          </c:dPt>
          <c:dPt>
            <c:idx val="3"/>
            <c:bubble3D val="0"/>
            <c:spPr>
              <a:solidFill>
                <a:schemeClr val="accent3">
                  <a:tint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D68D-4C80-9EBD-70FD7724FF87}"/>
              </c:ext>
            </c:extLst>
          </c:dPt>
          <c:dPt>
            <c:idx val="4"/>
            <c:bubble3D val="0"/>
            <c:spPr>
              <a:solidFill>
                <a:schemeClr val="accent3">
                  <a:tint val="7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D68D-4C80-9EBD-70FD7724FF87}"/>
              </c:ext>
            </c:extLst>
          </c:dPt>
          <c:dPt>
            <c:idx val="5"/>
            <c:bubble3D val="0"/>
            <c:spPr>
              <a:solidFill>
                <a:schemeClr val="accent3">
                  <a:tint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D68D-4C80-9EBD-70FD7724FF87}"/>
              </c:ext>
            </c:extLst>
          </c:dPt>
          <c:dLbls>
            <c:dLbl>
              <c:idx val="0"/>
              <c:layout>
                <c:manualLayout>
                  <c:x val="-0.34722222222222221"/>
                  <c:y val="-7.669437153689122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Blue Badge referrals, 11 (6%)</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30138888888888887"/>
                      <c:h val="0.12731481481481483"/>
                    </c:manualLayout>
                  </c15:layout>
                  <c15:showDataLabelsRange val="0"/>
                </c:ext>
                <c:ext xmlns:c16="http://schemas.microsoft.com/office/drawing/2014/chart" uri="{C3380CC4-5D6E-409C-BE32-E72D297353CC}">
                  <c16:uniqueId val="{00000001-D68D-4C80-9EBD-70FD7724FF87}"/>
                </c:ext>
              </c:extLst>
            </c:dLbl>
            <c:dLbl>
              <c:idx val="1"/>
              <c:layout>
                <c:manualLayout>
                  <c:x val="-5.0872265966754156E-2"/>
                  <c:y val="-7.81645523476232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Internal referrals (inc whistleblowing),</a:t>
                    </a:r>
                    <a:r>
                      <a:rPr lang="en-US" baseline="0"/>
                      <a:t> 5 (2%)</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29583333333333334"/>
                      <c:h val="0.12152777777777778"/>
                    </c:manualLayout>
                  </c15:layout>
                  <c15:showDataLabelsRange val="0"/>
                </c:ext>
                <c:ext xmlns:c16="http://schemas.microsoft.com/office/drawing/2014/chart" uri="{C3380CC4-5D6E-409C-BE32-E72D297353CC}">
                  <c16:uniqueId val="{00000003-D68D-4C80-9EBD-70FD7724FF87}"/>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Council Tax discount referrals, 39 (22%)</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29444444444444445"/>
                      <c:h val="0.12152777777777778"/>
                    </c:manualLayout>
                  </c15:layout>
                  <c15:showDataLabelsRange val="0"/>
                </c:ext>
                <c:ext xmlns:c16="http://schemas.microsoft.com/office/drawing/2014/chart" uri="{C3380CC4-5D6E-409C-BE32-E72D297353CC}">
                  <c16:uniqueId val="{00000005-D68D-4C80-9EBD-70FD7724FF87}"/>
                </c:ext>
              </c:extLst>
            </c:dLbl>
            <c:dLbl>
              <c:idx val="3"/>
              <c:layout>
                <c:manualLayout>
                  <c:x val="-2.0833333333333333E-3"/>
                  <c:y val="0.1845968212306795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Council Tax Support</a:t>
                    </a:r>
                    <a:r>
                      <a:rPr lang="en-US" baseline="0"/>
                      <a:t> referrals 4 (2%)</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21249999999999999"/>
                      <c:h val="0.1875"/>
                    </c:manualLayout>
                  </c15:layout>
                  <c15:showDataLabelsRange val="0"/>
                </c:ext>
                <c:ext xmlns:c16="http://schemas.microsoft.com/office/drawing/2014/chart" uri="{C3380CC4-5D6E-409C-BE32-E72D297353CC}">
                  <c16:uniqueId val="{00000007-D68D-4C80-9EBD-70FD7724FF87}"/>
                </c:ext>
              </c:extLst>
            </c:dLbl>
            <c:dLbl>
              <c:idx val="4"/>
              <c:layout>
                <c:manualLayout>
                  <c:x val="0.23590266841644789"/>
                  <c:y val="-0.27921296296296294"/>
                </c:manualLayout>
              </c:layout>
              <c:tx>
                <c:rich>
                  <a:bodyPr/>
                  <a:lstStyle/>
                  <a:p>
                    <a:r>
                      <a:rPr lang="en-US"/>
                      <a:t>Housing Benefit/Universal Credit referrals, 82 (47%)</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68D-4C80-9EBD-70FD7724FF87}"/>
                </c:ext>
              </c:extLst>
            </c:dLbl>
            <c:dLbl>
              <c:idx val="5"/>
              <c:layout>
                <c:manualLayout>
                  <c:x val="0.17036504811898512"/>
                  <c:y val="9.506962671332749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No action</a:t>
                    </a:r>
                    <a:r>
                      <a:rPr lang="en-US" baseline="0"/>
                      <a:t> required 37 (21%)</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0.21388888888888888"/>
                      <c:h val="0.11689814814814815"/>
                    </c:manualLayout>
                  </c15:layout>
                  <c15:showDataLabelsRange val="0"/>
                </c:ext>
                <c:ext xmlns:c16="http://schemas.microsoft.com/office/drawing/2014/chart" uri="{C3380CC4-5D6E-409C-BE32-E72D297353CC}">
                  <c16:uniqueId val="{0000000B-D68D-4C80-9EBD-70FD7724FF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Sheet1!$A$1:$A$6</c:f>
              <c:numCache>
                <c:formatCode>General</c:formatCode>
                <c:ptCount val="6"/>
                <c:pt idx="0">
                  <c:v>10</c:v>
                </c:pt>
                <c:pt idx="1">
                  <c:v>4</c:v>
                </c:pt>
                <c:pt idx="2">
                  <c:v>39</c:v>
                </c:pt>
                <c:pt idx="3">
                  <c:v>4</c:v>
                </c:pt>
                <c:pt idx="4">
                  <c:v>82</c:v>
                </c:pt>
                <c:pt idx="5">
                  <c:v>37</c:v>
                </c:pt>
              </c:numCache>
            </c:numRef>
          </c:val>
          <c:extLst>
            <c:ext xmlns:c16="http://schemas.microsoft.com/office/drawing/2014/chart" uri="{C3380CC4-5D6E-409C-BE32-E72D297353CC}">
              <c16:uniqueId val="{0000000C-D68D-4C80-9EBD-70FD7724FF87}"/>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libri" panose="020F0502020204030204" pitchFamily="34" charset="0"/>
                <a:ea typeface="+mj-ea"/>
                <a:cs typeface="Calibri" panose="020F0502020204030204" pitchFamily="34" charset="0"/>
              </a:defRPr>
            </a:pPr>
            <a:r>
              <a:rPr lang="en-GB" sz="1400" b="0">
                <a:latin typeface="Calibri" panose="020F0502020204030204" pitchFamily="34" charset="0"/>
                <a:cs typeface="Calibri" panose="020F0502020204030204" pitchFamily="34" charset="0"/>
              </a:rPr>
              <a:t>Referrals</a:t>
            </a:r>
            <a:r>
              <a:rPr lang="en-GB" sz="1400" b="0" baseline="0">
                <a:latin typeface="Calibri" panose="020F0502020204030204" pitchFamily="34" charset="0"/>
                <a:cs typeface="Calibri" panose="020F0502020204030204" pitchFamily="34" charset="0"/>
              </a:rPr>
              <a:t> received 2022/23</a:t>
            </a:r>
            <a:endParaRPr lang="en-GB" sz="1400" b="0">
              <a:latin typeface="Calibri" panose="020F0502020204030204" pitchFamily="34" charset="0"/>
              <a:cs typeface="Calibri" panose="020F0502020204030204" pitchFamily="34" charset="0"/>
            </a:endParaRPr>
          </a:p>
        </c:rich>
      </c:tx>
      <c:layout>
        <c:manualLayout>
          <c:xMode val="edge"/>
          <c:yMode val="edge"/>
          <c:x val="0.26504155730533679"/>
          <c:y val="0.88888888888888884"/>
        </c:manualLayout>
      </c:layout>
      <c:overlay val="0"/>
      <c:spPr>
        <a:noFill/>
        <a:ln>
          <a:noFill/>
        </a:ln>
        <a:effectLst/>
      </c:spPr>
      <c:txPr>
        <a:bodyPr rot="0" spcFirstLastPara="1" vertOverflow="ellipsis" vert="horz" wrap="square" anchor="ctr" anchorCtr="1"/>
        <a:lstStyle/>
        <a:p>
          <a:pPr>
            <a:defRPr sz="1400" b="0" i="0" u="none" strike="noStrike" kern="1200" spc="0" normalizeH="0" baseline="0">
              <a:solidFill>
                <a:schemeClr val="dk1">
                  <a:lumMod val="50000"/>
                  <a:lumOff val="50000"/>
                </a:schemeClr>
              </a:solidFill>
              <a:latin typeface="Calibri" panose="020F0502020204030204" pitchFamily="34" charset="0"/>
              <a:ea typeface="+mj-ea"/>
              <a:cs typeface="Calibri" panose="020F0502020204030204" pitchFamily="34" charset="0"/>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722222222222227E-2"/>
          <c:y val="0.15855023330417031"/>
          <c:w val="0.81388888888888888"/>
          <c:h val="0.65757545931758532"/>
        </c:manualLayout>
      </c:layout>
      <c:pie3DChart>
        <c:varyColors val="1"/>
        <c:ser>
          <c:idx val="0"/>
          <c:order val="0"/>
          <c:dPt>
            <c:idx val="0"/>
            <c:bubble3D val="0"/>
            <c:spPr>
              <a:gradFill>
                <a:gsLst>
                  <a:gs pos="100000">
                    <a:schemeClr val="dk1">
                      <a:tint val="88500"/>
                      <a:lumMod val="60000"/>
                      <a:lumOff val="40000"/>
                    </a:schemeClr>
                  </a:gs>
                  <a:gs pos="0">
                    <a:schemeClr val="dk1">
                      <a:tint val="885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E04F-43B5-A7F4-9059ECFDB10E}"/>
              </c:ext>
            </c:extLst>
          </c:dPt>
          <c:dPt>
            <c:idx val="1"/>
            <c:bubble3D val="0"/>
            <c:spPr>
              <a:gradFill>
                <a:gsLst>
                  <a:gs pos="100000">
                    <a:schemeClr val="dk1">
                      <a:tint val="55000"/>
                      <a:lumMod val="60000"/>
                      <a:lumOff val="40000"/>
                    </a:schemeClr>
                  </a:gs>
                  <a:gs pos="0">
                    <a:schemeClr val="dk1">
                      <a:tint val="55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E04F-43B5-A7F4-9059ECFDB10E}"/>
              </c:ext>
            </c:extLst>
          </c:dPt>
          <c:dPt>
            <c:idx val="2"/>
            <c:bubble3D val="0"/>
            <c:spPr>
              <a:gradFill>
                <a:gsLst>
                  <a:gs pos="100000">
                    <a:schemeClr val="dk1">
                      <a:tint val="75000"/>
                      <a:lumMod val="60000"/>
                      <a:lumOff val="40000"/>
                    </a:schemeClr>
                  </a:gs>
                  <a:gs pos="0">
                    <a:schemeClr val="dk1">
                      <a:tint val="75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E04F-43B5-A7F4-9059ECFDB10E}"/>
              </c:ext>
            </c:extLst>
          </c:dPt>
          <c:dPt>
            <c:idx val="3"/>
            <c:bubble3D val="0"/>
            <c:spPr>
              <a:gradFill>
                <a:gsLst>
                  <a:gs pos="100000">
                    <a:schemeClr val="dk1">
                      <a:tint val="98500"/>
                      <a:lumMod val="60000"/>
                      <a:lumOff val="40000"/>
                    </a:schemeClr>
                  </a:gs>
                  <a:gs pos="0">
                    <a:schemeClr val="dk1">
                      <a:tint val="985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E04F-43B5-A7F4-9059ECFDB10E}"/>
              </c:ext>
            </c:extLst>
          </c:dPt>
          <c:dPt>
            <c:idx val="4"/>
            <c:bubble3D val="0"/>
            <c:spPr>
              <a:gradFill>
                <a:gsLst>
                  <a:gs pos="100000">
                    <a:schemeClr val="dk1">
                      <a:tint val="30000"/>
                      <a:lumMod val="60000"/>
                      <a:lumOff val="40000"/>
                    </a:schemeClr>
                  </a:gs>
                  <a:gs pos="0">
                    <a:schemeClr val="dk1">
                      <a:tint val="3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E04F-43B5-A7F4-9059ECFDB10E}"/>
              </c:ext>
            </c:extLst>
          </c:dPt>
          <c:dPt>
            <c:idx val="5"/>
            <c:bubble3D val="0"/>
            <c:spPr>
              <a:gradFill>
                <a:gsLst>
                  <a:gs pos="100000">
                    <a:schemeClr val="dk1">
                      <a:tint val="60000"/>
                      <a:lumMod val="60000"/>
                      <a:lumOff val="40000"/>
                    </a:schemeClr>
                  </a:gs>
                  <a:gs pos="0">
                    <a:schemeClr val="dk1">
                      <a:tint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E04F-43B5-A7F4-9059ECFDB10E}"/>
              </c:ext>
            </c:extLst>
          </c:dPt>
          <c:dLbls>
            <c:dLbl>
              <c:idx val="0"/>
              <c:tx>
                <c:rich>
                  <a:bodyPr/>
                  <a:lstStyle/>
                  <a:p>
                    <a:fld id="{67FDC140-2F3F-43B1-9640-14263E874A72}" type="CATEGORYNAME">
                      <a:rPr lang="en-US"/>
                      <a:pPr/>
                      <a:t>[CATEGORY NAME]</a:t>
                    </a:fld>
                    <a:r>
                      <a:rPr lang="en-US" baseline="0"/>
                      <a:t> </a:t>
                    </a:r>
                    <a:fld id="{80E129AE-6ECD-46BE-BBBA-78CC3C6AAF01}" type="VALUE">
                      <a:rPr lang="en-US" baseline="0"/>
                      <a:pPr/>
                      <a:t>[VALUE]</a:t>
                    </a:fld>
                    <a:r>
                      <a:rPr lang="en-US" baseline="0"/>
                      <a:t> (10%)</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04F-43B5-A7F4-9059ECFDB10E}"/>
                </c:ext>
              </c:extLst>
            </c:dLbl>
            <c:dLbl>
              <c:idx val="1"/>
              <c:layout>
                <c:manualLayout>
                  <c:x val="0.10555555555555546"/>
                  <c:y val="1.8518518518518517E-2"/>
                </c:manualLayout>
              </c:layout>
              <c:tx>
                <c:rich>
                  <a:bodyPr/>
                  <a:lstStyle/>
                  <a:p>
                    <a:fld id="{17AA9E02-2C1E-44A5-8121-3DDBFA95B7BB}" type="CATEGORYNAME">
                      <a:rPr lang="en-US"/>
                      <a:pPr/>
                      <a:t>[CATEGORY NAME]</a:t>
                    </a:fld>
                    <a:r>
                      <a:rPr lang="en-US" baseline="0"/>
                      <a:t> </a:t>
                    </a:r>
                    <a:fld id="{C2DFD5BB-1B82-4DE1-BC21-144C2ADD8AFF}" type="VALUE">
                      <a:rPr lang="en-US" baseline="0"/>
                      <a:pPr/>
                      <a:t>[VALUE]</a:t>
                    </a:fld>
                    <a:r>
                      <a:rPr lang="en-US" baseline="0"/>
                      <a:t> (2%)</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04F-43B5-A7F4-9059ECFDB10E}"/>
                </c:ext>
              </c:extLst>
            </c:dLbl>
            <c:dLbl>
              <c:idx val="2"/>
              <c:layout>
                <c:manualLayout>
                  <c:x val="-0.19166666666666676"/>
                  <c:y val="-0.11111111111111116"/>
                </c:manualLayout>
              </c:layout>
              <c:tx>
                <c:rich>
                  <a:bodyPr/>
                  <a:lstStyle/>
                  <a:p>
                    <a:fld id="{2DF7B912-DF63-45A6-B54F-0446B34B697E}" type="CATEGORYNAME">
                      <a:rPr lang="en-US"/>
                      <a:pPr/>
                      <a:t>[CATEGORY NAME]</a:t>
                    </a:fld>
                    <a:r>
                      <a:rPr lang="en-US" baseline="0"/>
                      <a:t> </a:t>
                    </a:r>
                    <a:fld id="{59B8493E-72C1-44E6-8636-CDF142BC58DC}" type="VALUE">
                      <a:rPr lang="en-US" baseline="0"/>
                      <a:pPr/>
                      <a:t>[VALUE]</a:t>
                    </a:fld>
                    <a:r>
                      <a:rPr lang="en-US" baseline="0"/>
                      <a:t> (31%)</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04F-43B5-A7F4-9059ECFDB10E}"/>
                </c:ext>
              </c:extLst>
            </c:dLbl>
            <c:dLbl>
              <c:idx val="3"/>
              <c:layout>
                <c:manualLayout>
                  <c:x val="0.1388888888888889"/>
                  <c:y val="-8.7962962962963048E-2"/>
                </c:manualLayout>
              </c:layout>
              <c:tx>
                <c:rich>
                  <a:bodyPr/>
                  <a:lstStyle/>
                  <a:p>
                    <a:fld id="{65235CC3-207D-4962-AFD3-0B6033EC305C}" type="CATEGORYNAME">
                      <a:rPr lang="en-US"/>
                      <a:pPr/>
                      <a:t>[CATEGORY NAME]</a:t>
                    </a:fld>
                    <a:r>
                      <a:rPr lang="en-US" baseline="0"/>
                      <a:t> </a:t>
                    </a:r>
                    <a:fld id="{512E5813-56FF-4075-9E66-08C74C8572D9}" type="VALUE">
                      <a:rPr lang="en-US" baseline="0"/>
                      <a:pPr/>
                      <a:t>[VALUE]</a:t>
                    </a:fld>
                    <a:r>
                      <a:rPr lang="en-US" baseline="0"/>
                      <a:t> (3%)</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04F-43B5-A7F4-9059ECFDB10E}"/>
                </c:ext>
              </c:extLst>
            </c:dLbl>
            <c:dLbl>
              <c:idx val="4"/>
              <c:layout>
                <c:manualLayout>
                  <c:x val="0.25555555555555554"/>
                  <c:y val="-0.1388888888888889"/>
                </c:manualLayout>
              </c:layout>
              <c:tx>
                <c:rich>
                  <a:bodyPr/>
                  <a:lstStyle/>
                  <a:p>
                    <a:fld id="{B24EB9D6-FEB5-4F39-8FF4-BCFCF496E1BB}" type="CATEGORYNAME">
                      <a:rPr lang="en-US"/>
                      <a:pPr/>
                      <a:t>[CATEGORY NAME]</a:t>
                    </a:fld>
                    <a:r>
                      <a:rPr lang="en-US" baseline="0"/>
                      <a:t> </a:t>
                    </a:r>
                    <a:fld id="{6E2B8E8C-C729-40D6-A56F-CBFFE1AB310E}" type="VALUE">
                      <a:rPr lang="en-US" baseline="0"/>
                      <a:pPr/>
                      <a:t>[VALUE]</a:t>
                    </a:fld>
                    <a:r>
                      <a:rPr lang="en-US" baseline="0"/>
                      <a:t> (43%)</a:t>
                    </a:r>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04F-43B5-A7F4-9059ECFDB10E}"/>
                </c:ext>
              </c:extLst>
            </c:dLbl>
            <c:dLbl>
              <c:idx val="5"/>
              <c:tx>
                <c:rich>
                  <a:bodyPr/>
                  <a:lstStyle/>
                  <a:p>
                    <a:fld id="{957141E8-FAC1-478F-A40A-FA72E94E3E5D}" type="CATEGORYNAME">
                      <a:rPr lang="en-US"/>
                      <a:pPr/>
                      <a:t>[CATEGORY NAME]</a:t>
                    </a:fld>
                    <a:r>
                      <a:rPr lang="en-US" baseline="0"/>
                      <a:t> </a:t>
                    </a:r>
                    <a:fld id="{702BE2A4-2A09-405A-8C13-BF5B3807ED06}" type="VALUE">
                      <a:rPr lang="en-US" baseline="0"/>
                      <a:pPr/>
                      <a:t>[VALUE]</a:t>
                    </a:fld>
                    <a:r>
                      <a:rPr lang="en-US" baseline="0"/>
                      <a:t> (10%)</a:t>
                    </a:r>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04F-43B5-A7F4-9059ECFDB1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Sheet1!$A$1:$A$6</c:f>
              <c:strCache>
                <c:ptCount val="6"/>
                <c:pt idx="0">
                  <c:v>Blue Badge referrals</c:v>
                </c:pt>
                <c:pt idx="1">
                  <c:v>Internal referrals (incl whistleblowing)</c:v>
                </c:pt>
                <c:pt idx="2">
                  <c:v>Council Tax discount referrals</c:v>
                </c:pt>
                <c:pt idx="3">
                  <c:v>Council Tax Support referrals</c:v>
                </c:pt>
                <c:pt idx="4">
                  <c:v>Housing Benefit/Universal Credit referrals</c:v>
                </c:pt>
                <c:pt idx="5">
                  <c:v>No further action required</c:v>
                </c:pt>
              </c:strCache>
            </c:strRef>
          </c:cat>
          <c:val>
            <c:numRef>
              <c:f>Sheet1!$B$1:$B$6</c:f>
              <c:numCache>
                <c:formatCode>General</c:formatCode>
                <c:ptCount val="6"/>
                <c:pt idx="0">
                  <c:v>14</c:v>
                </c:pt>
                <c:pt idx="1">
                  <c:v>3</c:v>
                </c:pt>
                <c:pt idx="2">
                  <c:v>42</c:v>
                </c:pt>
                <c:pt idx="3">
                  <c:v>4</c:v>
                </c:pt>
                <c:pt idx="4">
                  <c:v>59</c:v>
                </c:pt>
                <c:pt idx="5">
                  <c:v>14</c:v>
                </c:pt>
              </c:numCache>
            </c:numRef>
          </c:val>
          <c:extLst>
            <c:ext xmlns:c16="http://schemas.microsoft.com/office/drawing/2014/chart" uri="{C3380CC4-5D6E-409C-BE32-E72D297353CC}">
              <c16:uniqueId val="{0000000C-E04F-43B5-A7F4-9059ECFDB10E}"/>
            </c:ext>
          </c:extLst>
        </c:ser>
        <c:dLbls>
          <c:dLblPos val="outEnd"/>
          <c:showLegendKey val="0"/>
          <c:showVal val="1"/>
          <c:showCatName val="0"/>
          <c:showSerName val="0"/>
          <c:showPercent val="0"/>
          <c:showBubbleSize val="0"/>
          <c:showLeaderLines val="1"/>
        </c:dLbls>
      </c:pie3DChart>
      <c:spPr>
        <a:solidFill>
          <a:sysClr val="window" lastClr="FFFF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5F01-B778-4EB0-A4E4-5750B253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NAME OF NON-EXECUTIVE MEETING</vt:lpstr>
    </vt:vector>
  </TitlesOfParts>
  <Company>North East Lincolnshire Council</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NON-EXECUTIVE MEETING</dc:title>
  <dc:subject/>
  <cp:keywords/>
  <cp:revision>4</cp:revision>
  <cp:lastPrinted>2015-10-07T08:11:00Z</cp:lastPrinted>
  <dcterms:created xsi:type="dcterms:W3CDTF">2023-04-25T09:13:00Z</dcterms:created>
  <dcterms:modified xsi:type="dcterms:W3CDTF">2023-05-02T08:31:00Z</dcterms:modified>
</cp:coreProperties>
</file>