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2353"/>
      </w:tblGrid>
      <w:tr w:rsidR="00AE3F8E" w14:paraId="62A5EE67" w14:textId="77777777" w:rsidTr="00AE3F8E">
        <w:trPr>
          <w:trHeight w:val="1975"/>
        </w:trPr>
        <w:tc>
          <w:tcPr>
            <w:tcW w:w="2434" w:type="dxa"/>
          </w:tcPr>
          <w:p w14:paraId="13A0B12B" w14:textId="77DB6BEA" w:rsidR="00AE3F8E" w:rsidRDefault="00AE3F8E" w:rsidP="009E4129">
            <w:pPr>
              <w:spacing w:before="240"/>
            </w:pPr>
            <w:r>
              <w:rPr>
                <w:noProof/>
                <w:lang w:eastAsia="en-GB"/>
              </w:rPr>
              <w:drawing>
                <wp:inline distT="0" distB="0" distL="0" distR="0" wp14:anchorId="37C7F442" wp14:editId="5199DE76">
                  <wp:extent cx="1459591" cy="776378"/>
                  <wp:effectExtent l="0" t="0" r="7620" b="5080"/>
                  <wp:docPr id="3" name="Picture 18" descr="Humber and North Yorkshire Integrated Car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8" descr="Humber and North Yorkshire Integrated Care Board logo"/>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3108" cy="783568"/>
                          </a:xfrm>
                          <a:prstGeom prst="rect">
                            <a:avLst/>
                          </a:prstGeom>
                          <a:noFill/>
                          <a:ln>
                            <a:noFill/>
                          </a:ln>
                        </pic:spPr>
                      </pic:pic>
                    </a:graphicData>
                  </a:graphic>
                </wp:inline>
              </w:drawing>
            </w:r>
          </w:p>
        </w:tc>
        <w:tc>
          <w:tcPr>
            <w:tcW w:w="2435" w:type="dxa"/>
          </w:tcPr>
          <w:p w14:paraId="16B96D61" w14:textId="20D83B94" w:rsidR="00AE3F8E" w:rsidRDefault="00AE3F8E" w:rsidP="009E4129">
            <w:pPr>
              <w:spacing w:before="240"/>
            </w:pPr>
            <w:r>
              <w:rPr>
                <w:noProof/>
              </w:rPr>
              <w:drawing>
                <wp:inline distT="0" distB="0" distL="0" distR="0" wp14:anchorId="22724E25" wp14:editId="025264BA">
                  <wp:extent cx="1337203" cy="1184508"/>
                  <wp:effectExtent l="0" t="0" r="0" b="0"/>
                  <wp:docPr id="1" name="Picture 1" descr="North East Lincol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orth East Lincolnshire Council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5354" cy="1191728"/>
                          </a:xfrm>
                          <a:prstGeom prst="rect">
                            <a:avLst/>
                          </a:prstGeom>
                          <a:noFill/>
                          <a:ln>
                            <a:noFill/>
                          </a:ln>
                        </pic:spPr>
                      </pic:pic>
                    </a:graphicData>
                  </a:graphic>
                </wp:inline>
              </w:drawing>
            </w:r>
          </w:p>
        </w:tc>
      </w:tr>
    </w:tbl>
    <w:p w14:paraId="1FD1336E" w14:textId="69F1ED14" w:rsidR="009E4129" w:rsidRDefault="009E4129" w:rsidP="009E4129">
      <w:pPr>
        <w:spacing w:before="240" w:after="0"/>
      </w:pPr>
      <w:r>
        <w:br w:type="column"/>
      </w:r>
    </w:p>
    <w:tbl>
      <w:tblPr>
        <w:tblStyle w:val="TableGrid"/>
        <w:tblW w:w="4286" w:type="dxa"/>
        <w:tblInd w:w="421" w:type="dxa"/>
        <w:tblLook w:val="04A0" w:firstRow="1" w:lastRow="0" w:firstColumn="1" w:lastColumn="0" w:noHBand="0" w:noVBand="1"/>
      </w:tblPr>
      <w:tblGrid>
        <w:gridCol w:w="1203"/>
        <w:gridCol w:w="3083"/>
      </w:tblGrid>
      <w:tr w:rsidR="009E4129" w14:paraId="1F28D340" w14:textId="77777777" w:rsidTr="00525665">
        <w:tc>
          <w:tcPr>
            <w:tcW w:w="1203" w:type="dxa"/>
          </w:tcPr>
          <w:p w14:paraId="37AEB623" w14:textId="77777777" w:rsidR="009E4129" w:rsidRDefault="009E4129" w:rsidP="009E4129">
            <w:r>
              <w:t>Internal ref:</w:t>
            </w:r>
          </w:p>
        </w:tc>
        <w:tc>
          <w:tcPr>
            <w:tcW w:w="3083" w:type="dxa"/>
          </w:tcPr>
          <w:p w14:paraId="448E38E0" w14:textId="613847FD" w:rsidR="009E4129" w:rsidRPr="00FB717E" w:rsidRDefault="00E81B2F" w:rsidP="009E4129">
            <w:pPr>
              <w:rPr>
                <w:rFonts w:cs="Arial"/>
              </w:rPr>
            </w:pPr>
            <w:r w:rsidRPr="00FB717E">
              <w:rPr>
                <w:rFonts w:eastAsia="Times New Roman" w:cs="Arial"/>
                <w:lang w:eastAsia="en-GB"/>
              </w:rPr>
              <w:t>ICB</w:t>
            </w:r>
            <w:r w:rsidR="00B43BC9" w:rsidRPr="00FB717E">
              <w:rPr>
                <w:rFonts w:eastAsia="Times New Roman" w:cs="Arial"/>
                <w:lang w:eastAsia="en-GB"/>
              </w:rPr>
              <w:t>/</w:t>
            </w:r>
            <w:r w:rsidR="00FB717E" w:rsidRPr="00FB717E">
              <w:rPr>
                <w:rFonts w:cs="Arial"/>
              </w:rPr>
              <w:t xml:space="preserve"> </w:t>
            </w:r>
            <w:proofErr w:type="spellStart"/>
            <w:r w:rsidR="00FB717E" w:rsidRPr="00FB717E">
              <w:rPr>
                <w:rFonts w:cs="Arial"/>
              </w:rPr>
              <w:t>Council.DfrdPay</w:t>
            </w:r>
            <w:proofErr w:type="spellEnd"/>
          </w:p>
        </w:tc>
      </w:tr>
      <w:tr w:rsidR="009E4129" w14:paraId="069C0F25" w14:textId="77777777" w:rsidTr="00525665">
        <w:tc>
          <w:tcPr>
            <w:tcW w:w="1203" w:type="dxa"/>
          </w:tcPr>
          <w:p w14:paraId="7C3D0AF9" w14:textId="77777777" w:rsidR="009E4129" w:rsidRDefault="009E4129" w:rsidP="009E4129">
            <w:r>
              <w:t>Review date</w:t>
            </w:r>
          </w:p>
        </w:tc>
        <w:tc>
          <w:tcPr>
            <w:tcW w:w="3083" w:type="dxa"/>
          </w:tcPr>
          <w:p w14:paraId="4CDAF2A9" w14:textId="541C1CAD" w:rsidR="009E4129" w:rsidRDefault="00C07856" w:rsidP="009E4129">
            <w:r>
              <w:rPr>
                <w:rFonts w:eastAsia="Times New Roman" w:cs="Arial"/>
                <w:lang w:eastAsia="en-GB"/>
              </w:rPr>
              <w:t>March</w:t>
            </w:r>
            <w:r w:rsidRPr="00B900B6">
              <w:rPr>
                <w:rFonts w:eastAsia="Times New Roman" w:cs="Arial"/>
                <w:lang w:eastAsia="en-GB"/>
              </w:rPr>
              <w:t xml:space="preserve"> 20</w:t>
            </w:r>
            <w:r>
              <w:rPr>
                <w:rFonts w:eastAsia="Times New Roman" w:cs="Arial"/>
                <w:lang w:eastAsia="en-GB"/>
              </w:rPr>
              <w:t>2</w:t>
            </w:r>
            <w:r w:rsidR="00FB717E">
              <w:rPr>
                <w:rFonts w:eastAsia="Times New Roman" w:cs="Arial"/>
                <w:lang w:eastAsia="en-GB"/>
              </w:rPr>
              <w:t>6</w:t>
            </w:r>
          </w:p>
        </w:tc>
      </w:tr>
      <w:tr w:rsidR="009E4129" w14:paraId="7BA2B9DF" w14:textId="77777777" w:rsidTr="00525665">
        <w:tc>
          <w:tcPr>
            <w:tcW w:w="1203" w:type="dxa"/>
          </w:tcPr>
          <w:p w14:paraId="2BFDB870" w14:textId="77777777" w:rsidR="009E4129" w:rsidRDefault="009E4129" w:rsidP="009E4129">
            <w:r>
              <w:t>Version No.</w:t>
            </w:r>
          </w:p>
        </w:tc>
        <w:tc>
          <w:tcPr>
            <w:tcW w:w="3083" w:type="dxa"/>
          </w:tcPr>
          <w:p w14:paraId="3F996ACB" w14:textId="102A7A6C" w:rsidR="009E4129" w:rsidRDefault="00C07856" w:rsidP="009E4129">
            <w:r w:rsidRPr="00B900B6">
              <w:rPr>
                <w:rFonts w:eastAsia="Times New Roman" w:cs="Arial"/>
                <w:lang w:eastAsia="en-GB"/>
              </w:rPr>
              <w:t>V</w:t>
            </w:r>
            <w:r w:rsidR="00573942">
              <w:rPr>
                <w:rFonts w:eastAsia="Times New Roman" w:cs="Arial"/>
                <w:lang w:eastAsia="en-GB"/>
              </w:rPr>
              <w:t xml:space="preserve">2 </w:t>
            </w:r>
            <w:r w:rsidRPr="00B900B6">
              <w:rPr>
                <w:rFonts w:eastAsia="Times New Roman" w:cs="Arial"/>
                <w:lang w:eastAsia="en-GB"/>
              </w:rPr>
              <w:t>(20</w:t>
            </w:r>
            <w:r>
              <w:rPr>
                <w:rFonts w:eastAsia="Times New Roman" w:cs="Arial"/>
                <w:lang w:eastAsia="en-GB"/>
              </w:rPr>
              <w:t>2</w:t>
            </w:r>
            <w:r w:rsidR="00563FDF">
              <w:rPr>
                <w:rFonts w:eastAsia="Times New Roman" w:cs="Arial"/>
                <w:lang w:eastAsia="en-GB"/>
              </w:rPr>
              <w:t>3</w:t>
            </w:r>
            <w:r w:rsidRPr="00B900B6">
              <w:rPr>
                <w:rFonts w:eastAsia="Times New Roman" w:cs="Arial"/>
                <w:lang w:eastAsia="en-GB"/>
              </w:rPr>
              <w:t>/</w:t>
            </w:r>
            <w:r>
              <w:rPr>
                <w:rFonts w:eastAsia="Times New Roman" w:cs="Arial"/>
                <w:lang w:eastAsia="en-GB"/>
              </w:rPr>
              <w:t>2</w:t>
            </w:r>
            <w:r w:rsidR="00573942">
              <w:rPr>
                <w:rFonts w:eastAsia="Times New Roman" w:cs="Arial"/>
                <w:lang w:eastAsia="en-GB"/>
              </w:rPr>
              <w:t>6</w:t>
            </w:r>
            <w:r w:rsidRPr="00B900B6">
              <w:rPr>
                <w:rFonts w:eastAsia="Times New Roman" w:cs="Arial"/>
                <w:lang w:eastAsia="en-GB"/>
              </w:rPr>
              <w:t>)</w:t>
            </w:r>
          </w:p>
        </w:tc>
      </w:tr>
    </w:tbl>
    <w:p w14:paraId="2CC18ED5" w14:textId="582AEC9D" w:rsidR="009E4129" w:rsidRDefault="009E4129">
      <w:pPr>
        <w:sectPr w:rsidR="009E4129" w:rsidSect="009E4129">
          <w:footerReference w:type="default" r:id="rId10"/>
          <w:footerReference w:type="first" r:id="rId11"/>
          <w:pgSz w:w="11906" w:h="16838"/>
          <w:pgMar w:top="720" w:right="720" w:bottom="720" w:left="720" w:header="708" w:footer="708" w:gutter="0"/>
          <w:cols w:num="2" w:space="708"/>
          <w:docGrid w:linePitch="360"/>
        </w:sectPr>
      </w:pPr>
    </w:p>
    <w:p w14:paraId="18914DBC" w14:textId="77777777" w:rsidR="00126A6F" w:rsidRPr="00126A6F" w:rsidRDefault="00126A6F" w:rsidP="00126A6F">
      <w:pPr>
        <w:pStyle w:val="Title"/>
        <w:spacing w:before="1920"/>
        <w:jc w:val="center"/>
        <w:rPr>
          <w:rFonts w:ascii="Arial" w:hAnsi="Arial" w:cs="Arial"/>
          <w:b/>
          <w:bCs/>
        </w:rPr>
      </w:pPr>
      <w:proofErr w:type="gramStart"/>
      <w:r w:rsidRPr="00126A6F">
        <w:rPr>
          <w:rFonts w:ascii="Arial" w:hAnsi="Arial" w:cs="Arial"/>
          <w:b/>
          <w:bCs/>
        </w:rPr>
        <w:t>North East</w:t>
      </w:r>
      <w:proofErr w:type="gramEnd"/>
      <w:r w:rsidRPr="00126A6F">
        <w:rPr>
          <w:rFonts w:ascii="Arial" w:hAnsi="Arial" w:cs="Arial"/>
          <w:b/>
          <w:bCs/>
        </w:rPr>
        <w:t xml:space="preserve"> Lincolnshire</w:t>
      </w:r>
    </w:p>
    <w:p w14:paraId="195FDC4C" w14:textId="77777777" w:rsidR="00126A6F" w:rsidRDefault="002C5DFA" w:rsidP="00126A6F">
      <w:pPr>
        <w:pStyle w:val="Title"/>
        <w:spacing w:before="1920"/>
        <w:jc w:val="center"/>
        <w:rPr>
          <w:rFonts w:ascii="Arial" w:hAnsi="Arial" w:cs="Arial"/>
          <w:b/>
          <w:bCs/>
        </w:rPr>
      </w:pPr>
      <w:r>
        <w:rPr>
          <w:rFonts w:ascii="Arial" w:hAnsi="Arial" w:cs="Arial"/>
          <w:b/>
          <w:bCs/>
        </w:rPr>
        <w:t>Council</w:t>
      </w:r>
    </w:p>
    <w:p w14:paraId="0D930F87" w14:textId="5EA63A14" w:rsidR="00126A6F" w:rsidRDefault="00573942" w:rsidP="00C07856">
      <w:pPr>
        <w:jc w:val="center"/>
        <w:rPr>
          <w:rFonts w:eastAsiaTheme="majorEastAsia" w:cstheme="majorBidi"/>
          <w:b/>
          <w:sz w:val="52"/>
          <w:szCs w:val="52"/>
        </w:rPr>
      </w:pPr>
      <w:r>
        <w:rPr>
          <w:rFonts w:cs="Arial"/>
          <w:b/>
          <w:bCs/>
          <w:sz w:val="52"/>
          <w:szCs w:val="52"/>
          <w:lang w:val="en-US"/>
        </w:rPr>
        <w:t xml:space="preserve">Deferred Payment Agreement Policy </w:t>
      </w:r>
      <w:r w:rsidR="00126A6F">
        <w:rPr>
          <w:sz w:val="52"/>
          <w:szCs w:val="52"/>
        </w:rPr>
        <w:br w:type="page"/>
      </w:r>
    </w:p>
    <w:tbl>
      <w:tblPr>
        <w:tblStyle w:val="TableGridLight"/>
        <w:tblW w:w="5000" w:type="pct"/>
        <w:tblLook w:val="04A0" w:firstRow="1" w:lastRow="0" w:firstColumn="1" w:lastColumn="0" w:noHBand="0" w:noVBand="1"/>
      </w:tblPr>
      <w:tblGrid>
        <w:gridCol w:w="4560"/>
        <w:gridCol w:w="4456"/>
      </w:tblGrid>
      <w:tr w:rsidR="00126A6F" w:rsidRPr="00241851" w14:paraId="25A354EA" w14:textId="77777777" w:rsidTr="009B5E75">
        <w:tc>
          <w:tcPr>
            <w:tcW w:w="2529" w:type="pct"/>
            <w:hideMark/>
          </w:tcPr>
          <w:p w14:paraId="5DC75F32" w14:textId="77777777" w:rsidR="00126A6F" w:rsidRPr="00241851" w:rsidRDefault="00126A6F" w:rsidP="00911548">
            <w:pPr>
              <w:widowControl w:val="0"/>
              <w:autoSpaceDE w:val="0"/>
              <w:autoSpaceDN w:val="0"/>
              <w:adjustRightInd w:val="0"/>
              <w:spacing w:line="276" w:lineRule="auto"/>
              <w:rPr>
                <w:rFonts w:cs="Arial"/>
                <w:b/>
                <w:sz w:val="22"/>
                <w:lang w:val="en-US"/>
              </w:rPr>
            </w:pPr>
            <w:r>
              <w:rPr>
                <w:rFonts w:eastAsia="Times New Roman"/>
                <w:b/>
                <w:snapToGrid w:val="0"/>
                <w:sz w:val="48"/>
                <w:szCs w:val="48"/>
              </w:rPr>
              <w:lastRenderedPageBreak/>
              <w:br w:type="page"/>
            </w:r>
            <w:r w:rsidRPr="00241851">
              <w:rPr>
                <w:rFonts w:cs="Arial"/>
                <w:b/>
                <w:sz w:val="22"/>
                <w:lang w:val="en-US"/>
              </w:rPr>
              <w:t>Document Title:</w:t>
            </w:r>
          </w:p>
        </w:tc>
        <w:tc>
          <w:tcPr>
            <w:tcW w:w="2471" w:type="pct"/>
          </w:tcPr>
          <w:p w14:paraId="2B137CB1" w14:textId="31D16A4E" w:rsidR="00126A6F" w:rsidRPr="00126A6F" w:rsidRDefault="00573942" w:rsidP="00C07856">
            <w:pPr>
              <w:keepNext/>
              <w:widowControl w:val="0"/>
              <w:spacing w:after="100"/>
              <w:outlineLvl w:val="3"/>
              <w:rPr>
                <w:rFonts w:eastAsia="Times New Roman" w:cs="Arial"/>
                <w:b/>
                <w:snapToGrid w:val="0"/>
                <w:sz w:val="22"/>
              </w:rPr>
            </w:pPr>
            <w:r>
              <w:rPr>
                <w:rFonts w:cs="Arial"/>
                <w:bCs/>
                <w:sz w:val="22"/>
                <w:lang w:val="en-US"/>
              </w:rPr>
              <w:t xml:space="preserve">Deferred Payment Agreement Policy </w:t>
            </w:r>
          </w:p>
        </w:tc>
      </w:tr>
      <w:tr w:rsidR="00126A6F" w:rsidRPr="00241851" w14:paraId="4FBBC232" w14:textId="77777777" w:rsidTr="009B5E75">
        <w:tc>
          <w:tcPr>
            <w:tcW w:w="2529" w:type="pct"/>
            <w:hideMark/>
          </w:tcPr>
          <w:p w14:paraId="05FD5AD8" w14:textId="77777777" w:rsidR="00126A6F" w:rsidRPr="00241851" w:rsidRDefault="00126A6F" w:rsidP="00911548">
            <w:pPr>
              <w:spacing w:line="276" w:lineRule="auto"/>
              <w:rPr>
                <w:rFonts w:cs="Arial"/>
                <w:b/>
                <w:sz w:val="22"/>
                <w:u w:val="single"/>
                <w:lang w:val="en-US"/>
              </w:rPr>
            </w:pPr>
            <w:r w:rsidRPr="00241851">
              <w:rPr>
                <w:rFonts w:cs="Arial"/>
                <w:b/>
                <w:sz w:val="22"/>
                <w:u w:val="single"/>
                <w:lang w:val="en-US"/>
              </w:rPr>
              <w:t>Author/Lead</w:t>
            </w:r>
          </w:p>
          <w:p w14:paraId="6392CF08" w14:textId="77777777" w:rsidR="00126A6F" w:rsidRPr="00241851" w:rsidRDefault="00126A6F" w:rsidP="00911548">
            <w:pPr>
              <w:spacing w:line="276" w:lineRule="auto"/>
              <w:rPr>
                <w:rFonts w:cs="Arial"/>
                <w:b/>
                <w:sz w:val="22"/>
                <w:lang w:val="en-US"/>
              </w:rPr>
            </w:pPr>
            <w:r w:rsidRPr="00241851">
              <w:rPr>
                <w:rFonts w:cs="Arial"/>
                <w:b/>
                <w:sz w:val="22"/>
                <w:lang w:val="en-US"/>
              </w:rPr>
              <w:t>Name:</w:t>
            </w:r>
          </w:p>
          <w:p w14:paraId="121D5973" w14:textId="77777777" w:rsidR="00126A6F" w:rsidRPr="00241851" w:rsidRDefault="00126A6F" w:rsidP="00911548">
            <w:pPr>
              <w:widowControl w:val="0"/>
              <w:autoSpaceDE w:val="0"/>
              <w:autoSpaceDN w:val="0"/>
              <w:adjustRightInd w:val="0"/>
              <w:spacing w:line="276" w:lineRule="auto"/>
              <w:rPr>
                <w:rFonts w:cs="Arial"/>
                <w:b/>
                <w:sz w:val="22"/>
                <w:lang w:val="en-US"/>
              </w:rPr>
            </w:pPr>
            <w:r w:rsidRPr="00241851">
              <w:rPr>
                <w:rFonts w:cs="Arial"/>
                <w:b/>
                <w:sz w:val="22"/>
                <w:lang w:val="en-US"/>
              </w:rPr>
              <w:t>Job Title:</w:t>
            </w:r>
          </w:p>
        </w:tc>
        <w:tc>
          <w:tcPr>
            <w:tcW w:w="2471" w:type="pct"/>
          </w:tcPr>
          <w:p w14:paraId="0AFD47B4" w14:textId="77777777" w:rsidR="00126A6F" w:rsidRDefault="00126A6F" w:rsidP="00911548">
            <w:pPr>
              <w:widowControl w:val="0"/>
              <w:autoSpaceDE w:val="0"/>
              <w:autoSpaceDN w:val="0"/>
              <w:adjustRightInd w:val="0"/>
              <w:spacing w:line="276" w:lineRule="auto"/>
              <w:rPr>
                <w:rFonts w:cs="Arial"/>
                <w:sz w:val="22"/>
                <w:lang w:val="en-US"/>
              </w:rPr>
            </w:pPr>
          </w:p>
          <w:p w14:paraId="31B47D56" w14:textId="77777777" w:rsidR="00C07856" w:rsidRDefault="00C07856" w:rsidP="00911548">
            <w:pPr>
              <w:widowControl w:val="0"/>
              <w:autoSpaceDE w:val="0"/>
              <w:autoSpaceDN w:val="0"/>
              <w:adjustRightInd w:val="0"/>
              <w:spacing w:line="276" w:lineRule="auto"/>
              <w:rPr>
                <w:rFonts w:cs="Arial"/>
                <w:sz w:val="22"/>
                <w:lang w:val="en-US"/>
              </w:rPr>
            </w:pPr>
            <w:r>
              <w:rPr>
                <w:rFonts w:cs="Arial"/>
                <w:sz w:val="22"/>
                <w:lang w:val="en-US"/>
              </w:rPr>
              <w:t>Emma Overton</w:t>
            </w:r>
          </w:p>
          <w:p w14:paraId="743927E0" w14:textId="77777777" w:rsidR="00C07856" w:rsidRPr="00241851" w:rsidRDefault="00C07856" w:rsidP="00911548">
            <w:pPr>
              <w:widowControl w:val="0"/>
              <w:autoSpaceDE w:val="0"/>
              <w:autoSpaceDN w:val="0"/>
              <w:adjustRightInd w:val="0"/>
              <w:spacing w:line="276" w:lineRule="auto"/>
              <w:rPr>
                <w:rFonts w:cs="Arial"/>
                <w:sz w:val="22"/>
                <w:lang w:val="en-US"/>
              </w:rPr>
            </w:pPr>
            <w:r>
              <w:rPr>
                <w:rFonts w:cs="Arial"/>
                <w:sz w:val="22"/>
                <w:lang w:val="en-US"/>
              </w:rPr>
              <w:t xml:space="preserve">Policy and Practice Development Lead </w:t>
            </w:r>
          </w:p>
        </w:tc>
      </w:tr>
      <w:tr w:rsidR="00126A6F" w:rsidRPr="00241851" w14:paraId="420FDDA1" w14:textId="77777777" w:rsidTr="009B5E75">
        <w:tc>
          <w:tcPr>
            <w:tcW w:w="2529" w:type="pct"/>
            <w:hideMark/>
          </w:tcPr>
          <w:p w14:paraId="7115E1E3" w14:textId="77777777" w:rsidR="00126A6F" w:rsidRPr="00241851" w:rsidRDefault="00126A6F" w:rsidP="00911548">
            <w:pPr>
              <w:widowControl w:val="0"/>
              <w:autoSpaceDE w:val="0"/>
              <w:autoSpaceDN w:val="0"/>
              <w:adjustRightInd w:val="0"/>
              <w:spacing w:line="276" w:lineRule="auto"/>
              <w:rPr>
                <w:rFonts w:cs="Arial"/>
                <w:b/>
                <w:sz w:val="22"/>
                <w:lang w:val="en-US"/>
              </w:rPr>
            </w:pPr>
            <w:r w:rsidRPr="00241851">
              <w:rPr>
                <w:rFonts w:cs="Arial"/>
                <w:b/>
                <w:sz w:val="22"/>
                <w:lang w:val="en-US"/>
              </w:rPr>
              <w:t>Version No:</w:t>
            </w:r>
          </w:p>
        </w:tc>
        <w:tc>
          <w:tcPr>
            <w:tcW w:w="2471" w:type="pct"/>
          </w:tcPr>
          <w:p w14:paraId="6F87A69E" w14:textId="6C46D31B" w:rsidR="00126A6F" w:rsidRPr="00241851" w:rsidRDefault="00C07856" w:rsidP="00911548">
            <w:pPr>
              <w:widowControl w:val="0"/>
              <w:autoSpaceDE w:val="0"/>
              <w:autoSpaceDN w:val="0"/>
              <w:adjustRightInd w:val="0"/>
              <w:spacing w:line="276" w:lineRule="auto"/>
              <w:rPr>
                <w:rFonts w:cs="Arial"/>
                <w:sz w:val="22"/>
                <w:lang w:val="en-US"/>
              </w:rPr>
            </w:pPr>
            <w:r>
              <w:rPr>
                <w:rFonts w:cs="Arial"/>
                <w:sz w:val="22"/>
                <w:lang w:val="en-US"/>
              </w:rPr>
              <w:t>V</w:t>
            </w:r>
            <w:r w:rsidR="00573942">
              <w:rPr>
                <w:rFonts w:cs="Arial"/>
                <w:sz w:val="22"/>
                <w:lang w:val="en-US"/>
              </w:rPr>
              <w:t>2</w:t>
            </w:r>
            <w:r w:rsidR="00EA4B88">
              <w:rPr>
                <w:rFonts w:cs="Arial"/>
                <w:sz w:val="22"/>
                <w:lang w:val="en-US"/>
              </w:rPr>
              <w:t xml:space="preserve"> (202</w:t>
            </w:r>
            <w:r w:rsidR="00563FDF">
              <w:rPr>
                <w:rFonts w:cs="Arial"/>
                <w:sz w:val="22"/>
                <w:lang w:val="en-US"/>
              </w:rPr>
              <w:t>3</w:t>
            </w:r>
            <w:r w:rsidR="00EA4B88">
              <w:rPr>
                <w:rFonts w:cs="Arial"/>
                <w:sz w:val="22"/>
                <w:lang w:val="en-US"/>
              </w:rPr>
              <w:t>/2</w:t>
            </w:r>
            <w:r w:rsidR="00573942">
              <w:rPr>
                <w:rFonts w:cs="Arial"/>
                <w:sz w:val="22"/>
                <w:lang w:val="en-US"/>
              </w:rPr>
              <w:t>6</w:t>
            </w:r>
            <w:r w:rsidR="00EA4B88">
              <w:rPr>
                <w:rFonts w:cs="Arial"/>
                <w:sz w:val="22"/>
                <w:lang w:val="en-US"/>
              </w:rPr>
              <w:t>)</w:t>
            </w:r>
          </w:p>
        </w:tc>
      </w:tr>
      <w:tr w:rsidR="00126A6F" w:rsidRPr="00241851" w14:paraId="7C048E8A" w14:textId="77777777" w:rsidTr="009B5E75">
        <w:tc>
          <w:tcPr>
            <w:tcW w:w="2529" w:type="pct"/>
            <w:hideMark/>
          </w:tcPr>
          <w:p w14:paraId="75B6486B" w14:textId="77777777" w:rsidR="00126A6F" w:rsidRPr="00241851" w:rsidRDefault="00126A6F" w:rsidP="00911548">
            <w:pPr>
              <w:widowControl w:val="0"/>
              <w:autoSpaceDE w:val="0"/>
              <w:autoSpaceDN w:val="0"/>
              <w:adjustRightInd w:val="0"/>
              <w:spacing w:line="276" w:lineRule="auto"/>
              <w:rPr>
                <w:rFonts w:cs="Arial"/>
                <w:b/>
                <w:sz w:val="22"/>
                <w:lang w:val="en-US"/>
              </w:rPr>
            </w:pPr>
            <w:r>
              <w:rPr>
                <w:rFonts w:cs="Arial"/>
                <w:b/>
                <w:sz w:val="22"/>
                <w:lang w:val="en-US"/>
              </w:rPr>
              <w:t>Latest Version Issued:</w:t>
            </w:r>
          </w:p>
        </w:tc>
        <w:tc>
          <w:tcPr>
            <w:tcW w:w="2471" w:type="pct"/>
          </w:tcPr>
          <w:p w14:paraId="6D053664" w14:textId="50EB2E52" w:rsidR="00126A6F" w:rsidRPr="00241851" w:rsidRDefault="006C262C" w:rsidP="00911548">
            <w:pPr>
              <w:widowControl w:val="0"/>
              <w:autoSpaceDE w:val="0"/>
              <w:autoSpaceDN w:val="0"/>
              <w:adjustRightInd w:val="0"/>
              <w:spacing w:line="276" w:lineRule="auto"/>
              <w:rPr>
                <w:rFonts w:cs="Arial"/>
                <w:sz w:val="22"/>
                <w:lang w:val="en-US"/>
              </w:rPr>
            </w:pPr>
            <w:r>
              <w:rPr>
                <w:rFonts w:cs="Arial"/>
                <w:sz w:val="22"/>
                <w:lang w:val="en-US"/>
              </w:rPr>
              <w:t>September</w:t>
            </w:r>
            <w:r w:rsidR="00573942">
              <w:rPr>
                <w:rFonts w:cs="Arial"/>
                <w:sz w:val="22"/>
                <w:lang w:val="en-US"/>
              </w:rPr>
              <w:t xml:space="preserve"> </w:t>
            </w:r>
            <w:r w:rsidR="00C07856">
              <w:rPr>
                <w:rFonts w:cs="Arial"/>
                <w:sz w:val="22"/>
                <w:lang w:val="en-US"/>
              </w:rPr>
              <w:t>202</w:t>
            </w:r>
            <w:r w:rsidR="00612326">
              <w:rPr>
                <w:rFonts w:cs="Arial"/>
                <w:sz w:val="22"/>
                <w:lang w:val="en-US"/>
              </w:rPr>
              <w:t>3</w:t>
            </w:r>
          </w:p>
        </w:tc>
      </w:tr>
      <w:tr w:rsidR="00126A6F" w:rsidRPr="00241851" w14:paraId="77ADA992" w14:textId="77777777" w:rsidTr="009B5E75">
        <w:tc>
          <w:tcPr>
            <w:tcW w:w="2529" w:type="pct"/>
            <w:hideMark/>
          </w:tcPr>
          <w:p w14:paraId="55DD39D8" w14:textId="77777777" w:rsidR="00126A6F" w:rsidRPr="00241851" w:rsidRDefault="00126A6F" w:rsidP="00911548">
            <w:pPr>
              <w:widowControl w:val="0"/>
              <w:autoSpaceDE w:val="0"/>
              <w:autoSpaceDN w:val="0"/>
              <w:adjustRightInd w:val="0"/>
              <w:spacing w:line="276" w:lineRule="auto"/>
              <w:rPr>
                <w:rFonts w:cs="Arial"/>
                <w:b/>
                <w:sz w:val="22"/>
                <w:lang w:val="en-US"/>
              </w:rPr>
            </w:pPr>
            <w:r w:rsidRPr="00241851">
              <w:rPr>
                <w:rFonts w:cs="Arial"/>
                <w:b/>
                <w:sz w:val="22"/>
                <w:lang w:val="en-US"/>
              </w:rPr>
              <w:t>Supersedes:</w:t>
            </w:r>
          </w:p>
        </w:tc>
        <w:tc>
          <w:tcPr>
            <w:tcW w:w="2471" w:type="pct"/>
          </w:tcPr>
          <w:p w14:paraId="2300FB19" w14:textId="477B687A" w:rsidR="00126A6F" w:rsidRPr="00241851" w:rsidRDefault="00C07856" w:rsidP="00911548">
            <w:pPr>
              <w:keepNext/>
              <w:widowControl w:val="0"/>
              <w:spacing w:after="100"/>
              <w:outlineLvl w:val="3"/>
              <w:rPr>
                <w:rFonts w:cs="Arial"/>
                <w:sz w:val="22"/>
                <w:lang w:val="en-US"/>
              </w:rPr>
            </w:pPr>
            <w:r>
              <w:rPr>
                <w:rFonts w:cs="Arial"/>
                <w:sz w:val="22"/>
                <w:lang w:val="en-US"/>
              </w:rPr>
              <w:t xml:space="preserve">All previous </w:t>
            </w:r>
            <w:r w:rsidR="00573942">
              <w:rPr>
                <w:rFonts w:cs="Arial"/>
                <w:sz w:val="22"/>
                <w:lang w:val="en-US"/>
              </w:rPr>
              <w:t>deferred payment agreement</w:t>
            </w:r>
            <w:r>
              <w:rPr>
                <w:rFonts w:cs="Arial"/>
                <w:bCs/>
                <w:sz w:val="22"/>
                <w:lang w:val="en-US"/>
              </w:rPr>
              <w:t xml:space="preserve"> policies</w:t>
            </w:r>
          </w:p>
        </w:tc>
      </w:tr>
      <w:tr w:rsidR="00126A6F" w:rsidRPr="00241851" w14:paraId="108E80F7" w14:textId="77777777" w:rsidTr="009B5E75">
        <w:tc>
          <w:tcPr>
            <w:tcW w:w="2529" w:type="pct"/>
          </w:tcPr>
          <w:p w14:paraId="5C4F4EC8" w14:textId="77777777" w:rsidR="00126A6F" w:rsidRPr="00241851" w:rsidRDefault="00126A6F" w:rsidP="00D94765">
            <w:pPr>
              <w:spacing w:line="276" w:lineRule="auto"/>
              <w:rPr>
                <w:rFonts w:cs="Arial"/>
                <w:b/>
                <w:sz w:val="22"/>
                <w:lang w:val="en-US"/>
              </w:rPr>
            </w:pPr>
            <w:r w:rsidRPr="00241851">
              <w:rPr>
                <w:rFonts w:cs="Arial"/>
                <w:b/>
                <w:sz w:val="22"/>
                <w:lang w:val="en-US"/>
              </w:rPr>
              <w:t>Date of Next Review:</w:t>
            </w:r>
          </w:p>
        </w:tc>
        <w:tc>
          <w:tcPr>
            <w:tcW w:w="2471" w:type="pct"/>
          </w:tcPr>
          <w:p w14:paraId="698E3B86" w14:textId="565C599B" w:rsidR="00126A6F" w:rsidRPr="00241851" w:rsidRDefault="00C07856" w:rsidP="00911548">
            <w:pPr>
              <w:pStyle w:val="Default"/>
              <w:rPr>
                <w:rFonts w:ascii="Arial" w:hAnsi="Arial" w:cs="Arial"/>
                <w:sz w:val="22"/>
                <w:szCs w:val="22"/>
                <w:lang w:val="en-US"/>
              </w:rPr>
            </w:pPr>
            <w:r>
              <w:rPr>
                <w:rFonts w:ascii="Arial" w:hAnsi="Arial" w:cs="Arial"/>
                <w:sz w:val="22"/>
                <w:szCs w:val="22"/>
                <w:lang w:val="en-US"/>
              </w:rPr>
              <w:t>March 202</w:t>
            </w:r>
            <w:r w:rsidR="00573942">
              <w:rPr>
                <w:rFonts w:ascii="Arial" w:hAnsi="Arial" w:cs="Arial"/>
                <w:sz w:val="22"/>
                <w:szCs w:val="22"/>
                <w:lang w:val="en-US"/>
              </w:rPr>
              <w:t>6</w:t>
            </w:r>
          </w:p>
        </w:tc>
      </w:tr>
    </w:tbl>
    <w:p w14:paraId="45F62BD1" w14:textId="77777777" w:rsidR="00D94765" w:rsidRDefault="00D94765">
      <w:pPr>
        <w:sectPr w:rsidR="00D94765" w:rsidSect="00126A6F">
          <w:type w:val="continuous"/>
          <w:pgSz w:w="11906" w:h="16838"/>
          <w:pgMar w:top="1440" w:right="1440" w:bottom="1440" w:left="1440" w:header="708" w:footer="708" w:gutter="0"/>
          <w:cols w:space="708"/>
          <w:docGrid w:linePitch="360"/>
        </w:sectPr>
      </w:pPr>
    </w:p>
    <w:p w14:paraId="0FFBD196" w14:textId="77777777" w:rsidR="00D94765" w:rsidRPr="00D94765" w:rsidRDefault="00D94765" w:rsidP="00D94765">
      <w:pPr>
        <w:pStyle w:val="TOC1"/>
      </w:pPr>
      <w:bookmarkStart w:id="0" w:name="_Toc63254277"/>
      <w:r w:rsidRPr="00D94765">
        <w:t>Index</w:t>
      </w:r>
    </w:p>
    <w:p w14:paraId="15F04438" w14:textId="0EA7F74F" w:rsidR="001F2A32" w:rsidRDefault="0024108B">
      <w:pPr>
        <w:pStyle w:val="TOC1"/>
        <w:tabs>
          <w:tab w:val="left" w:pos="480"/>
        </w:tabs>
        <w:rPr>
          <w:rFonts w:asciiTheme="minorHAnsi" w:eastAsiaTheme="minorEastAsia" w:hAnsiTheme="minorHAnsi"/>
          <w:b w:val="0"/>
          <w:bCs w:val="0"/>
          <w:noProof/>
          <w:kern w:val="2"/>
          <w:sz w:val="22"/>
          <w:lang w:eastAsia="en-GB"/>
          <w14:ligatures w14:val="standardContextual"/>
        </w:rPr>
      </w:pPr>
      <w:r>
        <w:fldChar w:fldCharType="begin"/>
      </w:r>
      <w:r>
        <w:instrText xml:space="preserve"> TOC \h \z \u \t "Heading 2,1,Heading 3,2,Heading 4,3" </w:instrText>
      </w:r>
      <w:r>
        <w:fldChar w:fldCharType="separate"/>
      </w:r>
      <w:hyperlink w:anchor="_Toc146189039" w:history="1">
        <w:r w:rsidR="001F2A32" w:rsidRPr="00974569">
          <w:rPr>
            <w:rStyle w:val="Hyperlink"/>
            <w:noProof/>
          </w:rPr>
          <w:t>1</w:t>
        </w:r>
        <w:r w:rsidR="001F2A32">
          <w:rPr>
            <w:rFonts w:asciiTheme="minorHAnsi" w:eastAsiaTheme="minorEastAsia" w:hAnsiTheme="minorHAnsi"/>
            <w:b w:val="0"/>
            <w:bCs w:val="0"/>
            <w:noProof/>
            <w:kern w:val="2"/>
            <w:sz w:val="22"/>
            <w:lang w:eastAsia="en-GB"/>
            <w14:ligatures w14:val="standardContextual"/>
          </w:rPr>
          <w:tab/>
        </w:r>
        <w:r w:rsidR="001F2A32" w:rsidRPr="00974569">
          <w:rPr>
            <w:rStyle w:val="Hyperlink"/>
            <w:noProof/>
          </w:rPr>
          <w:t>Introduction</w:t>
        </w:r>
        <w:r w:rsidR="001F2A32">
          <w:rPr>
            <w:noProof/>
            <w:webHidden/>
          </w:rPr>
          <w:tab/>
        </w:r>
        <w:r w:rsidR="001F2A32">
          <w:rPr>
            <w:noProof/>
            <w:webHidden/>
          </w:rPr>
          <w:fldChar w:fldCharType="begin"/>
        </w:r>
        <w:r w:rsidR="001F2A32">
          <w:rPr>
            <w:noProof/>
            <w:webHidden/>
          </w:rPr>
          <w:instrText xml:space="preserve"> PAGEREF _Toc146189039 \h </w:instrText>
        </w:r>
        <w:r w:rsidR="001F2A32">
          <w:rPr>
            <w:noProof/>
            <w:webHidden/>
          </w:rPr>
        </w:r>
        <w:r w:rsidR="001F2A32">
          <w:rPr>
            <w:noProof/>
            <w:webHidden/>
          </w:rPr>
          <w:fldChar w:fldCharType="separate"/>
        </w:r>
        <w:r w:rsidR="001F2A32">
          <w:rPr>
            <w:noProof/>
            <w:webHidden/>
          </w:rPr>
          <w:t>3</w:t>
        </w:r>
        <w:r w:rsidR="001F2A32">
          <w:rPr>
            <w:noProof/>
            <w:webHidden/>
          </w:rPr>
          <w:fldChar w:fldCharType="end"/>
        </w:r>
      </w:hyperlink>
    </w:p>
    <w:p w14:paraId="3D75DF9A" w14:textId="123FDE48" w:rsidR="001F2A32" w:rsidRDefault="001F2A32">
      <w:pPr>
        <w:pStyle w:val="TOC2"/>
        <w:tabs>
          <w:tab w:val="right" w:leader="dot" w:pos="9016"/>
        </w:tabs>
        <w:rPr>
          <w:rFonts w:asciiTheme="minorHAnsi" w:eastAsiaTheme="minorEastAsia" w:hAnsiTheme="minorHAnsi"/>
          <w:noProof/>
          <w:kern w:val="2"/>
          <w:sz w:val="22"/>
          <w:lang w:eastAsia="en-GB"/>
          <w14:ligatures w14:val="standardContextual"/>
        </w:rPr>
      </w:pPr>
      <w:hyperlink w:anchor="_Toc146189040" w:history="1">
        <w:r w:rsidRPr="00974569">
          <w:rPr>
            <w:rStyle w:val="Hyperlink"/>
            <w:noProof/>
            <w:lang w:val="en-US"/>
          </w:rPr>
          <w:t>1.1 Policy Purpose</w:t>
        </w:r>
        <w:r>
          <w:rPr>
            <w:noProof/>
            <w:webHidden/>
          </w:rPr>
          <w:tab/>
        </w:r>
        <w:r>
          <w:rPr>
            <w:noProof/>
            <w:webHidden/>
          </w:rPr>
          <w:fldChar w:fldCharType="begin"/>
        </w:r>
        <w:r>
          <w:rPr>
            <w:noProof/>
            <w:webHidden/>
          </w:rPr>
          <w:instrText xml:space="preserve"> PAGEREF _Toc146189040 \h </w:instrText>
        </w:r>
        <w:r>
          <w:rPr>
            <w:noProof/>
            <w:webHidden/>
          </w:rPr>
        </w:r>
        <w:r>
          <w:rPr>
            <w:noProof/>
            <w:webHidden/>
          </w:rPr>
          <w:fldChar w:fldCharType="separate"/>
        </w:r>
        <w:r>
          <w:rPr>
            <w:noProof/>
            <w:webHidden/>
          </w:rPr>
          <w:t>3</w:t>
        </w:r>
        <w:r>
          <w:rPr>
            <w:noProof/>
            <w:webHidden/>
          </w:rPr>
          <w:fldChar w:fldCharType="end"/>
        </w:r>
      </w:hyperlink>
    </w:p>
    <w:p w14:paraId="6E0FE6D1" w14:textId="1EDE5C59" w:rsidR="001F2A32" w:rsidRDefault="001F2A32">
      <w:pPr>
        <w:pStyle w:val="TOC2"/>
        <w:tabs>
          <w:tab w:val="right" w:leader="dot" w:pos="9016"/>
        </w:tabs>
        <w:rPr>
          <w:rFonts w:asciiTheme="minorHAnsi" w:eastAsiaTheme="minorEastAsia" w:hAnsiTheme="minorHAnsi"/>
          <w:noProof/>
          <w:kern w:val="2"/>
          <w:sz w:val="22"/>
          <w:lang w:eastAsia="en-GB"/>
          <w14:ligatures w14:val="standardContextual"/>
        </w:rPr>
      </w:pPr>
      <w:hyperlink w:anchor="_Toc146189041" w:history="1">
        <w:r w:rsidRPr="00974569">
          <w:rPr>
            <w:rStyle w:val="Hyperlink"/>
            <w:rFonts w:eastAsia="Times New Roman"/>
            <w:noProof/>
            <w:lang w:eastAsia="en-GB"/>
          </w:rPr>
          <w:t>1.2 Policy Application</w:t>
        </w:r>
        <w:r>
          <w:rPr>
            <w:noProof/>
            <w:webHidden/>
          </w:rPr>
          <w:tab/>
        </w:r>
        <w:r>
          <w:rPr>
            <w:noProof/>
            <w:webHidden/>
          </w:rPr>
          <w:fldChar w:fldCharType="begin"/>
        </w:r>
        <w:r>
          <w:rPr>
            <w:noProof/>
            <w:webHidden/>
          </w:rPr>
          <w:instrText xml:space="preserve"> PAGEREF _Toc146189041 \h </w:instrText>
        </w:r>
        <w:r>
          <w:rPr>
            <w:noProof/>
            <w:webHidden/>
          </w:rPr>
        </w:r>
        <w:r>
          <w:rPr>
            <w:noProof/>
            <w:webHidden/>
          </w:rPr>
          <w:fldChar w:fldCharType="separate"/>
        </w:r>
        <w:r>
          <w:rPr>
            <w:noProof/>
            <w:webHidden/>
          </w:rPr>
          <w:t>3</w:t>
        </w:r>
        <w:r>
          <w:rPr>
            <w:noProof/>
            <w:webHidden/>
          </w:rPr>
          <w:fldChar w:fldCharType="end"/>
        </w:r>
      </w:hyperlink>
    </w:p>
    <w:p w14:paraId="7316D1E4" w14:textId="33565AB1" w:rsidR="001F2A32" w:rsidRDefault="001F2A32">
      <w:pPr>
        <w:pStyle w:val="TOC1"/>
        <w:tabs>
          <w:tab w:val="left" w:pos="480"/>
        </w:tabs>
        <w:rPr>
          <w:rFonts w:asciiTheme="minorHAnsi" w:eastAsiaTheme="minorEastAsia" w:hAnsiTheme="minorHAnsi"/>
          <w:b w:val="0"/>
          <w:bCs w:val="0"/>
          <w:noProof/>
          <w:kern w:val="2"/>
          <w:sz w:val="22"/>
          <w:lang w:eastAsia="en-GB"/>
          <w14:ligatures w14:val="standardContextual"/>
        </w:rPr>
      </w:pPr>
      <w:hyperlink w:anchor="_Toc146189042" w:history="1">
        <w:r w:rsidRPr="00974569">
          <w:rPr>
            <w:rStyle w:val="Hyperlink"/>
            <w:noProof/>
          </w:rPr>
          <w:t>2</w:t>
        </w:r>
        <w:r>
          <w:rPr>
            <w:rFonts w:asciiTheme="minorHAnsi" w:eastAsiaTheme="minorEastAsia" w:hAnsiTheme="minorHAnsi"/>
            <w:b w:val="0"/>
            <w:bCs w:val="0"/>
            <w:noProof/>
            <w:kern w:val="2"/>
            <w:sz w:val="22"/>
            <w:lang w:eastAsia="en-GB"/>
            <w14:ligatures w14:val="standardContextual"/>
          </w:rPr>
          <w:tab/>
        </w:r>
        <w:r w:rsidRPr="00974569">
          <w:rPr>
            <w:rStyle w:val="Hyperlink"/>
            <w:noProof/>
          </w:rPr>
          <w:t>Scope and definitions</w:t>
        </w:r>
        <w:r>
          <w:rPr>
            <w:noProof/>
            <w:webHidden/>
          </w:rPr>
          <w:tab/>
        </w:r>
        <w:r>
          <w:rPr>
            <w:noProof/>
            <w:webHidden/>
          </w:rPr>
          <w:fldChar w:fldCharType="begin"/>
        </w:r>
        <w:r>
          <w:rPr>
            <w:noProof/>
            <w:webHidden/>
          </w:rPr>
          <w:instrText xml:space="preserve"> PAGEREF _Toc146189042 \h </w:instrText>
        </w:r>
        <w:r>
          <w:rPr>
            <w:noProof/>
            <w:webHidden/>
          </w:rPr>
        </w:r>
        <w:r>
          <w:rPr>
            <w:noProof/>
            <w:webHidden/>
          </w:rPr>
          <w:fldChar w:fldCharType="separate"/>
        </w:r>
        <w:r>
          <w:rPr>
            <w:noProof/>
            <w:webHidden/>
          </w:rPr>
          <w:t>3</w:t>
        </w:r>
        <w:r>
          <w:rPr>
            <w:noProof/>
            <w:webHidden/>
          </w:rPr>
          <w:fldChar w:fldCharType="end"/>
        </w:r>
      </w:hyperlink>
    </w:p>
    <w:p w14:paraId="4D7EFC4E" w14:textId="321B1A80" w:rsidR="001F2A32" w:rsidRDefault="001F2A32">
      <w:pPr>
        <w:pStyle w:val="TOC2"/>
        <w:tabs>
          <w:tab w:val="right" w:leader="dot" w:pos="9016"/>
        </w:tabs>
        <w:rPr>
          <w:rFonts w:asciiTheme="minorHAnsi" w:eastAsiaTheme="minorEastAsia" w:hAnsiTheme="minorHAnsi"/>
          <w:noProof/>
          <w:kern w:val="2"/>
          <w:sz w:val="22"/>
          <w:lang w:eastAsia="en-GB"/>
          <w14:ligatures w14:val="standardContextual"/>
        </w:rPr>
      </w:pPr>
      <w:hyperlink w:anchor="_Toc146189043" w:history="1">
        <w:r w:rsidRPr="00974569">
          <w:rPr>
            <w:rStyle w:val="Hyperlink"/>
            <w:noProof/>
          </w:rPr>
          <w:t>2.1 Scope</w:t>
        </w:r>
        <w:r>
          <w:rPr>
            <w:noProof/>
            <w:webHidden/>
          </w:rPr>
          <w:tab/>
        </w:r>
        <w:r>
          <w:rPr>
            <w:noProof/>
            <w:webHidden/>
          </w:rPr>
          <w:fldChar w:fldCharType="begin"/>
        </w:r>
        <w:r>
          <w:rPr>
            <w:noProof/>
            <w:webHidden/>
          </w:rPr>
          <w:instrText xml:space="preserve"> PAGEREF _Toc146189043 \h </w:instrText>
        </w:r>
        <w:r>
          <w:rPr>
            <w:noProof/>
            <w:webHidden/>
          </w:rPr>
        </w:r>
        <w:r>
          <w:rPr>
            <w:noProof/>
            <w:webHidden/>
          </w:rPr>
          <w:fldChar w:fldCharType="separate"/>
        </w:r>
        <w:r>
          <w:rPr>
            <w:noProof/>
            <w:webHidden/>
          </w:rPr>
          <w:t>3</w:t>
        </w:r>
        <w:r>
          <w:rPr>
            <w:noProof/>
            <w:webHidden/>
          </w:rPr>
          <w:fldChar w:fldCharType="end"/>
        </w:r>
      </w:hyperlink>
    </w:p>
    <w:p w14:paraId="1BA22C82" w14:textId="7ADE61EA" w:rsidR="001F2A32" w:rsidRDefault="001F2A32">
      <w:pPr>
        <w:pStyle w:val="TOC2"/>
        <w:tabs>
          <w:tab w:val="left" w:pos="880"/>
          <w:tab w:val="right" w:leader="dot" w:pos="9016"/>
        </w:tabs>
        <w:rPr>
          <w:rFonts w:asciiTheme="minorHAnsi" w:eastAsiaTheme="minorEastAsia" w:hAnsiTheme="minorHAnsi"/>
          <w:noProof/>
          <w:kern w:val="2"/>
          <w:sz w:val="22"/>
          <w:lang w:eastAsia="en-GB"/>
          <w14:ligatures w14:val="standardContextual"/>
        </w:rPr>
      </w:pPr>
      <w:hyperlink w:anchor="_Toc146189044" w:history="1">
        <w:r w:rsidRPr="00974569">
          <w:rPr>
            <w:rStyle w:val="Hyperlink"/>
            <w:noProof/>
          </w:rPr>
          <w:t>2.2</w:t>
        </w:r>
        <w:r>
          <w:rPr>
            <w:rFonts w:asciiTheme="minorHAnsi" w:eastAsiaTheme="minorEastAsia" w:hAnsiTheme="minorHAnsi"/>
            <w:noProof/>
            <w:kern w:val="2"/>
            <w:sz w:val="22"/>
            <w:lang w:eastAsia="en-GB"/>
            <w14:ligatures w14:val="standardContextual"/>
          </w:rPr>
          <w:tab/>
        </w:r>
        <w:r w:rsidRPr="00974569">
          <w:rPr>
            <w:rStyle w:val="Hyperlink"/>
            <w:noProof/>
          </w:rPr>
          <w:t>Definitions</w:t>
        </w:r>
        <w:r>
          <w:rPr>
            <w:noProof/>
            <w:webHidden/>
          </w:rPr>
          <w:tab/>
        </w:r>
        <w:r>
          <w:rPr>
            <w:noProof/>
            <w:webHidden/>
          </w:rPr>
          <w:fldChar w:fldCharType="begin"/>
        </w:r>
        <w:r>
          <w:rPr>
            <w:noProof/>
            <w:webHidden/>
          </w:rPr>
          <w:instrText xml:space="preserve"> PAGEREF _Toc146189044 \h </w:instrText>
        </w:r>
        <w:r>
          <w:rPr>
            <w:noProof/>
            <w:webHidden/>
          </w:rPr>
        </w:r>
        <w:r>
          <w:rPr>
            <w:noProof/>
            <w:webHidden/>
          </w:rPr>
          <w:fldChar w:fldCharType="separate"/>
        </w:r>
        <w:r>
          <w:rPr>
            <w:noProof/>
            <w:webHidden/>
          </w:rPr>
          <w:t>4</w:t>
        </w:r>
        <w:r>
          <w:rPr>
            <w:noProof/>
            <w:webHidden/>
          </w:rPr>
          <w:fldChar w:fldCharType="end"/>
        </w:r>
      </w:hyperlink>
    </w:p>
    <w:p w14:paraId="3792277B" w14:textId="7C8BDABB" w:rsidR="001F2A32" w:rsidRDefault="001F2A32">
      <w:pPr>
        <w:pStyle w:val="TOC1"/>
        <w:tabs>
          <w:tab w:val="left" w:pos="480"/>
        </w:tabs>
        <w:rPr>
          <w:rFonts w:asciiTheme="minorHAnsi" w:eastAsiaTheme="minorEastAsia" w:hAnsiTheme="minorHAnsi"/>
          <w:b w:val="0"/>
          <w:bCs w:val="0"/>
          <w:noProof/>
          <w:kern w:val="2"/>
          <w:sz w:val="22"/>
          <w:lang w:eastAsia="en-GB"/>
          <w14:ligatures w14:val="standardContextual"/>
        </w:rPr>
      </w:pPr>
      <w:hyperlink w:anchor="_Toc146189045" w:history="1">
        <w:r w:rsidRPr="00974569">
          <w:rPr>
            <w:rStyle w:val="Hyperlink"/>
            <w:noProof/>
          </w:rPr>
          <w:t>3</w:t>
        </w:r>
        <w:r>
          <w:rPr>
            <w:rFonts w:asciiTheme="minorHAnsi" w:eastAsiaTheme="minorEastAsia" w:hAnsiTheme="minorHAnsi"/>
            <w:b w:val="0"/>
            <w:bCs w:val="0"/>
            <w:noProof/>
            <w:kern w:val="2"/>
            <w:sz w:val="22"/>
            <w:lang w:eastAsia="en-GB"/>
            <w14:ligatures w14:val="standardContextual"/>
          </w:rPr>
          <w:tab/>
        </w:r>
        <w:r w:rsidRPr="00974569">
          <w:rPr>
            <w:rStyle w:val="Hyperlink"/>
            <w:noProof/>
          </w:rPr>
          <w:t>The Legal Context</w:t>
        </w:r>
        <w:r>
          <w:rPr>
            <w:noProof/>
            <w:webHidden/>
          </w:rPr>
          <w:tab/>
        </w:r>
        <w:r>
          <w:rPr>
            <w:noProof/>
            <w:webHidden/>
          </w:rPr>
          <w:fldChar w:fldCharType="begin"/>
        </w:r>
        <w:r>
          <w:rPr>
            <w:noProof/>
            <w:webHidden/>
          </w:rPr>
          <w:instrText xml:space="preserve"> PAGEREF _Toc146189045 \h </w:instrText>
        </w:r>
        <w:r>
          <w:rPr>
            <w:noProof/>
            <w:webHidden/>
          </w:rPr>
        </w:r>
        <w:r>
          <w:rPr>
            <w:noProof/>
            <w:webHidden/>
          </w:rPr>
          <w:fldChar w:fldCharType="separate"/>
        </w:r>
        <w:r>
          <w:rPr>
            <w:noProof/>
            <w:webHidden/>
          </w:rPr>
          <w:t>4</w:t>
        </w:r>
        <w:r>
          <w:rPr>
            <w:noProof/>
            <w:webHidden/>
          </w:rPr>
          <w:fldChar w:fldCharType="end"/>
        </w:r>
      </w:hyperlink>
    </w:p>
    <w:p w14:paraId="7D01729F" w14:textId="5E070827" w:rsidR="001F2A32" w:rsidRDefault="001F2A32">
      <w:pPr>
        <w:pStyle w:val="TOC2"/>
        <w:tabs>
          <w:tab w:val="right" w:leader="dot" w:pos="9016"/>
        </w:tabs>
        <w:rPr>
          <w:rFonts w:asciiTheme="minorHAnsi" w:eastAsiaTheme="minorEastAsia" w:hAnsiTheme="minorHAnsi"/>
          <w:noProof/>
          <w:kern w:val="2"/>
          <w:sz w:val="22"/>
          <w:lang w:eastAsia="en-GB"/>
          <w14:ligatures w14:val="standardContextual"/>
        </w:rPr>
      </w:pPr>
      <w:hyperlink w:anchor="_Toc146189046" w:history="1">
        <w:r w:rsidRPr="00974569">
          <w:rPr>
            <w:rStyle w:val="Hyperlink"/>
            <w:noProof/>
          </w:rPr>
          <w:t>3.1 The Care Act 2014 (‘the Care Act’)</w:t>
        </w:r>
        <w:r>
          <w:rPr>
            <w:noProof/>
            <w:webHidden/>
          </w:rPr>
          <w:tab/>
        </w:r>
        <w:r>
          <w:rPr>
            <w:noProof/>
            <w:webHidden/>
          </w:rPr>
          <w:fldChar w:fldCharType="begin"/>
        </w:r>
        <w:r>
          <w:rPr>
            <w:noProof/>
            <w:webHidden/>
          </w:rPr>
          <w:instrText xml:space="preserve"> PAGEREF _Toc146189046 \h </w:instrText>
        </w:r>
        <w:r>
          <w:rPr>
            <w:noProof/>
            <w:webHidden/>
          </w:rPr>
        </w:r>
        <w:r>
          <w:rPr>
            <w:noProof/>
            <w:webHidden/>
          </w:rPr>
          <w:fldChar w:fldCharType="separate"/>
        </w:r>
        <w:r>
          <w:rPr>
            <w:noProof/>
            <w:webHidden/>
          </w:rPr>
          <w:t>4</w:t>
        </w:r>
        <w:r>
          <w:rPr>
            <w:noProof/>
            <w:webHidden/>
          </w:rPr>
          <w:fldChar w:fldCharType="end"/>
        </w:r>
      </w:hyperlink>
    </w:p>
    <w:p w14:paraId="3B972EE7" w14:textId="49F7E21B" w:rsidR="001F2A32" w:rsidRDefault="001F2A32">
      <w:pPr>
        <w:pStyle w:val="TOC2"/>
        <w:tabs>
          <w:tab w:val="right" w:leader="dot" w:pos="9016"/>
        </w:tabs>
        <w:rPr>
          <w:rFonts w:asciiTheme="minorHAnsi" w:eastAsiaTheme="minorEastAsia" w:hAnsiTheme="minorHAnsi"/>
          <w:noProof/>
          <w:kern w:val="2"/>
          <w:sz w:val="22"/>
          <w:lang w:eastAsia="en-GB"/>
          <w14:ligatures w14:val="standardContextual"/>
        </w:rPr>
      </w:pPr>
      <w:hyperlink w:anchor="_Toc146189047" w:history="1">
        <w:r w:rsidRPr="00974569">
          <w:rPr>
            <w:rStyle w:val="Hyperlink"/>
            <w:noProof/>
          </w:rPr>
          <w:t>3.2 The Mental Capacity Act 2005 (MCA)</w:t>
        </w:r>
        <w:r>
          <w:rPr>
            <w:noProof/>
            <w:webHidden/>
          </w:rPr>
          <w:tab/>
        </w:r>
        <w:r>
          <w:rPr>
            <w:noProof/>
            <w:webHidden/>
          </w:rPr>
          <w:fldChar w:fldCharType="begin"/>
        </w:r>
        <w:r>
          <w:rPr>
            <w:noProof/>
            <w:webHidden/>
          </w:rPr>
          <w:instrText xml:space="preserve"> PAGEREF _Toc146189047 \h </w:instrText>
        </w:r>
        <w:r>
          <w:rPr>
            <w:noProof/>
            <w:webHidden/>
          </w:rPr>
        </w:r>
        <w:r>
          <w:rPr>
            <w:noProof/>
            <w:webHidden/>
          </w:rPr>
          <w:fldChar w:fldCharType="separate"/>
        </w:r>
        <w:r>
          <w:rPr>
            <w:noProof/>
            <w:webHidden/>
          </w:rPr>
          <w:t>5</w:t>
        </w:r>
        <w:r>
          <w:rPr>
            <w:noProof/>
            <w:webHidden/>
          </w:rPr>
          <w:fldChar w:fldCharType="end"/>
        </w:r>
      </w:hyperlink>
    </w:p>
    <w:p w14:paraId="31EF388C" w14:textId="4F3C9D74" w:rsidR="001F2A32" w:rsidRDefault="001F2A32">
      <w:pPr>
        <w:pStyle w:val="TOC3"/>
        <w:tabs>
          <w:tab w:val="right" w:leader="dot" w:pos="9016"/>
        </w:tabs>
        <w:rPr>
          <w:rFonts w:asciiTheme="minorHAnsi" w:eastAsiaTheme="minorEastAsia" w:hAnsiTheme="minorHAnsi"/>
          <w:noProof/>
          <w:kern w:val="2"/>
          <w:sz w:val="22"/>
          <w:lang w:eastAsia="en-GB"/>
          <w14:ligatures w14:val="standardContextual"/>
        </w:rPr>
      </w:pPr>
      <w:hyperlink w:anchor="_Toc146189048" w:history="1">
        <w:r w:rsidRPr="00974569">
          <w:rPr>
            <w:rStyle w:val="Hyperlink"/>
            <w:noProof/>
          </w:rPr>
          <w:t>3.2.1 adults lacking relevant capacity, with an appointed representative</w:t>
        </w:r>
        <w:r>
          <w:rPr>
            <w:noProof/>
            <w:webHidden/>
          </w:rPr>
          <w:tab/>
        </w:r>
        <w:r>
          <w:rPr>
            <w:noProof/>
            <w:webHidden/>
          </w:rPr>
          <w:fldChar w:fldCharType="begin"/>
        </w:r>
        <w:r>
          <w:rPr>
            <w:noProof/>
            <w:webHidden/>
          </w:rPr>
          <w:instrText xml:space="preserve"> PAGEREF _Toc146189048 \h </w:instrText>
        </w:r>
        <w:r>
          <w:rPr>
            <w:noProof/>
            <w:webHidden/>
          </w:rPr>
        </w:r>
        <w:r>
          <w:rPr>
            <w:noProof/>
            <w:webHidden/>
          </w:rPr>
          <w:fldChar w:fldCharType="separate"/>
        </w:r>
        <w:r>
          <w:rPr>
            <w:noProof/>
            <w:webHidden/>
          </w:rPr>
          <w:t>5</w:t>
        </w:r>
        <w:r>
          <w:rPr>
            <w:noProof/>
            <w:webHidden/>
          </w:rPr>
          <w:fldChar w:fldCharType="end"/>
        </w:r>
      </w:hyperlink>
    </w:p>
    <w:p w14:paraId="41592A87" w14:textId="7D5E4613" w:rsidR="001F2A32" w:rsidRDefault="001F2A32">
      <w:pPr>
        <w:pStyle w:val="TOC3"/>
        <w:tabs>
          <w:tab w:val="right" w:leader="dot" w:pos="9016"/>
        </w:tabs>
        <w:rPr>
          <w:rFonts w:asciiTheme="minorHAnsi" w:eastAsiaTheme="minorEastAsia" w:hAnsiTheme="minorHAnsi"/>
          <w:noProof/>
          <w:kern w:val="2"/>
          <w:sz w:val="22"/>
          <w:lang w:eastAsia="en-GB"/>
          <w14:ligatures w14:val="standardContextual"/>
        </w:rPr>
      </w:pPr>
      <w:hyperlink w:anchor="_Toc146189049" w:history="1">
        <w:r w:rsidRPr="00974569">
          <w:rPr>
            <w:rStyle w:val="Hyperlink"/>
            <w:noProof/>
          </w:rPr>
          <w:t>3.2.2 adults lacking relevant mental capacity, with no appointed representative</w:t>
        </w:r>
        <w:r>
          <w:rPr>
            <w:noProof/>
            <w:webHidden/>
          </w:rPr>
          <w:tab/>
        </w:r>
        <w:r>
          <w:rPr>
            <w:noProof/>
            <w:webHidden/>
          </w:rPr>
          <w:fldChar w:fldCharType="begin"/>
        </w:r>
        <w:r>
          <w:rPr>
            <w:noProof/>
            <w:webHidden/>
          </w:rPr>
          <w:instrText xml:space="preserve"> PAGEREF _Toc146189049 \h </w:instrText>
        </w:r>
        <w:r>
          <w:rPr>
            <w:noProof/>
            <w:webHidden/>
          </w:rPr>
        </w:r>
        <w:r>
          <w:rPr>
            <w:noProof/>
            <w:webHidden/>
          </w:rPr>
          <w:fldChar w:fldCharType="separate"/>
        </w:r>
        <w:r>
          <w:rPr>
            <w:noProof/>
            <w:webHidden/>
          </w:rPr>
          <w:t>5</w:t>
        </w:r>
        <w:r>
          <w:rPr>
            <w:noProof/>
            <w:webHidden/>
          </w:rPr>
          <w:fldChar w:fldCharType="end"/>
        </w:r>
      </w:hyperlink>
    </w:p>
    <w:p w14:paraId="14C14474" w14:textId="2FCEB0A7" w:rsidR="001F2A32" w:rsidRDefault="001F2A32">
      <w:pPr>
        <w:pStyle w:val="TOC3"/>
        <w:tabs>
          <w:tab w:val="right" w:leader="dot" w:pos="9016"/>
        </w:tabs>
        <w:rPr>
          <w:rFonts w:asciiTheme="minorHAnsi" w:eastAsiaTheme="minorEastAsia" w:hAnsiTheme="minorHAnsi"/>
          <w:noProof/>
          <w:kern w:val="2"/>
          <w:sz w:val="22"/>
          <w:lang w:eastAsia="en-GB"/>
          <w14:ligatures w14:val="standardContextual"/>
        </w:rPr>
      </w:pPr>
      <w:hyperlink w:anchor="_Toc146189050" w:history="1">
        <w:r w:rsidRPr="00974569">
          <w:rPr>
            <w:rStyle w:val="Hyperlink"/>
            <w:noProof/>
          </w:rPr>
          <w:t>3.3.3 adults who lose relevant mental capacity during the currency of a DPA</w:t>
        </w:r>
        <w:r>
          <w:rPr>
            <w:noProof/>
            <w:webHidden/>
          </w:rPr>
          <w:tab/>
        </w:r>
        <w:r>
          <w:rPr>
            <w:noProof/>
            <w:webHidden/>
          </w:rPr>
          <w:fldChar w:fldCharType="begin"/>
        </w:r>
        <w:r>
          <w:rPr>
            <w:noProof/>
            <w:webHidden/>
          </w:rPr>
          <w:instrText xml:space="preserve"> PAGEREF _Toc146189050 \h </w:instrText>
        </w:r>
        <w:r>
          <w:rPr>
            <w:noProof/>
            <w:webHidden/>
          </w:rPr>
        </w:r>
        <w:r>
          <w:rPr>
            <w:noProof/>
            <w:webHidden/>
          </w:rPr>
          <w:fldChar w:fldCharType="separate"/>
        </w:r>
        <w:r>
          <w:rPr>
            <w:noProof/>
            <w:webHidden/>
          </w:rPr>
          <w:t>5</w:t>
        </w:r>
        <w:r>
          <w:rPr>
            <w:noProof/>
            <w:webHidden/>
          </w:rPr>
          <w:fldChar w:fldCharType="end"/>
        </w:r>
      </w:hyperlink>
    </w:p>
    <w:p w14:paraId="556BCD96" w14:textId="5C1802C8" w:rsidR="001F2A32" w:rsidRDefault="001F2A32">
      <w:pPr>
        <w:pStyle w:val="TOC3"/>
        <w:tabs>
          <w:tab w:val="right" w:leader="dot" w:pos="9016"/>
        </w:tabs>
        <w:rPr>
          <w:rFonts w:asciiTheme="minorHAnsi" w:eastAsiaTheme="minorEastAsia" w:hAnsiTheme="minorHAnsi"/>
          <w:noProof/>
          <w:kern w:val="2"/>
          <w:sz w:val="22"/>
          <w:lang w:eastAsia="en-GB"/>
          <w14:ligatures w14:val="standardContextual"/>
        </w:rPr>
      </w:pPr>
      <w:hyperlink w:anchor="_Toc146189051" w:history="1">
        <w:r w:rsidRPr="00974569">
          <w:rPr>
            <w:rStyle w:val="Hyperlink"/>
            <w:noProof/>
          </w:rPr>
          <w:t>3.3.4 all adults who lack or may lack relevant mental capacity</w:t>
        </w:r>
        <w:r>
          <w:rPr>
            <w:noProof/>
            <w:webHidden/>
          </w:rPr>
          <w:tab/>
        </w:r>
        <w:r>
          <w:rPr>
            <w:noProof/>
            <w:webHidden/>
          </w:rPr>
          <w:fldChar w:fldCharType="begin"/>
        </w:r>
        <w:r>
          <w:rPr>
            <w:noProof/>
            <w:webHidden/>
          </w:rPr>
          <w:instrText xml:space="preserve"> PAGEREF _Toc146189051 \h </w:instrText>
        </w:r>
        <w:r>
          <w:rPr>
            <w:noProof/>
            <w:webHidden/>
          </w:rPr>
        </w:r>
        <w:r>
          <w:rPr>
            <w:noProof/>
            <w:webHidden/>
          </w:rPr>
          <w:fldChar w:fldCharType="separate"/>
        </w:r>
        <w:r>
          <w:rPr>
            <w:noProof/>
            <w:webHidden/>
          </w:rPr>
          <w:t>6</w:t>
        </w:r>
        <w:r>
          <w:rPr>
            <w:noProof/>
            <w:webHidden/>
          </w:rPr>
          <w:fldChar w:fldCharType="end"/>
        </w:r>
      </w:hyperlink>
    </w:p>
    <w:p w14:paraId="23BADD38" w14:textId="00E3EFC8" w:rsidR="001F2A32" w:rsidRDefault="001F2A32">
      <w:pPr>
        <w:pStyle w:val="TOC2"/>
        <w:tabs>
          <w:tab w:val="right" w:leader="dot" w:pos="9016"/>
        </w:tabs>
        <w:rPr>
          <w:rFonts w:asciiTheme="minorHAnsi" w:eastAsiaTheme="minorEastAsia" w:hAnsiTheme="minorHAnsi"/>
          <w:noProof/>
          <w:kern w:val="2"/>
          <w:sz w:val="22"/>
          <w:lang w:eastAsia="en-GB"/>
          <w14:ligatures w14:val="standardContextual"/>
        </w:rPr>
      </w:pPr>
      <w:hyperlink w:anchor="_Toc146189052" w:history="1">
        <w:r w:rsidRPr="00974569">
          <w:rPr>
            <w:rStyle w:val="Hyperlink"/>
            <w:noProof/>
          </w:rPr>
          <w:t>3.3 Public law principles in decision making</w:t>
        </w:r>
        <w:r>
          <w:rPr>
            <w:noProof/>
            <w:webHidden/>
          </w:rPr>
          <w:tab/>
        </w:r>
        <w:r>
          <w:rPr>
            <w:noProof/>
            <w:webHidden/>
          </w:rPr>
          <w:fldChar w:fldCharType="begin"/>
        </w:r>
        <w:r>
          <w:rPr>
            <w:noProof/>
            <w:webHidden/>
          </w:rPr>
          <w:instrText xml:space="preserve"> PAGEREF _Toc146189052 \h </w:instrText>
        </w:r>
        <w:r>
          <w:rPr>
            <w:noProof/>
            <w:webHidden/>
          </w:rPr>
        </w:r>
        <w:r>
          <w:rPr>
            <w:noProof/>
            <w:webHidden/>
          </w:rPr>
          <w:fldChar w:fldCharType="separate"/>
        </w:r>
        <w:r>
          <w:rPr>
            <w:noProof/>
            <w:webHidden/>
          </w:rPr>
          <w:t>6</w:t>
        </w:r>
        <w:r>
          <w:rPr>
            <w:noProof/>
            <w:webHidden/>
          </w:rPr>
          <w:fldChar w:fldCharType="end"/>
        </w:r>
      </w:hyperlink>
    </w:p>
    <w:p w14:paraId="52C56C22" w14:textId="513FD7D7" w:rsidR="001F2A32" w:rsidRDefault="001F2A32">
      <w:pPr>
        <w:pStyle w:val="TOC1"/>
        <w:tabs>
          <w:tab w:val="left" w:pos="480"/>
        </w:tabs>
        <w:rPr>
          <w:rFonts w:asciiTheme="minorHAnsi" w:eastAsiaTheme="minorEastAsia" w:hAnsiTheme="minorHAnsi"/>
          <w:b w:val="0"/>
          <w:bCs w:val="0"/>
          <w:noProof/>
          <w:kern w:val="2"/>
          <w:sz w:val="22"/>
          <w:lang w:eastAsia="en-GB"/>
          <w14:ligatures w14:val="standardContextual"/>
        </w:rPr>
      </w:pPr>
      <w:hyperlink w:anchor="_Toc146189053" w:history="1">
        <w:r w:rsidRPr="00974569">
          <w:rPr>
            <w:rStyle w:val="Hyperlink"/>
            <w:noProof/>
          </w:rPr>
          <w:t>4</w:t>
        </w:r>
        <w:r>
          <w:rPr>
            <w:rFonts w:asciiTheme="minorHAnsi" w:eastAsiaTheme="minorEastAsia" w:hAnsiTheme="minorHAnsi"/>
            <w:b w:val="0"/>
            <w:bCs w:val="0"/>
            <w:noProof/>
            <w:kern w:val="2"/>
            <w:sz w:val="22"/>
            <w:lang w:eastAsia="en-GB"/>
            <w14:ligatures w14:val="standardContextual"/>
          </w:rPr>
          <w:tab/>
        </w:r>
        <w:r w:rsidRPr="00974569">
          <w:rPr>
            <w:rStyle w:val="Hyperlink"/>
            <w:noProof/>
          </w:rPr>
          <w:t>Policy</w:t>
        </w:r>
        <w:r>
          <w:rPr>
            <w:noProof/>
            <w:webHidden/>
          </w:rPr>
          <w:tab/>
        </w:r>
        <w:r>
          <w:rPr>
            <w:noProof/>
            <w:webHidden/>
          </w:rPr>
          <w:fldChar w:fldCharType="begin"/>
        </w:r>
        <w:r>
          <w:rPr>
            <w:noProof/>
            <w:webHidden/>
          </w:rPr>
          <w:instrText xml:space="preserve"> PAGEREF _Toc146189053 \h </w:instrText>
        </w:r>
        <w:r>
          <w:rPr>
            <w:noProof/>
            <w:webHidden/>
          </w:rPr>
        </w:r>
        <w:r>
          <w:rPr>
            <w:noProof/>
            <w:webHidden/>
          </w:rPr>
          <w:fldChar w:fldCharType="separate"/>
        </w:r>
        <w:r>
          <w:rPr>
            <w:noProof/>
            <w:webHidden/>
          </w:rPr>
          <w:t>6</w:t>
        </w:r>
        <w:r>
          <w:rPr>
            <w:noProof/>
            <w:webHidden/>
          </w:rPr>
          <w:fldChar w:fldCharType="end"/>
        </w:r>
      </w:hyperlink>
    </w:p>
    <w:p w14:paraId="7AD2366E" w14:textId="5C4C549C" w:rsidR="001F2A32" w:rsidRDefault="001F2A32">
      <w:pPr>
        <w:pStyle w:val="TOC2"/>
        <w:tabs>
          <w:tab w:val="left" w:pos="880"/>
          <w:tab w:val="right" w:leader="dot" w:pos="9016"/>
        </w:tabs>
        <w:rPr>
          <w:rFonts w:asciiTheme="minorHAnsi" w:eastAsiaTheme="minorEastAsia" w:hAnsiTheme="minorHAnsi"/>
          <w:noProof/>
          <w:kern w:val="2"/>
          <w:sz w:val="22"/>
          <w:lang w:eastAsia="en-GB"/>
          <w14:ligatures w14:val="standardContextual"/>
        </w:rPr>
      </w:pPr>
      <w:hyperlink w:anchor="_Toc146189054" w:history="1">
        <w:r w:rsidRPr="00974569">
          <w:rPr>
            <w:rStyle w:val="Hyperlink"/>
            <w:noProof/>
          </w:rPr>
          <w:t>4.1</w:t>
        </w:r>
        <w:r>
          <w:rPr>
            <w:rFonts w:asciiTheme="minorHAnsi" w:eastAsiaTheme="minorEastAsia" w:hAnsiTheme="minorHAnsi"/>
            <w:noProof/>
            <w:kern w:val="2"/>
            <w:sz w:val="22"/>
            <w:lang w:eastAsia="en-GB"/>
            <w14:ligatures w14:val="standardContextual"/>
          </w:rPr>
          <w:tab/>
        </w:r>
        <w:r w:rsidRPr="00974569">
          <w:rPr>
            <w:rStyle w:val="Hyperlink"/>
            <w:noProof/>
          </w:rPr>
          <w:t>When the Council will enter into a DPA</w:t>
        </w:r>
        <w:r>
          <w:rPr>
            <w:noProof/>
            <w:webHidden/>
          </w:rPr>
          <w:tab/>
        </w:r>
        <w:r>
          <w:rPr>
            <w:noProof/>
            <w:webHidden/>
          </w:rPr>
          <w:fldChar w:fldCharType="begin"/>
        </w:r>
        <w:r>
          <w:rPr>
            <w:noProof/>
            <w:webHidden/>
          </w:rPr>
          <w:instrText xml:space="preserve"> PAGEREF _Toc146189054 \h </w:instrText>
        </w:r>
        <w:r>
          <w:rPr>
            <w:noProof/>
            <w:webHidden/>
          </w:rPr>
        </w:r>
        <w:r>
          <w:rPr>
            <w:noProof/>
            <w:webHidden/>
          </w:rPr>
          <w:fldChar w:fldCharType="separate"/>
        </w:r>
        <w:r>
          <w:rPr>
            <w:noProof/>
            <w:webHidden/>
          </w:rPr>
          <w:t>6</w:t>
        </w:r>
        <w:r>
          <w:rPr>
            <w:noProof/>
            <w:webHidden/>
          </w:rPr>
          <w:fldChar w:fldCharType="end"/>
        </w:r>
      </w:hyperlink>
    </w:p>
    <w:p w14:paraId="6D7F113F" w14:textId="0D594E5A" w:rsidR="001F2A32" w:rsidRDefault="001F2A32">
      <w:pPr>
        <w:pStyle w:val="TOC2"/>
        <w:tabs>
          <w:tab w:val="left" w:pos="880"/>
          <w:tab w:val="right" w:leader="dot" w:pos="9016"/>
        </w:tabs>
        <w:rPr>
          <w:rFonts w:asciiTheme="minorHAnsi" w:eastAsiaTheme="minorEastAsia" w:hAnsiTheme="minorHAnsi"/>
          <w:noProof/>
          <w:kern w:val="2"/>
          <w:sz w:val="22"/>
          <w:lang w:eastAsia="en-GB"/>
          <w14:ligatures w14:val="standardContextual"/>
        </w:rPr>
      </w:pPr>
      <w:hyperlink w:anchor="_Toc146189055" w:history="1">
        <w:r w:rsidRPr="00974569">
          <w:rPr>
            <w:rStyle w:val="Hyperlink"/>
            <w:noProof/>
          </w:rPr>
          <w:t>4.2</w:t>
        </w:r>
        <w:r>
          <w:rPr>
            <w:rFonts w:asciiTheme="minorHAnsi" w:eastAsiaTheme="minorEastAsia" w:hAnsiTheme="minorHAnsi"/>
            <w:noProof/>
            <w:kern w:val="2"/>
            <w:sz w:val="22"/>
            <w:lang w:eastAsia="en-GB"/>
            <w14:ligatures w14:val="standardContextual"/>
          </w:rPr>
          <w:tab/>
        </w:r>
        <w:r w:rsidRPr="00974569">
          <w:rPr>
            <w:rStyle w:val="Hyperlink"/>
            <w:noProof/>
          </w:rPr>
          <w:t xml:space="preserve">When the Council </w:t>
        </w:r>
        <w:r w:rsidRPr="00974569">
          <w:rPr>
            <w:rStyle w:val="Hyperlink"/>
            <w:i/>
            <w:iCs/>
            <w:noProof/>
          </w:rPr>
          <w:t>may</w:t>
        </w:r>
        <w:r w:rsidRPr="00974569">
          <w:rPr>
            <w:rStyle w:val="Hyperlink"/>
            <w:noProof/>
          </w:rPr>
          <w:t xml:space="preserve"> enter into a DPA</w:t>
        </w:r>
        <w:r>
          <w:rPr>
            <w:noProof/>
            <w:webHidden/>
          </w:rPr>
          <w:tab/>
        </w:r>
        <w:r>
          <w:rPr>
            <w:noProof/>
            <w:webHidden/>
          </w:rPr>
          <w:fldChar w:fldCharType="begin"/>
        </w:r>
        <w:r>
          <w:rPr>
            <w:noProof/>
            <w:webHidden/>
          </w:rPr>
          <w:instrText xml:space="preserve"> PAGEREF _Toc146189055 \h </w:instrText>
        </w:r>
        <w:r>
          <w:rPr>
            <w:noProof/>
            <w:webHidden/>
          </w:rPr>
        </w:r>
        <w:r>
          <w:rPr>
            <w:noProof/>
            <w:webHidden/>
          </w:rPr>
          <w:fldChar w:fldCharType="separate"/>
        </w:r>
        <w:r>
          <w:rPr>
            <w:noProof/>
            <w:webHidden/>
          </w:rPr>
          <w:t>7</w:t>
        </w:r>
        <w:r>
          <w:rPr>
            <w:noProof/>
            <w:webHidden/>
          </w:rPr>
          <w:fldChar w:fldCharType="end"/>
        </w:r>
      </w:hyperlink>
    </w:p>
    <w:p w14:paraId="3EC57E52" w14:textId="4C58CFF1" w:rsidR="001F2A32" w:rsidRDefault="001F2A32">
      <w:pPr>
        <w:pStyle w:val="TOC3"/>
        <w:tabs>
          <w:tab w:val="left" w:pos="1320"/>
          <w:tab w:val="right" w:leader="dot" w:pos="9016"/>
        </w:tabs>
        <w:rPr>
          <w:rFonts w:asciiTheme="minorHAnsi" w:eastAsiaTheme="minorEastAsia" w:hAnsiTheme="minorHAnsi"/>
          <w:noProof/>
          <w:kern w:val="2"/>
          <w:sz w:val="22"/>
          <w:lang w:eastAsia="en-GB"/>
          <w14:ligatures w14:val="standardContextual"/>
        </w:rPr>
      </w:pPr>
      <w:hyperlink w:anchor="_Toc146189056" w:history="1">
        <w:r w:rsidRPr="00974569">
          <w:rPr>
            <w:rStyle w:val="Hyperlink"/>
            <w:noProof/>
          </w:rPr>
          <w:t>4.2.1</w:t>
        </w:r>
        <w:r>
          <w:rPr>
            <w:rFonts w:asciiTheme="minorHAnsi" w:eastAsiaTheme="minorEastAsia" w:hAnsiTheme="minorHAnsi"/>
            <w:noProof/>
            <w:kern w:val="2"/>
            <w:sz w:val="22"/>
            <w:lang w:eastAsia="en-GB"/>
            <w14:ligatures w14:val="standardContextual"/>
          </w:rPr>
          <w:tab/>
        </w:r>
        <w:r w:rsidRPr="00974569">
          <w:rPr>
            <w:rStyle w:val="Hyperlink"/>
            <w:noProof/>
          </w:rPr>
          <w:t>Common situations in which the Council may be asked to exercise discretion to enter into a DPA</w:t>
        </w:r>
        <w:r>
          <w:rPr>
            <w:noProof/>
            <w:webHidden/>
          </w:rPr>
          <w:tab/>
        </w:r>
        <w:r>
          <w:rPr>
            <w:noProof/>
            <w:webHidden/>
          </w:rPr>
          <w:fldChar w:fldCharType="begin"/>
        </w:r>
        <w:r>
          <w:rPr>
            <w:noProof/>
            <w:webHidden/>
          </w:rPr>
          <w:instrText xml:space="preserve"> PAGEREF _Toc146189056 \h </w:instrText>
        </w:r>
        <w:r>
          <w:rPr>
            <w:noProof/>
            <w:webHidden/>
          </w:rPr>
        </w:r>
        <w:r>
          <w:rPr>
            <w:noProof/>
            <w:webHidden/>
          </w:rPr>
          <w:fldChar w:fldCharType="separate"/>
        </w:r>
        <w:r>
          <w:rPr>
            <w:noProof/>
            <w:webHidden/>
          </w:rPr>
          <w:t>7</w:t>
        </w:r>
        <w:r>
          <w:rPr>
            <w:noProof/>
            <w:webHidden/>
          </w:rPr>
          <w:fldChar w:fldCharType="end"/>
        </w:r>
      </w:hyperlink>
    </w:p>
    <w:p w14:paraId="398BE0F0" w14:textId="0B79C0B3" w:rsidR="001F2A32" w:rsidRDefault="001F2A32">
      <w:pPr>
        <w:pStyle w:val="TOC2"/>
        <w:tabs>
          <w:tab w:val="left" w:pos="880"/>
          <w:tab w:val="right" w:leader="dot" w:pos="9016"/>
        </w:tabs>
        <w:rPr>
          <w:rFonts w:asciiTheme="minorHAnsi" w:eastAsiaTheme="minorEastAsia" w:hAnsiTheme="minorHAnsi"/>
          <w:noProof/>
          <w:kern w:val="2"/>
          <w:sz w:val="22"/>
          <w:lang w:eastAsia="en-GB"/>
          <w14:ligatures w14:val="standardContextual"/>
        </w:rPr>
      </w:pPr>
      <w:hyperlink w:anchor="_Toc146189057" w:history="1">
        <w:r w:rsidRPr="00974569">
          <w:rPr>
            <w:rStyle w:val="Hyperlink"/>
            <w:noProof/>
          </w:rPr>
          <w:t>4.3</w:t>
        </w:r>
        <w:r>
          <w:rPr>
            <w:rFonts w:asciiTheme="minorHAnsi" w:eastAsiaTheme="minorEastAsia" w:hAnsiTheme="minorHAnsi"/>
            <w:noProof/>
            <w:kern w:val="2"/>
            <w:sz w:val="22"/>
            <w:lang w:eastAsia="en-GB"/>
            <w14:ligatures w14:val="standardContextual"/>
          </w:rPr>
          <w:tab/>
        </w:r>
        <w:r w:rsidRPr="00974569">
          <w:rPr>
            <w:rStyle w:val="Hyperlink"/>
            <w:noProof/>
          </w:rPr>
          <w:t>Obtaining security</w:t>
        </w:r>
        <w:r>
          <w:rPr>
            <w:noProof/>
            <w:webHidden/>
          </w:rPr>
          <w:tab/>
        </w:r>
        <w:r>
          <w:rPr>
            <w:noProof/>
            <w:webHidden/>
          </w:rPr>
          <w:fldChar w:fldCharType="begin"/>
        </w:r>
        <w:r>
          <w:rPr>
            <w:noProof/>
            <w:webHidden/>
          </w:rPr>
          <w:instrText xml:space="preserve"> PAGEREF _Toc146189057 \h </w:instrText>
        </w:r>
        <w:r>
          <w:rPr>
            <w:noProof/>
            <w:webHidden/>
          </w:rPr>
        </w:r>
        <w:r>
          <w:rPr>
            <w:noProof/>
            <w:webHidden/>
          </w:rPr>
          <w:fldChar w:fldCharType="separate"/>
        </w:r>
        <w:r>
          <w:rPr>
            <w:noProof/>
            <w:webHidden/>
          </w:rPr>
          <w:t>8</w:t>
        </w:r>
        <w:r>
          <w:rPr>
            <w:noProof/>
            <w:webHidden/>
          </w:rPr>
          <w:fldChar w:fldCharType="end"/>
        </w:r>
      </w:hyperlink>
    </w:p>
    <w:p w14:paraId="46412629" w14:textId="19460CAF" w:rsidR="001F2A32" w:rsidRDefault="001F2A32">
      <w:pPr>
        <w:pStyle w:val="TOC2"/>
        <w:tabs>
          <w:tab w:val="left" w:pos="880"/>
          <w:tab w:val="right" w:leader="dot" w:pos="9016"/>
        </w:tabs>
        <w:rPr>
          <w:rFonts w:asciiTheme="minorHAnsi" w:eastAsiaTheme="minorEastAsia" w:hAnsiTheme="minorHAnsi"/>
          <w:noProof/>
          <w:kern w:val="2"/>
          <w:sz w:val="22"/>
          <w:lang w:eastAsia="en-GB"/>
          <w14:ligatures w14:val="standardContextual"/>
        </w:rPr>
      </w:pPr>
      <w:hyperlink w:anchor="_Toc146189058" w:history="1">
        <w:r w:rsidRPr="00974569">
          <w:rPr>
            <w:rStyle w:val="Hyperlink"/>
            <w:noProof/>
          </w:rPr>
          <w:t>4.4</w:t>
        </w:r>
        <w:r>
          <w:rPr>
            <w:rFonts w:asciiTheme="minorHAnsi" w:eastAsiaTheme="minorEastAsia" w:hAnsiTheme="minorHAnsi"/>
            <w:noProof/>
            <w:kern w:val="2"/>
            <w:sz w:val="22"/>
            <w:lang w:eastAsia="en-GB"/>
            <w14:ligatures w14:val="standardContextual"/>
          </w:rPr>
          <w:tab/>
        </w:r>
        <w:r w:rsidRPr="00974569">
          <w:rPr>
            <w:rStyle w:val="Hyperlink"/>
            <w:noProof/>
          </w:rPr>
          <w:t>How much can be deferred</w:t>
        </w:r>
        <w:r>
          <w:rPr>
            <w:noProof/>
            <w:webHidden/>
          </w:rPr>
          <w:tab/>
        </w:r>
        <w:r>
          <w:rPr>
            <w:noProof/>
            <w:webHidden/>
          </w:rPr>
          <w:fldChar w:fldCharType="begin"/>
        </w:r>
        <w:r>
          <w:rPr>
            <w:noProof/>
            <w:webHidden/>
          </w:rPr>
          <w:instrText xml:space="preserve"> PAGEREF _Toc146189058 \h </w:instrText>
        </w:r>
        <w:r>
          <w:rPr>
            <w:noProof/>
            <w:webHidden/>
          </w:rPr>
        </w:r>
        <w:r>
          <w:rPr>
            <w:noProof/>
            <w:webHidden/>
          </w:rPr>
          <w:fldChar w:fldCharType="separate"/>
        </w:r>
        <w:r>
          <w:rPr>
            <w:noProof/>
            <w:webHidden/>
          </w:rPr>
          <w:t>8</w:t>
        </w:r>
        <w:r>
          <w:rPr>
            <w:noProof/>
            <w:webHidden/>
          </w:rPr>
          <w:fldChar w:fldCharType="end"/>
        </w:r>
      </w:hyperlink>
    </w:p>
    <w:p w14:paraId="4C61DDF7" w14:textId="275AF567" w:rsidR="001F2A32" w:rsidRDefault="001F2A32">
      <w:pPr>
        <w:pStyle w:val="TOC3"/>
        <w:tabs>
          <w:tab w:val="right" w:leader="dot" w:pos="9016"/>
        </w:tabs>
        <w:rPr>
          <w:rFonts w:asciiTheme="minorHAnsi" w:eastAsiaTheme="minorEastAsia" w:hAnsiTheme="minorHAnsi"/>
          <w:noProof/>
          <w:kern w:val="2"/>
          <w:sz w:val="22"/>
          <w:lang w:eastAsia="en-GB"/>
          <w14:ligatures w14:val="standardContextual"/>
        </w:rPr>
      </w:pPr>
      <w:hyperlink w:anchor="_Toc146189059" w:history="1">
        <w:r w:rsidRPr="00974569">
          <w:rPr>
            <w:rStyle w:val="Hyperlink"/>
            <w:noProof/>
          </w:rPr>
          <w:t>4.4.1 the equity limit</w:t>
        </w:r>
        <w:r>
          <w:rPr>
            <w:noProof/>
            <w:webHidden/>
          </w:rPr>
          <w:tab/>
        </w:r>
        <w:r>
          <w:rPr>
            <w:noProof/>
            <w:webHidden/>
          </w:rPr>
          <w:fldChar w:fldCharType="begin"/>
        </w:r>
        <w:r>
          <w:rPr>
            <w:noProof/>
            <w:webHidden/>
          </w:rPr>
          <w:instrText xml:space="preserve"> PAGEREF _Toc146189059 \h </w:instrText>
        </w:r>
        <w:r>
          <w:rPr>
            <w:noProof/>
            <w:webHidden/>
          </w:rPr>
        </w:r>
        <w:r>
          <w:rPr>
            <w:noProof/>
            <w:webHidden/>
          </w:rPr>
          <w:fldChar w:fldCharType="separate"/>
        </w:r>
        <w:r>
          <w:rPr>
            <w:noProof/>
            <w:webHidden/>
          </w:rPr>
          <w:t>9</w:t>
        </w:r>
        <w:r>
          <w:rPr>
            <w:noProof/>
            <w:webHidden/>
          </w:rPr>
          <w:fldChar w:fldCharType="end"/>
        </w:r>
      </w:hyperlink>
    </w:p>
    <w:p w14:paraId="618D3C39" w14:textId="07CF2D34" w:rsidR="001F2A32" w:rsidRDefault="001F2A32">
      <w:pPr>
        <w:pStyle w:val="TOC2"/>
        <w:tabs>
          <w:tab w:val="left" w:pos="880"/>
          <w:tab w:val="right" w:leader="dot" w:pos="9016"/>
        </w:tabs>
        <w:rPr>
          <w:rFonts w:asciiTheme="minorHAnsi" w:eastAsiaTheme="minorEastAsia" w:hAnsiTheme="minorHAnsi"/>
          <w:noProof/>
          <w:kern w:val="2"/>
          <w:sz w:val="22"/>
          <w:lang w:eastAsia="en-GB"/>
          <w14:ligatures w14:val="standardContextual"/>
        </w:rPr>
      </w:pPr>
      <w:hyperlink w:anchor="_Toc146189060" w:history="1">
        <w:r w:rsidRPr="00974569">
          <w:rPr>
            <w:rStyle w:val="Hyperlink"/>
            <w:noProof/>
          </w:rPr>
          <w:t>4.5</w:t>
        </w:r>
        <w:r>
          <w:rPr>
            <w:rFonts w:asciiTheme="minorHAnsi" w:eastAsiaTheme="minorEastAsia" w:hAnsiTheme="minorHAnsi"/>
            <w:noProof/>
            <w:kern w:val="2"/>
            <w:sz w:val="22"/>
            <w:lang w:eastAsia="en-GB"/>
            <w14:ligatures w14:val="standardContextual"/>
          </w:rPr>
          <w:tab/>
        </w:r>
        <w:r w:rsidRPr="00974569">
          <w:rPr>
            <w:rStyle w:val="Hyperlink"/>
            <w:noProof/>
          </w:rPr>
          <w:t>Contributing to the adult’s care cost from other sources</w:t>
        </w:r>
        <w:r>
          <w:rPr>
            <w:noProof/>
            <w:webHidden/>
          </w:rPr>
          <w:tab/>
        </w:r>
        <w:r>
          <w:rPr>
            <w:noProof/>
            <w:webHidden/>
          </w:rPr>
          <w:fldChar w:fldCharType="begin"/>
        </w:r>
        <w:r>
          <w:rPr>
            <w:noProof/>
            <w:webHidden/>
          </w:rPr>
          <w:instrText xml:space="preserve"> PAGEREF _Toc146189060 \h </w:instrText>
        </w:r>
        <w:r>
          <w:rPr>
            <w:noProof/>
            <w:webHidden/>
          </w:rPr>
        </w:r>
        <w:r>
          <w:rPr>
            <w:noProof/>
            <w:webHidden/>
          </w:rPr>
          <w:fldChar w:fldCharType="separate"/>
        </w:r>
        <w:r>
          <w:rPr>
            <w:noProof/>
            <w:webHidden/>
          </w:rPr>
          <w:t>9</w:t>
        </w:r>
        <w:r>
          <w:rPr>
            <w:noProof/>
            <w:webHidden/>
          </w:rPr>
          <w:fldChar w:fldCharType="end"/>
        </w:r>
      </w:hyperlink>
    </w:p>
    <w:p w14:paraId="024C3B57" w14:textId="464014FE" w:rsidR="001F2A32" w:rsidRDefault="001F2A32">
      <w:pPr>
        <w:pStyle w:val="TOC2"/>
        <w:tabs>
          <w:tab w:val="left" w:pos="880"/>
          <w:tab w:val="right" w:leader="dot" w:pos="9016"/>
        </w:tabs>
        <w:rPr>
          <w:rFonts w:asciiTheme="minorHAnsi" w:eastAsiaTheme="minorEastAsia" w:hAnsiTheme="minorHAnsi"/>
          <w:noProof/>
          <w:kern w:val="2"/>
          <w:sz w:val="22"/>
          <w:lang w:eastAsia="en-GB"/>
          <w14:ligatures w14:val="standardContextual"/>
        </w:rPr>
      </w:pPr>
      <w:hyperlink w:anchor="_Toc146189061" w:history="1">
        <w:r w:rsidRPr="00974569">
          <w:rPr>
            <w:rStyle w:val="Hyperlink"/>
            <w:noProof/>
          </w:rPr>
          <w:t>4.6</w:t>
        </w:r>
        <w:r>
          <w:rPr>
            <w:rFonts w:asciiTheme="minorHAnsi" w:eastAsiaTheme="minorEastAsia" w:hAnsiTheme="minorHAnsi"/>
            <w:noProof/>
            <w:kern w:val="2"/>
            <w:sz w:val="22"/>
            <w:lang w:eastAsia="en-GB"/>
            <w14:ligatures w14:val="standardContextual"/>
          </w:rPr>
          <w:tab/>
        </w:r>
        <w:r w:rsidRPr="00974569">
          <w:rPr>
            <w:rStyle w:val="Hyperlink"/>
            <w:noProof/>
          </w:rPr>
          <w:t>Renting out a property</w:t>
        </w:r>
        <w:r>
          <w:rPr>
            <w:noProof/>
            <w:webHidden/>
          </w:rPr>
          <w:tab/>
        </w:r>
        <w:r>
          <w:rPr>
            <w:noProof/>
            <w:webHidden/>
          </w:rPr>
          <w:fldChar w:fldCharType="begin"/>
        </w:r>
        <w:r>
          <w:rPr>
            <w:noProof/>
            <w:webHidden/>
          </w:rPr>
          <w:instrText xml:space="preserve"> PAGEREF _Toc146189061 \h </w:instrText>
        </w:r>
        <w:r>
          <w:rPr>
            <w:noProof/>
            <w:webHidden/>
          </w:rPr>
        </w:r>
        <w:r>
          <w:rPr>
            <w:noProof/>
            <w:webHidden/>
          </w:rPr>
          <w:fldChar w:fldCharType="separate"/>
        </w:r>
        <w:r>
          <w:rPr>
            <w:noProof/>
            <w:webHidden/>
          </w:rPr>
          <w:t>10</w:t>
        </w:r>
        <w:r>
          <w:rPr>
            <w:noProof/>
            <w:webHidden/>
          </w:rPr>
          <w:fldChar w:fldCharType="end"/>
        </w:r>
      </w:hyperlink>
    </w:p>
    <w:p w14:paraId="418D29E9" w14:textId="52063C26" w:rsidR="001F2A32" w:rsidRDefault="001F2A32">
      <w:pPr>
        <w:pStyle w:val="TOC2"/>
        <w:tabs>
          <w:tab w:val="left" w:pos="880"/>
          <w:tab w:val="right" w:leader="dot" w:pos="9016"/>
        </w:tabs>
        <w:rPr>
          <w:rFonts w:asciiTheme="minorHAnsi" w:eastAsiaTheme="minorEastAsia" w:hAnsiTheme="minorHAnsi"/>
          <w:noProof/>
          <w:kern w:val="2"/>
          <w:sz w:val="22"/>
          <w:lang w:eastAsia="en-GB"/>
          <w14:ligatures w14:val="standardContextual"/>
        </w:rPr>
      </w:pPr>
      <w:hyperlink w:anchor="_Toc146189062" w:history="1">
        <w:r w:rsidRPr="00974569">
          <w:rPr>
            <w:rStyle w:val="Hyperlink"/>
            <w:noProof/>
          </w:rPr>
          <w:t>4.7</w:t>
        </w:r>
        <w:r>
          <w:rPr>
            <w:rFonts w:asciiTheme="minorHAnsi" w:eastAsiaTheme="minorEastAsia" w:hAnsiTheme="minorHAnsi"/>
            <w:noProof/>
            <w:kern w:val="2"/>
            <w:sz w:val="22"/>
            <w:lang w:eastAsia="en-GB"/>
            <w14:ligatures w14:val="standardContextual"/>
          </w:rPr>
          <w:tab/>
        </w:r>
        <w:r w:rsidRPr="00974569">
          <w:rPr>
            <w:rStyle w:val="Hyperlink"/>
            <w:noProof/>
          </w:rPr>
          <w:t>Interest rate and administration charges</w:t>
        </w:r>
        <w:r>
          <w:rPr>
            <w:noProof/>
            <w:webHidden/>
          </w:rPr>
          <w:tab/>
        </w:r>
        <w:r>
          <w:rPr>
            <w:noProof/>
            <w:webHidden/>
          </w:rPr>
          <w:fldChar w:fldCharType="begin"/>
        </w:r>
        <w:r>
          <w:rPr>
            <w:noProof/>
            <w:webHidden/>
          </w:rPr>
          <w:instrText xml:space="preserve"> PAGEREF _Toc146189062 \h </w:instrText>
        </w:r>
        <w:r>
          <w:rPr>
            <w:noProof/>
            <w:webHidden/>
          </w:rPr>
        </w:r>
        <w:r>
          <w:rPr>
            <w:noProof/>
            <w:webHidden/>
          </w:rPr>
          <w:fldChar w:fldCharType="separate"/>
        </w:r>
        <w:r>
          <w:rPr>
            <w:noProof/>
            <w:webHidden/>
          </w:rPr>
          <w:t>10</w:t>
        </w:r>
        <w:r>
          <w:rPr>
            <w:noProof/>
            <w:webHidden/>
          </w:rPr>
          <w:fldChar w:fldCharType="end"/>
        </w:r>
      </w:hyperlink>
    </w:p>
    <w:p w14:paraId="5F8D970D" w14:textId="4B4E94C0" w:rsidR="001F2A32" w:rsidRDefault="001F2A32">
      <w:pPr>
        <w:pStyle w:val="TOC2"/>
        <w:tabs>
          <w:tab w:val="left" w:pos="1100"/>
          <w:tab w:val="right" w:leader="dot" w:pos="9016"/>
        </w:tabs>
        <w:rPr>
          <w:rFonts w:asciiTheme="minorHAnsi" w:eastAsiaTheme="minorEastAsia" w:hAnsiTheme="minorHAnsi"/>
          <w:noProof/>
          <w:kern w:val="2"/>
          <w:sz w:val="22"/>
          <w:lang w:eastAsia="en-GB"/>
          <w14:ligatures w14:val="standardContextual"/>
        </w:rPr>
      </w:pPr>
      <w:hyperlink w:anchor="_Toc146189063" w:history="1">
        <w:r w:rsidRPr="00974569">
          <w:rPr>
            <w:rStyle w:val="Hyperlink"/>
            <w:noProof/>
          </w:rPr>
          <w:t>4.7.1</w:t>
        </w:r>
        <w:r>
          <w:rPr>
            <w:rFonts w:asciiTheme="minorHAnsi" w:eastAsiaTheme="minorEastAsia" w:hAnsiTheme="minorHAnsi"/>
            <w:noProof/>
            <w:kern w:val="2"/>
            <w:sz w:val="22"/>
            <w:lang w:eastAsia="en-GB"/>
            <w14:ligatures w14:val="standardContextual"/>
          </w:rPr>
          <w:tab/>
        </w:r>
        <w:r w:rsidRPr="00974569">
          <w:rPr>
            <w:rStyle w:val="Hyperlink"/>
            <w:noProof/>
          </w:rPr>
          <w:t>interest</w:t>
        </w:r>
        <w:r>
          <w:rPr>
            <w:noProof/>
            <w:webHidden/>
          </w:rPr>
          <w:tab/>
        </w:r>
        <w:r>
          <w:rPr>
            <w:noProof/>
            <w:webHidden/>
          </w:rPr>
          <w:fldChar w:fldCharType="begin"/>
        </w:r>
        <w:r>
          <w:rPr>
            <w:noProof/>
            <w:webHidden/>
          </w:rPr>
          <w:instrText xml:space="preserve"> PAGEREF _Toc146189063 \h </w:instrText>
        </w:r>
        <w:r>
          <w:rPr>
            <w:noProof/>
            <w:webHidden/>
          </w:rPr>
        </w:r>
        <w:r>
          <w:rPr>
            <w:noProof/>
            <w:webHidden/>
          </w:rPr>
          <w:fldChar w:fldCharType="separate"/>
        </w:r>
        <w:r>
          <w:rPr>
            <w:noProof/>
            <w:webHidden/>
          </w:rPr>
          <w:t>10</w:t>
        </w:r>
        <w:r>
          <w:rPr>
            <w:noProof/>
            <w:webHidden/>
          </w:rPr>
          <w:fldChar w:fldCharType="end"/>
        </w:r>
      </w:hyperlink>
    </w:p>
    <w:p w14:paraId="55E8C289" w14:textId="23E52DD6" w:rsidR="001F2A32" w:rsidRDefault="001F2A32">
      <w:pPr>
        <w:pStyle w:val="TOC2"/>
        <w:tabs>
          <w:tab w:val="left" w:pos="1100"/>
          <w:tab w:val="right" w:leader="dot" w:pos="9016"/>
        </w:tabs>
        <w:rPr>
          <w:rFonts w:asciiTheme="minorHAnsi" w:eastAsiaTheme="minorEastAsia" w:hAnsiTheme="minorHAnsi"/>
          <w:noProof/>
          <w:kern w:val="2"/>
          <w:sz w:val="22"/>
          <w:lang w:eastAsia="en-GB"/>
          <w14:ligatures w14:val="standardContextual"/>
        </w:rPr>
      </w:pPr>
      <w:hyperlink w:anchor="_Toc146189064" w:history="1">
        <w:r w:rsidRPr="00974569">
          <w:rPr>
            <w:rStyle w:val="Hyperlink"/>
            <w:noProof/>
          </w:rPr>
          <w:t>4.7.2</w:t>
        </w:r>
        <w:r>
          <w:rPr>
            <w:rFonts w:asciiTheme="minorHAnsi" w:eastAsiaTheme="minorEastAsia" w:hAnsiTheme="minorHAnsi"/>
            <w:noProof/>
            <w:kern w:val="2"/>
            <w:sz w:val="22"/>
            <w:lang w:eastAsia="en-GB"/>
            <w14:ligatures w14:val="standardContextual"/>
          </w:rPr>
          <w:tab/>
        </w:r>
        <w:r w:rsidRPr="00974569">
          <w:rPr>
            <w:rStyle w:val="Hyperlink"/>
            <w:noProof/>
          </w:rPr>
          <w:t>administration charges</w:t>
        </w:r>
        <w:r>
          <w:rPr>
            <w:noProof/>
            <w:webHidden/>
          </w:rPr>
          <w:tab/>
        </w:r>
        <w:r>
          <w:rPr>
            <w:noProof/>
            <w:webHidden/>
          </w:rPr>
          <w:fldChar w:fldCharType="begin"/>
        </w:r>
        <w:r>
          <w:rPr>
            <w:noProof/>
            <w:webHidden/>
          </w:rPr>
          <w:instrText xml:space="preserve"> PAGEREF _Toc146189064 \h </w:instrText>
        </w:r>
        <w:r>
          <w:rPr>
            <w:noProof/>
            <w:webHidden/>
          </w:rPr>
        </w:r>
        <w:r>
          <w:rPr>
            <w:noProof/>
            <w:webHidden/>
          </w:rPr>
          <w:fldChar w:fldCharType="separate"/>
        </w:r>
        <w:r>
          <w:rPr>
            <w:noProof/>
            <w:webHidden/>
          </w:rPr>
          <w:t>10</w:t>
        </w:r>
        <w:r>
          <w:rPr>
            <w:noProof/>
            <w:webHidden/>
          </w:rPr>
          <w:fldChar w:fldCharType="end"/>
        </w:r>
      </w:hyperlink>
    </w:p>
    <w:p w14:paraId="5D7BE26D" w14:textId="0EBAD7D6" w:rsidR="001F2A32" w:rsidRDefault="001F2A32">
      <w:pPr>
        <w:pStyle w:val="TOC2"/>
        <w:tabs>
          <w:tab w:val="left" w:pos="1100"/>
          <w:tab w:val="right" w:leader="dot" w:pos="9016"/>
        </w:tabs>
        <w:rPr>
          <w:rFonts w:asciiTheme="minorHAnsi" w:eastAsiaTheme="minorEastAsia" w:hAnsiTheme="minorHAnsi"/>
          <w:noProof/>
          <w:kern w:val="2"/>
          <w:sz w:val="22"/>
          <w:lang w:eastAsia="en-GB"/>
          <w14:ligatures w14:val="standardContextual"/>
        </w:rPr>
      </w:pPr>
      <w:hyperlink w:anchor="_Toc146189065" w:history="1">
        <w:r w:rsidRPr="00974569">
          <w:rPr>
            <w:rStyle w:val="Hyperlink"/>
            <w:noProof/>
          </w:rPr>
          <w:t>4.7.3</w:t>
        </w:r>
        <w:r>
          <w:rPr>
            <w:rFonts w:asciiTheme="minorHAnsi" w:eastAsiaTheme="minorEastAsia" w:hAnsiTheme="minorHAnsi"/>
            <w:noProof/>
            <w:kern w:val="2"/>
            <w:sz w:val="22"/>
            <w:lang w:eastAsia="en-GB"/>
            <w14:ligatures w14:val="standardContextual"/>
          </w:rPr>
          <w:tab/>
        </w:r>
        <w:r w:rsidRPr="00974569">
          <w:rPr>
            <w:rStyle w:val="Hyperlink"/>
            <w:noProof/>
          </w:rPr>
          <w:t>treatment of interest and administration charges</w:t>
        </w:r>
        <w:r>
          <w:rPr>
            <w:noProof/>
            <w:webHidden/>
          </w:rPr>
          <w:tab/>
        </w:r>
        <w:r>
          <w:rPr>
            <w:noProof/>
            <w:webHidden/>
          </w:rPr>
          <w:fldChar w:fldCharType="begin"/>
        </w:r>
        <w:r>
          <w:rPr>
            <w:noProof/>
            <w:webHidden/>
          </w:rPr>
          <w:instrText xml:space="preserve"> PAGEREF _Toc146189065 \h </w:instrText>
        </w:r>
        <w:r>
          <w:rPr>
            <w:noProof/>
            <w:webHidden/>
          </w:rPr>
        </w:r>
        <w:r>
          <w:rPr>
            <w:noProof/>
            <w:webHidden/>
          </w:rPr>
          <w:fldChar w:fldCharType="separate"/>
        </w:r>
        <w:r>
          <w:rPr>
            <w:noProof/>
            <w:webHidden/>
          </w:rPr>
          <w:t>11</w:t>
        </w:r>
        <w:r>
          <w:rPr>
            <w:noProof/>
            <w:webHidden/>
          </w:rPr>
          <w:fldChar w:fldCharType="end"/>
        </w:r>
      </w:hyperlink>
    </w:p>
    <w:p w14:paraId="74AA5592" w14:textId="692E28B6" w:rsidR="001F2A32" w:rsidRDefault="001F2A32">
      <w:pPr>
        <w:pStyle w:val="TOC2"/>
        <w:tabs>
          <w:tab w:val="left" w:pos="880"/>
          <w:tab w:val="right" w:leader="dot" w:pos="9016"/>
        </w:tabs>
        <w:rPr>
          <w:rFonts w:asciiTheme="minorHAnsi" w:eastAsiaTheme="minorEastAsia" w:hAnsiTheme="minorHAnsi"/>
          <w:noProof/>
          <w:kern w:val="2"/>
          <w:sz w:val="22"/>
          <w:lang w:eastAsia="en-GB"/>
          <w14:ligatures w14:val="standardContextual"/>
        </w:rPr>
      </w:pPr>
      <w:hyperlink w:anchor="_Toc146189066" w:history="1">
        <w:r w:rsidRPr="00974569">
          <w:rPr>
            <w:rStyle w:val="Hyperlink"/>
            <w:noProof/>
          </w:rPr>
          <w:t>4.8</w:t>
        </w:r>
        <w:r>
          <w:rPr>
            <w:rFonts w:asciiTheme="minorHAnsi" w:eastAsiaTheme="minorEastAsia" w:hAnsiTheme="minorHAnsi"/>
            <w:noProof/>
            <w:kern w:val="2"/>
            <w:sz w:val="22"/>
            <w:lang w:eastAsia="en-GB"/>
            <w14:ligatures w14:val="standardContextual"/>
          </w:rPr>
          <w:tab/>
        </w:r>
        <w:r w:rsidRPr="00974569">
          <w:rPr>
            <w:rStyle w:val="Hyperlink"/>
            <w:noProof/>
          </w:rPr>
          <w:t>Making the DPA agreement</w:t>
        </w:r>
        <w:r>
          <w:rPr>
            <w:noProof/>
            <w:webHidden/>
          </w:rPr>
          <w:tab/>
        </w:r>
        <w:r>
          <w:rPr>
            <w:noProof/>
            <w:webHidden/>
          </w:rPr>
          <w:fldChar w:fldCharType="begin"/>
        </w:r>
        <w:r>
          <w:rPr>
            <w:noProof/>
            <w:webHidden/>
          </w:rPr>
          <w:instrText xml:space="preserve"> PAGEREF _Toc146189066 \h </w:instrText>
        </w:r>
        <w:r>
          <w:rPr>
            <w:noProof/>
            <w:webHidden/>
          </w:rPr>
        </w:r>
        <w:r>
          <w:rPr>
            <w:noProof/>
            <w:webHidden/>
          </w:rPr>
          <w:fldChar w:fldCharType="separate"/>
        </w:r>
        <w:r>
          <w:rPr>
            <w:noProof/>
            <w:webHidden/>
          </w:rPr>
          <w:t>11</w:t>
        </w:r>
        <w:r>
          <w:rPr>
            <w:noProof/>
            <w:webHidden/>
          </w:rPr>
          <w:fldChar w:fldCharType="end"/>
        </w:r>
      </w:hyperlink>
    </w:p>
    <w:p w14:paraId="45A1CA69" w14:textId="3FDFD796" w:rsidR="001F2A32" w:rsidRDefault="001F2A32">
      <w:pPr>
        <w:pStyle w:val="TOC3"/>
        <w:tabs>
          <w:tab w:val="left" w:pos="1100"/>
          <w:tab w:val="right" w:leader="dot" w:pos="9016"/>
        </w:tabs>
        <w:rPr>
          <w:rFonts w:asciiTheme="minorHAnsi" w:eastAsiaTheme="minorEastAsia" w:hAnsiTheme="minorHAnsi"/>
          <w:noProof/>
          <w:kern w:val="2"/>
          <w:sz w:val="22"/>
          <w:lang w:eastAsia="en-GB"/>
          <w14:ligatures w14:val="standardContextual"/>
        </w:rPr>
      </w:pPr>
      <w:hyperlink w:anchor="_Toc146189067" w:history="1">
        <w:r w:rsidRPr="00974569">
          <w:rPr>
            <w:rStyle w:val="Hyperlink"/>
            <w:noProof/>
          </w:rPr>
          <w:t>4.9</w:t>
        </w:r>
        <w:r>
          <w:rPr>
            <w:rFonts w:asciiTheme="minorHAnsi" w:eastAsiaTheme="minorEastAsia" w:hAnsiTheme="minorHAnsi"/>
            <w:noProof/>
            <w:kern w:val="2"/>
            <w:sz w:val="22"/>
            <w:lang w:eastAsia="en-GB"/>
            <w14:ligatures w14:val="standardContextual"/>
          </w:rPr>
          <w:tab/>
        </w:r>
        <w:r w:rsidRPr="00974569">
          <w:rPr>
            <w:rStyle w:val="Hyperlink"/>
            <w:noProof/>
          </w:rPr>
          <w:t>Impact on financial assessment</w:t>
        </w:r>
        <w:r>
          <w:rPr>
            <w:noProof/>
            <w:webHidden/>
          </w:rPr>
          <w:tab/>
        </w:r>
        <w:r>
          <w:rPr>
            <w:noProof/>
            <w:webHidden/>
          </w:rPr>
          <w:fldChar w:fldCharType="begin"/>
        </w:r>
        <w:r>
          <w:rPr>
            <w:noProof/>
            <w:webHidden/>
          </w:rPr>
          <w:instrText xml:space="preserve"> PAGEREF _Toc146189067 \h </w:instrText>
        </w:r>
        <w:r>
          <w:rPr>
            <w:noProof/>
            <w:webHidden/>
          </w:rPr>
        </w:r>
        <w:r>
          <w:rPr>
            <w:noProof/>
            <w:webHidden/>
          </w:rPr>
          <w:fldChar w:fldCharType="separate"/>
        </w:r>
        <w:r>
          <w:rPr>
            <w:noProof/>
            <w:webHidden/>
          </w:rPr>
          <w:t>11</w:t>
        </w:r>
        <w:r>
          <w:rPr>
            <w:noProof/>
            <w:webHidden/>
          </w:rPr>
          <w:fldChar w:fldCharType="end"/>
        </w:r>
      </w:hyperlink>
    </w:p>
    <w:p w14:paraId="6ADEE819" w14:textId="446139FB" w:rsidR="001F2A32" w:rsidRDefault="001F2A32">
      <w:pPr>
        <w:pStyle w:val="TOC2"/>
        <w:tabs>
          <w:tab w:val="left" w:pos="1100"/>
          <w:tab w:val="right" w:leader="dot" w:pos="9016"/>
        </w:tabs>
        <w:rPr>
          <w:rFonts w:asciiTheme="minorHAnsi" w:eastAsiaTheme="minorEastAsia" w:hAnsiTheme="minorHAnsi"/>
          <w:noProof/>
          <w:kern w:val="2"/>
          <w:sz w:val="22"/>
          <w:lang w:eastAsia="en-GB"/>
          <w14:ligatures w14:val="standardContextual"/>
        </w:rPr>
      </w:pPr>
      <w:hyperlink w:anchor="_Toc146189068" w:history="1">
        <w:r w:rsidRPr="00974569">
          <w:rPr>
            <w:rStyle w:val="Hyperlink"/>
            <w:noProof/>
          </w:rPr>
          <w:t>4.10</w:t>
        </w:r>
        <w:r>
          <w:rPr>
            <w:rFonts w:asciiTheme="minorHAnsi" w:eastAsiaTheme="minorEastAsia" w:hAnsiTheme="minorHAnsi"/>
            <w:noProof/>
            <w:kern w:val="2"/>
            <w:sz w:val="22"/>
            <w:lang w:eastAsia="en-GB"/>
            <w14:ligatures w14:val="standardContextual"/>
          </w:rPr>
          <w:tab/>
        </w:r>
        <w:r w:rsidRPr="00974569">
          <w:rPr>
            <w:rStyle w:val="Hyperlink"/>
            <w:noProof/>
          </w:rPr>
          <w:t>Contractual responsibilities for adults, arising from the DPA</w:t>
        </w:r>
        <w:r>
          <w:rPr>
            <w:noProof/>
            <w:webHidden/>
          </w:rPr>
          <w:tab/>
        </w:r>
        <w:r>
          <w:rPr>
            <w:noProof/>
            <w:webHidden/>
          </w:rPr>
          <w:fldChar w:fldCharType="begin"/>
        </w:r>
        <w:r>
          <w:rPr>
            <w:noProof/>
            <w:webHidden/>
          </w:rPr>
          <w:instrText xml:space="preserve"> PAGEREF _Toc146189068 \h </w:instrText>
        </w:r>
        <w:r>
          <w:rPr>
            <w:noProof/>
            <w:webHidden/>
          </w:rPr>
        </w:r>
        <w:r>
          <w:rPr>
            <w:noProof/>
            <w:webHidden/>
          </w:rPr>
          <w:fldChar w:fldCharType="separate"/>
        </w:r>
        <w:r>
          <w:rPr>
            <w:noProof/>
            <w:webHidden/>
          </w:rPr>
          <w:t>12</w:t>
        </w:r>
        <w:r>
          <w:rPr>
            <w:noProof/>
            <w:webHidden/>
          </w:rPr>
          <w:fldChar w:fldCharType="end"/>
        </w:r>
      </w:hyperlink>
    </w:p>
    <w:p w14:paraId="047AEBA4" w14:textId="21358A6B" w:rsidR="001F2A32" w:rsidRDefault="001F2A32">
      <w:pPr>
        <w:pStyle w:val="TOC2"/>
        <w:tabs>
          <w:tab w:val="left" w:pos="1100"/>
          <w:tab w:val="right" w:leader="dot" w:pos="9016"/>
        </w:tabs>
        <w:rPr>
          <w:rFonts w:asciiTheme="minorHAnsi" w:eastAsiaTheme="minorEastAsia" w:hAnsiTheme="minorHAnsi"/>
          <w:noProof/>
          <w:kern w:val="2"/>
          <w:sz w:val="22"/>
          <w:lang w:eastAsia="en-GB"/>
          <w14:ligatures w14:val="standardContextual"/>
        </w:rPr>
      </w:pPr>
      <w:hyperlink w:anchor="_Toc146189069" w:history="1">
        <w:r w:rsidRPr="00974569">
          <w:rPr>
            <w:rStyle w:val="Hyperlink"/>
            <w:noProof/>
          </w:rPr>
          <w:t>4.11</w:t>
        </w:r>
        <w:r>
          <w:rPr>
            <w:rFonts w:asciiTheme="minorHAnsi" w:eastAsiaTheme="minorEastAsia" w:hAnsiTheme="minorHAnsi"/>
            <w:noProof/>
            <w:kern w:val="2"/>
            <w:sz w:val="22"/>
            <w:lang w:eastAsia="en-GB"/>
            <w14:ligatures w14:val="standardContextual"/>
          </w:rPr>
          <w:tab/>
        </w:r>
        <w:r w:rsidRPr="00974569">
          <w:rPr>
            <w:rStyle w:val="Hyperlink"/>
            <w:noProof/>
          </w:rPr>
          <w:t>Termination of the DPA</w:t>
        </w:r>
        <w:r>
          <w:rPr>
            <w:noProof/>
            <w:webHidden/>
          </w:rPr>
          <w:tab/>
        </w:r>
        <w:r>
          <w:rPr>
            <w:noProof/>
            <w:webHidden/>
          </w:rPr>
          <w:fldChar w:fldCharType="begin"/>
        </w:r>
        <w:r>
          <w:rPr>
            <w:noProof/>
            <w:webHidden/>
          </w:rPr>
          <w:instrText xml:space="preserve"> PAGEREF _Toc146189069 \h </w:instrText>
        </w:r>
        <w:r>
          <w:rPr>
            <w:noProof/>
            <w:webHidden/>
          </w:rPr>
        </w:r>
        <w:r>
          <w:rPr>
            <w:noProof/>
            <w:webHidden/>
          </w:rPr>
          <w:fldChar w:fldCharType="separate"/>
        </w:r>
        <w:r>
          <w:rPr>
            <w:noProof/>
            <w:webHidden/>
          </w:rPr>
          <w:t>12</w:t>
        </w:r>
        <w:r>
          <w:rPr>
            <w:noProof/>
            <w:webHidden/>
          </w:rPr>
          <w:fldChar w:fldCharType="end"/>
        </w:r>
      </w:hyperlink>
    </w:p>
    <w:p w14:paraId="7AAE9D0F" w14:textId="5F8186A0" w:rsidR="001F2A32" w:rsidRDefault="001F2A32">
      <w:pPr>
        <w:pStyle w:val="TOC2"/>
        <w:tabs>
          <w:tab w:val="left" w:pos="1100"/>
          <w:tab w:val="right" w:leader="dot" w:pos="9016"/>
        </w:tabs>
        <w:rPr>
          <w:rFonts w:asciiTheme="minorHAnsi" w:eastAsiaTheme="minorEastAsia" w:hAnsiTheme="minorHAnsi"/>
          <w:noProof/>
          <w:kern w:val="2"/>
          <w:sz w:val="22"/>
          <w:lang w:eastAsia="en-GB"/>
          <w14:ligatures w14:val="standardContextual"/>
        </w:rPr>
      </w:pPr>
      <w:hyperlink w:anchor="_Toc146189070" w:history="1">
        <w:r w:rsidRPr="00974569">
          <w:rPr>
            <w:rStyle w:val="Hyperlink"/>
            <w:noProof/>
            <w:lang w:val="en-US"/>
          </w:rPr>
          <w:t>4.12</w:t>
        </w:r>
        <w:r>
          <w:rPr>
            <w:rFonts w:asciiTheme="minorHAnsi" w:eastAsiaTheme="minorEastAsia" w:hAnsiTheme="minorHAnsi"/>
            <w:noProof/>
            <w:kern w:val="2"/>
            <w:sz w:val="22"/>
            <w:lang w:eastAsia="en-GB"/>
            <w14:ligatures w14:val="standardContextual"/>
          </w:rPr>
          <w:tab/>
        </w:r>
        <w:r w:rsidRPr="00974569">
          <w:rPr>
            <w:rStyle w:val="Hyperlink"/>
            <w:noProof/>
            <w:lang w:val="en-US"/>
          </w:rPr>
          <w:t>The Appeal Panel</w:t>
        </w:r>
        <w:r>
          <w:rPr>
            <w:noProof/>
            <w:webHidden/>
          </w:rPr>
          <w:tab/>
        </w:r>
        <w:r>
          <w:rPr>
            <w:noProof/>
            <w:webHidden/>
          </w:rPr>
          <w:fldChar w:fldCharType="begin"/>
        </w:r>
        <w:r>
          <w:rPr>
            <w:noProof/>
            <w:webHidden/>
          </w:rPr>
          <w:instrText xml:space="preserve"> PAGEREF _Toc146189070 \h </w:instrText>
        </w:r>
        <w:r>
          <w:rPr>
            <w:noProof/>
            <w:webHidden/>
          </w:rPr>
        </w:r>
        <w:r>
          <w:rPr>
            <w:noProof/>
            <w:webHidden/>
          </w:rPr>
          <w:fldChar w:fldCharType="separate"/>
        </w:r>
        <w:r>
          <w:rPr>
            <w:noProof/>
            <w:webHidden/>
          </w:rPr>
          <w:t>12</w:t>
        </w:r>
        <w:r>
          <w:rPr>
            <w:noProof/>
            <w:webHidden/>
          </w:rPr>
          <w:fldChar w:fldCharType="end"/>
        </w:r>
      </w:hyperlink>
    </w:p>
    <w:p w14:paraId="17CC4848" w14:textId="5BEE1225" w:rsidR="001F2A32" w:rsidRDefault="001F2A32">
      <w:pPr>
        <w:pStyle w:val="TOC1"/>
        <w:tabs>
          <w:tab w:val="left" w:pos="480"/>
        </w:tabs>
        <w:rPr>
          <w:rFonts w:asciiTheme="minorHAnsi" w:eastAsiaTheme="minorEastAsia" w:hAnsiTheme="minorHAnsi"/>
          <w:b w:val="0"/>
          <w:bCs w:val="0"/>
          <w:noProof/>
          <w:kern w:val="2"/>
          <w:sz w:val="22"/>
          <w:lang w:eastAsia="en-GB"/>
          <w14:ligatures w14:val="standardContextual"/>
        </w:rPr>
      </w:pPr>
      <w:hyperlink w:anchor="_Toc146189071" w:history="1">
        <w:r w:rsidRPr="00974569">
          <w:rPr>
            <w:rStyle w:val="Hyperlink"/>
            <w:noProof/>
            <w:lang w:val="en-US"/>
          </w:rPr>
          <w:t>5</w:t>
        </w:r>
        <w:r>
          <w:rPr>
            <w:rFonts w:asciiTheme="minorHAnsi" w:eastAsiaTheme="minorEastAsia" w:hAnsiTheme="minorHAnsi"/>
            <w:b w:val="0"/>
            <w:bCs w:val="0"/>
            <w:noProof/>
            <w:kern w:val="2"/>
            <w:sz w:val="22"/>
            <w:lang w:eastAsia="en-GB"/>
            <w14:ligatures w14:val="standardContextual"/>
          </w:rPr>
          <w:tab/>
        </w:r>
        <w:r w:rsidRPr="00974569">
          <w:rPr>
            <w:rStyle w:val="Hyperlink"/>
            <w:noProof/>
            <w:lang w:val="en-US"/>
          </w:rPr>
          <w:t>S</w:t>
        </w:r>
        <w:r w:rsidRPr="00974569">
          <w:rPr>
            <w:rStyle w:val="Hyperlink"/>
            <w:noProof/>
            <w:spacing w:val="-1"/>
            <w:lang w:val="en-US"/>
          </w:rPr>
          <w:t>u</w:t>
        </w:r>
        <w:r w:rsidRPr="00974569">
          <w:rPr>
            <w:rStyle w:val="Hyperlink"/>
            <w:noProof/>
            <w:spacing w:val="-3"/>
            <w:lang w:val="en-US"/>
          </w:rPr>
          <w:t>m</w:t>
        </w:r>
        <w:r w:rsidRPr="00974569">
          <w:rPr>
            <w:rStyle w:val="Hyperlink"/>
            <w:noProof/>
            <w:lang w:val="en-US"/>
          </w:rPr>
          <w:t>ma</w:t>
        </w:r>
        <w:r w:rsidRPr="00974569">
          <w:rPr>
            <w:rStyle w:val="Hyperlink"/>
            <w:noProof/>
            <w:spacing w:val="3"/>
            <w:lang w:val="en-US"/>
          </w:rPr>
          <w:t>r</w:t>
        </w:r>
        <w:r w:rsidRPr="00974569">
          <w:rPr>
            <w:rStyle w:val="Hyperlink"/>
            <w:noProof/>
            <w:lang w:val="en-US"/>
          </w:rPr>
          <w:t>y</w:t>
        </w:r>
        <w:r w:rsidRPr="00974569">
          <w:rPr>
            <w:rStyle w:val="Hyperlink"/>
            <w:noProof/>
            <w:spacing w:val="-6"/>
            <w:lang w:val="en-US"/>
          </w:rPr>
          <w:t xml:space="preserve"> </w:t>
        </w:r>
        <w:r w:rsidRPr="00974569">
          <w:rPr>
            <w:rStyle w:val="Hyperlink"/>
            <w:noProof/>
            <w:spacing w:val="-1"/>
            <w:lang w:val="en-US"/>
          </w:rPr>
          <w:t>o</w:t>
        </w:r>
        <w:r w:rsidRPr="00974569">
          <w:rPr>
            <w:rStyle w:val="Hyperlink"/>
            <w:noProof/>
            <w:lang w:val="en-US"/>
          </w:rPr>
          <w:t>f</w:t>
        </w:r>
        <w:r w:rsidRPr="00974569">
          <w:rPr>
            <w:rStyle w:val="Hyperlink"/>
            <w:noProof/>
            <w:spacing w:val="1"/>
            <w:lang w:val="en-US"/>
          </w:rPr>
          <w:t xml:space="preserve"> </w:t>
        </w:r>
        <w:r w:rsidRPr="00974569">
          <w:rPr>
            <w:rStyle w:val="Hyperlink"/>
            <w:noProof/>
            <w:lang w:val="en-US"/>
          </w:rPr>
          <w:t>P</w:t>
        </w:r>
        <w:r w:rsidRPr="00974569">
          <w:rPr>
            <w:rStyle w:val="Hyperlink"/>
            <w:noProof/>
            <w:spacing w:val="-1"/>
            <w:lang w:val="en-US"/>
          </w:rPr>
          <w:t>ub</w:t>
        </w:r>
        <w:r w:rsidRPr="00974569">
          <w:rPr>
            <w:rStyle w:val="Hyperlink"/>
            <w:noProof/>
            <w:spacing w:val="1"/>
            <w:lang w:val="en-US"/>
          </w:rPr>
          <w:t>li</w:t>
        </w:r>
        <w:r w:rsidRPr="00974569">
          <w:rPr>
            <w:rStyle w:val="Hyperlink"/>
            <w:noProof/>
            <w:lang w:val="en-US"/>
          </w:rPr>
          <w:t>ca</w:t>
        </w:r>
        <w:r w:rsidRPr="00974569">
          <w:rPr>
            <w:rStyle w:val="Hyperlink"/>
            <w:noProof/>
            <w:spacing w:val="-3"/>
            <w:lang w:val="en-US"/>
          </w:rPr>
          <w:t>t</w:t>
        </w:r>
        <w:r w:rsidRPr="00974569">
          <w:rPr>
            <w:rStyle w:val="Hyperlink"/>
            <w:noProof/>
            <w:spacing w:val="1"/>
            <w:lang w:val="en-US"/>
          </w:rPr>
          <w:t>i</w:t>
        </w:r>
        <w:r w:rsidRPr="00974569">
          <w:rPr>
            <w:rStyle w:val="Hyperlink"/>
            <w:noProof/>
            <w:spacing w:val="-4"/>
            <w:lang w:val="en-US"/>
          </w:rPr>
          <w:t>o</w:t>
        </w:r>
        <w:r w:rsidRPr="00974569">
          <w:rPr>
            <w:rStyle w:val="Hyperlink"/>
            <w:noProof/>
            <w:spacing w:val="-1"/>
            <w:lang w:val="en-US"/>
          </w:rPr>
          <w:t>n</w:t>
        </w:r>
        <w:r w:rsidRPr="00974569">
          <w:rPr>
            <w:rStyle w:val="Hyperlink"/>
            <w:noProof/>
            <w:lang w:val="en-US"/>
          </w:rPr>
          <w:t>s</w:t>
        </w:r>
        <w:r>
          <w:rPr>
            <w:noProof/>
            <w:webHidden/>
          </w:rPr>
          <w:tab/>
        </w:r>
        <w:r>
          <w:rPr>
            <w:noProof/>
            <w:webHidden/>
          </w:rPr>
          <w:fldChar w:fldCharType="begin"/>
        </w:r>
        <w:r>
          <w:rPr>
            <w:noProof/>
            <w:webHidden/>
          </w:rPr>
          <w:instrText xml:space="preserve"> PAGEREF _Toc146189071 \h </w:instrText>
        </w:r>
        <w:r>
          <w:rPr>
            <w:noProof/>
            <w:webHidden/>
          </w:rPr>
        </w:r>
        <w:r>
          <w:rPr>
            <w:noProof/>
            <w:webHidden/>
          </w:rPr>
          <w:fldChar w:fldCharType="separate"/>
        </w:r>
        <w:r>
          <w:rPr>
            <w:noProof/>
            <w:webHidden/>
          </w:rPr>
          <w:t>12</w:t>
        </w:r>
        <w:r>
          <w:rPr>
            <w:noProof/>
            <w:webHidden/>
          </w:rPr>
          <w:fldChar w:fldCharType="end"/>
        </w:r>
      </w:hyperlink>
    </w:p>
    <w:p w14:paraId="12FDA124" w14:textId="28268404" w:rsidR="001F2A32" w:rsidRDefault="001F2A32">
      <w:pPr>
        <w:pStyle w:val="TOC1"/>
        <w:tabs>
          <w:tab w:val="left" w:pos="480"/>
        </w:tabs>
        <w:rPr>
          <w:rFonts w:asciiTheme="minorHAnsi" w:eastAsiaTheme="minorEastAsia" w:hAnsiTheme="minorHAnsi"/>
          <w:b w:val="0"/>
          <w:bCs w:val="0"/>
          <w:noProof/>
          <w:kern w:val="2"/>
          <w:sz w:val="22"/>
          <w:lang w:eastAsia="en-GB"/>
          <w14:ligatures w14:val="standardContextual"/>
        </w:rPr>
      </w:pPr>
      <w:hyperlink w:anchor="_Toc146189072" w:history="1">
        <w:r w:rsidRPr="00974569">
          <w:rPr>
            <w:rStyle w:val="Hyperlink"/>
            <w:noProof/>
          </w:rPr>
          <w:t>6</w:t>
        </w:r>
        <w:r>
          <w:rPr>
            <w:rFonts w:asciiTheme="minorHAnsi" w:eastAsiaTheme="minorEastAsia" w:hAnsiTheme="minorHAnsi"/>
            <w:b w:val="0"/>
            <w:bCs w:val="0"/>
            <w:noProof/>
            <w:kern w:val="2"/>
            <w:sz w:val="22"/>
            <w:lang w:eastAsia="en-GB"/>
            <w14:ligatures w14:val="standardContextual"/>
          </w:rPr>
          <w:tab/>
        </w:r>
        <w:r w:rsidRPr="00974569">
          <w:rPr>
            <w:rStyle w:val="Hyperlink"/>
            <w:noProof/>
          </w:rPr>
          <w:t>Training</w:t>
        </w:r>
        <w:r>
          <w:rPr>
            <w:noProof/>
            <w:webHidden/>
          </w:rPr>
          <w:tab/>
        </w:r>
        <w:r>
          <w:rPr>
            <w:noProof/>
            <w:webHidden/>
          </w:rPr>
          <w:fldChar w:fldCharType="begin"/>
        </w:r>
        <w:r>
          <w:rPr>
            <w:noProof/>
            <w:webHidden/>
          </w:rPr>
          <w:instrText xml:space="preserve"> PAGEREF _Toc146189072 \h </w:instrText>
        </w:r>
        <w:r>
          <w:rPr>
            <w:noProof/>
            <w:webHidden/>
          </w:rPr>
        </w:r>
        <w:r>
          <w:rPr>
            <w:noProof/>
            <w:webHidden/>
          </w:rPr>
          <w:fldChar w:fldCharType="separate"/>
        </w:r>
        <w:r>
          <w:rPr>
            <w:noProof/>
            <w:webHidden/>
          </w:rPr>
          <w:t>13</w:t>
        </w:r>
        <w:r>
          <w:rPr>
            <w:noProof/>
            <w:webHidden/>
          </w:rPr>
          <w:fldChar w:fldCharType="end"/>
        </w:r>
      </w:hyperlink>
    </w:p>
    <w:p w14:paraId="271B9149" w14:textId="23C276AE" w:rsidR="001F2A32" w:rsidRDefault="001F2A32">
      <w:pPr>
        <w:pStyle w:val="TOC1"/>
        <w:tabs>
          <w:tab w:val="left" w:pos="480"/>
        </w:tabs>
        <w:rPr>
          <w:rFonts w:asciiTheme="minorHAnsi" w:eastAsiaTheme="minorEastAsia" w:hAnsiTheme="minorHAnsi"/>
          <w:b w:val="0"/>
          <w:bCs w:val="0"/>
          <w:noProof/>
          <w:kern w:val="2"/>
          <w:sz w:val="22"/>
          <w:lang w:eastAsia="en-GB"/>
          <w14:ligatures w14:val="standardContextual"/>
        </w:rPr>
      </w:pPr>
      <w:hyperlink w:anchor="_Toc146189073" w:history="1">
        <w:r w:rsidRPr="00974569">
          <w:rPr>
            <w:rStyle w:val="Hyperlink"/>
            <w:rFonts w:cs="Arial"/>
            <w:noProof/>
          </w:rPr>
          <w:t>7</w:t>
        </w:r>
        <w:r>
          <w:rPr>
            <w:rFonts w:asciiTheme="minorHAnsi" w:eastAsiaTheme="minorEastAsia" w:hAnsiTheme="minorHAnsi"/>
            <w:b w:val="0"/>
            <w:bCs w:val="0"/>
            <w:noProof/>
            <w:kern w:val="2"/>
            <w:sz w:val="22"/>
            <w:lang w:eastAsia="en-GB"/>
            <w14:ligatures w14:val="standardContextual"/>
          </w:rPr>
          <w:tab/>
        </w:r>
        <w:r w:rsidRPr="00974569">
          <w:rPr>
            <w:rStyle w:val="Hyperlink"/>
            <w:rFonts w:cs="Arial"/>
            <w:noProof/>
          </w:rPr>
          <w:t>Impact analysis</w:t>
        </w:r>
        <w:r>
          <w:rPr>
            <w:noProof/>
            <w:webHidden/>
          </w:rPr>
          <w:tab/>
        </w:r>
        <w:r>
          <w:rPr>
            <w:noProof/>
            <w:webHidden/>
          </w:rPr>
          <w:fldChar w:fldCharType="begin"/>
        </w:r>
        <w:r>
          <w:rPr>
            <w:noProof/>
            <w:webHidden/>
          </w:rPr>
          <w:instrText xml:space="preserve"> PAGEREF _Toc146189073 \h </w:instrText>
        </w:r>
        <w:r>
          <w:rPr>
            <w:noProof/>
            <w:webHidden/>
          </w:rPr>
        </w:r>
        <w:r>
          <w:rPr>
            <w:noProof/>
            <w:webHidden/>
          </w:rPr>
          <w:fldChar w:fldCharType="separate"/>
        </w:r>
        <w:r>
          <w:rPr>
            <w:noProof/>
            <w:webHidden/>
          </w:rPr>
          <w:t>13</w:t>
        </w:r>
        <w:r>
          <w:rPr>
            <w:noProof/>
            <w:webHidden/>
          </w:rPr>
          <w:fldChar w:fldCharType="end"/>
        </w:r>
      </w:hyperlink>
    </w:p>
    <w:p w14:paraId="67A161A1" w14:textId="0F5C72C7" w:rsidR="001F2A32" w:rsidRDefault="001F2A32">
      <w:pPr>
        <w:pStyle w:val="TOC2"/>
        <w:tabs>
          <w:tab w:val="right" w:leader="dot" w:pos="9016"/>
        </w:tabs>
        <w:rPr>
          <w:rFonts w:asciiTheme="minorHAnsi" w:eastAsiaTheme="minorEastAsia" w:hAnsiTheme="minorHAnsi"/>
          <w:noProof/>
          <w:kern w:val="2"/>
          <w:sz w:val="22"/>
          <w:lang w:eastAsia="en-GB"/>
          <w14:ligatures w14:val="standardContextual"/>
        </w:rPr>
      </w:pPr>
      <w:hyperlink w:anchor="_Toc146189074" w:history="1">
        <w:r w:rsidRPr="00974569">
          <w:rPr>
            <w:rStyle w:val="Hyperlink"/>
            <w:rFonts w:cs="Arial"/>
            <w:noProof/>
          </w:rPr>
          <w:t>7.1 Equality</w:t>
        </w:r>
        <w:r>
          <w:rPr>
            <w:noProof/>
            <w:webHidden/>
          </w:rPr>
          <w:tab/>
        </w:r>
        <w:r>
          <w:rPr>
            <w:noProof/>
            <w:webHidden/>
          </w:rPr>
          <w:fldChar w:fldCharType="begin"/>
        </w:r>
        <w:r>
          <w:rPr>
            <w:noProof/>
            <w:webHidden/>
          </w:rPr>
          <w:instrText xml:space="preserve"> PAGEREF _Toc146189074 \h </w:instrText>
        </w:r>
        <w:r>
          <w:rPr>
            <w:noProof/>
            <w:webHidden/>
          </w:rPr>
        </w:r>
        <w:r>
          <w:rPr>
            <w:noProof/>
            <w:webHidden/>
          </w:rPr>
          <w:fldChar w:fldCharType="separate"/>
        </w:r>
        <w:r>
          <w:rPr>
            <w:noProof/>
            <w:webHidden/>
          </w:rPr>
          <w:t>13</w:t>
        </w:r>
        <w:r>
          <w:rPr>
            <w:noProof/>
            <w:webHidden/>
          </w:rPr>
          <w:fldChar w:fldCharType="end"/>
        </w:r>
      </w:hyperlink>
    </w:p>
    <w:p w14:paraId="352B3B99" w14:textId="29DA57FA" w:rsidR="001F2A32" w:rsidRDefault="001F2A32">
      <w:pPr>
        <w:pStyle w:val="TOC2"/>
        <w:tabs>
          <w:tab w:val="right" w:leader="dot" w:pos="9016"/>
        </w:tabs>
        <w:rPr>
          <w:rFonts w:asciiTheme="minorHAnsi" w:eastAsiaTheme="minorEastAsia" w:hAnsiTheme="minorHAnsi"/>
          <w:noProof/>
          <w:kern w:val="2"/>
          <w:sz w:val="22"/>
          <w:lang w:eastAsia="en-GB"/>
          <w14:ligatures w14:val="standardContextual"/>
        </w:rPr>
      </w:pPr>
      <w:hyperlink w:anchor="_Toc146189075" w:history="1">
        <w:r w:rsidRPr="00974569">
          <w:rPr>
            <w:rStyle w:val="Hyperlink"/>
            <w:rFonts w:cs="Arial"/>
            <w:noProof/>
          </w:rPr>
          <w:t>7.2 Bribery Act 2010</w:t>
        </w:r>
        <w:r>
          <w:rPr>
            <w:noProof/>
            <w:webHidden/>
          </w:rPr>
          <w:tab/>
        </w:r>
        <w:r>
          <w:rPr>
            <w:noProof/>
            <w:webHidden/>
          </w:rPr>
          <w:fldChar w:fldCharType="begin"/>
        </w:r>
        <w:r>
          <w:rPr>
            <w:noProof/>
            <w:webHidden/>
          </w:rPr>
          <w:instrText xml:space="preserve"> PAGEREF _Toc146189075 \h </w:instrText>
        </w:r>
        <w:r>
          <w:rPr>
            <w:noProof/>
            <w:webHidden/>
          </w:rPr>
        </w:r>
        <w:r>
          <w:rPr>
            <w:noProof/>
            <w:webHidden/>
          </w:rPr>
          <w:fldChar w:fldCharType="separate"/>
        </w:r>
        <w:r>
          <w:rPr>
            <w:noProof/>
            <w:webHidden/>
          </w:rPr>
          <w:t>13</w:t>
        </w:r>
        <w:r>
          <w:rPr>
            <w:noProof/>
            <w:webHidden/>
          </w:rPr>
          <w:fldChar w:fldCharType="end"/>
        </w:r>
      </w:hyperlink>
    </w:p>
    <w:p w14:paraId="569A3BD1" w14:textId="71E2EE9C" w:rsidR="001F2A32" w:rsidRDefault="001F2A32">
      <w:pPr>
        <w:pStyle w:val="TOC1"/>
        <w:tabs>
          <w:tab w:val="left" w:pos="480"/>
        </w:tabs>
        <w:rPr>
          <w:rFonts w:asciiTheme="minorHAnsi" w:eastAsiaTheme="minorEastAsia" w:hAnsiTheme="minorHAnsi"/>
          <w:b w:val="0"/>
          <w:bCs w:val="0"/>
          <w:noProof/>
          <w:kern w:val="2"/>
          <w:sz w:val="22"/>
          <w:lang w:eastAsia="en-GB"/>
          <w14:ligatures w14:val="standardContextual"/>
        </w:rPr>
      </w:pPr>
      <w:hyperlink w:anchor="_Toc146189076" w:history="1">
        <w:r w:rsidRPr="00974569">
          <w:rPr>
            <w:rStyle w:val="Hyperlink"/>
            <w:rFonts w:cs="Arial"/>
            <w:noProof/>
          </w:rPr>
          <w:t>8</w:t>
        </w:r>
        <w:r>
          <w:rPr>
            <w:rFonts w:asciiTheme="minorHAnsi" w:eastAsiaTheme="minorEastAsia" w:hAnsiTheme="minorHAnsi"/>
            <w:b w:val="0"/>
            <w:bCs w:val="0"/>
            <w:noProof/>
            <w:kern w:val="2"/>
            <w:sz w:val="22"/>
            <w:lang w:eastAsia="en-GB"/>
            <w14:ligatures w14:val="standardContextual"/>
          </w:rPr>
          <w:tab/>
        </w:r>
        <w:r w:rsidRPr="00974569">
          <w:rPr>
            <w:rStyle w:val="Hyperlink"/>
            <w:rFonts w:cs="Arial"/>
            <w:noProof/>
          </w:rPr>
          <w:t>Implementation</w:t>
        </w:r>
        <w:r>
          <w:rPr>
            <w:noProof/>
            <w:webHidden/>
          </w:rPr>
          <w:tab/>
        </w:r>
        <w:r>
          <w:rPr>
            <w:noProof/>
            <w:webHidden/>
          </w:rPr>
          <w:fldChar w:fldCharType="begin"/>
        </w:r>
        <w:r>
          <w:rPr>
            <w:noProof/>
            <w:webHidden/>
          </w:rPr>
          <w:instrText xml:space="preserve"> PAGEREF _Toc146189076 \h </w:instrText>
        </w:r>
        <w:r>
          <w:rPr>
            <w:noProof/>
            <w:webHidden/>
          </w:rPr>
        </w:r>
        <w:r>
          <w:rPr>
            <w:noProof/>
            <w:webHidden/>
          </w:rPr>
          <w:fldChar w:fldCharType="separate"/>
        </w:r>
        <w:r>
          <w:rPr>
            <w:noProof/>
            <w:webHidden/>
          </w:rPr>
          <w:t>13</w:t>
        </w:r>
        <w:r>
          <w:rPr>
            <w:noProof/>
            <w:webHidden/>
          </w:rPr>
          <w:fldChar w:fldCharType="end"/>
        </w:r>
      </w:hyperlink>
    </w:p>
    <w:p w14:paraId="75F59597" w14:textId="65798F02" w:rsidR="001F2A32" w:rsidRDefault="001F2A32">
      <w:pPr>
        <w:pStyle w:val="TOC1"/>
        <w:tabs>
          <w:tab w:val="left" w:pos="480"/>
        </w:tabs>
        <w:rPr>
          <w:rFonts w:asciiTheme="minorHAnsi" w:eastAsiaTheme="minorEastAsia" w:hAnsiTheme="minorHAnsi"/>
          <w:b w:val="0"/>
          <w:bCs w:val="0"/>
          <w:noProof/>
          <w:kern w:val="2"/>
          <w:sz w:val="22"/>
          <w:lang w:eastAsia="en-GB"/>
          <w14:ligatures w14:val="standardContextual"/>
        </w:rPr>
      </w:pPr>
      <w:hyperlink w:anchor="_Toc146189077" w:history="1">
        <w:r w:rsidRPr="00974569">
          <w:rPr>
            <w:rStyle w:val="Hyperlink"/>
            <w:rFonts w:cs="Arial"/>
            <w:noProof/>
          </w:rPr>
          <w:t>9</w:t>
        </w:r>
        <w:r>
          <w:rPr>
            <w:rFonts w:asciiTheme="minorHAnsi" w:eastAsiaTheme="minorEastAsia" w:hAnsiTheme="minorHAnsi"/>
            <w:b w:val="0"/>
            <w:bCs w:val="0"/>
            <w:noProof/>
            <w:kern w:val="2"/>
            <w:sz w:val="22"/>
            <w:lang w:eastAsia="en-GB"/>
            <w14:ligatures w14:val="standardContextual"/>
          </w:rPr>
          <w:tab/>
        </w:r>
        <w:r w:rsidRPr="00974569">
          <w:rPr>
            <w:rStyle w:val="Hyperlink"/>
            <w:rFonts w:cs="Arial"/>
            <w:noProof/>
          </w:rPr>
          <w:t>Policy monitoring and review</w:t>
        </w:r>
        <w:r>
          <w:rPr>
            <w:noProof/>
            <w:webHidden/>
          </w:rPr>
          <w:tab/>
        </w:r>
        <w:r>
          <w:rPr>
            <w:noProof/>
            <w:webHidden/>
          </w:rPr>
          <w:fldChar w:fldCharType="begin"/>
        </w:r>
        <w:r>
          <w:rPr>
            <w:noProof/>
            <w:webHidden/>
          </w:rPr>
          <w:instrText xml:space="preserve"> PAGEREF _Toc146189077 \h </w:instrText>
        </w:r>
        <w:r>
          <w:rPr>
            <w:noProof/>
            <w:webHidden/>
          </w:rPr>
        </w:r>
        <w:r>
          <w:rPr>
            <w:noProof/>
            <w:webHidden/>
          </w:rPr>
          <w:fldChar w:fldCharType="separate"/>
        </w:r>
        <w:r>
          <w:rPr>
            <w:noProof/>
            <w:webHidden/>
          </w:rPr>
          <w:t>14</w:t>
        </w:r>
        <w:r>
          <w:rPr>
            <w:noProof/>
            <w:webHidden/>
          </w:rPr>
          <w:fldChar w:fldCharType="end"/>
        </w:r>
      </w:hyperlink>
    </w:p>
    <w:p w14:paraId="7AA0E74A" w14:textId="6978CBCC" w:rsidR="00126A6F" w:rsidRDefault="0024108B">
      <w:r>
        <w:fldChar w:fldCharType="end"/>
      </w:r>
      <w:bookmarkEnd w:id="0"/>
      <w:r w:rsidR="00126A6F">
        <w:br w:type="page"/>
      </w:r>
    </w:p>
    <w:p w14:paraId="09D602B0" w14:textId="77777777" w:rsidR="00126A6F" w:rsidRDefault="00C07856" w:rsidP="00D94765">
      <w:pPr>
        <w:pStyle w:val="Heading2"/>
      </w:pPr>
      <w:bookmarkStart w:id="1" w:name="_Toc146189039"/>
      <w:r>
        <w:t>1</w:t>
      </w:r>
      <w:r>
        <w:tab/>
        <w:t>Introduction</w:t>
      </w:r>
      <w:bookmarkEnd w:id="1"/>
    </w:p>
    <w:p w14:paraId="39632EE7" w14:textId="218E506D" w:rsidR="00B470A0" w:rsidRDefault="00B470A0" w:rsidP="00B470A0">
      <w:pPr>
        <w:pStyle w:val="Heading3"/>
        <w:rPr>
          <w:lang w:val="en-US"/>
        </w:rPr>
      </w:pPr>
      <w:bookmarkStart w:id="2" w:name="_Toc146189040"/>
      <w:r>
        <w:rPr>
          <w:lang w:val="en-US"/>
        </w:rPr>
        <w:t>1.1 Policy Purpose</w:t>
      </w:r>
      <w:bookmarkEnd w:id="2"/>
    </w:p>
    <w:p w14:paraId="22389E0F" w14:textId="7A2BD3E6" w:rsidR="00B470A0" w:rsidRPr="001F2A32" w:rsidRDefault="00C07856" w:rsidP="00C07856">
      <w:pPr>
        <w:widowControl w:val="0"/>
        <w:tabs>
          <w:tab w:val="left" w:pos="1520"/>
        </w:tabs>
        <w:autoSpaceDE w:val="0"/>
        <w:autoSpaceDN w:val="0"/>
        <w:adjustRightInd w:val="0"/>
        <w:ind w:right="185"/>
        <w:jc w:val="both"/>
        <w:rPr>
          <w:rFonts w:cs="Arial"/>
          <w:sz w:val="22"/>
          <w:lang w:val="en-US"/>
        </w:rPr>
      </w:pPr>
      <w:r w:rsidRPr="00000C6A">
        <w:rPr>
          <w:rFonts w:cs="Arial"/>
          <w:spacing w:val="-1"/>
          <w:sz w:val="22"/>
          <w:lang w:val="en-US"/>
        </w:rPr>
        <w:t xml:space="preserve">This </w:t>
      </w:r>
      <w:r>
        <w:rPr>
          <w:rFonts w:cs="Arial"/>
          <w:sz w:val="22"/>
          <w:lang w:val="en-US"/>
        </w:rPr>
        <w:t>p</w:t>
      </w:r>
      <w:r w:rsidRPr="00000C6A">
        <w:rPr>
          <w:rFonts w:cs="Arial"/>
          <w:sz w:val="22"/>
          <w:lang w:val="en-US"/>
        </w:rPr>
        <w:t>ol</w:t>
      </w:r>
      <w:r w:rsidRPr="00000C6A">
        <w:rPr>
          <w:rFonts w:cs="Arial"/>
          <w:spacing w:val="-3"/>
          <w:sz w:val="22"/>
          <w:lang w:val="en-US"/>
        </w:rPr>
        <w:t>i</w:t>
      </w:r>
      <w:r w:rsidRPr="00000C6A">
        <w:rPr>
          <w:rFonts w:cs="Arial"/>
          <w:spacing w:val="1"/>
          <w:sz w:val="22"/>
          <w:lang w:val="en-US"/>
        </w:rPr>
        <w:t>c</w:t>
      </w:r>
      <w:r w:rsidRPr="00000C6A">
        <w:rPr>
          <w:rFonts w:cs="Arial"/>
          <w:sz w:val="22"/>
          <w:lang w:val="en-US"/>
        </w:rPr>
        <w:t>y</w:t>
      </w:r>
      <w:r w:rsidRPr="00000C6A">
        <w:rPr>
          <w:rFonts w:cs="Arial"/>
          <w:spacing w:val="-3"/>
          <w:sz w:val="22"/>
          <w:lang w:val="en-US"/>
        </w:rPr>
        <w:t xml:space="preserve"> </w:t>
      </w:r>
      <w:r w:rsidRPr="00000C6A">
        <w:rPr>
          <w:rFonts w:cs="Arial"/>
          <w:sz w:val="22"/>
          <w:lang w:val="en-US"/>
        </w:rPr>
        <w:t>provides the</w:t>
      </w:r>
      <w:r w:rsidRPr="00000C6A">
        <w:rPr>
          <w:rFonts w:cs="Arial"/>
          <w:spacing w:val="-1"/>
          <w:sz w:val="22"/>
          <w:lang w:val="en-US"/>
        </w:rPr>
        <w:t xml:space="preserve"> framework within which </w:t>
      </w:r>
      <w:proofErr w:type="gramStart"/>
      <w:r w:rsidR="00B470A0">
        <w:rPr>
          <w:rFonts w:cs="Arial"/>
          <w:spacing w:val="-1"/>
          <w:sz w:val="22"/>
          <w:lang w:val="en-US"/>
        </w:rPr>
        <w:t>North East</w:t>
      </w:r>
      <w:proofErr w:type="gramEnd"/>
      <w:r w:rsidR="00B470A0">
        <w:rPr>
          <w:rFonts w:cs="Arial"/>
          <w:spacing w:val="-1"/>
          <w:sz w:val="22"/>
          <w:lang w:val="en-US"/>
        </w:rPr>
        <w:t xml:space="preserve"> Lincolnshire Council (‘the Council’) makes decisions about deferred payment agreements (DPAs</w:t>
      </w:r>
      <w:r w:rsidR="00B470A0" w:rsidRPr="001F2A32">
        <w:rPr>
          <w:rFonts w:cs="Arial"/>
          <w:spacing w:val="-1"/>
          <w:sz w:val="22"/>
          <w:lang w:val="en-US"/>
        </w:rPr>
        <w:t>)</w:t>
      </w:r>
      <w:r w:rsidRPr="001F2A32">
        <w:rPr>
          <w:rFonts w:cs="Arial"/>
          <w:sz w:val="22"/>
          <w:lang w:val="en-US"/>
        </w:rPr>
        <w:t>.  It should be read in tandem with the</w:t>
      </w:r>
      <w:r w:rsidR="00B470A0" w:rsidRPr="001F2A32">
        <w:rPr>
          <w:rFonts w:cs="Arial"/>
          <w:sz w:val="22"/>
          <w:lang w:val="en-US"/>
        </w:rPr>
        <w:t xml:space="preserve"> following policies:</w:t>
      </w:r>
    </w:p>
    <w:p w14:paraId="0C9D8B36" w14:textId="3585A785" w:rsidR="00B470A0" w:rsidRPr="00B470A0" w:rsidRDefault="00B470A0" w:rsidP="00801553">
      <w:pPr>
        <w:pStyle w:val="ListParagraph"/>
        <w:widowControl w:val="0"/>
        <w:numPr>
          <w:ilvl w:val="0"/>
          <w:numId w:val="12"/>
        </w:numPr>
        <w:tabs>
          <w:tab w:val="left" w:pos="1520"/>
        </w:tabs>
        <w:autoSpaceDE w:val="0"/>
        <w:autoSpaceDN w:val="0"/>
        <w:adjustRightInd w:val="0"/>
        <w:ind w:right="185"/>
        <w:jc w:val="both"/>
        <w:rPr>
          <w:rFonts w:cs="Arial"/>
          <w:bCs/>
          <w:sz w:val="22"/>
        </w:rPr>
      </w:pPr>
      <w:r w:rsidRPr="001F2A32">
        <w:rPr>
          <w:rFonts w:cs="Arial"/>
          <w:bCs/>
          <w:sz w:val="22"/>
        </w:rPr>
        <w:t xml:space="preserve">Charging and Financial Assessment for Adult Care and Support Services which can be found at </w:t>
      </w:r>
      <w:hyperlink r:id="rId12" w:history="1">
        <w:r w:rsidRPr="00B470A0">
          <w:rPr>
            <w:color w:val="0000FF"/>
            <w:sz w:val="22"/>
            <w:u w:val="single"/>
          </w:rPr>
          <w:t>Adult social care | NELC (nelincs.gov.uk)</w:t>
        </w:r>
      </w:hyperlink>
    </w:p>
    <w:p w14:paraId="7231D6B4" w14:textId="5395EFCA" w:rsidR="00C07856" w:rsidRPr="00B470A0" w:rsidRDefault="00C07856" w:rsidP="00801553">
      <w:pPr>
        <w:pStyle w:val="ListParagraph"/>
        <w:widowControl w:val="0"/>
        <w:numPr>
          <w:ilvl w:val="0"/>
          <w:numId w:val="12"/>
        </w:numPr>
        <w:tabs>
          <w:tab w:val="left" w:pos="1520"/>
        </w:tabs>
        <w:autoSpaceDE w:val="0"/>
        <w:autoSpaceDN w:val="0"/>
        <w:adjustRightInd w:val="0"/>
        <w:ind w:right="185"/>
        <w:jc w:val="both"/>
        <w:rPr>
          <w:rFonts w:cs="Arial"/>
          <w:bCs/>
          <w:strike/>
          <w:sz w:val="22"/>
        </w:rPr>
      </w:pPr>
      <w:r w:rsidRPr="001F2A32">
        <w:rPr>
          <w:rFonts w:cs="Arial"/>
          <w:bCs/>
          <w:sz w:val="22"/>
        </w:rPr>
        <w:t>Micro-Commissioning in Adult Social Care, Continuing Healthcare and Funded Nursing Care: principles of consistent, pragmatic, and ethical decision making</w:t>
      </w:r>
      <w:r w:rsidR="00B470A0" w:rsidRPr="001F2A32">
        <w:rPr>
          <w:rFonts w:cs="Arial"/>
          <w:bCs/>
          <w:sz w:val="22"/>
        </w:rPr>
        <w:t xml:space="preserve"> </w:t>
      </w:r>
      <w:r w:rsidRPr="001F2A32">
        <w:rPr>
          <w:rFonts w:cs="Arial"/>
          <w:bCs/>
          <w:sz w:val="22"/>
        </w:rPr>
        <w:t xml:space="preserve">which can be found at </w:t>
      </w:r>
      <w:hyperlink r:id="rId13" w:history="1">
        <w:r w:rsidR="00D75A24" w:rsidRPr="00B470A0">
          <w:rPr>
            <w:rStyle w:val="Hyperlink"/>
            <w:sz w:val="22"/>
          </w:rPr>
          <w:t>https://www.northeastlincolnshireccg.nhs.uk/publications/</w:t>
        </w:r>
      </w:hyperlink>
      <w:r w:rsidR="00D75A24" w:rsidRPr="00B470A0">
        <w:rPr>
          <w:sz w:val="22"/>
        </w:rPr>
        <w:t xml:space="preserve"> </w:t>
      </w:r>
      <w:r w:rsidRPr="00B470A0">
        <w:rPr>
          <w:rFonts w:eastAsia="Times New Roman" w:cs="Arial"/>
          <w:strike/>
          <w:sz w:val="22"/>
          <w:lang w:eastAsia="en-GB"/>
        </w:rPr>
        <w:t xml:space="preserve">  </w:t>
      </w:r>
    </w:p>
    <w:p w14:paraId="4001A041" w14:textId="6BB0255C" w:rsidR="00B470A0" w:rsidRPr="001F2A32" w:rsidRDefault="00B470A0" w:rsidP="00B470A0">
      <w:pPr>
        <w:pStyle w:val="Heading3"/>
        <w:rPr>
          <w:rFonts w:eastAsia="Times New Roman"/>
          <w:color w:val="auto"/>
          <w:lang w:eastAsia="en-GB"/>
        </w:rPr>
      </w:pPr>
      <w:bookmarkStart w:id="3" w:name="_Toc146189041"/>
      <w:r w:rsidRPr="001F2A32">
        <w:rPr>
          <w:rFonts w:eastAsia="Times New Roman"/>
          <w:color w:val="auto"/>
          <w:lang w:eastAsia="en-GB"/>
        </w:rPr>
        <w:t>1.2 Policy Application</w:t>
      </w:r>
      <w:bookmarkEnd w:id="3"/>
    </w:p>
    <w:p w14:paraId="7D069D24" w14:textId="7B83DD77" w:rsidR="00C07856" w:rsidRPr="001F2A32" w:rsidRDefault="00C07856" w:rsidP="00C07856">
      <w:pPr>
        <w:widowControl w:val="0"/>
        <w:tabs>
          <w:tab w:val="left" w:pos="1520"/>
        </w:tabs>
        <w:autoSpaceDE w:val="0"/>
        <w:autoSpaceDN w:val="0"/>
        <w:adjustRightInd w:val="0"/>
        <w:ind w:right="185"/>
        <w:jc w:val="both"/>
        <w:rPr>
          <w:rFonts w:eastAsia="Times New Roman" w:cs="Arial"/>
          <w:bCs/>
          <w:sz w:val="22"/>
          <w:lang w:eastAsia="en-GB"/>
        </w:rPr>
      </w:pPr>
      <w:r w:rsidRPr="001F2A32">
        <w:rPr>
          <w:rFonts w:eastAsia="Times New Roman" w:cs="Arial"/>
          <w:sz w:val="22"/>
          <w:lang w:eastAsia="en-GB"/>
        </w:rPr>
        <w:t xml:space="preserve">Via an agreement under s75 of the National Health Service Act 2006, the </w:t>
      </w:r>
      <w:r w:rsidR="002C5DFA" w:rsidRPr="001F2A32">
        <w:rPr>
          <w:rFonts w:eastAsia="Times New Roman" w:cs="Arial"/>
          <w:sz w:val="22"/>
          <w:lang w:eastAsia="en-GB"/>
        </w:rPr>
        <w:t>Council</w:t>
      </w:r>
      <w:r w:rsidR="00B470A0" w:rsidRPr="001F2A32">
        <w:rPr>
          <w:rFonts w:eastAsia="Times New Roman" w:cs="Arial"/>
          <w:sz w:val="22"/>
          <w:lang w:eastAsia="en-GB"/>
        </w:rPr>
        <w:t xml:space="preserve"> </w:t>
      </w:r>
      <w:r w:rsidRPr="001F2A32">
        <w:rPr>
          <w:rFonts w:eastAsia="Times New Roman" w:cs="Arial"/>
          <w:sz w:val="22"/>
          <w:lang w:eastAsia="en-GB"/>
        </w:rPr>
        <w:t xml:space="preserve">delegated </w:t>
      </w:r>
      <w:r w:rsidR="00525665" w:rsidRPr="001F2A32">
        <w:rPr>
          <w:rFonts w:eastAsia="Times New Roman" w:cs="Arial"/>
          <w:sz w:val="22"/>
          <w:lang w:eastAsia="en-GB"/>
        </w:rPr>
        <w:t xml:space="preserve">some </w:t>
      </w:r>
      <w:r w:rsidRPr="001F2A32">
        <w:rPr>
          <w:rFonts w:eastAsia="Times New Roman" w:cs="Arial"/>
          <w:sz w:val="22"/>
          <w:lang w:eastAsia="en-GB"/>
        </w:rPr>
        <w:t xml:space="preserve">adult social care responsibilities to the </w:t>
      </w:r>
      <w:r w:rsidR="00525665" w:rsidRPr="001F2A32">
        <w:rPr>
          <w:rFonts w:eastAsia="Times New Roman" w:cs="Arial"/>
          <w:sz w:val="22"/>
          <w:lang w:eastAsia="en-GB"/>
        </w:rPr>
        <w:t>NHS Humber and North Yorkshire Integrated Care Board (ICB</w:t>
      </w:r>
      <w:r w:rsidRPr="001F2A32">
        <w:rPr>
          <w:rFonts w:eastAsia="Times New Roman" w:cs="Arial"/>
          <w:sz w:val="22"/>
          <w:lang w:eastAsia="en-GB"/>
        </w:rPr>
        <w:t>)</w:t>
      </w:r>
      <w:r w:rsidR="009F42C3" w:rsidRPr="001F2A32">
        <w:rPr>
          <w:rFonts w:eastAsia="Times New Roman" w:cs="Arial"/>
          <w:sz w:val="22"/>
          <w:lang w:eastAsia="en-GB"/>
        </w:rPr>
        <w:t xml:space="preserve">, at </w:t>
      </w:r>
      <w:proofErr w:type="gramStart"/>
      <w:r w:rsidR="009F42C3" w:rsidRPr="001F2A32">
        <w:rPr>
          <w:rFonts w:eastAsia="Times New Roman" w:cs="Arial"/>
          <w:sz w:val="22"/>
          <w:lang w:eastAsia="en-GB"/>
        </w:rPr>
        <w:t>North East</w:t>
      </w:r>
      <w:proofErr w:type="gramEnd"/>
      <w:r w:rsidR="009F42C3" w:rsidRPr="001F2A32">
        <w:rPr>
          <w:rFonts w:eastAsia="Times New Roman" w:cs="Arial"/>
          <w:sz w:val="22"/>
          <w:lang w:eastAsia="en-GB"/>
        </w:rPr>
        <w:t xml:space="preserve"> Lincolnshire Place</w:t>
      </w:r>
      <w:r w:rsidRPr="001F2A32">
        <w:rPr>
          <w:rFonts w:eastAsia="Times New Roman" w:cs="Arial"/>
          <w:sz w:val="22"/>
          <w:lang w:eastAsia="en-GB"/>
        </w:rPr>
        <w:t xml:space="preserve">.  The </w:t>
      </w:r>
      <w:r w:rsidR="00525665" w:rsidRPr="001F2A32">
        <w:rPr>
          <w:rFonts w:eastAsia="Times New Roman" w:cs="Arial"/>
          <w:sz w:val="22"/>
          <w:lang w:eastAsia="en-GB"/>
        </w:rPr>
        <w:t>ICB</w:t>
      </w:r>
      <w:r w:rsidR="006D13FC" w:rsidRPr="001F2A32">
        <w:rPr>
          <w:rFonts w:eastAsia="Times New Roman" w:cs="Arial"/>
          <w:sz w:val="22"/>
          <w:lang w:eastAsia="en-GB"/>
        </w:rPr>
        <w:t xml:space="preserve"> and/ or Council</w:t>
      </w:r>
      <w:r w:rsidRPr="001F2A32">
        <w:rPr>
          <w:rFonts w:eastAsia="Times New Roman" w:cs="Arial"/>
          <w:bCs/>
          <w:sz w:val="22"/>
          <w:lang w:eastAsia="en-GB"/>
        </w:rPr>
        <w:t xml:space="preserve"> commission a number of providers to deliver social care functions on behalf of the </w:t>
      </w:r>
      <w:r w:rsidR="002C5DFA" w:rsidRPr="001F2A32">
        <w:rPr>
          <w:rFonts w:eastAsia="Times New Roman" w:cs="Arial"/>
          <w:bCs/>
          <w:sz w:val="22"/>
          <w:lang w:eastAsia="en-GB"/>
        </w:rPr>
        <w:t>Council</w:t>
      </w:r>
      <w:r w:rsidR="006D13FC" w:rsidRPr="001F2A32">
        <w:rPr>
          <w:rFonts w:eastAsia="Times New Roman" w:cs="Arial"/>
          <w:bCs/>
          <w:sz w:val="22"/>
          <w:lang w:eastAsia="en-GB"/>
        </w:rPr>
        <w:t>.  T</w:t>
      </w:r>
      <w:r w:rsidRPr="001F2A32">
        <w:rPr>
          <w:rFonts w:eastAsia="Times New Roman" w:cs="Arial"/>
          <w:bCs/>
          <w:sz w:val="22"/>
          <w:lang w:eastAsia="en-GB"/>
        </w:rPr>
        <w:t>his includes</w:t>
      </w:r>
      <w:r w:rsidR="00512B12" w:rsidRPr="001F2A32">
        <w:rPr>
          <w:rFonts w:eastAsia="Times New Roman" w:cs="Arial"/>
          <w:bCs/>
          <w:sz w:val="22"/>
          <w:lang w:eastAsia="en-GB"/>
        </w:rPr>
        <w:t>:</w:t>
      </w:r>
      <w:r w:rsidRPr="001F2A32">
        <w:rPr>
          <w:rFonts w:eastAsia="Times New Roman" w:cs="Arial"/>
          <w:bCs/>
          <w:sz w:val="22"/>
          <w:lang w:eastAsia="en-GB"/>
        </w:rPr>
        <w:t xml:space="preserve"> </w:t>
      </w:r>
    </w:p>
    <w:p w14:paraId="01C761B2" w14:textId="41860CBF" w:rsidR="00C07856" w:rsidRPr="001F2A32" w:rsidRDefault="00C07856" w:rsidP="00801553">
      <w:pPr>
        <w:pStyle w:val="ListParagraph"/>
        <w:numPr>
          <w:ilvl w:val="0"/>
          <w:numId w:val="1"/>
        </w:numPr>
        <w:autoSpaceDE w:val="0"/>
        <w:autoSpaceDN w:val="0"/>
        <w:adjustRightInd w:val="0"/>
        <w:spacing w:after="0" w:line="240" w:lineRule="auto"/>
        <w:jc w:val="both"/>
        <w:rPr>
          <w:rFonts w:eastAsia="Times New Roman" w:cs="Arial"/>
          <w:bCs/>
          <w:sz w:val="22"/>
          <w:lang w:eastAsia="en-GB"/>
        </w:rPr>
      </w:pPr>
      <w:r w:rsidRPr="001F2A32">
        <w:rPr>
          <w:rFonts w:eastAsia="Times New Roman" w:cs="Arial"/>
          <w:bCs/>
          <w:sz w:val="22"/>
          <w:lang w:eastAsia="en-GB"/>
        </w:rPr>
        <w:t xml:space="preserve">delivery of micro-commissioning functions by Care Plus Group (CPG), Navigo and </w:t>
      </w:r>
      <w:r w:rsidR="00525665" w:rsidRPr="001F2A32">
        <w:rPr>
          <w:rFonts w:eastAsia="Times New Roman" w:cs="Arial"/>
          <w:bCs/>
          <w:sz w:val="22"/>
          <w:lang w:eastAsia="en-GB"/>
        </w:rPr>
        <w:t>F</w:t>
      </w:r>
      <w:r w:rsidRPr="001F2A32">
        <w:rPr>
          <w:rFonts w:eastAsia="Times New Roman" w:cs="Arial"/>
          <w:bCs/>
          <w:sz w:val="22"/>
          <w:lang w:eastAsia="en-GB"/>
        </w:rPr>
        <w:t xml:space="preserve">ocus </w:t>
      </w:r>
      <w:r w:rsidR="00525665" w:rsidRPr="001F2A32">
        <w:rPr>
          <w:rFonts w:eastAsia="Times New Roman" w:cs="Arial"/>
          <w:bCs/>
          <w:sz w:val="22"/>
          <w:lang w:eastAsia="en-GB"/>
        </w:rPr>
        <w:t>I</w:t>
      </w:r>
      <w:r w:rsidRPr="001F2A32">
        <w:rPr>
          <w:rFonts w:eastAsia="Times New Roman" w:cs="Arial"/>
          <w:bCs/>
          <w:sz w:val="22"/>
          <w:lang w:eastAsia="en-GB"/>
        </w:rPr>
        <w:t xml:space="preserve">ndependent </w:t>
      </w:r>
      <w:r w:rsidR="00525665" w:rsidRPr="001F2A32">
        <w:rPr>
          <w:rFonts w:eastAsia="Times New Roman" w:cs="Arial"/>
          <w:bCs/>
          <w:sz w:val="22"/>
          <w:lang w:eastAsia="en-GB"/>
        </w:rPr>
        <w:t>A</w:t>
      </w:r>
      <w:r w:rsidRPr="001F2A32">
        <w:rPr>
          <w:rFonts w:eastAsia="Times New Roman" w:cs="Arial"/>
          <w:bCs/>
          <w:sz w:val="22"/>
          <w:lang w:eastAsia="en-GB"/>
        </w:rPr>
        <w:t xml:space="preserve">dult </w:t>
      </w:r>
      <w:r w:rsidR="00525665" w:rsidRPr="001F2A32">
        <w:rPr>
          <w:rFonts w:eastAsia="Times New Roman" w:cs="Arial"/>
          <w:bCs/>
          <w:sz w:val="22"/>
          <w:lang w:eastAsia="en-GB"/>
        </w:rPr>
        <w:t>S</w:t>
      </w:r>
      <w:r w:rsidRPr="001F2A32">
        <w:rPr>
          <w:rFonts w:eastAsia="Times New Roman" w:cs="Arial"/>
          <w:bCs/>
          <w:sz w:val="22"/>
          <w:lang w:eastAsia="en-GB"/>
        </w:rPr>
        <w:t xml:space="preserve">ocial </w:t>
      </w:r>
      <w:r w:rsidR="00525665" w:rsidRPr="001F2A32">
        <w:rPr>
          <w:rFonts w:eastAsia="Times New Roman" w:cs="Arial"/>
          <w:bCs/>
          <w:sz w:val="22"/>
          <w:lang w:eastAsia="en-GB"/>
        </w:rPr>
        <w:t>W</w:t>
      </w:r>
      <w:r w:rsidRPr="001F2A32">
        <w:rPr>
          <w:rFonts w:eastAsia="Times New Roman" w:cs="Arial"/>
          <w:bCs/>
          <w:sz w:val="22"/>
          <w:lang w:eastAsia="en-GB"/>
        </w:rPr>
        <w:t>ork (</w:t>
      </w:r>
      <w:r w:rsidR="00525665" w:rsidRPr="001F2A32">
        <w:rPr>
          <w:rFonts w:eastAsia="Times New Roman" w:cs="Arial"/>
          <w:bCs/>
          <w:sz w:val="22"/>
          <w:lang w:eastAsia="en-GB"/>
        </w:rPr>
        <w:t>F</w:t>
      </w:r>
      <w:r w:rsidRPr="001F2A32">
        <w:rPr>
          <w:rFonts w:eastAsia="Times New Roman" w:cs="Arial"/>
          <w:bCs/>
          <w:sz w:val="22"/>
          <w:lang w:eastAsia="en-GB"/>
        </w:rPr>
        <w:t xml:space="preserve">ocus); and </w:t>
      </w:r>
    </w:p>
    <w:p w14:paraId="58FBA7A1" w14:textId="7C7777EA" w:rsidR="00C07856" w:rsidRPr="001F2A32" w:rsidRDefault="00C07856" w:rsidP="00801553">
      <w:pPr>
        <w:pStyle w:val="ListParagraph"/>
        <w:numPr>
          <w:ilvl w:val="0"/>
          <w:numId w:val="1"/>
        </w:numPr>
        <w:autoSpaceDE w:val="0"/>
        <w:autoSpaceDN w:val="0"/>
        <w:adjustRightInd w:val="0"/>
        <w:spacing w:after="0" w:line="240" w:lineRule="auto"/>
        <w:jc w:val="both"/>
        <w:rPr>
          <w:rFonts w:eastAsia="Times New Roman" w:cs="Arial"/>
          <w:bCs/>
          <w:sz w:val="22"/>
          <w:lang w:eastAsia="en-GB"/>
        </w:rPr>
      </w:pPr>
      <w:r w:rsidRPr="001F2A32">
        <w:rPr>
          <w:rFonts w:eastAsia="Times New Roman" w:cs="Arial"/>
          <w:bCs/>
          <w:sz w:val="22"/>
          <w:lang w:eastAsia="en-GB"/>
        </w:rPr>
        <w:t xml:space="preserve">charging, financial assessment and collection functions by </w:t>
      </w:r>
      <w:r w:rsidR="00525665" w:rsidRPr="001F2A32">
        <w:rPr>
          <w:rFonts w:eastAsia="Times New Roman" w:cs="Arial"/>
          <w:bCs/>
          <w:sz w:val="22"/>
          <w:lang w:eastAsia="en-GB"/>
        </w:rPr>
        <w:t>F</w:t>
      </w:r>
      <w:r w:rsidRPr="001F2A32">
        <w:rPr>
          <w:rFonts w:eastAsia="Times New Roman" w:cs="Arial"/>
          <w:bCs/>
          <w:sz w:val="22"/>
          <w:lang w:eastAsia="en-GB"/>
        </w:rPr>
        <w:t>ocus.</w:t>
      </w:r>
    </w:p>
    <w:p w14:paraId="495AADA5" w14:textId="77777777" w:rsidR="00C07856" w:rsidRPr="001F2A32" w:rsidRDefault="00C07856" w:rsidP="00C07856">
      <w:pPr>
        <w:pStyle w:val="ListParagraph"/>
        <w:autoSpaceDE w:val="0"/>
        <w:autoSpaceDN w:val="0"/>
        <w:adjustRightInd w:val="0"/>
        <w:spacing w:after="0" w:line="240" w:lineRule="auto"/>
        <w:jc w:val="both"/>
        <w:rPr>
          <w:rFonts w:eastAsia="Times New Roman" w:cs="Arial"/>
          <w:bCs/>
          <w:sz w:val="22"/>
          <w:lang w:eastAsia="en-GB"/>
        </w:rPr>
      </w:pPr>
    </w:p>
    <w:p w14:paraId="36C481D6" w14:textId="7C4B487C" w:rsidR="00C07856" w:rsidRPr="001F2A32" w:rsidRDefault="00C07856" w:rsidP="00C07856">
      <w:pPr>
        <w:widowControl w:val="0"/>
        <w:tabs>
          <w:tab w:val="left" w:pos="1600"/>
        </w:tabs>
        <w:autoSpaceDE w:val="0"/>
        <w:autoSpaceDN w:val="0"/>
        <w:adjustRightInd w:val="0"/>
        <w:ind w:right="-20"/>
        <w:jc w:val="both"/>
        <w:rPr>
          <w:rFonts w:cs="Arial"/>
          <w:position w:val="-1"/>
          <w:sz w:val="22"/>
          <w:lang w:val="en-US"/>
        </w:rPr>
      </w:pPr>
      <w:r w:rsidRPr="001F2A32">
        <w:rPr>
          <w:rFonts w:cs="Arial"/>
          <w:position w:val="-1"/>
          <w:sz w:val="22"/>
          <w:lang w:val="en-US"/>
        </w:rPr>
        <w:t>Whilst</w:t>
      </w:r>
      <w:r w:rsidR="0003545A" w:rsidRPr="001F2A32">
        <w:rPr>
          <w:rFonts w:cs="Arial"/>
          <w:position w:val="-1"/>
          <w:sz w:val="22"/>
          <w:lang w:val="en-US"/>
        </w:rPr>
        <w:t xml:space="preserve"> the</w:t>
      </w:r>
      <w:r w:rsidRPr="001F2A32">
        <w:rPr>
          <w:rFonts w:cs="Arial"/>
          <w:position w:val="-1"/>
          <w:sz w:val="22"/>
          <w:lang w:val="en-US"/>
        </w:rPr>
        <w:t xml:space="preserve"> functions to which this policy relates </w:t>
      </w:r>
      <w:r w:rsidR="0003545A" w:rsidRPr="001F2A32">
        <w:rPr>
          <w:rFonts w:cs="Arial"/>
          <w:position w:val="-1"/>
          <w:sz w:val="22"/>
          <w:lang w:val="en-US"/>
        </w:rPr>
        <w:t>are</w:t>
      </w:r>
      <w:r w:rsidRPr="001F2A32">
        <w:rPr>
          <w:rFonts w:cs="Arial"/>
          <w:position w:val="-1"/>
          <w:sz w:val="22"/>
          <w:lang w:val="en-US"/>
        </w:rPr>
        <w:t xml:space="preserve"> carried out primarily by the </w:t>
      </w:r>
      <w:r w:rsidR="00525665" w:rsidRPr="001F2A32">
        <w:rPr>
          <w:rFonts w:cs="Arial"/>
          <w:position w:val="-1"/>
          <w:sz w:val="22"/>
          <w:lang w:val="en-US"/>
        </w:rPr>
        <w:t>ICB</w:t>
      </w:r>
      <w:r w:rsidRPr="001F2A32">
        <w:rPr>
          <w:rFonts w:cs="Arial"/>
          <w:position w:val="-1"/>
          <w:sz w:val="22"/>
          <w:lang w:val="en-US"/>
        </w:rPr>
        <w:t xml:space="preserve"> and/ or </w:t>
      </w:r>
      <w:r w:rsidR="00525665" w:rsidRPr="001F2A32">
        <w:rPr>
          <w:rFonts w:cs="Arial"/>
          <w:position w:val="-1"/>
          <w:sz w:val="22"/>
          <w:lang w:val="en-US"/>
        </w:rPr>
        <w:t>F</w:t>
      </w:r>
      <w:r w:rsidRPr="001F2A32">
        <w:rPr>
          <w:rFonts w:cs="Arial"/>
          <w:position w:val="-1"/>
          <w:sz w:val="22"/>
          <w:lang w:val="en-US"/>
        </w:rPr>
        <w:t xml:space="preserve">ocus, as </w:t>
      </w:r>
      <w:r w:rsidR="0003545A" w:rsidRPr="001F2A32">
        <w:rPr>
          <w:rFonts w:cs="Arial"/>
          <w:position w:val="-1"/>
          <w:sz w:val="22"/>
          <w:lang w:val="en-US"/>
        </w:rPr>
        <w:t>DPAs</w:t>
      </w:r>
      <w:r w:rsidR="00B470A0" w:rsidRPr="001F2A32">
        <w:rPr>
          <w:rFonts w:cs="Arial"/>
          <w:position w:val="-1"/>
          <w:sz w:val="22"/>
          <w:lang w:val="en-US"/>
        </w:rPr>
        <w:t xml:space="preserve"> arise from the Council’s statutory </w:t>
      </w:r>
      <w:r w:rsidR="0003545A" w:rsidRPr="001F2A32">
        <w:rPr>
          <w:rFonts w:cs="Arial"/>
          <w:position w:val="-1"/>
          <w:sz w:val="22"/>
          <w:lang w:val="en-US"/>
        </w:rPr>
        <w:t>duties</w:t>
      </w:r>
      <w:r w:rsidRPr="001F2A32">
        <w:rPr>
          <w:rFonts w:cs="Arial"/>
          <w:position w:val="-1"/>
          <w:sz w:val="22"/>
          <w:lang w:val="en-US"/>
        </w:rPr>
        <w:t>, only the</w:t>
      </w:r>
      <w:r w:rsidR="00BA7FB8" w:rsidRPr="001F2A32">
        <w:rPr>
          <w:rFonts w:cs="Arial"/>
          <w:position w:val="-1"/>
          <w:sz w:val="22"/>
          <w:lang w:val="en-US"/>
        </w:rPr>
        <w:t xml:space="preserve"> </w:t>
      </w:r>
      <w:r w:rsidR="002C5DFA" w:rsidRPr="001F2A32">
        <w:rPr>
          <w:rFonts w:cs="Arial"/>
          <w:position w:val="-1"/>
          <w:sz w:val="22"/>
          <w:lang w:val="en-US"/>
        </w:rPr>
        <w:t>Council</w:t>
      </w:r>
      <w:r w:rsidRPr="001F2A32">
        <w:rPr>
          <w:rFonts w:cs="Arial"/>
          <w:position w:val="-1"/>
          <w:sz w:val="22"/>
          <w:lang w:val="en-US"/>
        </w:rPr>
        <w:t xml:space="preserve"> will be referred to throughout.</w:t>
      </w:r>
    </w:p>
    <w:p w14:paraId="2BB5C1FD" w14:textId="77777777" w:rsidR="00C07856" w:rsidRPr="001F2A32" w:rsidRDefault="00C07856" w:rsidP="00C07856">
      <w:pPr>
        <w:widowControl w:val="0"/>
        <w:tabs>
          <w:tab w:val="left" w:pos="1600"/>
        </w:tabs>
        <w:autoSpaceDE w:val="0"/>
        <w:autoSpaceDN w:val="0"/>
        <w:adjustRightInd w:val="0"/>
        <w:ind w:right="-20"/>
        <w:jc w:val="both"/>
        <w:rPr>
          <w:rFonts w:cs="Arial"/>
          <w:position w:val="-1"/>
          <w:sz w:val="22"/>
          <w:lang w:val="en-US"/>
        </w:rPr>
      </w:pPr>
      <w:r w:rsidRPr="001F2A32">
        <w:rPr>
          <w:rFonts w:cs="Arial"/>
          <w:position w:val="-1"/>
          <w:sz w:val="22"/>
          <w:lang w:val="en-US"/>
        </w:rPr>
        <w:t xml:space="preserve"> </w:t>
      </w:r>
    </w:p>
    <w:p w14:paraId="76DFD92E" w14:textId="77777777" w:rsidR="00C07856" w:rsidRPr="001F2A32" w:rsidRDefault="00C07856" w:rsidP="00D94765">
      <w:pPr>
        <w:pStyle w:val="Heading2"/>
        <w:rPr>
          <w:color w:val="auto"/>
        </w:rPr>
      </w:pPr>
      <w:bookmarkStart w:id="4" w:name="_Toc146189042"/>
      <w:r w:rsidRPr="001F2A32">
        <w:rPr>
          <w:color w:val="auto"/>
        </w:rPr>
        <w:t>2</w:t>
      </w:r>
      <w:r w:rsidRPr="001F2A32">
        <w:rPr>
          <w:color w:val="auto"/>
        </w:rPr>
        <w:tab/>
        <w:t>Scope and definitions</w:t>
      </w:r>
      <w:bookmarkEnd w:id="4"/>
    </w:p>
    <w:p w14:paraId="3C499F22" w14:textId="77777777" w:rsidR="0003545A" w:rsidRPr="001F2A32" w:rsidRDefault="0003545A" w:rsidP="0003545A">
      <w:pPr>
        <w:pStyle w:val="Heading3"/>
        <w:rPr>
          <w:color w:val="auto"/>
        </w:rPr>
      </w:pPr>
      <w:bookmarkStart w:id="5" w:name="_Toc146189043"/>
      <w:r w:rsidRPr="001F2A32">
        <w:rPr>
          <w:color w:val="auto"/>
        </w:rPr>
        <w:t>2.1 Scope</w:t>
      </w:r>
      <w:bookmarkEnd w:id="5"/>
    </w:p>
    <w:p w14:paraId="531D5D9C" w14:textId="4E11F18B" w:rsidR="003E3683" w:rsidRPr="001F2A32" w:rsidRDefault="00C07856" w:rsidP="00C07856">
      <w:pPr>
        <w:autoSpaceDE w:val="0"/>
        <w:autoSpaceDN w:val="0"/>
        <w:adjustRightInd w:val="0"/>
        <w:rPr>
          <w:rFonts w:cs="Arial"/>
          <w:iCs/>
          <w:sz w:val="22"/>
        </w:rPr>
      </w:pPr>
      <w:r w:rsidRPr="001F2A32">
        <w:rPr>
          <w:rFonts w:cs="Arial"/>
          <w:iCs/>
          <w:sz w:val="22"/>
        </w:rPr>
        <w:t xml:space="preserve">This policy applies to all adults </w:t>
      </w:r>
      <w:r w:rsidR="002C08F5" w:rsidRPr="001F2A32">
        <w:rPr>
          <w:rFonts w:cs="Arial"/>
          <w:iCs/>
          <w:sz w:val="22"/>
        </w:rPr>
        <w:t xml:space="preserve">with eligible needs for care and support </w:t>
      </w:r>
      <w:r w:rsidRPr="001F2A32">
        <w:rPr>
          <w:rFonts w:cs="Arial"/>
          <w:iCs/>
          <w:sz w:val="22"/>
        </w:rPr>
        <w:t xml:space="preserve">that </w:t>
      </w:r>
      <w:r w:rsidR="0003545A" w:rsidRPr="001F2A32">
        <w:rPr>
          <w:rFonts w:cs="Arial"/>
          <w:iCs/>
          <w:sz w:val="22"/>
        </w:rPr>
        <w:t>have</w:t>
      </w:r>
      <w:r w:rsidR="003E3683" w:rsidRPr="001F2A32">
        <w:rPr>
          <w:rFonts w:cs="Arial"/>
          <w:iCs/>
          <w:sz w:val="22"/>
        </w:rPr>
        <w:t>,</w:t>
      </w:r>
      <w:r w:rsidR="0003545A" w:rsidRPr="001F2A32">
        <w:rPr>
          <w:rFonts w:cs="Arial"/>
          <w:iCs/>
          <w:sz w:val="22"/>
        </w:rPr>
        <w:t xml:space="preserve"> or </w:t>
      </w:r>
      <w:r w:rsidR="006E395D" w:rsidRPr="001F2A32">
        <w:rPr>
          <w:rFonts w:cs="Arial"/>
          <w:iCs/>
          <w:sz w:val="22"/>
        </w:rPr>
        <w:t>may</w:t>
      </w:r>
      <w:r w:rsidR="00515F2F" w:rsidRPr="001F2A32">
        <w:rPr>
          <w:rFonts w:cs="Arial"/>
          <w:iCs/>
          <w:sz w:val="22"/>
        </w:rPr>
        <w:t xml:space="preserve"> be considered for</w:t>
      </w:r>
      <w:r w:rsidR="003E3683" w:rsidRPr="001F2A32">
        <w:rPr>
          <w:rFonts w:cs="Arial"/>
          <w:iCs/>
          <w:sz w:val="22"/>
        </w:rPr>
        <w:t>,</w:t>
      </w:r>
      <w:r w:rsidR="0003545A" w:rsidRPr="001F2A32">
        <w:rPr>
          <w:rFonts w:cs="Arial"/>
          <w:iCs/>
          <w:sz w:val="22"/>
        </w:rPr>
        <w:t xml:space="preserve"> a DPA</w:t>
      </w:r>
      <w:r w:rsidRPr="001F2A32">
        <w:rPr>
          <w:rFonts w:cs="Arial"/>
          <w:iCs/>
          <w:sz w:val="22"/>
        </w:rPr>
        <w:t>.</w:t>
      </w:r>
      <w:r w:rsidR="003E3683" w:rsidRPr="001F2A32">
        <w:rPr>
          <w:rFonts w:cs="Arial"/>
          <w:iCs/>
          <w:sz w:val="22"/>
        </w:rPr>
        <w:t xml:space="preserve">  DPAs are available</w:t>
      </w:r>
      <w:r w:rsidR="002C08F5" w:rsidRPr="001F2A32">
        <w:rPr>
          <w:rFonts w:cs="Arial"/>
          <w:iCs/>
          <w:sz w:val="22"/>
        </w:rPr>
        <w:t xml:space="preserve"> to adults</w:t>
      </w:r>
      <w:r w:rsidR="003E3683" w:rsidRPr="001F2A32">
        <w:rPr>
          <w:rFonts w:cs="Arial"/>
          <w:iCs/>
          <w:sz w:val="22"/>
        </w:rPr>
        <w:t xml:space="preserve"> in residential settings, where certain criteria are met (see </w:t>
      </w:r>
      <w:r w:rsidR="00515F2F" w:rsidRPr="001F2A32">
        <w:rPr>
          <w:rFonts w:cs="Arial"/>
          <w:iCs/>
          <w:sz w:val="22"/>
        </w:rPr>
        <w:t>section four below</w:t>
      </w:r>
      <w:r w:rsidR="003E3683" w:rsidRPr="001F2A32">
        <w:rPr>
          <w:rFonts w:cs="Arial"/>
          <w:iCs/>
          <w:sz w:val="22"/>
        </w:rPr>
        <w:t xml:space="preserve">).  </w:t>
      </w:r>
    </w:p>
    <w:p w14:paraId="049BA47D" w14:textId="3530FF90" w:rsidR="00C07856" w:rsidRPr="001F2A32" w:rsidRDefault="003E3683" w:rsidP="00C07856">
      <w:pPr>
        <w:autoSpaceDE w:val="0"/>
        <w:autoSpaceDN w:val="0"/>
        <w:adjustRightInd w:val="0"/>
        <w:rPr>
          <w:rFonts w:cs="Arial"/>
          <w:sz w:val="22"/>
        </w:rPr>
      </w:pPr>
      <w:r w:rsidRPr="001F2A32">
        <w:rPr>
          <w:rFonts w:cs="Arial"/>
          <w:iCs/>
          <w:sz w:val="22"/>
        </w:rPr>
        <w:t xml:space="preserve">This policy </w:t>
      </w:r>
      <w:r w:rsidR="00C07856" w:rsidRPr="001F2A32">
        <w:rPr>
          <w:rFonts w:cs="Arial"/>
          <w:sz w:val="22"/>
        </w:rPr>
        <w:t xml:space="preserve">will be referenced and applied by all staff undertaking </w:t>
      </w:r>
      <w:r w:rsidR="0003545A" w:rsidRPr="001F2A32">
        <w:rPr>
          <w:rFonts w:cs="Arial"/>
          <w:sz w:val="22"/>
        </w:rPr>
        <w:t>DPA-related activity</w:t>
      </w:r>
      <w:r w:rsidR="00C07856" w:rsidRPr="001F2A32">
        <w:rPr>
          <w:rFonts w:cs="Arial"/>
          <w:sz w:val="22"/>
        </w:rPr>
        <w:t xml:space="preserve"> on behalf of </w:t>
      </w:r>
      <w:r w:rsidR="002C5DFA" w:rsidRPr="001F2A32">
        <w:rPr>
          <w:rFonts w:cs="Arial"/>
          <w:sz w:val="22"/>
        </w:rPr>
        <w:t>the Council</w:t>
      </w:r>
      <w:r w:rsidR="00C07856" w:rsidRPr="001F2A32">
        <w:rPr>
          <w:rFonts w:cs="Arial"/>
          <w:sz w:val="22"/>
        </w:rPr>
        <w:t xml:space="preserve">, regardless of which organisation employs them.  </w:t>
      </w:r>
    </w:p>
    <w:p w14:paraId="6201FCBD" w14:textId="41F5EA15" w:rsidR="00C07856" w:rsidRPr="001F2A32" w:rsidRDefault="0003545A" w:rsidP="00C07856">
      <w:pPr>
        <w:autoSpaceDE w:val="0"/>
        <w:autoSpaceDN w:val="0"/>
        <w:adjustRightInd w:val="0"/>
        <w:rPr>
          <w:rFonts w:cs="Arial"/>
          <w:iCs/>
          <w:sz w:val="22"/>
        </w:rPr>
      </w:pPr>
      <w:r w:rsidRPr="001F2A32">
        <w:rPr>
          <w:rFonts w:cs="Arial"/>
          <w:sz w:val="22"/>
        </w:rPr>
        <w:t>DPA-related</w:t>
      </w:r>
      <w:r w:rsidR="00C07856" w:rsidRPr="001F2A32">
        <w:rPr>
          <w:rFonts w:cs="Arial"/>
          <w:sz w:val="22"/>
        </w:rPr>
        <w:t xml:space="preserve"> activity includes (but may not be limited to):</w:t>
      </w:r>
    </w:p>
    <w:p w14:paraId="0149DABF" w14:textId="1575B47E" w:rsidR="00C07856" w:rsidRPr="001F2A32" w:rsidRDefault="00C07856" w:rsidP="00801553">
      <w:pPr>
        <w:pStyle w:val="ListParagraph"/>
        <w:numPr>
          <w:ilvl w:val="0"/>
          <w:numId w:val="2"/>
        </w:numPr>
        <w:autoSpaceDE w:val="0"/>
        <w:autoSpaceDN w:val="0"/>
        <w:adjustRightInd w:val="0"/>
        <w:spacing w:after="0" w:line="240" w:lineRule="auto"/>
        <w:rPr>
          <w:rFonts w:cs="Arial"/>
          <w:sz w:val="22"/>
        </w:rPr>
      </w:pPr>
      <w:r w:rsidRPr="001F2A32">
        <w:rPr>
          <w:rFonts w:cs="Arial"/>
          <w:sz w:val="22"/>
        </w:rPr>
        <w:t xml:space="preserve">providing information about </w:t>
      </w:r>
      <w:r w:rsidR="0003545A" w:rsidRPr="001F2A32">
        <w:rPr>
          <w:rFonts w:cs="Arial"/>
          <w:sz w:val="22"/>
        </w:rPr>
        <w:t>DPAs</w:t>
      </w:r>
    </w:p>
    <w:p w14:paraId="2DA57CDD" w14:textId="3C32CE65" w:rsidR="003E3683" w:rsidRPr="001F2A32" w:rsidRDefault="00C07856" w:rsidP="00801553">
      <w:pPr>
        <w:pStyle w:val="ListParagraph"/>
        <w:numPr>
          <w:ilvl w:val="0"/>
          <w:numId w:val="2"/>
        </w:numPr>
        <w:autoSpaceDE w:val="0"/>
        <w:autoSpaceDN w:val="0"/>
        <w:adjustRightInd w:val="0"/>
        <w:spacing w:after="0" w:line="240" w:lineRule="auto"/>
        <w:rPr>
          <w:rFonts w:cs="Arial"/>
          <w:sz w:val="22"/>
        </w:rPr>
      </w:pPr>
      <w:r w:rsidRPr="001F2A32">
        <w:rPr>
          <w:rFonts w:cs="Arial"/>
          <w:sz w:val="22"/>
        </w:rPr>
        <w:t xml:space="preserve">undertaking financial assessment, </w:t>
      </w:r>
      <w:proofErr w:type="gramStart"/>
      <w:r w:rsidRPr="001F2A32">
        <w:rPr>
          <w:rFonts w:cs="Arial"/>
          <w:sz w:val="22"/>
        </w:rPr>
        <w:t>review</w:t>
      </w:r>
      <w:proofErr w:type="gramEnd"/>
      <w:r w:rsidRPr="001F2A32">
        <w:rPr>
          <w:rFonts w:cs="Arial"/>
          <w:sz w:val="22"/>
        </w:rPr>
        <w:t xml:space="preserve"> or collection</w:t>
      </w:r>
      <w:r w:rsidR="003E3683" w:rsidRPr="001F2A32">
        <w:rPr>
          <w:rFonts w:cs="Arial"/>
          <w:sz w:val="22"/>
        </w:rPr>
        <w:t xml:space="preserve"> of financial </w:t>
      </w:r>
      <w:r w:rsidR="00515F2F" w:rsidRPr="001F2A32">
        <w:rPr>
          <w:rFonts w:cs="Arial"/>
          <w:sz w:val="22"/>
        </w:rPr>
        <w:t>contribution</w:t>
      </w:r>
      <w:r w:rsidR="003E3683" w:rsidRPr="001F2A32">
        <w:rPr>
          <w:rFonts w:cs="Arial"/>
          <w:sz w:val="22"/>
        </w:rPr>
        <w:t>s</w:t>
      </w:r>
    </w:p>
    <w:p w14:paraId="1F631CFE" w14:textId="77777777" w:rsidR="003E3683" w:rsidRPr="001F2A32" w:rsidRDefault="00C07856" w:rsidP="00801553">
      <w:pPr>
        <w:pStyle w:val="ListParagraph"/>
        <w:numPr>
          <w:ilvl w:val="0"/>
          <w:numId w:val="2"/>
        </w:numPr>
        <w:autoSpaceDE w:val="0"/>
        <w:autoSpaceDN w:val="0"/>
        <w:adjustRightInd w:val="0"/>
        <w:spacing w:after="0" w:line="240" w:lineRule="auto"/>
        <w:rPr>
          <w:rFonts w:cs="Arial"/>
          <w:iCs/>
          <w:sz w:val="22"/>
        </w:rPr>
      </w:pPr>
      <w:r w:rsidRPr="001F2A32">
        <w:rPr>
          <w:rFonts w:cs="Arial"/>
          <w:sz w:val="22"/>
        </w:rPr>
        <w:t>undertaking administrative tasks</w:t>
      </w:r>
      <w:r w:rsidR="003E3683" w:rsidRPr="001F2A32">
        <w:rPr>
          <w:rFonts w:cs="Arial"/>
          <w:sz w:val="22"/>
        </w:rPr>
        <w:t xml:space="preserve"> to </w:t>
      </w:r>
    </w:p>
    <w:p w14:paraId="28242598" w14:textId="77777777" w:rsidR="003E3683" w:rsidRPr="001F2A32" w:rsidRDefault="003E3683" w:rsidP="00801553">
      <w:pPr>
        <w:pStyle w:val="ListParagraph"/>
        <w:numPr>
          <w:ilvl w:val="0"/>
          <w:numId w:val="13"/>
        </w:numPr>
        <w:autoSpaceDE w:val="0"/>
        <w:autoSpaceDN w:val="0"/>
        <w:adjustRightInd w:val="0"/>
        <w:spacing w:after="0" w:line="240" w:lineRule="auto"/>
        <w:rPr>
          <w:rFonts w:cs="Arial"/>
          <w:iCs/>
          <w:sz w:val="22"/>
        </w:rPr>
      </w:pPr>
      <w:r w:rsidRPr="001F2A32">
        <w:rPr>
          <w:rFonts w:cs="Arial"/>
          <w:sz w:val="22"/>
        </w:rPr>
        <w:t>put</w:t>
      </w:r>
      <w:r w:rsidR="00C07856" w:rsidRPr="001F2A32">
        <w:rPr>
          <w:rFonts w:cs="Arial"/>
          <w:sz w:val="22"/>
        </w:rPr>
        <w:t xml:space="preserve"> in place</w:t>
      </w:r>
      <w:r w:rsidRPr="001F2A32">
        <w:rPr>
          <w:rFonts w:cs="Arial"/>
          <w:sz w:val="22"/>
        </w:rPr>
        <w:t xml:space="preserve"> a DPA, such as securing house valuations and registering charges with the Land Registry </w:t>
      </w:r>
    </w:p>
    <w:p w14:paraId="3600D06F" w14:textId="2D1E0A1F" w:rsidR="003E3683" w:rsidRPr="001F2A32" w:rsidRDefault="003E3683" w:rsidP="00801553">
      <w:pPr>
        <w:pStyle w:val="ListParagraph"/>
        <w:numPr>
          <w:ilvl w:val="0"/>
          <w:numId w:val="13"/>
        </w:numPr>
        <w:autoSpaceDE w:val="0"/>
        <w:autoSpaceDN w:val="0"/>
        <w:adjustRightInd w:val="0"/>
        <w:spacing w:after="0" w:line="240" w:lineRule="auto"/>
        <w:rPr>
          <w:rFonts w:cs="Arial"/>
          <w:iCs/>
          <w:sz w:val="22"/>
        </w:rPr>
      </w:pPr>
      <w:r w:rsidRPr="001F2A32">
        <w:rPr>
          <w:rFonts w:cs="Arial"/>
          <w:sz w:val="22"/>
        </w:rPr>
        <w:t xml:space="preserve">monitor and maintain a DPA, such as applying interest to the amount loaned and preparing statements about the amount </w:t>
      </w:r>
      <w:proofErr w:type="gramStart"/>
      <w:r w:rsidRPr="001F2A32">
        <w:rPr>
          <w:rFonts w:cs="Arial"/>
          <w:sz w:val="22"/>
        </w:rPr>
        <w:t>loaned</w:t>
      </w:r>
      <w:proofErr w:type="gramEnd"/>
      <w:r w:rsidRPr="001F2A32">
        <w:rPr>
          <w:rFonts w:cs="Arial"/>
          <w:sz w:val="22"/>
        </w:rPr>
        <w:t xml:space="preserve"> </w:t>
      </w:r>
    </w:p>
    <w:p w14:paraId="166F1474" w14:textId="570B8580" w:rsidR="003E3683" w:rsidRPr="001F2A32" w:rsidRDefault="003E3683" w:rsidP="00801553">
      <w:pPr>
        <w:pStyle w:val="ListParagraph"/>
        <w:numPr>
          <w:ilvl w:val="0"/>
          <w:numId w:val="13"/>
        </w:numPr>
        <w:autoSpaceDE w:val="0"/>
        <w:autoSpaceDN w:val="0"/>
        <w:adjustRightInd w:val="0"/>
        <w:spacing w:after="0" w:line="240" w:lineRule="auto"/>
        <w:rPr>
          <w:rFonts w:cs="Arial"/>
          <w:iCs/>
          <w:sz w:val="22"/>
        </w:rPr>
      </w:pPr>
      <w:r w:rsidRPr="001F2A32">
        <w:rPr>
          <w:rFonts w:cs="Arial"/>
          <w:sz w:val="22"/>
        </w:rPr>
        <w:t xml:space="preserve">end a DPA, such as removing charges and </w:t>
      </w:r>
      <w:r w:rsidR="002C08F5" w:rsidRPr="001F2A32">
        <w:rPr>
          <w:rFonts w:cs="Arial"/>
          <w:sz w:val="22"/>
        </w:rPr>
        <w:t>recovering</w:t>
      </w:r>
      <w:r w:rsidRPr="001F2A32">
        <w:rPr>
          <w:rFonts w:cs="Arial"/>
          <w:sz w:val="22"/>
        </w:rPr>
        <w:t xml:space="preserve"> monies owed.</w:t>
      </w:r>
    </w:p>
    <w:p w14:paraId="7F1D6AA0" w14:textId="77777777" w:rsidR="003E3683" w:rsidRPr="001F2A32" w:rsidRDefault="003E3683" w:rsidP="003E3683">
      <w:pPr>
        <w:pStyle w:val="ListParagraph"/>
        <w:autoSpaceDE w:val="0"/>
        <w:autoSpaceDN w:val="0"/>
        <w:adjustRightInd w:val="0"/>
        <w:spacing w:after="0" w:line="240" w:lineRule="auto"/>
        <w:rPr>
          <w:rFonts w:cs="Arial"/>
          <w:iCs/>
          <w:sz w:val="22"/>
        </w:rPr>
      </w:pPr>
    </w:p>
    <w:p w14:paraId="43310663" w14:textId="6D8652AE" w:rsidR="0003545A" w:rsidRPr="001F2A32" w:rsidRDefault="006E395D" w:rsidP="00801553">
      <w:pPr>
        <w:pStyle w:val="Heading3"/>
        <w:numPr>
          <w:ilvl w:val="1"/>
          <w:numId w:val="18"/>
        </w:numPr>
        <w:rPr>
          <w:color w:val="auto"/>
        </w:rPr>
      </w:pPr>
      <w:r w:rsidRPr="001F2A32">
        <w:rPr>
          <w:color w:val="auto"/>
        </w:rPr>
        <w:t xml:space="preserve"> </w:t>
      </w:r>
      <w:bookmarkStart w:id="6" w:name="_Toc146189044"/>
      <w:r w:rsidR="0003545A" w:rsidRPr="001F2A32">
        <w:rPr>
          <w:color w:val="auto"/>
        </w:rPr>
        <w:t>Definitions</w:t>
      </w:r>
      <w:bookmarkEnd w:id="6"/>
    </w:p>
    <w:p w14:paraId="4A7A125A" w14:textId="712A62C4" w:rsidR="00AC3BEC" w:rsidRPr="001F2A32" w:rsidRDefault="002C08F5" w:rsidP="002C08F5">
      <w:pPr>
        <w:shd w:val="clear" w:color="auto" w:fill="FFFFFF"/>
        <w:spacing w:after="0" w:line="240" w:lineRule="auto"/>
        <w:rPr>
          <w:rFonts w:eastAsia="Times New Roman" w:cstheme="minorHAnsi"/>
          <w:sz w:val="22"/>
          <w:lang w:eastAsia="en-GB"/>
        </w:rPr>
      </w:pPr>
      <w:r w:rsidRPr="001F2A32">
        <w:rPr>
          <w:rFonts w:eastAsia="Times New Roman" w:cstheme="minorHAnsi"/>
          <w:sz w:val="22"/>
          <w:lang w:eastAsia="en-GB"/>
        </w:rPr>
        <w:t>In basic terms, a</w:t>
      </w:r>
      <w:r w:rsidR="00AC3BEC" w:rsidRPr="001F2A32">
        <w:rPr>
          <w:rFonts w:eastAsia="Times New Roman" w:cstheme="minorHAnsi"/>
          <w:sz w:val="22"/>
          <w:lang w:eastAsia="en-GB"/>
        </w:rPr>
        <w:t xml:space="preserve"> DPA is an agreement between the Council and a</w:t>
      </w:r>
      <w:r w:rsidRPr="001F2A32">
        <w:rPr>
          <w:rFonts w:eastAsia="Times New Roman" w:cstheme="minorHAnsi"/>
          <w:sz w:val="22"/>
          <w:lang w:eastAsia="en-GB"/>
        </w:rPr>
        <w:t>n</w:t>
      </w:r>
      <w:r w:rsidR="003B7645" w:rsidRPr="001F2A32">
        <w:rPr>
          <w:rFonts w:eastAsia="Times New Roman" w:cstheme="minorHAnsi"/>
          <w:sz w:val="22"/>
          <w:lang w:eastAsia="en-GB"/>
        </w:rPr>
        <w:t xml:space="preserve"> </w:t>
      </w:r>
      <w:r w:rsidRPr="001F2A32">
        <w:rPr>
          <w:rFonts w:eastAsia="Times New Roman" w:cstheme="minorHAnsi"/>
          <w:sz w:val="22"/>
          <w:lang w:eastAsia="en-GB"/>
        </w:rPr>
        <w:t>adult</w:t>
      </w:r>
      <w:r w:rsidR="00AC3BEC" w:rsidRPr="001F2A32">
        <w:rPr>
          <w:rFonts w:eastAsia="Times New Roman" w:cstheme="minorHAnsi"/>
          <w:sz w:val="22"/>
          <w:lang w:eastAsia="en-GB"/>
        </w:rPr>
        <w:t xml:space="preserve"> receiving care </w:t>
      </w:r>
      <w:r w:rsidRPr="001F2A32">
        <w:rPr>
          <w:rFonts w:eastAsia="Times New Roman" w:cstheme="minorHAnsi"/>
          <w:sz w:val="22"/>
          <w:lang w:eastAsia="en-GB"/>
        </w:rPr>
        <w:t xml:space="preserve">and support </w:t>
      </w:r>
      <w:r w:rsidR="00AC3BEC" w:rsidRPr="001F2A32">
        <w:rPr>
          <w:rFonts w:eastAsia="Times New Roman" w:cstheme="minorHAnsi"/>
          <w:sz w:val="22"/>
          <w:lang w:eastAsia="en-GB"/>
        </w:rPr>
        <w:t>to delay payment of th</w:t>
      </w:r>
      <w:r w:rsidRPr="001F2A32">
        <w:rPr>
          <w:rFonts w:eastAsia="Times New Roman" w:cstheme="minorHAnsi"/>
          <w:sz w:val="22"/>
          <w:lang w:eastAsia="en-GB"/>
        </w:rPr>
        <w:t>at</w:t>
      </w:r>
      <w:r w:rsidR="00AC3BEC" w:rsidRPr="001F2A32">
        <w:rPr>
          <w:rFonts w:eastAsia="Times New Roman" w:cstheme="minorHAnsi"/>
          <w:sz w:val="22"/>
          <w:lang w:eastAsia="en-GB"/>
        </w:rPr>
        <w:t xml:space="preserve"> </w:t>
      </w:r>
      <w:r w:rsidRPr="001F2A32">
        <w:rPr>
          <w:rFonts w:eastAsia="Times New Roman" w:cstheme="minorHAnsi"/>
          <w:sz w:val="22"/>
          <w:lang w:eastAsia="en-GB"/>
        </w:rPr>
        <w:t>adult</w:t>
      </w:r>
      <w:r w:rsidR="00AC3BEC" w:rsidRPr="001F2A32">
        <w:rPr>
          <w:rFonts w:eastAsia="Times New Roman" w:cstheme="minorHAnsi"/>
          <w:sz w:val="22"/>
          <w:lang w:eastAsia="en-GB"/>
        </w:rPr>
        <w:t>’s care home costs until an agreed time in the future</w:t>
      </w:r>
      <w:r w:rsidRPr="001F2A32">
        <w:rPr>
          <w:rFonts w:eastAsia="Times New Roman" w:cstheme="minorHAnsi"/>
          <w:sz w:val="22"/>
          <w:lang w:eastAsia="en-GB"/>
        </w:rPr>
        <w:t>.</w:t>
      </w:r>
      <w:r w:rsidR="00801553" w:rsidRPr="001F2A32">
        <w:rPr>
          <w:rFonts w:eastAsia="Times New Roman" w:cstheme="minorHAnsi"/>
          <w:sz w:val="22"/>
          <w:lang w:eastAsia="en-GB"/>
        </w:rPr>
        <w:t xml:space="preserve">  There are two types of DPA:</w:t>
      </w:r>
    </w:p>
    <w:p w14:paraId="6663091D" w14:textId="77777777" w:rsidR="00801553" w:rsidRPr="001F2A32" w:rsidRDefault="00801553" w:rsidP="002C08F5">
      <w:pPr>
        <w:shd w:val="clear" w:color="auto" w:fill="FFFFFF"/>
        <w:spacing w:after="0" w:line="240" w:lineRule="auto"/>
        <w:rPr>
          <w:rFonts w:eastAsia="Times New Roman" w:cs="Arial"/>
          <w:sz w:val="22"/>
          <w:lang w:eastAsia="en-GB"/>
        </w:rPr>
      </w:pPr>
    </w:p>
    <w:p w14:paraId="516F0D17" w14:textId="710FFFDD" w:rsidR="00801553" w:rsidRPr="001F2A32" w:rsidRDefault="00515F2F" w:rsidP="00801553">
      <w:pPr>
        <w:numPr>
          <w:ilvl w:val="0"/>
          <w:numId w:val="14"/>
        </w:numPr>
        <w:shd w:val="clear" w:color="auto" w:fill="FFFFFF"/>
        <w:spacing w:after="0" w:line="240" w:lineRule="auto"/>
        <w:contextualSpacing/>
        <w:rPr>
          <w:rFonts w:eastAsia="Times New Roman" w:cs="Arial"/>
          <w:sz w:val="22"/>
          <w:lang w:eastAsia="en-GB"/>
        </w:rPr>
      </w:pPr>
      <w:r w:rsidRPr="001F2A32">
        <w:rPr>
          <w:rFonts w:eastAsia="Times New Roman" w:cs="Arial"/>
          <w:sz w:val="22"/>
          <w:lang w:eastAsia="en-GB"/>
        </w:rPr>
        <w:t>A traditional type DPA: t</w:t>
      </w:r>
      <w:r w:rsidR="00801553" w:rsidRPr="001F2A32">
        <w:rPr>
          <w:rFonts w:eastAsia="Times New Roman" w:cs="Arial"/>
          <w:sz w:val="22"/>
          <w:lang w:eastAsia="en-GB"/>
        </w:rPr>
        <w:t xml:space="preserve">he Council pays the care home directly for the adult’s care fees, and delays receiving repayment of the fees from the </w:t>
      </w:r>
      <w:proofErr w:type="gramStart"/>
      <w:r w:rsidR="003B7645" w:rsidRPr="001F2A32">
        <w:rPr>
          <w:rFonts w:eastAsia="Times New Roman" w:cs="Arial"/>
          <w:sz w:val="22"/>
          <w:lang w:eastAsia="en-GB"/>
        </w:rPr>
        <w:t>adult</w:t>
      </w:r>
      <w:proofErr w:type="gramEnd"/>
      <w:r w:rsidR="00801553" w:rsidRPr="001F2A32">
        <w:rPr>
          <w:rFonts w:eastAsia="Times New Roman" w:cs="Arial"/>
          <w:sz w:val="22"/>
          <w:lang w:eastAsia="en-GB"/>
        </w:rPr>
        <w:t xml:space="preserve"> </w:t>
      </w:r>
    </w:p>
    <w:p w14:paraId="2C561B60" w14:textId="17BDA221" w:rsidR="00801553" w:rsidRPr="001F2A32" w:rsidRDefault="00515F2F" w:rsidP="00801553">
      <w:pPr>
        <w:numPr>
          <w:ilvl w:val="0"/>
          <w:numId w:val="14"/>
        </w:numPr>
        <w:shd w:val="clear" w:color="auto" w:fill="FFFFFF"/>
        <w:spacing w:after="0" w:line="240" w:lineRule="auto"/>
        <w:contextualSpacing/>
        <w:rPr>
          <w:rFonts w:eastAsia="Times New Roman" w:cs="Arial"/>
          <w:sz w:val="22"/>
          <w:lang w:eastAsia="en-GB"/>
        </w:rPr>
      </w:pPr>
      <w:r w:rsidRPr="001F2A32">
        <w:rPr>
          <w:rFonts w:eastAsia="Times New Roman" w:cs="Arial"/>
          <w:sz w:val="22"/>
          <w:lang w:eastAsia="en-GB"/>
        </w:rPr>
        <w:t>A loan type DPA: t</w:t>
      </w:r>
      <w:r w:rsidR="00801553" w:rsidRPr="001F2A32">
        <w:rPr>
          <w:rFonts w:eastAsia="Times New Roman" w:cs="Arial"/>
          <w:sz w:val="22"/>
          <w:lang w:eastAsia="en-GB"/>
        </w:rPr>
        <w:t>he adult pays the care home directly for the fees, using the money loaned by the Council.  The Council delays receiving repayment of the loan</w:t>
      </w:r>
      <w:r w:rsidRPr="001F2A32">
        <w:rPr>
          <w:rFonts w:eastAsia="Times New Roman" w:cs="Arial"/>
          <w:sz w:val="22"/>
          <w:lang w:eastAsia="en-GB"/>
        </w:rPr>
        <w:t>.</w:t>
      </w:r>
    </w:p>
    <w:p w14:paraId="38BCD210" w14:textId="77777777" w:rsidR="00801553" w:rsidRPr="001F2A32" w:rsidRDefault="00801553" w:rsidP="002C08F5">
      <w:pPr>
        <w:shd w:val="clear" w:color="auto" w:fill="FFFFFF"/>
        <w:spacing w:after="0" w:line="240" w:lineRule="auto"/>
        <w:rPr>
          <w:rFonts w:eastAsia="Times New Roman" w:cstheme="minorHAnsi"/>
          <w:sz w:val="22"/>
          <w:lang w:eastAsia="en-GB"/>
        </w:rPr>
      </w:pPr>
    </w:p>
    <w:p w14:paraId="07F31DB6" w14:textId="69D13AB8" w:rsidR="002C08F5" w:rsidRPr="001F2A32" w:rsidRDefault="002C08F5" w:rsidP="002C08F5">
      <w:pPr>
        <w:shd w:val="clear" w:color="auto" w:fill="FFFFFF"/>
        <w:spacing w:after="0" w:line="240" w:lineRule="auto"/>
        <w:rPr>
          <w:rFonts w:eastAsia="Times New Roman" w:cstheme="minorHAnsi"/>
          <w:sz w:val="22"/>
          <w:lang w:eastAsia="en-GB"/>
        </w:rPr>
      </w:pPr>
      <w:r w:rsidRPr="001F2A32">
        <w:rPr>
          <w:rFonts w:eastAsia="Times New Roman" w:cstheme="minorHAnsi"/>
          <w:sz w:val="22"/>
          <w:lang w:eastAsia="en-GB"/>
        </w:rPr>
        <w:t>The following terms are also used in this policy:</w:t>
      </w:r>
    </w:p>
    <w:p w14:paraId="4F6969E2" w14:textId="77777777" w:rsidR="00D04C39" w:rsidRPr="001F2A32" w:rsidRDefault="00D04C39" w:rsidP="002C08F5">
      <w:pPr>
        <w:shd w:val="clear" w:color="auto" w:fill="FFFFFF"/>
        <w:spacing w:after="0" w:line="240" w:lineRule="auto"/>
        <w:rPr>
          <w:rFonts w:cs="Arial"/>
          <w:iCs/>
          <w:sz w:val="22"/>
        </w:rPr>
      </w:pPr>
    </w:p>
    <w:p w14:paraId="72AF6E44" w14:textId="477DE5BA" w:rsidR="006E395D" w:rsidRPr="001F2A32" w:rsidRDefault="006E395D" w:rsidP="00801553">
      <w:pPr>
        <w:pStyle w:val="ListParagraph"/>
        <w:numPr>
          <w:ilvl w:val="0"/>
          <w:numId w:val="15"/>
        </w:numPr>
        <w:shd w:val="clear" w:color="auto" w:fill="FFFFFF"/>
        <w:spacing w:after="0" w:line="240" w:lineRule="auto"/>
        <w:rPr>
          <w:rFonts w:cs="Arial"/>
          <w:iCs/>
          <w:sz w:val="22"/>
        </w:rPr>
      </w:pPr>
      <w:r w:rsidRPr="001F2A32">
        <w:rPr>
          <w:rFonts w:cs="Arial"/>
          <w:iCs/>
          <w:sz w:val="22"/>
        </w:rPr>
        <w:t xml:space="preserve">‘adult’ means </w:t>
      </w:r>
      <w:r w:rsidR="00D10C17" w:rsidRPr="001F2A32">
        <w:rPr>
          <w:rFonts w:cs="Arial"/>
          <w:iCs/>
          <w:sz w:val="22"/>
        </w:rPr>
        <w:t xml:space="preserve">a </w:t>
      </w:r>
      <w:r w:rsidRPr="001F2A32">
        <w:rPr>
          <w:rFonts w:cs="Arial"/>
          <w:iCs/>
          <w:sz w:val="22"/>
        </w:rPr>
        <w:t xml:space="preserve">person aged 18 and over with eligible needs for care and </w:t>
      </w:r>
      <w:proofErr w:type="gramStart"/>
      <w:r w:rsidRPr="001F2A32">
        <w:rPr>
          <w:rFonts w:cs="Arial"/>
          <w:iCs/>
          <w:sz w:val="22"/>
        </w:rPr>
        <w:t>support</w:t>
      </w:r>
      <w:proofErr w:type="gramEnd"/>
    </w:p>
    <w:p w14:paraId="2C3EF2B3" w14:textId="77777777" w:rsidR="00AC56D6" w:rsidRPr="001F2A32" w:rsidRDefault="00AC56D6" w:rsidP="00AC56D6">
      <w:pPr>
        <w:pStyle w:val="ListParagraph"/>
        <w:numPr>
          <w:ilvl w:val="0"/>
          <w:numId w:val="15"/>
        </w:numPr>
        <w:shd w:val="clear" w:color="auto" w:fill="FFFFFF"/>
        <w:spacing w:after="0" w:line="240" w:lineRule="auto"/>
        <w:rPr>
          <w:rFonts w:cs="Arial"/>
          <w:iCs/>
          <w:sz w:val="22"/>
        </w:rPr>
      </w:pPr>
      <w:r w:rsidRPr="001F2A32">
        <w:rPr>
          <w:rFonts w:cs="Arial"/>
          <w:sz w:val="22"/>
        </w:rPr>
        <w:t>‘</w:t>
      </w:r>
      <w:proofErr w:type="gramStart"/>
      <w:r w:rsidRPr="001F2A32">
        <w:rPr>
          <w:rFonts w:cs="Arial"/>
          <w:sz w:val="22"/>
        </w:rPr>
        <w:t>care</w:t>
      </w:r>
      <w:proofErr w:type="gramEnd"/>
      <w:r w:rsidRPr="001F2A32">
        <w:rPr>
          <w:rFonts w:cs="Arial"/>
          <w:sz w:val="22"/>
        </w:rPr>
        <w:t xml:space="preserve"> practitioners’ means staff directly interfacing with members of the public: individuals with needs, carers, families and representatives.  It is also intended to include finance practitioners in the Focus Finance Team</w:t>
      </w:r>
    </w:p>
    <w:p w14:paraId="490174DC" w14:textId="1C909BA3" w:rsidR="00AC3BEC" w:rsidRPr="001F2A32" w:rsidRDefault="00C07856" w:rsidP="00801553">
      <w:pPr>
        <w:pStyle w:val="ListParagraph"/>
        <w:numPr>
          <w:ilvl w:val="0"/>
          <w:numId w:val="15"/>
        </w:numPr>
        <w:shd w:val="clear" w:color="auto" w:fill="FFFFFF"/>
        <w:spacing w:after="0" w:line="240" w:lineRule="auto"/>
        <w:rPr>
          <w:rFonts w:cs="Arial"/>
          <w:iCs/>
          <w:sz w:val="22"/>
        </w:rPr>
      </w:pPr>
      <w:r w:rsidRPr="001F2A32">
        <w:rPr>
          <w:rFonts w:cs="Arial"/>
          <w:iCs/>
          <w:sz w:val="22"/>
        </w:rPr>
        <w:t>‘</w:t>
      </w:r>
      <w:proofErr w:type="gramStart"/>
      <w:r w:rsidRPr="001F2A32">
        <w:rPr>
          <w:rFonts w:cs="Arial"/>
          <w:iCs/>
          <w:sz w:val="22"/>
        </w:rPr>
        <w:t>care</w:t>
      </w:r>
      <w:proofErr w:type="gramEnd"/>
      <w:r w:rsidRPr="001F2A32">
        <w:rPr>
          <w:rFonts w:cs="Arial"/>
          <w:iCs/>
          <w:sz w:val="22"/>
        </w:rPr>
        <w:t xml:space="preserve"> and support’ </w:t>
      </w:r>
      <w:r w:rsidR="0003545A" w:rsidRPr="001F2A32">
        <w:rPr>
          <w:rFonts w:cs="Arial"/>
          <w:iCs/>
          <w:sz w:val="22"/>
        </w:rPr>
        <w:t>means</w:t>
      </w:r>
      <w:r w:rsidRPr="001F2A32">
        <w:rPr>
          <w:rFonts w:cs="Arial"/>
          <w:iCs/>
          <w:sz w:val="22"/>
        </w:rPr>
        <w:t xml:space="preserve"> the provision of services or other activity to adults in need of social care and support</w:t>
      </w:r>
    </w:p>
    <w:p w14:paraId="29456176" w14:textId="77777777" w:rsidR="00AC56D6" w:rsidRPr="001F2A32" w:rsidRDefault="00C07856" w:rsidP="00AC56D6">
      <w:pPr>
        <w:pStyle w:val="ListParagraph"/>
        <w:numPr>
          <w:ilvl w:val="0"/>
          <w:numId w:val="15"/>
        </w:numPr>
        <w:shd w:val="clear" w:color="auto" w:fill="FFFFFF"/>
        <w:spacing w:after="0" w:line="240" w:lineRule="auto"/>
        <w:rPr>
          <w:rFonts w:cs="Arial"/>
          <w:iCs/>
          <w:sz w:val="22"/>
        </w:rPr>
      </w:pPr>
      <w:r w:rsidRPr="001F2A32">
        <w:rPr>
          <w:rFonts w:cs="Arial"/>
          <w:iCs/>
          <w:sz w:val="22"/>
        </w:rPr>
        <w:t>‘</w:t>
      </w:r>
      <w:proofErr w:type="gramStart"/>
      <w:r w:rsidRPr="001F2A32">
        <w:rPr>
          <w:rFonts w:cs="Arial"/>
          <w:iCs/>
          <w:sz w:val="22"/>
        </w:rPr>
        <w:t>eligible</w:t>
      </w:r>
      <w:proofErr w:type="gramEnd"/>
      <w:r w:rsidRPr="001F2A32">
        <w:rPr>
          <w:rFonts w:cs="Arial"/>
          <w:iCs/>
          <w:sz w:val="22"/>
        </w:rPr>
        <w:t xml:space="preserve"> care and support needs’ </w:t>
      </w:r>
      <w:r w:rsidR="0003545A" w:rsidRPr="001F2A32">
        <w:rPr>
          <w:rFonts w:cs="Arial"/>
          <w:iCs/>
          <w:sz w:val="22"/>
        </w:rPr>
        <w:t>means</w:t>
      </w:r>
      <w:r w:rsidRPr="001F2A32">
        <w:rPr>
          <w:rFonts w:cs="Arial"/>
          <w:iCs/>
          <w:sz w:val="22"/>
        </w:rPr>
        <w:t xml:space="preserve"> adult social care needs deemed eligible via application of criteria in the Care Act 2014 </w:t>
      </w:r>
    </w:p>
    <w:p w14:paraId="067D5F4C" w14:textId="77777777" w:rsidR="00AC56D6" w:rsidRPr="001F2A32" w:rsidRDefault="00AC56D6" w:rsidP="00AC56D6">
      <w:pPr>
        <w:pStyle w:val="ListParagraph"/>
        <w:numPr>
          <w:ilvl w:val="0"/>
          <w:numId w:val="15"/>
        </w:numPr>
        <w:shd w:val="clear" w:color="auto" w:fill="FFFFFF"/>
        <w:autoSpaceDE w:val="0"/>
        <w:autoSpaceDN w:val="0"/>
        <w:adjustRightInd w:val="0"/>
        <w:spacing w:after="0" w:line="240" w:lineRule="auto"/>
        <w:rPr>
          <w:rFonts w:cs="Arial"/>
          <w:iCs/>
          <w:sz w:val="22"/>
        </w:rPr>
      </w:pPr>
      <w:r w:rsidRPr="001F2A32">
        <w:rPr>
          <w:rFonts w:cs="Arial"/>
          <w:sz w:val="22"/>
        </w:rPr>
        <w:t>‘</w:t>
      </w:r>
      <w:proofErr w:type="gramStart"/>
      <w:r w:rsidRPr="001F2A32">
        <w:rPr>
          <w:rFonts w:cs="Arial"/>
          <w:sz w:val="22"/>
        </w:rPr>
        <w:t>care</w:t>
      </w:r>
      <w:proofErr w:type="gramEnd"/>
      <w:r w:rsidRPr="001F2A32">
        <w:rPr>
          <w:rFonts w:cs="Arial"/>
          <w:sz w:val="22"/>
        </w:rPr>
        <w:t xml:space="preserve"> home’ means a care home, within the meaning of s3 of the Care Standards Act 2000, in respect of which a person is registered under the Health and Social Care Act 2008 for the regulated activity of the provision of accommodation together with nursing or personal care</w:t>
      </w:r>
      <w:r w:rsidR="00A87B66" w:rsidRPr="001F2A32">
        <w:rPr>
          <w:rFonts w:cs="Arial"/>
          <w:sz w:val="22"/>
        </w:rPr>
        <w:t xml:space="preserve"> </w:t>
      </w:r>
    </w:p>
    <w:p w14:paraId="14C10F07" w14:textId="64732276" w:rsidR="00AC56D6" w:rsidRPr="001F2A32" w:rsidRDefault="00AC56D6" w:rsidP="00165502">
      <w:pPr>
        <w:pStyle w:val="ListParagraph"/>
        <w:numPr>
          <w:ilvl w:val="0"/>
          <w:numId w:val="15"/>
        </w:numPr>
        <w:shd w:val="clear" w:color="auto" w:fill="FFFFFF"/>
        <w:autoSpaceDE w:val="0"/>
        <w:autoSpaceDN w:val="0"/>
        <w:adjustRightInd w:val="0"/>
        <w:spacing w:after="0" w:line="240" w:lineRule="auto"/>
        <w:rPr>
          <w:rFonts w:cs="Arial"/>
          <w:sz w:val="22"/>
        </w:rPr>
      </w:pPr>
      <w:r w:rsidRPr="001F2A32">
        <w:rPr>
          <w:rFonts w:cs="Arial"/>
          <w:sz w:val="22"/>
        </w:rPr>
        <w:t>Supported living</w:t>
      </w:r>
      <w:r w:rsidR="003B7645" w:rsidRPr="001F2A32">
        <w:rPr>
          <w:rFonts w:cs="Arial"/>
          <w:sz w:val="22"/>
        </w:rPr>
        <w:t xml:space="preserve"> is </w:t>
      </w:r>
      <w:r w:rsidR="007E007E" w:rsidRPr="001F2A32">
        <w:rPr>
          <w:rFonts w:cs="Arial"/>
          <w:sz w:val="22"/>
        </w:rPr>
        <w:t xml:space="preserve">defined by the </w:t>
      </w:r>
      <w:r w:rsidR="0038404A" w:rsidRPr="001F2A32">
        <w:rPr>
          <w:rFonts w:cs="Arial"/>
          <w:sz w:val="22"/>
        </w:rPr>
        <w:t>Care and Support (</w:t>
      </w:r>
      <w:r w:rsidR="007E007E" w:rsidRPr="001F2A32">
        <w:rPr>
          <w:rFonts w:cs="Arial"/>
          <w:sz w:val="22"/>
        </w:rPr>
        <w:t>D</w:t>
      </w:r>
      <w:r w:rsidR="0038404A" w:rsidRPr="001F2A32">
        <w:rPr>
          <w:rFonts w:cs="Arial"/>
          <w:sz w:val="22"/>
        </w:rPr>
        <w:t xml:space="preserve">eferred </w:t>
      </w:r>
      <w:r w:rsidR="007E007E" w:rsidRPr="001F2A32">
        <w:rPr>
          <w:rFonts w:cs="Arial"/>
          <w:sz w:val="22"/>
        </w:rPr>
        <w:t>Payment</w:t>
      </w:r>
      <w:r w:rsidR="0038404A" w:rsidRPr="001F2A32">
        <w:rPr>
          <w:rFonts w:cs="Arial"/>
          <w:sz w:val="22"/>
        </w:rPr>
        <w:t xml:space="preserve">) </w:t>
      </w:r>
      <w:r w:rsidR="007E007E" w:rsidRPr="001F2A32">
        <w:rPr>
          <w:rFonts w:cs="Arial"/>
          <w:sz w:val="22"/>
        </w:rPr>
        <w:t>Regulations 2014 paragraph 3(2) as</w:t>
      </w:r>
      <w:r w:rsidRPr="001F2A32">
        <w:rPr>
          <w:rFonts w:cs="Arial"/>
          <w:sz w:val="22"/>
        </w:rPr>
        <w:t xml:space="preserve"> accommodation which is not a care home and is—</w:t>
      </w:r>
    </w:p>
    <w:p w14:paraId="007E7E1C" w14:textId="17FB65CF" w:rsidR="00AC56D6" w:rsidRPr="001F2A32" w:rsidRDefault="00AC56D6" w:rsidP="00AC56D6">
      <w:pPr>
        <w:pStyle w:val="ListParagraph"/>
        <w:numPr>
          <w:ilvl w:val="0"/>
          <w:numId w:val="24"/>
        </w:numPr>
        <w:autoSpaceDE w:val="0"/>
        <w:autoSpaceDN w:val="0"/>
        <w:adjustRightInd w:val="0"/>
        <w:spacing w:after="0" w:line="240" w:lineRule="auto"/>
        <w:rPr>
          <w:rFonts w:cs="Arial"/>
          <w:sz w:val="22"/>
        </w:rPr>
      </w:pPr>
      <w:r w:rsidRPr="001F2A32">
        <w:rPr>
          <w:rFonts w:cs="Arial"/>
          <w:sz w:val="22"/>
        </w:rPr>
        <w:t>in premises which are specifically designed or adapted for occupation by adults with needs for care and support to enable them to live as independently as possible; or</w:t>
      </w:r>
    </w:p>
    <w:p w14:paraId="5348455B" w14:textId="4B7F7D95" w:rsidR="00A87B66" w:rsidRPr="001F2A32" w:rsidRDefault="00AC56D6" w:rsidP="00AC56D6">
      <w:pPr>
        <w:pStyle w:val="ListParagraph"/>
        <w:numPr>
          <w:ilvl w:val="0"/>
          <w:numId w:val="24"/>
        </w:numPr>
        <w:shd w:val="clear" w:color="auto" w:fill="FFFFFF"/>
        <w:autoSpaceDE w:val="0"/>
        <w:autoSpaceDN w:val="0"/>
        <w:adjustRightInd w:val="0"/>
        <w:spacing w:after="0" w:line="240" w:lineRule="auto"/>
        <w:rPr>
          <w:rFonts w:cs="Arial"/>
          <w:iCs/>
          <w:sz w:val="22"/>
        </w:rPr>
      </w:pPr>
      <w:r w:rsidRPr="001F2A32">
        <w:rPr>
          <w:rFonts w:cs="Arial"/>
          <w:sz w:val="22"/>
        </w:rPr>
        <w:t>provided—</w:t>
      </w:r>
    </w:p>
    <w:p w14:paraId="48618189" w14:textId="77777777" w:rsidR="00AC56D6" w:rsidRPr="001F2A32" w:rsidRDefault="00AC56D6" w:rsidP="00AC56D6">
      <w:pPr>
        <w:pStyle w:val="ListParagraph"/>
        <w:numPr>
          <w:ilvl w:val="0"/>
          <w:numId w:val="26"/>
        </w:numPr>
        <w:autoSpaceDE w:val="0"/>
        <w:autoSpaceDN w:val="0"/>
        <w:adjustRightInd w:val="0"/>
        <w:spacing w:after="0" w:line="240" w:lineRule="auto"/>
        <w:rPr>
          <w:rFonts w:cs="Arial"/>
          <w:sz w:val="22"/>
        </w:rPr>
      </w:pPr>
      <w:r w:rsidRPr="001F2A32">
        <w:rPr>
          <w:rFonts w:cs="Arial"/>
          <w:sz w:val="22"/>
        </w:rPr>
        <w:t>in premises which are intended for occupation by adults with needs for care and support (whether or not the premises are specifically designed or adapted for that purpose); and</w:t>
      </w:r>
    </w:p>
    <w:p w14:paraId="7664D134" w14:textId="5F4199F5" w:rsidR="00AC56D6" w:rsidRPr="001F2A32" w:rsidRDefault="00AC56D6" w:rsidP="00AC56D6">
      <w:pPr>
        <w:pStyle w:val="ListParagraph"/>
        <w:numPr>
          <w:ilvl w:val="0"/>
          <w:numId w:val="26"/>
        </w:numPr>
        <w:autoSpaceDE w:val="0"/>
        <w:autoSpaceDN w:val="0"/>
        <w:adjustRightInd w:val="0"/>
        <w:spacing w:after="0" w:line="240" w:lineRule="auto"/>
        <w:rPr>
          <w:rFonts w:cs="Arial"/>
          <w:sz w:val="22"/>
        </w:rPr>
      </w:pPr>
      <w:r w:rsidRPr="001F2A32">
        <w:rPr>
          <w:rFonts w:cs="Arial"/>
          <w:sz w:val="22"/>
        </w:rPr>
        <w:t>in circumstances in which personal care is available if required</w:t>
      </w:r>
      <w:r w:rsidR="002300F4" w:rsidRPr="001F2A32">
        <w:rPr>
          <w:rFonts w:cs="Arial"/>
          <w:sz w:val="22"/>
        </w:rPr>
        <w:t xml:space="preserve"> (whether or not provided by the provider of the accommodation)</w:t>
      </w:r>
      <w:r w:rsidRPr="001F2A32">
        <w:rPr>
          <w:rFonts w:cs="Arial"/>
          <w:sz w:val="22"/>
        </w:rPr>
        <w:t>.</w:t>
      </w:r>
    </w:p>
    <w:p w14:paraId="5754BC59" w14:textId="713F6BB2" w:rsidR="00407CCD" w:rsidRPr="001F2A32" w:rsidRDefault="00407CCD" w:rsidP="00407CCD">
      <w:pPr>
        <w:autoSpaceDE w:val="0"/>
        <w:autoSpaceDN w:val="0"/>
        <w:adjustRightInd w:val="0"/>
        <w:spacing w:after="0" w:line="240" w:lineRule="auto"/>
        <w:ind w:left="720"/>
        <w:rPr>
          <w:rFonts w:cs="Arial"/>
          <w:sz w:val="22"/>
        </w:rPr>
      </w:pPr>
      <w:r w:rsidRPr="001F2A32">
        <w:rPr>
          <w:rFonts w:cs="Arial"/>
          <w:sz w:val="22"/>
        </w:rPr>
        <w:t>Supported living accommodation does not include premises:</w:t>
      </w:r>
    </w:p>
    <w:p w14:paraId="6D42DCE5" w14:textId="4789EFF0" w:rsidR="00407CCD" w:rsidRPr="001F2A32" w:rsidRDefault="00407CCD" w:rsidP="00407CCD">
      <w:pPr>
        <w:pStyle w:val="ListParagraph"/>
        <w:numPr>
          <w:ilvl w:val="0"/>
          <w:numId w:val="30"/>
        </w:numPr>
        <w:autoSpaceDE w:val="0"/>
        <w:autoSpaceDN w:val="0"/>
        <w:adjustRightInd w:val="0"/>
        <w:spacing w:after="0" w:line="240" w:lineRule="auto"/>
        <w:rPr>
          <w:rFonts w:cs="Arial"/>
          <w:sz w:val="22"/>
        </w:rPr>
      </w:pPr>
      <w:r w:rsidRPr="001F2A32">
        <w:rPr>
          <w:rFonts w:cs="Arial"/>
          <w:sz w:val="22"/>
        </w:rPr>
        <w:t>regarding which the adult is entitled to dispose of the fee simple, with or without the consent of other joint owners or</w:t>
      </w:r>
    </w:p>
    <w:p w14:paraId="0BDD3A3D" w14:textId="2FBE15A3" w:rsidR="00407CCD" w:rsidRPr="001F2A32" w:rsidRDefault="00407CCD" w:rsidP="00407CCD">
      <w:pPr>
        <w:pStyle w:val="ListParagraph"/>
        <w:numPr>
          <w:ilvl w:val="0"/>
          <w:numId w:val="30"/>
        </w:numPr>
        <w:autoSpaceDE w:val="0"/>
        <w:autoSpaceDN w:val="0"/>
        <w:adjustRightInd w:val="0"/>
        <w:spacing w:after="0" w:line="240" w:lineRule="auto"/>
        <w:rPr>
          <w:rFonts w:cs="Arial"/>
          <w:sz w:val="22"/>
        </w:rPr>
      </w:pPr>
      <w:r w:rsidRPr="001F2A32">
        <w:rPr>
          <w:rFonts w:cs="Arial"/>
          <w:sz w:val="22"/>
        </w:rPr>
        <w:t>which the adult occupies other than under a licence, or a tenancy agreement which is not a long tenancy.</w:t>
      </w:r>
    </w:p>
    <w:p w14:paraId="2F01ACF4" w14:textId="77777777" w:rsidR="00C07856" w:rsidRPr="001F2A32" w:rsidRDefault="00C07856" w:rsidP="00C07856"/>
    <w:p w14:paraId="6E54DA1D" w14:textId="17877BF0" w:rsidR="00C07856" w:rsidRPr="001F2A32" w:rsidRDefault="00C07856" w:rsidP="00D94765">
      <w:pPr>
        <w:pStyle w:val="Heading2"/>
        <w:rPr>
          <w:color w:val="auto"/>
        </w:rPr>
      </w:pPr>
      <w:bookmarkStart w:id="7" w:name="_Toc146189045"/>
      <w:r w:rsidRPr="001F2A32">
        <w:rPr>
          <w:color w:val="auto"/>
        </w:rPr>
        <w:t>3</w:t>
      </w:r>
      <w:r w:rsidRPr="001F2A32">
        <w:rPr>
          <w:color w:val="auto"/>
        </w:rPr>
        <w:tab/>
      </w:r>
      <w:r w:rsidR="00C13430" w:rsidRPr="001F2A32">
        <w:rPr>
          <w:color w:val="auto"/>
        </w:rPr>
        <w:t>The Legal Context</w:t>
      </w:r>
      <w:bookmarkEnd w:id="7"/>
    </w:p>
    <w:p w14:paraId="0DD69F7A" w14:textId="7D70D959" w:rsidR="002E6848" w:rsidRPr="001F2A32" w:rsidRDefault="002E6848" w:rsidP="00927293">
      <w:pPr>
        <w:pStyle w:val="Heading3"/>
        <w:rPr>
          <w:color w:val="auto"/>
        </w:rPr>
      </w:pPr>
      <w:bookmarkStart w:id="8" w:name="_Toc146189046"/>
      <w:r w:rsidRPr="001F2A32">
        <w:rPr>
          <w:color w:val="auto"/>
        </w:rPr>
        <w:t>3.1 The Care Act 2014</w:t>
      </w:r>
      <w:r w:rsidR="00AC3BEC" w:rsidRPr="001F2A32">
        <w:rPr>
          <w:color w:val="auto"/>
        </w:rPr>
        <w:t xml:space="preserve"> (‘the Care Act’)</w:t>
      </w:r>
      <w:bookmarkEnd w:id="8"/>
      <w:r w:rsidRPr="001F2A32">
        <w:rPr>
          <w:color w:val="auto"/>
        </w:rPr>
        <w:t xml:space="preserve"> </w:t>
      </w:r>
    </w:p>
    <w:p w14:paraId="0A8E0C80" w14:textId="77777777" w:rsidR="005C2992" w:rsidRPr="001F2A32" w:rsidRDefault="002E6848" w:rsidP="005C2992">
      <w:pPr>
        <w:widowControl w:val="0"/>
        <w:tabs>
          <w:tab w:val="left" w:pos="1540"/>
        </w:tabs>
        <w:autoSpaceDE w:val="0"/>
        <w:autoSpaceDN w:val="0"/>
        <w:adjustRightInd w:val="0"/>
        <w:spacing w:after="0" w:line="240" w:lineRule="auto"/>
        <w:ind w:right="88"/>
        <w:jc w:val="both"/>
        <w:rPr>
          <w:rFonts w:eastAsia="Times New Roman" w:cs="Arial"/>
          <w:sz w:val="22"/>
          <w:lang w:eastAsia="en-GB"/>
        </w:rPr>
      </w:pPr>
      <w:r w:rsidRPr="001F2A32">
        <w:rPr>
          <w:rFonts w:cs="Arial"/>
          <w:spacing w:val="-1"/>
          <w:sz w:val="22"/>
          <w:lang w:val="en-US"/>
        </w:rPr>
        <w:t>T</w:t>
      </w:r>
      <w:r w:rsidRPr="001F2A32">
        <w:rPr>
          <w:rFonts w:cs="Arial"/>
          <w:sz w:val="22"/>
          <w:lang w:val="en-US"/>
        </w:rPr>
        <w:t>he</w:t>
      </w:r>
      <w:r w:rsidRPr="001F2A32">
        <w:rPr>
          <w:rFonts w:cs="Arial"/>
          <w:spacing w:val="1"/>
          <w:sz w:val="22"/>
          <w:lang w:val="en-US"/>
        </w:rPr>
        <w:t xml:space="preserve"> </w:t>
      </w:r>
      <w:r w:rsidRPr="001F2A32">
        <w:rPr>
          <w:rFonts w:cs="Arial"/>
          <w:spacing w:val="-1"/>
          <w:sz w:val="22"/>
          <w:lang w:val="en-US"/>
        </w:rPr>
        <w:t>C</w:t>
      </w:r>
      <w:r w:rsidRPr="001F2A32">
        <w:rPr>
          <w:rFonts w:cs="Arial"/>
          <w:sz w:val="22"/>
          <w:lang w:val="en-US"/>
        </w:rPr>
        <w:t>are</w:t>
      </w:r>
      <w:r w:rsidRPr="001F2A32">
        <w:rPr>
          <w:rFonts w:cs="Arial"/>
          <w:spacing w:val="1"/>
          <w:sz w:val="22"/>
          <w:lang w:val="en-US"/>
        </w:rPr>
        <w:t xml:space="preserve"> </w:t>
      </w:r>
      <w:r w:rsidRPr="001F2A32">
        <w:rPr>
          <w:rFonts w:cs="Arial"/>
          <w:spacing w:val="-3"/>
          <w:sz w:val="22"/>
          <w:lang w:val="en-US"/>
        </w:rPr>
        <w:t>A</w:t>
      </w:r>
      <w:r w:rsidRPr="001F2A32">
        <w:rPr>
          <w:rFonts w:cs="Arial"/>
          <w:spacing w:val="-1"/>
          <w:sz w:val="22"/>
          <w:lang w:val="en-US"/>
        </w:rPr>
        <w:t>c</w:t>
      </w:r>
      <w:r w:rsidRPr="001F2A32">
        <w:rPr>
          <w:rFonts w:cs="Arial"/>
          <w:sz w:val="22"/>
          <w:lang w:val="en-US"/>
        </w:rPr>
        <w:t>t</w:t>
      </w:r>
      <w:r w:rsidRPr="001F2A32">
        <w:rPr>
          <w:rFonts w:cs="Arial"/>
          <w:spacing w:val="2"/>
          <w:sz w:val="22"/>
          <w:lang w:val="en-US"/>
        </w:rPr>
        <w:t xml:space="preserve"> </w:t>
      </w:r>
      <w:r w:rsidRPr="001F2A32">
        <w:rPr>
          <w:rFonts w:cs="Arial"/>
          <w:sz w:val="22"/>
          <w:lang w:val="en-US"/>
        </w:rPr>
        <w:t>pro</w:t>
      </w:r>
      <w:r w:rsidRPr="001F2A32">
        <w:rPr>
          <w:rFonts w:cs="Arial"/>
          <w:spacing w:val="-4"/>
          <w:sz w:val="22"/>
          <w:lang w:val="en-US"/>
        </w:rPr>
        <w:t>v</w:t>
      </w:r>
      <w:r w:rsidRPr="001F2A32">
        <w:rPr>
          <w:rFonts w:cs="Arial"/>
          <w:sz w:val="22"/>
          <w:lang w:val="en-US"/>
        </w:rPr>
        <w:t>ides</w:t>
      </w:r>
      <w:r w:rsidRPr="001F2A32">
        <w:rPr>
          <w:rFonts w:cs="Arial"/>
          <w:spacing w:val="2"/>
          <w:sz w:val="22"/>
          <w:lang w:val="en-US"/>
        </w:rPr>
        <w:t xml:space="preserve"> the</w:t>
      </w:r>
      <w:r w:rsidRPr="001F2A32">
        <w:rPr>
          <w:rFonts w:cs="Arial"/>
          <w:spacing w:val="1"/>
          <w:sz w:val="22"/>
          <w:lang w:val="en-US"/>
        </w:rPr>
        <w:t xml:space="preserve"> </w:t>
      </w:r>
      <w:r w:rsidRPr="001F2A32">
        <w:rPr>
          <w:rFonts w:cs="Arial"/>
          <w:spacing w:val="-1"/>
          <w:sz w:val="22"/>
          <w:lang w:val="en-US"/>
        </w:rPr>
        <w:t>f</w:t>
      </w:r>
      <w:r w:rsidRPr="001F2A32">
        <w:rPr>
          <w:rFonts w:cs="Arial"/>
          <w:sz w:val="22"/>
          <w:lang w:val="en-US"/>
        </w:rPr>
        <w:t>ra</w:t>
      </w:r>
      <w:r w:rsidRPr="001F2A32">
        <w:rPr>
          <w:rFonts w:cs="Arial"/>
          <w:spacing w:val="-1"/>
          <w:sz w:val="22"/>
          <w:lang w:val="en-US"/>
        </w:rPr>
        <w:t>m</w:t>
      </w:r>
      <w:r w:rsidRPr="001F2A32">
        <w:rPr>
          <w:rFonts w:cs="Arial"/>
          <w:sz w:val="22"/>
          <w:lang w:val="en-US"/>
        </w:rPr>
        <w:t>e</w:t>
      </w:r>
      <w:r w:rsidRPr="001F2A32">
        <w:rPr>
          <w:rFonts w:cs="Arial"/>
          <w:spacing w:val="-4"/>
          <w:sz w:val="22"/>
          <w:lang w:val="en-US"/>
        </w:rPr>
        <w:t>w</w:t>
      </w:r>
      <w:r w:rsidRPr="001F2A32">
        <w:rPr>
          <w:rFonts w:cs="Arial"/>
          <w:sz w:val="22"/>
          <w:lang w:val="en-US"/>
        </w:rPr>
        <w:t>ork</w:t>
      </w:r>
      <w:r w:rsidRPr="001F2A32">
        <w:rPr>
          <w:rFonts w:cs="Arial"/>
          <w:spacing w:val="2"/>
          <w:sz w:val="22"/>
          <w:lang w:val="en-US"/>
        </w:rPr>
        <w:t xml:space="preserve"> </w:t>
      </w:r>
      <w:r w:rsidRPr="001F2A32">
        <w:rPr>
          <w:rFonts w:cs="Arial"/>
          <w:spacing w:val="-1"/>
          <w:sz w:val="22"/>
          <w:lang w:val="en-US"/>
        </w:rPr>
        <w:t>f</w:t>
      </w:r>
      <w:r w:rsidRPr="001F2A32">
        <w:rPr>
          <w:rFonts w:cs="Arial"/>
          <w:sz w:val="22"/>
          <w:lang w:val="en-US"/>
        </w:rPr>
        <w:t xml:space="preserve">or </w:t>
      </w:r>
      <w:r w:rsidRPr="001F2A32">
        <w:rPr>
          <w:rFonts w:cs="Arial"/>
          <w:spacing w:val="1"/>
          <w:sz w:val="22"/>
          <w:lang w:val="en-US"/>
        </w:rPr>
        <w:t>c</w:t>
      </w:r>
      <w:r w:rsidRPr="001F2A32">
        <w:rPr>
          <w:rFonts w:cs="Arial"/>
          <w:sz w:val="22"/>
          <w:lang w:val="en-US"/>
        </w:rPr>
        <w:t>harging</w:t>
      </w:r>
      <w:r w:rsidRPr="001F2A32">
        <w:rPr>
          <w:rFonts w:cs="Arial"/>
          <w:spacing w:val="-4"/>
          <w:sz w:val="22"/>
          <w:lang w:val="en-US"/>
        </w:rPr>
        <w:t xml:space="preserve"> </w:t>
      </w:r>
      <w:r w:rsidRPr="001F2A32">
        <w:rPr>
          <w:rFonts w:cs="Arial"/>
          <w:spacing w:val="1"/>
          <w:sz w:val="22"/>
          <w:lang w:val="en-US"/>
        </w:rPr>
        <w:t>f</w:t>
      </w:r>
      <w:r w:rsidRPr="001F2A32">
        <w:rPr>
          <w:rFonts w:cs="Arial"/>
          <w:sz w:val="22"/>
          <w:lang w:val="en-US"/>
        </w:rPr>
        <w:t>or</w:t>
      </w:r>
      <w:r w:rsidRPr="001F2A32">
        <w:rPr>
          <w:rFonts w:cs="Arial"/>
          <w:spacing w:val="-1"/>
          <w:sz w:val="22"/>
          <w:lang w:val="en-US"/>
        </w:rPr>
        <w:t xml:space="preserve"> </w:t>
      </w:r>
      <w:r w:rsidRPr="001F2A32">
        <w:rPr>
          <w:rFonts w:cs="Arial"/>
          <w:spacing w:val="1"/>
          <w:sz w:val="22"/>
          <w:lang w:val="en-US"/>
        </w:rPr>
        <w:t>c</w:t>
      </w:r>
      <w:r w:rsidRPr="001F2A32">
        <w:rPr>
          <w:rFonts w:cs="Arial"/>
          <w:sz w:val="22"/>
          <w:lang w:val="en-US"/>
        </w:rPr>
        <w:t>are</w:t>
      </w:r>
      <w:r w:rsidRPr="001F2A32">
        <w:rPr>
          <w:rFonts w:cs="Arial"/>
          <w:spacing w:val="-1"/>
          <w:sz w:val="22"/>
          <w:lang w:val="en-US"/>
        </w:rPr>
        <w:t xml:space="preserve"> </w:t>
      </w:r>
      <w:r w:rsidRPr="001F2A32">
        <w:rPr>
          <w:rFonts w:cs="Arial"/>
          <w:spacing w:val="-3"/>
          <w:sz w:val="22"/>
          <w:lang w:val="en-US"/>
        </w:rPr>
        <w:t>a</w:t>
      </w:r>
      <w:r w:rsidRPr="001F2A32">
        <w:rPr>
          <w:rFonts w:cs="Arial"/>
          <w:sz w:val="22"/>
          <w:lang w:val="en-US"/>
        </w:rPr>
        <w:t>nd</w:t>
      </w:r>
      <w:r w:rsidRPr="001F2A32">
        <w:rPr>
          <w:rFonts w:cs="Arial"/>
          <w:spacing w:val="1"/>
          <w:sz w:val="22"/>
          <w:lang w:val="en-US"/>
        </w:rPr>
        <w:t xml:space="preserve"> </w:t>
      </w:r>
      <w:r w:rsidRPr="001F2A32">
        <w:rPr>
          <w:rFonts w:cs="Arial"/>
          <w:spacing w:val="-1"/>
          <w:sz w:val="22"/>
          <w:lang w:val="en-US"/>
        </w:rPr>
        <w:t>s</w:t>
      </w:r>
      <w:r w:rsidRPr="001F2A32">
        <w:rPr>
          <w:rFonts w:cs="Arial"/>
          <w:sz w:val="22"/>
          <w:lang w:val="en-US"/>
        </w:rPr>
        <w:t>uppo</w:t>
      </w:r>
      <w:r w:rsidRPr="001F2A32">
        <w:rPr>
          <w:rFonts w:cs="Arial"/>
          <w:spacing w:val="-3"/>
          <w:sz w:val="22"/>
          <w:lang w:val="en-US"/>
        </w:rPr>
        <w:t>r</w:t>
      </w:r>
      <w:r w:rsidRPr="001F2A32">
        <w:rPr>
          <w:rFonts w:cs="Arial"/>
          <w:spacing w:val="1"/>
          <w:sz w:val="22"/>
          <w:lang w:val="en-US"/>
        </w:rPr>
        <w:t>t</w:t>
      </w:r>
      <w:r w:rsidR="00AC3BEC" w:rsidRPr="001F2A32">
        <w:rPr>
          <w:rFonts w:cs="Arial"/>
          <w:spacing w:val="1"/>
          <w:sz w:val="22"/>
          <w:lang w:val="en-US"/>
        </w:rPr>
        <w:t>, including DPAs</w:t>
      </w:r>
      <w:r w:rsidRPr="001F2A32">
        <w:rPr>
          <w:rFonts w:cs="Arial"/>
          <w:sz w:val="22"/>
          <w:lang w:val="en-US"/>
        </w:rPr>
        <w:t xml:space="preserve">. </w:t>
      </w:r>
      <w:r w:rsidR="005C2992" w:rsidRPr="001F2A32">
        <w:rPr>
          <w:rFonts w:cs="Arial"/>
          <w:sz w:val="22"/>
          <w:shd w:val="clear" w:color="auto" w:fill="FFFFFF"/>
        </w:rPr>
        <w:t xml:space="preserve">The Care Act’s accompanying statutory guidance gives further details on the principles which local authorities must </w:t>
      </w:r>
      <w:proofErr w:type="gramStart"/>
      <w:r w:rsidR="005C2992" w:rsidRPr="001F2A32">
        <w:rPr>
          <w:rFonts w:cs="Arial"/>
          <w:sz w:val="22"/>
          <w:shd w:val="clear" w:color="auto" w:fill="FFFFFF"/>
        </w:rPr>
        <w:t>take into account</w:t>
      </w:r>
      <w:proofErr w:type="gramEnd"/>
      <w:r w:rsidR="005C2992" w:rsidRPr="001F2A32">
        <w:rPr>
          <w:rFonts w:cs="Arial"/>
          <w:sz w:val="22"/>
          <w:shd w:val="clear" w:color="auto" w:fill="FFFFFF"/>
        </w:rPr>
        <w:t xml:space="preserve"> when making decisions on charging.  </w:t>
      </w:r>
      <w:r w:rsidR="005C2992" w:rsidRPr="001F2A32">
        <w:rPr>
          <w:rFonts w:eastAsia="Times New Roman" w:cs="Arial"/>
          <w:sz w:val="22"/>
          <w:lang w:eastAsia="en-GB"/>
        </w:rPr>
        <w:t>The principles are that the approach to charging for care and support needs should:</w:t>
      </w:r>
    </w:p>
    <w:p w14:paraId="6D53FE74" w14:textId="77777777" w:rsidR="00D04C39" w:rsidRPr="001F2A32" w:rsidRDefault="00D04C39" w:rsidP="005C2992">
      <w:pPr>
        <w:widowControl w:val="0"/>
        <w:tabs>
          <w:tab w:val="left" w:pos="1540"/>
        </w:tabs>
        <w:autoSpaceDE w:val="0"/>
        <w:autoSpaceDN w:val="0"/>
        <w:adjustRightInd w:val="0"/>
        <w:spacing w:after="0" w:line="240" w:lineRule="auto"/>
        <w:ind w:right="88"/>
        <w:jc w:val="both"/>
        <w:rPr>
          <w:rFonts w:cs="Arial"/>
          <w:sz w:val="22"/>
          <w:shd w:val="clear" w:color="auto" w:fill="FFFFFF"/>
        </w:rPr>
      </w:pPr>
    </w:p>
    <w:p w14:paraId="5BF459C9" w14:textId="6B11A7EB" w:rsidR="005C2992" w:rsidRPr="001F2A32" w:rsidRDefault="005C2992" w:rsidP="005C2992">
      <w:pPr>
        <w:pStyle w:val="ListParagraph"/>
        <w:numPr>
          <w:ilvl w:val="0"/>
          <w:numId w:val="28"/>
        </w:numPr>
        <w:shd w:val="clear" w:color="auto" w:fill="FFFFFF"/>
        <w:spacing w:after="0" w:line="240" w:lineRule="auto"/>
        <w:rPr>
          <w:rFonts w:eastAsia="Times New Roman" w:cs="Arial"/>
          <w:sz w:val="22"/>
          <w:lang w:eastAsia="en-GB"/>
        </w:rPr>
      </w:pPr>
      <w:r w:rsidRPr="001F2A32">
        <w:rPr>
          <w:rFonts w:eastAsia="Times New Roman" w:cs="Arial"/>
          <w:sz w:val="22"/>
          <w:lang w:eastAsia="en-GB"/>
        </w:rPr>
        <w:t xml:space="preserve">ensure people are not charged more than it is reasonably practicable for them to </w:t>
      </w:r>
      <w:proofErr w:type="gramStart"/>
      <w:r w:rsidRPr="001F2A32">
        <w:rPr>
          <w:rFonts w:eastAsia="Times New Roman" w:cs="Arial"/>
          <w:sz w:val="22"/>
          <w:lang w:eastAsia="en-GB"/>
        </w:rPr>
        <w:t>pay</w:t>
      </w:r>
      <w:proofErr w:type="gramEnd"/>
    </w:p>
    <w:p w14:paraId="370D1C4F" w14:textId="77777777" w:rsidR="005C2992" w:rsidRPr="001F2A32" w:rsidRDefault="005C2992" w:rsidP="005C2992">
      <w:pPr>
        <w:pStyle w:val="ListParagraph"/>
        <w:numPr>
          <w:ilvl w:val="0"/>
          <w:numId w:val="28"/>
        </w:numPr>
        <w:shd w:val="clear" w:color="auto" w:fill="FFFFFF"/>
        <w:spacing w:after="0" w:line="240" w:lineRule="auto"/>
        <w:rPr>
          <w:rFonts w:eastAsia="Times New Roman" w:cs="Arial"/>
          <w:sz w:val="22"/>
          <w:lang w:eastAsia="en-GB"/>
        </w:rPr>
      </w:pPr>
      <w:r w:rsidRPr="001F2A32">
        <w:rPr>
          <w:rFonts w:eastAsia="Times New Roman" w:cs="Arial"/>
          <w:sz w:val="22"/>
          <w:lang w:eastAsia="en-GB"/>
        </w:rPr>
        <w:t xml:space="preserve">be comprehensive, to reduce variation in the way people are assessed and </w:t>
      </w:r>
      <w:proofErr w:type="gramStart"/>
      <w:r w:rsidRPr="001F2A32">
        <w:rPr>
          <w:rFonts w:eastAsia="Times New Roman" w:cs="Arial"/>
          <w:sz w:val="22"/>
          <w:lang w:eastAsia="en-GB"/>
        </w:rPr>
        <w:t>charged</w:t>
      </w:r>
      <w:proofErr w:type="gramEnd"/>
    </w:p>
    <w:p w14:paraId="4979E2BB" w14:textId="77777777" w:rsidR="005C2992" w:rsidRPr="001F2A32" w:rsidRDefault="005C2992" w:rsidP="005C2992">
      <w:pPr>
        <w:pStyle w:val="ListParagraph"/>
        <w:numPr>
          <w:ilvl w:val="0"/>
          <w:numId w:val="28"/>
        </w:numPr>
        <w:shd w:val="clear" w:color="auto" w:fill="FFFFFF"/>
        <w:spacing w:after="0" w:line="240" w:lineRule="auto"/>
        <w:rPr>
          <w:rFonts w:eastAsia="Times New Roman" w:cs="Arial"/>
          <w:sz w:val="22"/>
          <w:lang w:eastAsia="en-GB"/>
        </w:rPr>
      </w:pPr>
      <w:r w:rsidRPr="001F2A32">
        <w:rPr>
          <w:rFonts w:eastAsia="Times New Roman" w:cs="Arial"/>
          <w:sz w:val="22"/>
          <w:lang w:eastAsia="en-GB"/>
        </w:rPr>
        <w:t xml:space="preserve">be clear and transparent, so people know what they will be </w:t>
      </w:r>
      <w:proofErr w:type="gramStart"/>
      <w:r w:rsidRPr="001F2A32">
        <w:rPr>
          <w:rFonts w:eastAsia="Times New Roman" w:cs="Arial"/>
          <w:sz w:val="22"/>
          <w:lang w:eastAsia="en-GB"/>
        </w:rPr>
        <w:t>charged</w:t>
      </w:r>
      <w:proofErr w:type="gramEnd"/>
    </w:p>
    <w:p w14:paraId="1DB4AA2F" w14:textId="77777777" w:rsidR="005C2992" w:rsidRPr="001F2A32" w:rsidRDefault="005C2992" w:rsidP="005C2992">
      <w:pPr>
        <w:pStyle w:val="ListParagraph"/>
        <w:numPr>
          <w:ilvl w:val="0"/>
          <w:numId w:val="28"/>
        </w:numPr>
        <w:shd w:val="clear" w:color="auto" w:fill="FFFFFF"/>
        <w:spacing w:after="0" w:line="240" w:lineRule="auto"/>
        <w:rPr>
          <w:rFonts w:eastAsia="Times New Roman" w:cs="Arial"/>
          <w:sz w:val="22"/>
          <w:lang w:eastAsia="en-GB"/>
        </w:rPr>
      </w:pPr>
      <w:r w:rsidRPr="001F2A32">
        <w:rPr>
          <w:rFonts w:eastAsia="Times New Roman" w:cs="Arial"/>
          <w:sz w:val="22"/>
          <w:lang w:eastAsia="en-GB"/>
        </w:rPr>
        <w:t xml:space="preserve">promote wellbeing, social inclusion, and support the vision of personalisation, independence, choice and </w:t>
      </w:r>
      <w:proofErr w:type="gramStart"/>
      <w:r w:rsidRPr="001F2A32">
        <w:rPr>
          <w:rFonts w:eastAsia="Times New Roman" w:cs="Arial"/>
          <w:sz w:val="22"/>
          <w:lang w:eastAsia="en-GB"/>
        </w:rPr>
        <w:t>control</w:t>
      </w:r>
      <w:proofErr w:type="gramEnd"/>
    </w:p>
    <w:p w14:paraId="195FC2ED" w14:textId="77777777" w:rsidR="005C2992" w:rsidRPr="001F2A32" w:rsidRDefault="005C2992" w:rsidP="005C2992">
      <w:pPr>
        <w:pStyle w:val="ListParagraph"/>
        <w:numPr>
          <w:ilvl w:val="0"/>
          <w:numId w:val="28"/>
        </w:numPr>
        <w:shd w:val="clear" w:color="auto" w:fill="FFFFFF"/>
        <w:spacing w:after="0" w:line="240" w:lineRule="auto"/>
        <w:rPr>
          <w:rFonts w:eastAsia="Times New Roman" w:cs="Arial"/>
          <w:sz w:val="22"/>
          <w:lang w:eastAsia="en-GB"/>
        </w:rPr>
      </w:pPr>
      <w:r w:rsidRPr="001F2A32">
        <w:rPr>
          <w:rFonts w:eastAsia="Times New Roman" w:cs="Arial"/>
          <w:sz w:val="22"/>
          <w:lang w:eastAsia="en-GB"/>
        </w:rPr>
        <w:t xml:space="preserve">support carers to look after their own health and wellbeing and to care effectively and </w:t>
      </w:r>
      <w:proofErr w:type="gramStart"/>
      <w:r w:rsidRPr="001F2A32">
        <w:rPr>
          <w:rFonts w:eastAsia="Times New Roman" w:cs="Arial"/>
          <w:sz w:val="22"/>
          <w:lang w:eastAsia="en-GB"/>
        </w:rPr>
        <w:t>safely</w:t>
      </w:r>
      <w:proofErr w:type="gramEnd"/>
    </w:p>
    <w:p w14:paraId="4065FE76" w14:textId="77777777" w:rsidR="005C2992" w:rsidRPr="001F2A32" w:rsidRDefault="005C2992" w:rsidP="005C2992">
      <w:pPr>
        <w:pStyle w:val="ListParagraph"/>
        <w:numPr>
          <w:ilvl w:val="0"/>
          <w:numId w:val="28"/>
        </w:numPr>
        <w:shd w:val="clear" w:color="auto" w:fill="FFFFFF"/>
        <w:spacing w:after="0" w:line="240" w:lineRule="auto"/>
        <w:rPr>
          <w:rFonts w:eastAsia="Times New Roman" w:cs="Arial"/>
          <w:sz w:val="22"/>
          <w:lang w:eastAsia="en-GB"/>
        </w:rPr>
      </w:pPr>
      <w:r w:rsidRPr="001F2A32">
        <w:rPr>
          <w:rFonts w:eastAsia="Times New Roman" w:cs="Arial"/>
          <w:sz w:val="22"/>
          <w:lang w:eastAsia="en-GB"/>
        </w:rPr>
        <w:t xml:space="preserve">be person-focused, reflecting the variety of care and caring journeys and the variety of options available to meet their </w:t>
      </w:r>
      <w:proofErr w:type="gramStart"/>
      <w:r w:rsidRPr="001F2A32">
        <w:rPr>
          <w:rFonts w:eastAsia="Times New Roman" w:cs="Arial"/>
          <w:sz w:val="22"/>
          <w:lang w:eastAsia="en-GB"/>
        </w:rPr>
        <w:t>needs</w:t>
      </w:r>
      <w:proofErr w:type="gramEnd"/>
    </w:p>
    <w:p w14:paraId="62EF0C06" w14:textId="77777777" w:rsidR="005C2992" w:rsidRPr="001F2A32" w:rsidRDefault="005C2992" w:rsidP="005C2992">
      <w:pPr>
        <w:pStyle w:val="ListParagraph"/>
        <w:numPr>
          <w:ilvl w:val="0"/>
          <w:numId w:val="28"/>
        </w:numPr>
        <w:shd w:val="clear" w:color="auto" w:fill="FFFFFF"/>
        <w:spacing w:after="0" w:line="240" w:lineRule="auto"/>
        <w:rPr>
          <w:rFonts w:eastAsia="Times New Roman" w:cs="Arial"/>
          <w:sz w:val="22"/>
          <w:lang w:eastAsia="en-GB"/>
        </w:rPr>
      </w:pPr>
      <w:r w:rsidRPr="001F2A32">
        <w:rPr>
          <w:rFonts w:eastAsia="Times New Roman" w:cs="Arial"/>
          <w:sz w:val="22"/>
          <w:lang w:eastAsia="en-GB"/>
        </w:rPr>
        <w:t xml:space="preserve">apply the charging rules equally so those with similar needs or services are treated the same and minimise anomalies between different care </w:t>
      </w:r>
      <w:proofErr w:type="gramStart"/>
      <w:r w:rsidRPr="001F2A32">
        <w:rPr>
          <w:rFonts w:eastAsia="Times New Roman" w:cs="Arial"/>
          <w:sz w:val="22"/>
          <w:lang w:eastAsia="en-GB"/>
        </w:rPr>
        <w:t>settings</w:t>
      </w:r>
      <w:proofErr w:type="gramEnd"/>
    </w:p>
    <w:p w14:paraId="0CDD65B8" w14:textId="77777777" w:rsidR="005C2992" w:rsidRPr="001F2A32" w:rsidRDefault="005C2992" w:rsidP="005C2992">
      <w:pPr>
        <w:pStyle w:val="ListParagraph"/>
        <w:numPr>
          <w:ilvl w:val="0"/>
          <w:numId w:val="28"/>
        </w:numPr>
        <w:shd w:val="clear" w:color="auto" w:fill="FFFFFF"/>
        <w:spacing w:after="0" w:line="240" w:lineRule="auto"/>
        <w:rPr>
          <w:rFonts w:eastAsia="Times New Roman" w:cs="Arial"/>
          <w:sz w:val="22"/>
          <w:lang w:eastAsia="en-GB"/>
        </w:rPr>
      </w:pPr>
      <w:r w:rsidRPr="001F2A32">
        <w:rPr>
          <w:rFonts w:eastAsia="Times New Roman" w:cs="Arial"/>
          <w:sz w:val="22"/>
          <w:lang w:eastAsia="en-GB"/>
        </w:rPr>
        <w:t xml:space="preserve">encourage and enable those who wish to stay in or take up employment, education or training or plan for the future costs of meeting their needs to do </w:t>
      </w:r>
      <w:proofErr w:type="gramStart"/>
      <w:r w:rsidRPr="001F2A32">
        <w:rPr>
          <w:rFonts w:eastAsia="Times New Roman" w:cs="Arial"/>
          <w:sz w:val="22"/>
          <w:lang w:eastAsia="en-GB"/>
        </w:rPr>
        <w:t>so</w:t>
      </w:r>
      <w:proofErr w:type="gramEnd"/>
    </w:p>
    <w:p w14:paraId="0D54A249" w14:textId="06913CFD" w:rsidR="005C2992" w:rsidRPr="001F2A32" w:rsidRDefault="005C2992" w:rsidP="005C2992">
      <w:pPr>
        <w:pStyle w:val="ListParagraph"/>
        <w:numPr>
          <w:ilvl w:val="0"/>
          <w:numId w:val="28"/>
        </w:numPr>
        <w:shd w:val="clear" w:color="auto" w:fill="FFFFFF"/>
        <w:spacing w:after="0" w:line="240" w:lineRule="auto"/>
        <w:rPr>
          <w:rFonts w:eastAsia="Times New Roman" w:cs="Arial"/>
          <w:sz w:val="22"/>
          <w:lang w:eastAsia="en-GB"/>
        </w:rPr>
      </w:pPr>
      <w:r w:rsidRPr="001F2A32">
        <w:rPr>
          <w:rFonts w:eastAsia="Times New Roman" w:cs="Arial"/>
          <w:sz w:val="22"/>
          <w:lang w:eastAsia="en-GB"/>
        </w:rPr>
        <w:t>be sustainable for local authorities in the long-term.</w:t>
      </w:r>
    </w:p>
    <w:p w14:paraId="02E290E2" w14:textId="77777777" w:rsidR="005C2992" w:rsidRPr="001F2A32" w:rsidRDefault="005C2992" w:rsidP="005C2992">
      <w:pPr>
        <w:shd w:val="clear" w:color="auto" w:fill="FFFFFF"/>
        <w:spacing w:after="75" w:line="240" w:lineRule="auto"/>
        <w:rPr>
          <w:rFonts w:eastAsia="Times New Roman" w:cs="Arial"/>
          <w:sz w:val="22"/>
          <w:lang w:eastAsia="en-GB"/>
        </w:rPr>
      </w:pPr>
    </w:p>
    <w:p w14:paraId="48DCD0B8" w14:textId="77777777" w:rsidR="005C2992" w:rsidRPr="001F2A32" w:rsidRDefault="005C2992" w:rsidP="005C2992">
      <w:pPr>
        <w:shd w:val="clear" w:color="auto" w:fill="FFFFFF"/>
        <w:spacing w:after="75" w:line="240" w:lineRule="auto"/>
        <w:rPr>
          <w:rFonts w:cs="Arial"/>
          <w:sz w:val="22"/>
          <w:shd w:val="clear" w:color="auto" w:fill="FFFFFF"/>
        </w:rPr>
      </w:pPr>
      <w:r w:rsidRPr="001F2A32">
        <w:rPr>
          <w:rFonts w:cs="Arial"/>
          <w:sz w:val="22"/>
          <w:shd w:val="clear" w:color="auto" w:fill="FFFFFF"/>
        </w:rPr>
        <w:t>The Council has due regard for those principles when drafting and applying this policy.</w:t>
      </w:r>
    </w:p>
    <w:p w14:paraId="418D78B9" w14:textId="5591E6B4" w:rsidR="002E6848" w:rsidRPr="001F2A32" w:rsidRDefault="002E6848" w:rsidP="00927293">
      <w:pPr>
        <w:pStyle w:val="Heading3"/>
        <w:rPr>
          <w:color w:val="auto"/>
        </w:rPr>
      </w:pPr>
      <w:bookmarkStart w:id="9" w:name="_Toc146189047"/>
      <w:r w:rsidRPr="001F2A32">
        <w:rPr>
          <w:color w:val="auto"/>
        </w:rPr>
        <w:t>3.2 The Mental Capacity Act 2005 (MCA)</w:t>
      </w:r>
      <w:bookmarkEnd w:id="9"/>
      <w:r w:rsidRPr="001F2A32">
        <w:rPr>
          <w:color w:val="auto"/>
        </w:rPr>
        <w:t xml:space="preserve"> </w:t>
      </w:r>
    </w:p>
    <w:p w14:paraId="03638B47" w14:textId="2F31CB04" w:rsidR="00FA184E" w:rsidRPr="001F2A32" w:rsidRDefault="00FA184E" w:rsidP="00FA184E">
      <w:pPr>
        <w:rPr>
          <w:sz w:val="22"/>
        </w:rPr>
      </w:pPr>
      <w:r w:rsidRPr="001F2A32">
        <w:rPr>
          <w:sz w:val="22"/>
        </w:rPr>
        <w:t>The MCA explains what to do when a person is not able to make decisions</w:t>
      </w:r>
      <w:r w:rsidRPr="001F2A32">
        <w:rPr>
          <w:i/>
          <w:iCs/>
          <w:sz w:val="22"/>
        </w:rPr>
        <w:t xml:space="preserve"> </w:t>
      </w:r>
      <w:r w:rsidRPr="001F2A32">
        <w:rPr>
          <w:sz w:val="22"/>
        </w:rPr>
        <w:t>for themselves.  It applies to anyone 16 years old and over who has a mental impairment that might affect their ability to make decisions.  The MCA sets out:</w:t>
      </w:r>
    </w:p>
    <w:p w14:paraId="1CE2DF43" w14:textId="77777777" w:rsidR="00FA184E" w:rsidRPr="001F2A32" w:rsidRDefault="00FA184E" w:rsidP="00FA184E">
      <w:pPr>
        <w:pStyle w:val="ListParagraph"/>
        <w:numPr>
          <w:ilvl w:val="0"/>
          <w:numId w:val="29"/>
        </w:numPr>
        <w:rPr>
          <w:sz w:val="22"/>
        </w:rPr>
      </w:pPr>
      <w:r w:rsidRPr="001F2A32">
        <w:rPr>
          <w:sz w:val="22"/>
        </w:rPr>
        <w:t>how to support a person to make their own decision</w:t>
      </w:r>
    </w:p>
    <w:p w14:paraId="469BD738" w14:textId="77777777" w:rsidR="00FA184E" w:rsidRPr="001F2A32" w:rsidRDefault="00FA184E" w:rsidP="00FA184E">
      <w:pPr>
        <w:pStyle w:val="ListParagraph"/>
        <w:numPr>
          <w:ilvl w:val="0"/>
          <w:numId w:val="29"/>
        </w:numPr>
        <w:rPr>
          <w:sz w:val="22"/>
        </w:rPr>
      </w:pPr>
      <w:r w:rsidRPr="001F2A32">
        <w:rPr>
          <w:sz w:val="22"/>
        </w:rPr>
        <w:t>how to assess whether a person can make their own decision</w:t>
      </w:r>
    </w:p>
    <w:p w14:paraId="639C5CED" w14:textId="77777777" w:rsidR="00FA184E" w:rsidRPr="001F2A32" w:rsidRDefault="00FA184E" w:rsidP="00FA184E">
      <w:pPr>
        <w:pStyle w:val="ListParagraph"/>
        <w:numPr>
          <w:ilvl w:val="0"/>
          <w:numId w:val="29"/>
        </w:numPr>
        <w:rPr>
          <w:sz w:val="22"/>
        </w:rPr>
      </w:pPr>
      <w:r w:rsidRPr="001F2A32">
        <w:rPr>
          <w:sz w:val="22"/>
        </w:rPr>
        <w:t xml:space="preserve">how to </w:t>
      </w:r>
      <w:proofErr w:type="gramStart"/>
      <w:r w:rsidRPr="001F2A32">
        <w:rPr>
          <w:sz w:val="22"/>
        </w:rPr>
        <w:t>make a decision</w:t>
      </w:r>
      <w:proofErr w:type="gramEnd"/>
      <w:r w:rsidRPr="001F2A32">
        <w:rPr>
          <w:sz w:val="22"/>
        </w:rPr>
        <w:t xml:space="preserve"> in a person’s best interests, if they can’t make it for themselves.   </w:t>
      </w:r>
    </w:p>
    <w:p w14:paraId="6E381B31" w14:textId="1E7A63E1" w:rsidR="00FA184E" w:rsidRPr="001F2A32" w:rsidRDefault="00FA184E" w:rsidP="00FA184E">
      <w:pPr>
        <w:rPr>
          <w:sz w:val="22"/>
        </w:rPr>
      </w:pPr>
      <w:r w:rsidRPr="001F2A32">
        <w:rPr>
          <w:sz w:val="22"/>
        </w:rPr>
        <w:t xml:space="preserve">The MCA also provides mechanisms for others to be formally appointed to make decisions on behalf of those who cannot make </w:t>
      </w:r>
      <w:proofErr w:type="gramStart"/>
      <w:r w:rsidRPr="001F2A32">
        <w:rPr>
          <w:sz w:val="22"/>
        </w:rPr>
        <w:t>them</w:t>
      </w:r>
      <w:r w:rsidR="000171E8" w:rsidRPr="001F2A32">
        <w:rPr>
          <w:sz w:val="22"/>
        </w:rPr>
        <w:t>, or</w:t>
      </w:r>
      <w:proofErr w:type="gramEnd"/>
      <w:r w:rsidR="000171E8" w:rsidRPr="001F2A32">
        <w:rPr>
          <w:sz w:val="22"/>
        </w:rPr>
        <w:t xml:space="preserve"> may not be able to make them in future</w:t>
      </w:r>
      <w:r w:rsidRPr="001F2A32">
        <w:rPr>
          <w:sz w:val="22"/>
        </w:rPr>
        <w:t xml:space="preserve">.  All adults considering a DPA will be strongly encouraged to consider </w:t>
      </w:r>
      <w:r w:rsidR="00E8260C" w:rsidRPr="001F2A32">
        <w:rPr>
          <w:sz w:val="22"/>
        </w:rPr>
        <w:t>legally appointing representatives as their decision makers should they lose relevant capacity in future, prior to entering into a DPA</w:t>
      </w:r>
      <w:r w:rsidRPr="001F2A32">
        <w:rPr>
          <w:sz w:val="22"/>
        </w:rPr>
        <w:t>.</w:t>
      </w:r>
      <w:r w:rsidR="000171E8" w:rsidRPr="001F2A32">
        <w:rPr>
          <w:sz w:val="22"/>
        </w:rPr>
        <w:t xml:space="preserve">  A DPA is a consensually accruing debt to the Council, which will only be consensual whilst the adult retains the mental capacity to continue to consent.</w:t>
      </w:r>
      <w:r w:rsidRPr="001F2A32">
        <w:rPr>
          <w:sz w:val="22"/>
        </w:rPr>
        <w:t xml:space="preserve">    </w:t>
      </w:r>
    </w:p>
    <w:p w14:paraId="117289CE" w14:textId="6DE10338" w:rsidR="00D21794" w:rsidRPr="001F2A32" w:rsidRDefault="00D21794" w:rsidP="00D21794">
      <w:pPr>
        <w:pStyle w:val="Heading4"/>
        <w:rPr>
          <w:color w:val="auto"/>
        </w:rPr>
      </w:pPr>
      <w:bookmarkStart w:id="10" w:name="_Toc146189048"/>
      <w:r w:rsidRPr="001F2A32">
        <w:rPr>
          <w:color w:val="auto"/>
        </w:rPr>
        <w:t xml:space="preserve">3.2.1 adults lacking relevant capacity, with an appointed </w:t>
      </w:r>
      <w:proofErr w:type="gramStart"/>
      <w:r w:rsidRPr="001F2A32">
        <w:rPr>
          <w:color w:val="auto"/>
        </w:rPr>
        <w:t>representative</w:t>
      </w:r>
      <w:bookmarkEnd w:id="10"/>
      <w:proofErr w:type="gramEnd"/>
    </w:p>
    <w:p w14:paraId="6E7A71DA" w14:textId="323E0C81" w:rsidR="002E6848" w:rsidRPr="001F2A32" w:rsidRDefault="00E41E6C" w:rsidP="00E41E6C">
      <w:pPr>
        <w:autoSpaceDE w:val="0"/>
        <w:autoSpaceDN w:val="0"/>
        <w:adjustRightInd w:val="0"/>
        <w:rPr>
          <w:rFonts w:cs="Arial"/>
          <w:sz w:val="22"/>
        </w:rPr>
      </w:pPr>
      <w:r w:rsidRPr="001F2A32">
        <w:rPr>
          <w:rFonts w:cs="Arial"/>
          <w:sz w:val="22"/>
        </w:rPr>
        <w:t>Some</w:t>
      </w:r>
      <w:r w:rsidR="002E6848" w:rsidRPr="001F2A32">
        <w:rPr>
          <w:rFonts w:cs="Arial"/>
          <w:sz w:val="22"/>
        </w:rPr>
        <w:t xml:space="preserve"> adult</w:t>
      </w:r>
      <w:r w:rsidRPr="001F2A32">
        <w:rPr>
          <w:rFonts w:cs="Arial"/>
          <w:sz w:val="22"/>
        </w:rPr>
        <w:t>s may</w:t>
      </w:r>
      <w:r w:rsidR="002E6848" w:rsidRPr="001F2A32">
        <w:rPr>
          <w:rFonts w:cs="Arial"/>
          <w:sz w:val="22"/>
        </w:rPr>
        <w:t xml:space="preserve"> lack capacity </w:t>
      </w:r>
      <w:r w:rsidRPr="001F2A32">
        <w:rPr>
          <w:rFonts w:cs="Arial"/>
          <w:sz w:val="22"/>
        </w:rPr>
        <w:t xml:space="preserve">(as defined by the MCA) </w:t>
      </w:r>
      <w:r w:rsidR="002E6848" w:rsidRPr="001F2A32">
        <w:rPr>
          <w:rFonts w:cs="Arial"/>
          <w:sz w:val="22"/>
        </w:rPr>
        <w:t xml:space="preserve">to </w:t>
      </w:r>
      <w:r w:rsidRPr="001F2A32">
        <w:rPr>
          <w:rFonts w:cs="Arial"/>
          <w:sz w:val="22"/>
        </w:rPr>
        <w:t>request or enter into a DPA.  The adult may have one of the following legally appointed representatives</w:t>
      </w:r>
      <w:r w:rsidR="00D21794" w:rsidRPr="001F2A32">
        <w:rPr>
          <w:rFonts w:cs="Arial"/>
          <w:sz w:val="22"/>
        </w:rPr>
        <w:t>, who may request a DPA on the adult’s behalf</w:t>
      </w:r>
      <w:r w:rsidRPr="001F2A32">
        <w:rPr>
          <w:rFonts w:cs="Arial"/>
          <w:sz w:val="22"/>
        </w:rPr>
        <w:t xml:space="preserve">: </w:t>
      </w:r>
    </w:p>
    <w:p w14:paraId="6A6E9CF9" w14:textId="77777777" w:rsidR="002E6848" w:rsidRPr="001F2A32" w:rsidRDefault="002E6848" w:rsidP="00801553">
      <w:pPr>
        <w:pStyle w:val="ListParagraph"/>
        <w:widowControl w:val="0"/>
        <w:numPr>
          <w:ilvl w:val="0"/>
          <w:numId w:val="4"/>
        </w:numPr>
        <w:autoSpaceDE w:val="0"/>
        <w:autoSpaceDN w:val="0"/>
        <w:adjustRightInd w:val="0"/>
        <w:spacing w:after="0" w:line="240" w:lineRule="auto"/>
        <w:ind w:right="193"/>
        <w:jc w:val="both"/>
        <w:rPr>
          <w:rFonts w:cs="Arial"/>
          <w:sz w:val="22"/>
        </w:rPr>
      </w:pPr>
      <w:r w:rsidRPr="001F2A32">
        <w:rPr>
          <w:rFonts w:cs="Arial"/>
          <w:sz w:val="22"/>
        </w:rPr>
        <w:t>An attorney appointed via an Enduring Power of Attorney (EPA)</w:t>
      </w:r>
    </w:p>
    <w:p w14:paraId="3088E223" w14:textId="77777777" w:rsidR="002E6848" w:rsidRPr="001F2A32" w:rsidRDefault="002E6848" w:rsidP="00801553">
      <w:pPr>
        <w:pStyle w:val="ListParagraph"/>
        <w:widowControl w:val="0"/>
        <w:numPr>
          <w:ilvl w:val="0"/>
          <w:numId w:val="4"/>
        </w:numPr>
        <w:autoSpaceDE w:val="0"/>
        <w:autoSpaceDN w:val="0"/>
        <w:adjustRightInd w:val="0"/>
        <w:spacing w:after="0" w:line="240" w:lineRule="auto"/>
        <w:ind w:right="193"/>
        <w:jc w:val="both"/>
        <w:rPr>
          <w:rFonts w:cs="Arial"/>
          <w:sz w:val="22"/>
        </w:rPr>
      </w:pPr>
      <w:r w:rsidRPr="001F2A32">
        <w:rPr>
          <w:rFonts w:cs="Arial"/>
          <w:sz w:val="22"/>
        </w:rPr>
        <w:t xml:space="preserve">An attorney appointed via a Lasting Power of Attorney (LPA) for property and </w:t>
      </w:r>
      <w:proofErr w:type="gramStart"/>
      <w:r w:rsidRPr="001F2A32">
        <w:rPr>
          <w:rFonts w:cs="Arial"/>
          <w:sz w:val="22"/>
        </w:rPr>
        <w:t>affairs</w:t>
      </w:r>
      <w:proofErr w:type="gramEnd"/>
    </w:p>
    <w:p w14:paraId="0E581EDA" w14:textId="03EC2887" w:rsidR="002E6848" w:rsidRPr="001F2A32" w:rsidRDefault="002E6848" w:rsidP="00801553">
      <w:pPr>
        <w:pStyle w:val="ListParagraph"/>
        <w:widowControl w:val="0"/>
        <w:numPr>
          <w:ilvl w:val="0"/>
          <w:numId w:val="4"/>
        </w:numPr>
        <w:autoSpaceDE w:val="0"/>
        <w:autoSpaceDN w:val="0"/>
        <w:adjustRightInd w:val="0"/>
        <w:spacing w:after="0" w:line="240" w:lineRule="auto"/>
        <w:ind w:right="193"/>
        <w:jc w:val="both"/>
        <w:rPr>
          <w:rFonts w:cs="Arial"/>
          <w:sz w:val="22"/>
        </w:rPr>
      </w:pPr>
      <w:r w:rsidRPr="001F2A32">
        <w:rPr>
          <w:rFonts w:cs="Arial"/>
          <w:sz w:val="22"/>
        </w:rPr>
        <w:t>A deputy for property and affairs appointed by the Court of Protection</w:t>
      </w:r>
      <w:r w:rsidR="00E41E6C" w:rsidRPr="001F2A32">
        <w:rPr>
          <w:rFonts w:cs="Arial"/>
          <w:sz w:val="22"/>
        </w:rPr>
        <w:t>.</w:t>
      </w:r>
    </w:p>
    <w:p w14:paraId="6A024B1F" w14:textId="77777777" w:rsidR="002E6848" w:rsidRPr="001F2A32" w:rsidRDefault="002E6848" w:rsidP="002E6848">
      <w:pPr>
        <w:widowControl w:val="0"/>
        <w:autoSpaceDE w:val="0"/>
        <w:autoSpaceDN w:val="0"/>
        <w:adjustRightInd w:val="0"/>
        <w:spacing w:after="0" w:line="240" w:lineRule="auto"/>
        <w:ind w:right="193"/>
        <w:jc w:val="both"/>
        <w:rPr>
          <w:rFonts w:cs="Arial"/>
          <w:sz w:val="22"/>
        </w:rPr>
      </w:pPr>
    </w:p>
    <w:p w14:paraId="40A73B59" w14:textId="416E4D48" w:rsidR="00D21794" w:rsidRPr="001F2A32" w:rsidRDefault="002E6848" w:rsidP="00525665">
      <w:pPr>
        <w:widowControl w:val="0"/>
        <w:autoSpaceDE w:val="0"/>
        <w:autoSpaceDN w:val="0"/>
        <w:adjustRightInd w:val="0"/>
        <w:spacing w:after="0" w:line="240" w:lineRule="auto"/>
        <w:ind w:right="193"/>
        <w:jc w:val="both"/>
        <w:rPr>
          <w:rFonts w:cs="Arial"/>
          <w:sz w:val="22"/>
        </w:rPr>
      </w:pPr>
      <w:r w:rsidRPr="001F2A32">
        <w:rPr>
          <w:rFonts w:cs="Arial"/>
          <w:sz w:val="22"/>
        </w:rPr>
        <w:t xml:space="preserve">Persons appointed as representatives via any of the above mechanisms will be asked to evidence it by providing a full copy of the document appointing them.  Copy evidence will be lodged with the adult’s records.    </w:t>
      </w:r>
    </w:p>
    <w:p w14:paraId="1553EF81" w14:textId="3912CBF8" w:rsidR="00D21794" w:rsidRPr="001F2A32" w:rsidRDefault="00D21794" w:rsidP="00D21794">
      <w:pPr>
        <w:pStyle w:val="Heading4"/>
        <w:rPr>
          <w:color w:val="auto"/>
        </w:rPr>
      </w:pPr>
      <w:bookmarkStart w:id="11" w:name="_Toc146189049"/>
      <w:r w:rsidRPr="001F2A32">
        <w:rPr>
          <w:color w:val="auto"/>
        </w:rPr>
        <w:t xml:space="preserve">3.2.2 adults lacking relevant mental capacity, with no appointed </w:t>
      </w:r>
      <w:proofErr w:type="gramStart"/>
      <w:r w:rsidRPr="001F2A32">
        <w:rPr>
          <w:color w:val="auto"/>
        </w:rPr>
        <w:t>representative</w:t>
      </w:r>
      <w:bookmarkEnd w:id="11"/>
      <w:proofErr w:type="gramEnd"/>
    </w:p>
    <w:p w14:paraId="3D92F48C" w14:textId="51CCF67E" w:rsidR="00515F2F" w:rsidRPr="001F2A32" w:rsidRDefault="00515F2F" w:rsidP="00525665">
      <w:pPr>
        <w:widowControl w:val="0"/>
        <w:autoSpaceDE w:val="0"/>
        <w:autoSpaceDN w:val="0"/>
        <w:adjustRightInd w:val="0"/>
        <w:spacing w:after="0" w:line="240" w:lineRule="auto"/>
        <w:ind w:right="193"/>
        <w:jc w:val="both"/>
        <w:rPr>
          <w:rFonts w:cs="Arial"/>
          <w:sz w:val="22"/>
        </w:rPr>
      </w:pPr>
      <w:r w:rsidRPr="001F2A32">
        <w:rPr>
          <w:rFonts w:cs="Arial"/>
          <w:sz w:val="22"/>
        </w:rPr>
        <w:t>Where the adult lacks the relevant mental capacity and does not have one of the above types of legally appointed representative, the Council will not offer a DPA.</w:t>
      </w:r>
      <w:r w:rsidR="00D21794" w:rsidRPr="001F2A32">
        <w:rPr>
          <w:rFonts w:cs="Arial"/>
          <w:sz w:val="22"/>
        </w:rPr>
        <w:t xml:space="preserve">  However, in appropriate cases, the Council may work with relevant others to secure legal appointments which might allow a DPA to be entered into in the adult’s best interests.  </w:t>
      </w:r>
    </w:p>
    <w:p w14:paraId="6FFC84E5" w14:textId="77777777" w:rsidR="00D21794" w:rsidRPr="001F2A32" w:rsidRDefault="00D21794" w:rsidP="00525665">
      <w:pPr>
        <w:widowControl w:val="0"/>
        <w:autoSpaceDE w:val="0"/>
        <w:autoSpaceDN w:val="0"/>
        <w:adjustRightInd w:val="0"/>
        <w:spacing w:after="0" w:line="240" w:lineRule="auto"/>
        <w:ind w:right="193"/>
        <w:jc w:val="both"/>
        <w:rPr>
          <w:rFonts w:cs="Arial"/>
          <w:sz w:val="22"/>
        </w:rPr>
      </w:pPr>
    </w:p>
    <w:p w14:paraId="53F0D4B7" w14:textId="73B3F845" w:rsidR="00D21794" w:rsidRPr="001F2A32" w:rsidRDefault="00D21794" w:rsidP="00D21794">
      <w:pPr>
        <w:pStyle w:val="Heading4"/>
        <w:rPr>
          <w:color w:val="auto"/>
        </w:rPr>
      </w:pPr>
      <w:bookmarkStart w:id="12" w:name="_Toc146189050"/>
      <w:r w:rsidRPr="001F2A32">
        <w:rPr>
          <w:color w:val="auto"/>
        </w:rPr>
        <w:t xml:space="preserve">3.3.3 adults who lose relevant mental capacity during the currency of a </w:t>
      </w:r>
      <w:proofErr w:type="gramStart"/>
      <w:r w:rsidRPr="001F2A32">
        <w:rPr>
          <w:color w:val="auto"/>
        </w:rPr>
        <w:t>DPA</w:t>
      </w:r>
      <w:bookmarkEnd w:id="12"/>
      <w:proofErr w:type="gramEnd"/>
    </w:p>
    <w:p w14:paraId="3BA8CF3D" w14:textId="04A58502" w:rsidR="00D21794" w:rsidRPr="001F2A32" w:rsidRDefault="00D21794" w:rsidP="00525665">
      <w:pPr>
        <w:widowControl w:val="0"/>
        <w:autoSpaceDE w:val="0"/>
        <w:autoSpaceDN w:val="0"/>
        <w:adjustRightInd w:val="0"/>
        <w:spacing w:after="0" w:line="240" w:lineRule="auto"/>
        <w:ind w:right="193"/>
        <w:jc w:val="both"/>
        <w:rPr>
          <w:rFonts w:cs="Arial"/>
          <w:sz w:val="22"/>
        </w:rPr>
      </w:pPr>
      <w:r w:rsidRPr="001F2A32">
        <w:rPr>
          <w:rFonts w:cs="Arial"/>
          <w:sz w:val="22"/>
        </w:rPr>
        <w:t xml:space="preserve">Where an adult enters into a DPA with the Council whilst </w:t>
      </w:r>
      <w:proofErr w:type="spellStart"/>
      <w:r w:rsidRPr="001F2A32">
        <w:rPr>
          <w:rFonts w:cs="Arial"/>
          <w:sz w:val="22"/>
        </w:rPr>
        <w:t>capacitous</w:t>
      </w:r>
      <w:proofErr w:type="spellEnd"/>
      <w:r w:rsidRPr="001F2A32">
        <w:rPr>
          <w:rFonts w:cs="Arial"/>
          <w:sz w:val="22"/>
        </w:rPr>
        <w:t xml:space="preserve">, but then loses relevant capacity during the currency of the DPA, the Council will work with relevant others to consider further action in the adult’s best interests.  This may include terminating the </w:t>
      </w:r>
      <w:r w:rsidR="000171E8" w:rsidRPr="001F2A32">
        <w:rPr>
          <w:rFonts w:cs="Arial"/>
          <w:sz w:val="22"/>
        </w:rPr>
        <w:t xml:space="preserve">existing </w:t>
      </w:r>
      <w:r w:rsidRPr="001F2A32">
        <w:rPr>
          <w:rFonts w:cs="Arial"/>
          <w:sz w:val="22"/>
        </w:rPr>
        <w:t xml:space="preserve">DPA, entering into a new DPA with the adult’s </w:t>
      </w:r>
      <w:r w:rsidR="00FB4C3E" w:rsidRPr="001F2A32">
        <w:rPr>
          <w:rFonts w:cs="Arial"/>
          <w:sz w:val="22"/>
        </w:rPr>
        <w:t xml:space="preserve">existing </w:t>
      </w:r>
      <w:r w:rsidRPr="001F2A32">
        <w:rPr>
          <w:rFonts w:cs="Arial"/>
          <w:sz w:val="22"/>
        </w:rPr>
        <w:t>appointed representative</w:t>
      </w:r>
      <w:r w:rsidR="00FB4C3E" w:rsidRPr="001F2A32">
        <w:rPr>
          <w:rFonts w:cs="Arial"/>
          <w:sz w:val="22"/>
        </w:rPr>
        <w:t>,</w:t>
      </w:r>
      <w:r w:rsidRPr="001F2A32">
        <w:rPr>
          <w:rFonts w:cs="Arial"/>
          <w:sz w:val="22"/>
        </w:rPr>
        <w:t xml:space="preserve"> or working with relevant others to secure legal appointments which might facilitate a new DPA. </w:t>
      </w:r>
    </w:p>
    <w:p w14:paraId="3F54371D" w14:textId="0138AAD9" w:rsidR="00525665" w:rsidRPr="001F2A32" w:rsidRDefault="00D21794" w:rsidP="00D21794">
      <w:pPr>
        <w:pStyle w:val="Heading4"/>
        <w:rPr>
          <w:color w:val="auto"/>
        </w:rPr>
      </w:pPr>
      <w:bookmarkStart w:id="13" w:name="_Toc146189051"/>
      <w:r w:rsidRPr="001F2A32">
        <w:rPr>
          <w:color w:val="auto"/>
        </w:rPr>
        <w:t xml:space="preserve">3.3.4 all adults who lack or may lack relevant mental </w:t>
      </w:r>
      <w:proofErr w:type="gramStart"/>
      <w:r w:rsidRPr="001F2A32">
        <w:rPr>
          <w:color w:val="auto"/>
        </w:rPr>
        <w:t>capacity</w:t>
      </w:r>
      <w:bookmarkEnd w:id="13"/>
      <w:proofErr w:type="gramEnd"/>
    </w:p>
    <w:p w14:paraId="73984E12" w14:textId="438C5220" w:rsidR="002E6848" w:rsidRPr="001F2A32" w:rsidRDefault="00515F2F" w:rsidP="00525665">
      <w:pPr>
        <w:widowControl w:val="0"/>
        <w:autoSpaceDE w:val="0"/>
        <w:autoSpaceDN w:val="0"/>
        <w:adjustRightInd w:val="0"/>
        <w:spacing w:after="0" w:line="240" w:lineRule="auto"/>
        <w:ind w:right="193"/>
        <w:jc w:val="both"/>
        <w:rPr>
          <w:rFonts w:cs="Arial"/>
          <w:sz w:val="22"/>
          <w:lang w:val="en-US"/>
        </w:rPr>
      </w:pPr>
      <w:r w:rsidRPr="001F2A32">
        <w:rPr>
          <w:rFonts w:cs="Arial"/>
          <w:sz w:val="22"/>
          <w:shd w:val="clear" w:color="auto" w:fill="FFFFFF"/>
        </w:rPr>
        <w:t>The Council may consider the involvement of</w:t>
      </w:r>
      <w:r w:rsidR="000171E8" w:rsidRPr="001F2A32">
        <w:rPr>
          <w:rFonts w:cs="Arial"/>
          <w:sz w:val="22"/>
          <w:shd w:val="clear" w:color="auto" w:fill="FFFFFF"/>
        </w:rPr>
        <w:t xml:space="preserve"> relevant others and/ or </w:t>
      </w:r>
      <w:r w:rsidRPr="001F2A32">
        <w:rPr>
          <w:rFonts w:cs="Arial"/>
          <w:sz w:val="22"/>
          <w:shd w:val="clear" w:color="auto" w:fill="FFFFFF"/>
        </w:rPr>
        <w:t xml:space="preserve">an advocate where </w:t>
      </w:r>
      <w:r w:rsidR="00B93866" w:rsidRPr="001F2A32">
        <w:rPr>
          <w:rFonts w:cs="Arial"/>
          <w:sz w:val="22"/>
          <w:shd w:val="clear" w:color="auto" w:fill="FFFFFF"/>
        </w:rPr>
        <w:t xml:space="preserve">statutory triggers apply or where </w:t>
      </w:r>
      <w:r w:rsidRPr="001F2A32">
        <w:rPr>
          <w:rFonts w:cs="Arial"/>
          <w:sz w:val="22"/>
          <w:shd w:val="clear" w:color="auto" w:fill="FFFFFF"/>
        </w:rPr>
        <w:t xml:space="preserve">this </w:t>
      </w:r>
      <w:r w:rsidR="00B93866" w:rsidRPr="001F2A32">
        <w:rPr>
          <w:rFonts w:cs="Arial"/>
          <w:sz w:val="22"/>
          <w:shd w:val="clear" w:color="auto" w:fill="FFFFFF"/>
        </w:rPr>
        <w:t xml:space="preserve">otherwise </w:t>
      </w:r>
      <w:r w:rsidRPr="001F2A32">
        <w:rPr>
          <w:rFonts w:cs="Arial"/>
          <w:sz w:val="22"/>
          <w:shd w:val="clear" w:color="auto" w:fill="FFFFFF"/>
        </w:rPr>
        <w:t xml:space="preserve">appears to be in the best interests of the adult, and </w:t>
      </w:r>
      <w:r w:rsidR="002E6848" w:rsidRPr="001F2A32">
        <w:rPr>
          <w:rFonts w:cs="Arial"/>
          <w:sz w:val="22"/>
          <w:lang w:val="en-US"/>
        </w:rPr>
        <w:t>with the aim of:</w:t>
      </w:r>
    </w:p>
    <w:p w14:paraId="52269F1E" w14:textId="77777777" w:rsidR="00D04C39" w:rsidRPr="001F2A32" w:rsidRDefault="00D04C39" w:rsidP="00525665">
      <w:pPr>
        <w:widowControl w:val="0"/>
        <w:autoSpaceDE w:val="0"/>
        <w:autoSpaceDN w:val="0"/>
        <w:adjustRightInd w:val="0"/>
        <w:spacing w:after="0" w:line="240" w:lineRule="auto"/>
        <w:ind w:right="193"/>
        <w:jc w:val="both"/>
        <w:rPr>
          <w:rFonts w:cs="Arial"/>
          <w:sz w:val="22"/>
        </w:rPr>
      </w:pPr>
    </w:p>
    <w:p w14:paraId="34F7EF91" w14:textId="59B13342" w:rsidR="002E6848" w:rsidRPr="001F2A32" w:rsidRDefault="002E6848" w:rsidP="00801553">
      <w:pPr>
        <w:pStyle w:val="ListParagraph"/>
        <w:widowControl w:val="0"/>
        <w:numPr>
          <w:ilvl w:val="0"/>
          <w:numId w:val="3"/>
        </w:numPr>
        <w:autoSpaceDE w:val="0"/>
        <w:autoSpaceDN w:val="0"/>
        <w:adjustRightInd w:val="0"/>
        <w:spacing w:after="0" w:line="240" w:lineRule="auto"/>
        <w:ind w:right="193"/>
        <w:jc w:val="both"/>
        <w:rPr>
          <w:rFonts w:cs="Arial"/>
          <w:sz w:val="22"/>
        </w:rPr>
      </w:pPr>
      <w:r w:rsidRPr="001F2A32">
        <w:rPr>
          <w:rFonts w:cs="Arial"/>
          <w:sz w:val="22"/>
          <w:lang w:val="en-US"/>
        </w:rPr>
        <w:t xml:space="preserve">Facilitating the involvement of the adult in </w:t>
      </w:r>
      <w:r w:rsidR="00515F2F" w:rsidRPr="001F2A32">
        <w:rPr>
          <w:rFonts w:cs="Arial"/>
          <w:sz w:val="22"/>
          <w:lang w:val="en-US"/>
        </w:rPr>
        <w:t>DPA considerations</w:t>
      </w:r>
    </w:p>
    <w:p w14:paraId="26AE5E3A" w14:textId="77777777" w:rsidR="002E6848" w:rsidRPr="001F2A32" w:rsidRDefault="002E6848" w:rsidP="00801553">
      <w:pPr>
        <w:pStyle w:val="ListParagraph"/>
        <w:widowControl w:val="0"/>
        <w:numPr>
          <w:ilvl w:val="0"/>
          <w:numId w:val="3"/>
        </w:numPr>
        <w:autoSpaceDE w:val="0"/>
        <w:autoSpaceDN w:val="0"/>
        <w:adjustRightInd w:val="0"/>
        <w:spacing w:after="0" w:line="240" w:lineRule="auto"/>
        <w:ind w:right="193"/>
        <w:jc w:val="both"/>
        <w:rPr>
          <w:rFonts w:cs="Arial"/>
          <w:sz w:val="22"/>
        </w:rPr>
      </w:pPr>
      <w:r w:rsidRPr="001F2A32">
        <w:rPr>
          <w:rFonts w:cs="Arial"/>
          <w:sz w:val="22"/>
          <w:lang w:val="en-US"/>
        </w:rPr>
        <w:t xml:space="preserve">Making relevant best </w:t>
      </w:r>
      <w:proofErr w:type="gramStart"/>
      <w:r w:rsidRPr="001F2A32">
        <w:rPr>
          <w:rFonts w:cs="Arial"/>
          <w:sz w:val="22"/>
          <w:lang w:val="en-US"/>
        </w:rPr>
        <w:t>interests</w:t>
      </w:r>
      <w:proofErr w:type="gramEnd"/>
      <w:r w:rsidRPr="001F2A32">
        <w:rPr>
          <w:rFonts w:cs="Arial"/>
          <w:sz w:val="22"/>
          <w:lang w:val="en-US"/>
        </w:rPr>
        <w:t xml:space="preserve"> decisions on behalf of the adult </w:t>
      </w:r>
    </w:p>
    <w:p w14:paraId="3CF49BB5" w14:textId="74D79EFF" w:rsidR="002E6848" w:rsidRPr="001F2A32" w:rsidRDefault="002E6848" w:rsidP="002E6848">
      <w:pPr>
        <w:pStyle w:val="ListParagraph"/>
        <w:widowControl w:val="0"/>
        <w:numPr>
          <w:ilvl w:val="0"/>
          <w:numId w:val="3"/>
        </w:numPr>
        <w:autoSpaceDE w:val="0"/>
        <w:autoSpaceDN w:val="0"/>
        <w:adjustRightInd w:val="0"/>
        <w:spacing w:after="0" w:line="240" w:lineRule="auto"/>
        <w:ind w:right="193"/>
        <w:jc w:val="both"/>
        <w:rPr>
          <w:rFonts w:cs="Arial"/>
          <w:sz w:val="22"/>
        </w:rPr>
      </w:pPr>
      <w:r w:rsidRPr="001F2A32">
        <w:rPr>
          <w:rFonts w:cs="Arial"/>
          <w:sz w:val="22"/>
          <w:lang w:val="en-US"/>
        </w:rPr>
        <w:t>Considering whether an application should be made to the Court of Protection to appoint a property and affairs deputy</w:t>
      </w:r>
      <w:r w:rsidR="00515F2F" w:rsidRPr="001F2A32">
        <w:rPr>
          <w:rFonts w:cs="Arial"/>
          <w:sz w:val="22"/>
          <w:lang w:val="en-US"/>
        </w:rPr>
        <w:t xml:space="preserve"> for the adult</w:t>
      </w:r>
      <w:r w:rsidRPr="001F2A32">
        <w:rPr>
          <w:rFonts w:cs="Arial"/>
          <w:sz w:val="22"/>
          <w:lang w:val="en-US"/>
        </w:rPr>
        <w:t xml:space="preserve">.  </w:t>
      </w:r>
    </w:p>
    <w:p w14:paraId="2DBB38A5" w14:textId="77777777" w:rsidR="00D21794" w:rsidRPr="001F2A32" w:rsidRDefault="00D21794" w:rsidP="00D21794">
      <w:pPr>
        <w:pStyle w:val="ListParagraph"/>
        <w:widowControl w:val="0"/>
        <w:autoSpaceDE w:val="0"/>
        <w:autoSpaceDN w:val="0"/>
        <w:adjustRightInd w:val="0"/>
        <w:spacing w:after="0" w:line="240" w:lineRule="auto"/>
        <w:ind w:left="786" w:right="193"/>
        <w:jc w:val="both"/>
        <w:rPr>
          <w:rFonts w:cs="Arial"/>
          <w:sz w:val="22"/>
        </w:rPr>
      </w:pPr>
    </w:p>
    <w:p w14:paraId="0F0651D0" w14:textId="70A46FBC" w:rsidR="002E6848" w:rsidRPr="001F2A32" w:rsidRDefault="002E6848" w:rsidP="00927293">
      <w:pPr>
        <w:pStyle w:val="Heading3"/>
        <w:rPr>
          <w:color w:val="auto"/>
        </w:rPr>
      </w:pPr>
      <w:bookmarkStart w:id="14" w:name="_Toc146189052"/>
      <w:r w:rsidRPr="001F2A32">
        <w:rPr>
          <w:color w:val="auto"/>
        </w:rPr>
        <w:t xml:space="preserve">3.3 Public law principles in decision </w:t>
      </w:r>
      <w:proofErr w:type="gramStart"/>
      <w:r w:rsidRPr="001F2A32">
        <w:rPr>
          <w:color w:val="auto"/>
        </w:rPr>
        <w:t>making</w:t>
      </w:r>
      <w:bookmarkEnd w:id="14"/>
      <w:proofErr w:type="gramEnd"/>
      <w:r w:rsidRPr="001F2A32">
        <w:rPr>
          <w:color w:val="auto"/>
        </w:rPr>
        <w:t xml:space="preserve"> </w:t>
      </w:r>
    </w:p>
    <w:p w14:paraId="007D50FD" w14:textId="37A5A3F1" w:rsidR="002E6848" w:rsidRPr="001F2A32" w:rsidRDefault="002E6848" w:rsidP="002E6848">
      <w:pPr>
        <w:autoSpaceDE w:val="0"/>
        <w:autoSpaceDN w:val="0"/>
        <w:adjustRightInd w:val="0"/>
        <w:rPr>
          <w:rFonts w:cs="Arial"/>
          <w:sz w:val="22"/>
        </w:rPr>
      </w:pPr>
      <w:r w:rsidRPr="001F2A32">
        <w:rPr>
          <w:rFonts w:cs="Arial"/>
          <w:sz w:val="22"/>
        </w:rPr>
        <w:t xml:space="preserve">In addition to legislative duties, care practitioners are expected to take decisions in a way that is compliant with public law duties and principles.  Care practitioners must ask themselves the following when </w:t>
      </w:r>
      <w:r w:rsidR="00221422" w:rsidRPr="001F2A32">
        <w:rPr>
          <w:rFonts w:cs="Arial"/>
          <w:sz w:val="22"/>
        </w:rPr>
        <w:t xml:space="preserve">making </w:t>
      </w:r>
      <w:r w:rsidR="00E41E6C" w:rsidRPr="001F2A32">
        <w:rPr>
          <w:rFonts w:cs="Arial"/>
          <w:sz w:val="22"/>
        </w:rPr>
        <w:t>DPA related</w:t>
      </w:r>
      <w:r w:rsidRPr="001F2A32">
        <w:rPr>
          <w:rFonts w:cs="Arial"/>
          <w:sz w:val="22"/>
        </w:rPr>
        <w:t xml:space="preserve"> decisions: </w:t>
      </w:r>
    </w:p>
    <w:p w14:paraId="6298A4C4" w14:textId="77777777" w:rsidR="002E6848" w:rsidRPr="001F2A32" w:rsidRDefault="002E6848" w:rsidP="00801553">
      <w:pPr>
        <w:numPr>
          <w:ilvl w:val="0"/>
          <w:numId w:val="5"/>
        </w:numPr>
        <w:autoSpaceDE w:val="0"/>
        <w:autoSpaceDN w:val="0"/>
        <w:adjustRightInd w:val="0"/>
        <w:spacing w:before="200" w:after="200" w:line="240" w:lineRule="auto"/>
        <w:jc w:val="both"/>
        <w:rPr>
          <w:rFonts w:cs="Arial"/>
          <w:sz w:val="22"/>
        </w:rPr>
      </w:pPr>
      <w:r w:rsidRPr="001F2A32">
        <w:rPr>
          <w:rFonts w:cs="Arial"/>
          <w:sz w:val="22"/>
        </w:rPr>
        <w:t>Legality – is the proposed decision reflective of legislative obligations, and within the limits of the discretion allowed by law (</w:t>
      </w:r>
      <w:proofErr w:type="gramStart"/>
      <w:r w:rsidRPr="001F2A32">
        <w:rPr>
          <w:rFonts w:cs="Arial"/>
          <w:sz w:val="22"/>
        </w:rPr>
        <w:t>taking into account</w:t>
      </w:r>
      <w:proofErr w:type="gramEnd"/>
      <w:r w:rsidRPr="001F2A32">
        <w:rPr>
          <w:rFonts w:cs="Arial"/>
          <w:sz w:val="22"/>
        </w:rPr>
        <w:t xml:space="preserve"> all relevant considerations and ignoring irrelevant ones)?  This could include taking into account obligations under the Equalities Act 2010, for </w:t>
      </w:r>
      <w:proofErr w:type="gramStart"/>
      <w:r w:rsidRPr="001F2A32">
        <w:rPr>
          <w:rFonts w:cs="Arial"/>
          <w:sz w:val="22"/>
        </w:rPr>
        <w:t>example</w:t>
      </w:r>
      <w:proofErr w:type="gramEnd"/>
    </w:p>
    <w:p w14:paraId="14F5EF83" w14:textId="77777777" w:rsidR="002E6848" w:rsidRPr="001F2A32" w:rsidRDefault="002E6848" w:rsidP="00801553">
      <w:pPr>
        <w:numPr>
          <w:ilvl w:val="0"/>
          <w:numId w:val="5"/>
        </w:numPr>
        <w:autoSpaceDE w:val="0"/>
        <w:autoSpaceDN w:val="0"/>
        <w:adjustRightInd w:val="0"/>
        <w:spacing w:before="200" w:after="200" w:line="240" w:lineRule="auto"/>
        <w:jc w:val="both"/>
        <w:rPr>
          <w:rFonts w:cs="Arial"/>
          <w:sz w:val="22"/>
        </w:rPr>
      </w:pPr>
      <w:r w:rsidRPr="001F2A32">
        <w:rPr>
          <w:rFonts w:cs="Arial"/>
          <w:sz w:val="22"/>
        </w:rPr>
        <w:t>Rationality – is the proposed decision reasonable and proportionate in all the circumstances?  Does it maintain a proper balance between the interests of the individual to which the decision relates, and those of ‘the State’ (</w:t>
      </w:r>
      <w:proofErr w:type="gramStart"/>
      <w:r w:rsidRPr="001F2A32">
        <w:rPr>
          <w:rFonts w:cs="Arial"/>
          <w:sz w:val="22"/>
        </w:rPr>
        <w:t>i.e.</w:t>
      </w:r>
      <w:proofErr w:type="gramEnd"/>
      <w:r w:rsidRPr="001F2A32">
        <w:rPr>
          <w:rFonts w:cs="Arial"/>
          <w:sz w:val="22"/>
        </w:rPr>
        <w:t xml:space="preserve"> in this context, </w:t>
      </w:r>
      <w:r w:rsidR="002C5DFA" w:rsidRPr="001F2A32">
        <w:rPr>
          <w:rFonts w:cs="Arial"/>
          <w:sz w:val="22"/>
        </w:rPr>
        <w:t>the Council</w:t>
      </w:r>
      <w:r w:rsidRPr="001F2A32">
        <w:rPr>
          <w:rFonts w:cs="Arial"/>
          <w:sz w:val="22"/>
        </w:rPr>
        <w:t xml:space="preserve">)?   </w:t>
      </w:r>
    </w:p>
    <w:p w14:paraId="39F240A5" w14:textId="694495B8" w:rsidR="002E6848" w:rsidRPr="001F2A32" w:rsidRDefault="002E6848" w:rsidP="00801553">
      <w:pPr>
        <w:numPr>
          <w:ilvl w:val="0"/>
          <w:numId w:val="5"/>
        </w:numPr>
        <w:autoSpaceDE w:val="0"/>
        <w:autoSpaceDN w:val="0"/>
        <w:adjustRightInd w:val="0"/>
        <w:spacing w:before="200" w:after="200" w:line="240" w:lineRule="auto"/>
        <w:jc w:val="both"/>
        <w:rPr>
          <w:rFonts w:cs="Arial"/>
          <w:sz w:val="22"/>
        </w:rPr>
      </w:pPr>
      <w:r w:rsidRPr="001F2A32">
        <w:rPr>
          <w:rFonts w:cs="Arial"/>
          <w:sz w:val="22"/>
        </w:rPr>
        <w:t xml:space="preserve">Procedural propriety – has the </w:t>
      </w:r>
      <w:proofErr w:type="gramStart"/>
      <w:r w:rsidRPr="001F2A32">
        <w:rPr>
          <w:rFonts w:cs="Arial"/>
          <w:sz w:val="22"/>
        </w:rPr>
        <w:t>decision making</w:t>
      </w:r>
      <w:proofErr w:type="gramEnd"/>
      <w:r w:rsidRPr="001F2A32">
        <w:rPr>
          <w:rFonts w:cs="Arial"/>
          <w:sz w:val="22"/>
        </w:rPr>
        <w:t xml:space="preserve"> process ensured that the </w:t>
      </w:r>
      <w:r w:rsidR="00221422" w:rsidRPr="001F2A32">
        <w:rPr>
          <w:rFonts w:cs="Arial"/>
          <w:sz w:val="22"/>
        </w:rPr>
        <w:t xml:space="preserve">adult </w:t>
      </w:r>
      <w:r w:rsidRPr="001F2A32">
        <w:rPr>
          <w:rFonts w:cs="Arial"/>
          <w:sz w:val="22"/>
        </w:rPr>
        <w:t xml:space="preserve">affected by the decision (or their representative) has had a fair opportunity to participate in it?  Have any views expressed by the affected </w:t>
      </w:r>
      <w:r w:rsidR="00221422" w:rsidRPr="001F2A32">
        <w:rPr>
          <w:rFonts w:cs="Arial"/>
          <w:sz w:val="22"/>
        </w:rPr>
        <w:t>adult</w:t>
      </w:r>
      <w:r w:rsidRPr="001F2A32">
        <w:rPr>
          <w:rFonts w:cs="Arial"/>
          <w:sz w:val="22"/>
        </w:rPr>
        <w:t xml:space="preserve"> (or their representative) been properly </w:t>
      </w:r>
      <w:proofErr w:type="gramStart"/>
      <w:r w:rsidRPr="001F2A32">
        <w:rPr>
          <w:rFonts w:cs="Arial"/>
          <w:sz w:val="22"/>
        </w:rPr>
        <w:t>taken into account</w:t>
      </w:r>
      <w:proofErr w:type="gramEnd"/>
      <w:r w:rsidRPr="001F2A32">
        <w:rPr>
          <w:rFonts w:cs="Arial"/>
          <w:sz w:val="22"/>
        </w:rPr>
        <w:t xml:space="preserve">? Have any procedural rules in relevant legislation been complied with?   </w:t>
      </w:r>
    </w:p>
    <w:p w14:paraId="1DA6BB6E" w14:textId="16645D6D" w:rsidR="002E6848" w:rsidRPr="001F2A32" w:rsidRDefault="002C5DFA" w:rsidP="002E6848">
      <w:pPr>
        <w:shd w:val="clear" w:color="auto" w:fill="FFFFFF"/>
        <w:rPr>
          <w:rFonts w:eastAsia="Times New Roman" w:cs="Arial"/>
          <w:sz w:val="22"/>
          <w:lang w:val="en-US" w:eastAsia="en-GB"/>
        </w:rPr>
      </w:pPr>
      <w:r w:rsidRPr="001F2A32">
        <w:rPr>
          <w:rFonts w:eastAsia="Times New Roman" w:cs="Arial"/>
          <w:sz w:val="22"/>
          <w:lang w:val="en-US" w:eastAsia="en-GB"/>
        </w:rPr>
        <w:t>The Council</w:t>
      </w:r>
      <w:r w:rsidR="002E6848" w:rsidRPr="001F2A32">
        <w:rPr>
          <w:rFonts w:eastAsia="Times New Roman" w:cs="Arial"/>
          <w:sz w:val="22"/>
          <w:lang w:val="en-US" w:eastAsia="en-GB"/>
        </w:rPr>
        <w:t xml:space="preserve"> is aware that as a matter of public law, a policy provides a starting point, and a framework for the application of professional decision making to individual circumstances; this </w:t>
      </w:r>
      <w:r w:rsidR="006D13FC" w:rsidRPr="001F2A32">
        <w:rPr>
          <w:rFonts w:eastAsia="Times New Roman" w:cs="Arial"/>
          <w:sz w:val="22"/>
          <w:lang w:val="en-US" w:eastAsia="en-GB"/>
        </w:rPr>
        <w:t>p</w:t>
      </w:r>
      <w:r w:rsidR="002E6848" w:rsidRPr="001F2A32">
        <w:rPr>
          <w:rFonts w:eastAsia="Times New Roman" w:cs="Arial"/>
          <w:sz w:val="22"/>
          <w:lang w:val="en-US" w:eastAsia="en-GB"/>
        </w:rPr>
        <w:t xml:space="preserve">olicy is not intended to fetter </w:t>
      </w:r>
      <w:r w:rsidR="00221422" w:rsidRPr="001F2A32">
        <w:rPr>
          <w:rFonts w:eastAsia="Times New Roman" w:cs="Arial"/>
          <w:sz w:val="22"/>
          <w:lang w:val="en-US" w:eastAsia="en-GB"/>
        </w:rPr>
        <w:t xml:space="preserve">that </w:t>
      </w:r>
      <w:r w:rsidR="002E6848" w:rsidRPr="001F2A32">
        <w:rPr>
          <w:rFonts w:eastAsia="Times New Roman" w:cs="Arial"/>
          <w:sz w:val="22"/>
          <w:lang w:val="en-US" w:eastAsia="en-GB"/>
        </w:rPr>
        <w:t>discretion.</w:t>
      </w:r>
    </w:p>
    <w:p w14:paraId="21AA4FF7" w14:textId="339554C5" w:rsidR="002C63E3" w:rsidRPr="00EE3AC3" w:rsidRDefault="002C63E3" w:rsidP="002E6848">
      <w:pPr>
        <w:shd w:val="clear" w:color="auto" w:fill="FFFFFF"/>
        <w:rPr>
          <w:rFonts w:eastAsia="Times New Roman" w:cs="Arial"/>
          <w:sz w:val="22"/>
          <w:lang w:val="en-US" w:eastAsia="en-GB"/>
        </w:rPr>
      </w:pPr>
      <w:r w:rsidRPr="001F2A32">
        <w:rPr>
          <w:rFonts w:eastAsia="Times New Roman" w:cs="Arial"/>
          <w:sz w:val="22"/>
          <w:lang w:val="en-US" w:eastAsia="en-GB"/>
        </w:rPr>
        <w:t xml:space="preserve">When making its decisions, the Council will have regard to the Local Government Ombudsman guidance on Good Administrative Practice: </w:t>
      </w:r>
      <w:hyperlink r:id="rId14" w:history="1">
        <w:r w:rsidRPr="008912A6">
          <w:rPr>
            <w:rStyle w:val="Hyperlink"/>
            <w:rFonts w:eastAsia="Times New Roman" w:cs="Arial"/>
            <w:sz w:val="22"/>
            <w:lang w:val="en-US" w:eastAsia="en-GB"/>
          </w:rPr>
          <w:t>https://www.lgo.org.uk/information-centre/information-for-organisations-we-investigate/guidance-notes/principles-of-good-administrative-practice</w:t>
        </w:r>
      </w:hyperlink>
      <w:r>
        <w:rPr>
          <w:rFonts w:eastAsia="Times New Roman" w:cs="Arial"/>
          <w:sz w:val="22"/>
          <w:lang w:val="en-US" w:eastAsia="en-GB"/>
        </w:rPr>
        <w:t xml:space="preserve"> </w:t>
      </w:r>
    </w:p>
    <w:p w14:paraId="20713B5C" w14:textId="77777777" w:rsidR="002E6848" w:rsidRPr="00EE3AC3" w:rsidRDefault="002E6848" w:rsidP="00D94765">
      <w:pPr>
        <w:pStyle w:val="Heading2"/>
        <w:rPr>
          <w:color w:val="auto"/>
        </w:rPr>
      </w:pPr>
      <w:bookmarkStart w:id="15" w:name="_Toc146189053"/>
      <w:r w:rsidRPr="00EE3AC3">
        <w:rPr>
          <w:color w:val="auto"/>
        </w:rPr>
        <w:t>4</w:t>
      </w:r>
      <w:r w:rsidRPr="00EE3AC3">
        <w:rPr>
          <w:color w:val="auto"/>
        </w:rPr>
        <w:tab/>
        <w:t>Policy</w:t>
      </w:r>
      <w:bookmarkEnd w:id="15"/>
      <w:r w:rsidRPr="00EE3AC3">
        <w:rPr>
          <w:color w:val="auto"/>
        </w:rPr>
        <w:t xml:space="preserve"> </w:t>
      </w:r>
    </w:p>
    <w:p w14:paraId="32FF0E71" w14:textId="51EF0A88" w:rsidR="002E6848" w:rsidRDefault="002E6848" w:rsidP="00927293">
      <w:pPr>
        <w:pStyle w:val="Heading3"/>
        <w:rPr>
          <w:color w:val="auto"/>
        </w:rPr>
      </w:pPr>
      <w:bookmarkStart w:id="16" w:name="_Toc146189054"/>
      <w:r w:rsidRPr="00EE3AC3">
        <w:rPr>
          <w:color w:val="auto"/>
        </w:rPr>
        <w:t>4.1</w:t>
      </w:r>
      <w:r w:rsidRPr="00EE3AC3">
        <w:rPr>
          <w:color w:val="auto"/>
        </w:rPr>
        <w:tab/>
      </w:r>
      <w:r w:rsidR="005C2F46">
        <w:rPr>
          <w:color w:val="auto"/>
        </w:rPr>
        <w:t>When the Council will enter into</w:t>
      </w:r>
      <w:r w:rsidR="004203C6">
        <w:rPr>
          <w:color w:val="auto"/>
        </w:rPr>
        <w:t xml:space="preserve"> a </w:t>
      </w:r>
      <w:proofErr w:type="gramStart"/>
      <w:r w:rsidR="004203C6">
        <w:rPr>
          <w:color w:val="auto"/>
        </w:rPr>
        <w:t>DPA</w:t>
      </w:r>
      <w:bookmarkEnd w:id="16"/>
      <w:proofErr w:type="gramEnd"/>
      <w:r w:rsidR="00AC3BEC">
        <w:rPr>
          <w:color w:val="auto"/>
        </w:rPr>
        <w:t xml:space="preserve"> </w:t>
      </w:r>
    </w:p>
    <w:p w14:paraId="571D51A6" w14:textId="6BB0A0F7" w:rsidR="002C08F5" w:rsidRPr="00CE0B3E" w:rsidRDefault="00DA16D8" w:rsidP="002C08F5">
      <w:pPr>
        <w:pStyle w:val="Default"/>
        <w:jc w:val="both"/>
        <w:rPr>
          <w:rFonts w:ascii="Arial" w:hAnsi="Arial" w:cs="Arial"/>
          <w:iCs/>
          <w:sz w:val="22"/>
          <w:szCs w:val="22"/>
        </w:rPr>
      </w:pPr>
      <w:r>
        <w:rPr>
          <w:rFonts w:ascii="Arial" w:hAnsi="Arial" w:cs="Arial"/>
          <w:iCs/>
          <w:sz w:val="22"/>
          <w:szCs w:val="22"/>
        </w:rPr>
        <w:t xml:space="preserve">The Council will enter into a </w:t>
      </w:r>
      <w:r w:rsidR="002C08F5" w:rsidRPr="002C08F5">
        <w:rPr>
          <w:rFonts w:ascii="Arial" w:hAnsi="Arial" w:cs="Arial"/>
          <w:iCs/>
          <w:sz w:val="22"/>
          <w:szCs w:val="22"/>
        </w:rPr>
        <w:t>D</w:t>
      </w:r>
      <w:r w:rsidR="004C0FDD">
        <w:rPr>
          <w:rFonts w:ascii="Arial" w:hAnsi="Arial" w:cs="Arial"/>
          <w:iCs/>
          <w:sz w:val="22"/>
          <w:szCs w:val="22"/>
        </w:rPr>
        <w:t>PA</w:t>
      </w:r>
      <w:r w:rsidR="002C08F5" w:rsidRPr="002C08F5">
        <w:rPr>
          <w:rFonts w:ascii="Arial" w:hAnsi="Arial" w:cs="Arial"/>
          <w:iCs/>
          <w:sz w:val="22"/>
          <w:szCs w:val="22"/>
        </w:rPr>
        <w:t xml:space="preserve"> </w:t>
      </w:r>
      <w:r>
        <w:rPr>
          <w:rFonts w:ascii="Arial" w:hAnsi="Arial" w:cs="Arial"/>
          <w:sz w:val="22"/>
          <w:szCs w:val="22"/>
        </w:rPr>
        <w:t>with an</w:t>
      </w:r>
      <w:r w:rsidR="004C0FDD">
        <w:rPr>
          <w:rFonts w:ascii="Arial" w:hAnsi="Arial" w:cs="Arial"/>
          <w:iCs/>
          <w:sz w:val="22"/>
          <w:szCs w:val="22"/>
        </w:rPr>
        <w:t xml:space="preserve"> adult who</w:t>
      </w:r>
      <w:r>
        <w:rPr>
          <w:rFonts w:ascii="Arial" w:hAnsi="Arial" w:cs="Arial"/>
          <w:iCs/>
          <w:sz w:val="22"/>
          <w:szCs w:val="22"/>
        </w:rPr>
        <w:t>,</w:t>
      </w:r>
      <w:r w:rsidR="002C08F5" w:rsidRPr="002C08F5">
        <w:rPr>
          <w:rFonts w:ascii="Arial" w:hAnsi="Arial" w:cs="Arial"/>
          <w:iCs/>
          <w:sz w:val="22"/>
          <w:szCs w:val="22"/>
        </w:rPr>
        <w:t xml:space="preserve"> </w:t>
      </w:r>
      <w:r w:rsidR="00C2742E">
        <w:rPr>
          <w:rFonts w:ascii="Arial" w:hAnsi="Arial" w:cs="Arial"/>
          <w:iCs/>
          <w:sz w:val="22"/>
          <w:szCs w:val="22"/>
        </w:rPr>
        <w:t>at the point of applying</w:t>
      </w:r>
      <w:r>
        <w:rPr>
          <w:rFonts w:ascii="Arial" w:hAnsi="Arial" w:cs="Arial"/>
          <w:iCs/>
          <w:sz w:val="22"/>
          <w:szCs w:val="22"/>
        </w:rPr>
        <w:t xml:space="preserve"> for a DPA</w:t>
      </w:r>
      <w:r w:rsidR="002C08F5" w:rsidRPr="00CE0B3E">
        <w:rPr>
          <w:rFonts w:ascii="Arial" w:hAnsi="Arial" w:cs="Arial"/>
          <w:iCs/>
          <w:sz w:val="22"/>
          <w:szCs w:val="22"/>
        </w:rPr>
        <w:t xml:space="preserve">:  </w:t>
      </w:r>
    </w:p>
    <w:p w14:paraId="1AD2421F" w14:textId="77777777" w:rsidR="002C08F5" w:rsidRPr="002C08F5" w:rsidRDefault="002C08F5" w:rsidP="002C08F5">
      <w:pPr>
        <w:pStyle w:val="Default"/>
        <w:ind w:left="720"/>
        <w:jc w:val="both"/>
        <w:rPr>
          <w:rFonts w:ascii="Arial" w:hAnsi="Arial" w:cs="Arial"/>
          <w:iCs/>
          <w:sz w:val="22"/>
          <w:szCs w:val="22"/>
        </w:rPr>
      </w:pPr>
    </w:p>
    <w:p w14:paraId="5C93F43E" w14:textId="595F4407" w:rsidR="004C0FDD" w:rsidRPr="004C0FDD" w:rsidRDefault="00DA16D8" w:rsidP="004C0FDD">
      <w:pPr>
        <w:numPr>
          <w:ilvl w:val="0"/>
          <w:numId w:val="19"/>
        </w:numPr>
        <w:spacing w:after="0" w:line="240" w:lineRule="auto"/>
        <w:contextualSpacing/>
        <w:rPr>
          <w:rFonts w:cs="Arial"/>
          <w:sz w:val="22"/>
        </w:rPr>
      </w:pPr>
      <w:r>
        <w:rPr>
          <w:rFonts w:cs="Arial"/>
          <w:sz w:val="22"/>
        </w:rPr>
        <w:t>is</w:t>
      </w:r>
      <w:r w:rsidR="004C0FDD" w:rsidRPr="004C0FDD">
        <w:rPr>
          <w:rFonts w:cs="Arial"/>
          <w:sz w:val="22"/>
        </w:rPr>
        <w:t xml:space="preserve"> assessed as needing to be cared for in a care home</w:t>
      </w:r>
      <w:r w:rsidR="004C0FDD">
        <w:rPr>
          <w:rFonts w:cs="Arial"/>
          <w:sz w:val="22"/>
        </w:rPr>
        <w:t xml:space="preserve">, </w:t>
      </w:r>
      <w:r w:rsidR="004C0FDD" w:rsidRPr="004C0FDD">
        <w:rPr>
          <w:rFonts w:cs="Arial"/>
          <w:sz w:val="22"/>
        </w:rPr>
        <w:t>and</w:t>
      </w:r>
    </w:p>
    <w:p w14:paraId="330DDFBE" w14:textId="288A2273" w:rsidR="004C0FDD" w:rsidRDefault="00DA16D8" w:rsidP="004C0FDD">
      <w:pPr>
        <w:numPr>
          <w:ilvl w:val="0"/>
          <w:numId w:val="19"/>
        </w:numPr>
        <w:spacing w:after="0" w:line="240" w:lineRule="auto"/>
        <w:contextualSpacing/>
        <w:rPr>
          <w:rFonts w:cs="Arial"/>
          <w:sz w:val="22"/>
        </w:rPr>
      </w:pPr>
      <w:r>
        <w:rPr>
          <w:rFonts w:cs="Arial"/>
          <w:sz w:val="22"/>
        </w:rPr>
        <w:t>is</w:t>
      </w:r>
      <w:r w:rsidR="004C0FDD" w:rsidRPr="004C0FDD">
        <w:rPr>
          <w:rFonts w:cs="Arial"/>
          <w:sz w:val="22"/>
        </w:rPr>
        <w:t xml:space="preserve"> paying for some or all of the costs of their care in a care home, and </w:t>
      </w:r>
    </w:p>
    <w:p w14:paraId="5EA8D8AD" w14:textId="2E65EDB0" w:rsidR="00362B64" w:rsidRPr="001F2A32" w:rsidRDefault="00362B64" w:rsidP="004C0FDD">
      <w:pPr>
        <w:numPr>
          <w:ilvl w:val="0"/>
          <w:numId w:val="19"/>
        </w:numPr>
        <w:spacing w:after="0" w:line="240" w:lineRule="auto"/>
        <w:contextualSpacing/>
        <w:rPr>
          <w:rFonts w:cs="Arial"/>
          <w:sz w:val="22"/>
        </w:rPr>
      </w:pPr>
      <w:r w:rsidRPr="001F2A32">
        <w:rPr>
          <w:rFonts w:cs="Arial"/>
          <w:sz w:val="22"/>
        </w:rPr>
        <w:t>requests a DPA amount which, in addition to the administrative costs and interest arising from the DPA, comprises no more than the cost of the care which the Council considers necessary to meet the adult’s needs, and</w:t>
      </w:r>
    </w:p>
    <w:p w14:paraId="5577EBE6" w14:textId="0B128246" w:rsidR="00DA16D8" w:rsidRPr="001F2A32" w:rsidRDefault="00DA16D8" w:rsidP="00DA16D8">
      <w:pPr>
        <w:numPr>
          <w:ilvl w:val="0"/>
          <w:numId w:val="19"/>
        </w:numPr>
        <w:spacing w:after="0" w:line="240" w:lineRule="auto"/>
        <w:contextualSpacing/>
        <w:rPr>
          <w:rFonts w:cs="Arial"/>
          <w:sz w:val="22"/>
        </w:rPr>
      </w:pPr>
      <w:r w:rsidRPr="001F2A32">
        <w:rPr>
          <w:rFonts w:cs="Arial"/>
          <w:sz w:val="22"/>
        </w:rPr>
        <w:t xml:space="preserve">has a legal or beneficial interest in a property which is their main or only home, </w:t>
      </w:r>
      <w:r w:rsidR="006D5ACC" w:rsidRPr="001F2A32">
        <w:rPr>
          <w:rFonts w:cs="Arial"/>
          <w:sz w:val="22"/>
        </w:rPr>
        <w:t xml:space="preserve">and </w:t>
      </w:r>
      <w:r w:rsidRPr="001F2A32">
        <w:rPr>
          <w:rFonts w:cs="Arial"/>
          <w:sz w:val="22"/>
        </w:rPr>
        <w:t xml:space="preserve">which is not disregarded as part of a financial assessment, and  </w:t>
      </w:r>
    </w:p>
    <w:p w14:paraId="5B14EB3D" w14:textId="0F2321C8" w:rsidR="006D5ACC" w:rsidRPr="001F2A32" w:rsidRDefault="006D5ACC" w:rsidP="004C0FDD">
      <w:pPr>
        <w:numPr>
          <w:ilvl w:val="0"/>
          <w:numId w:val="19"/>
        </w:numPr>
        <w:spacing w:after="0" w:line="240" w:lineRule="auto"/>
        <w:contextualSpacing/>
        <w:rPr>
          <w:rFonts w:cs="Arial"/>
          <w:sz w:val="22"/>
        </w:rPr>
      </w:pPr>
      <w:r w:rsidRPr="001F2A32">
        <w:rPr>
          <w:rFonts w:cs="Arial"/>
          <w:sz w:val="22"/>
        </w:rPr>
        <w:t xml:space="preserve">is able to provide adequate security which is at least equal to the DPA amount including administrative costs and interest, and  </w:t>
      </w:r>
    </w:p>
    <w:p w14:paraId="364D411C" w14:textId="1D3E8EE2" w:rsidR="004C0FDD" w:rsidRPr="001F2A32" w:rsidRDefault="004C0FDD" w:rsidP="004C0FDD">
      <w:pPr>
        <w:numPr>
          <w:ilvl w:val="0"/>
          <w:numId w:val="19"/>
        </w:numPr>
        <w:spacing w:after="0" w:line="240" w:lineRule="auto"/>
        <w:contextualSpacing/>
        <w:rPr>
          <w:rFonts w:cs="Arial"/>
          <w:sz w:val="22"/>
        </w:rPr>
      </w:pPr>
      <w:r w:rsidRPr="001F2A32">
        <w:rPr>
          <w:rFonts w:cs="Arial"/>
          <w:sz w:val="22"/>
        </w:rPr>
        <w:t>ha</w:t>
      </w:r>
      <w:r w:rsidR="00DA16D8" w:rsidRPr="001F2A32">
        <w:rPr>
          <w:rFonts w:cs="Arial"/>
          <w:sz w:val="22"/>
        </w:rPr>
        <w:t>s</w:t>
      </w:r>
      <w:r w:rsidRPr="001F2A32">
        <w:rPr>
          <w:rFonts w:cs="Arial"/>
          <w:sz w:val="22"/>
        </w:rPr>
        <w:t xml:space="preserve"> less than (or equal to) £23,250 in assets, not counting the value of the </w:t>
      </w:r>
      <w:r w:rsidR="000171E8" w:rsidRPr="001F2A32">
        <w:rPr>
          <w:rFonts w:cs="Arial"/>
          <w:sz w:val="22"/>
        </w:rPr>
        <w:t xml:space="preserve">interest in their main or </w:t>
      </w:r>
      <w:r w:rsidRPr="001F2A32">
        <w:rPr>
          <w:rFonts w:cs="Arial"/>
          <w:sz w:val="22"/>
        </w:rPr>
        <w:t xml:space="preserve">only home, and </w:t>
      </w:r>
    </w:p>
    <w:p w14:paraId="5307CA98" w14:textId="308885DA" w:rsidR="005C2F46" w:rsidRPr="001F2A32" w:rsidRDefault="005C2F46" w:rsidP="004C0FDD">
      <w:pPr>
        <w:numPr>
          <w:ilvl w:val="0"/>
          <w:numId w:val="19"/>
        </w:numPr>
        <w:spacing w:after="0" w:line="240" w:lineRule="auto"/>
        <w:contextualSpacing/>
        <w:rPr>
          <w:rFonts w:cs="Arial"/>
          <w:sz w:val="22"/>
        </w:rPr>
      </w:pPr>
      <w:r w:rsidRPr="001F2A32">
        <w:rPr>
          <w:rFonts w:cs="Arial"/>
          <w:sz w:val="22"/>
        </w:rPr>
        <w:t>agrees to the Council’s terms and conditions as part of the DPA, and</w:t>
      </w:r>
    </w:p>
    <w:p w14:paraId="1FA38CAF" w14:textId="4DECD986" w:rsidR="004C0FDD" w:rsidRPr="001F2A32" w:rsidRDefault="00DA16D8" w:rsidP="004C0FDD">
      <w:pPr>
        <w:numPr>
          <w:ilvl w:val="0"/>
          <w:numId w:val="19"/>
        </w:numPr>
        <w:spacing w:after="0" w:line="240" w:lineRule="auto"/>
        <w:contextualSpacing/>
        <w:rPr>
          <w:rFonts w:cs="Arial"/>
          <w:sz w:val="22"/>
        </w:rPr>
      </w:pPr>
      <w:r w:rsidRPr="001F2A32">
        <w:rPr>
          <w:rFonts w:cs="Arial"/>
          <w:sz w:val="22"/>
        </w:rPr>
        <w:t>is</w:t>
      </w:r>
      <w:r w:rsidR="004C0FDD" w:rsidRPr="001F2A32">
        <w:rPr>
          <w:rFonts w:cs="Arial"/>
          <w:sz w:val="22"/>
        </w:rPr>
        <w:t xml:space="preserve">: </w:t>
      </w:r>
    </w:p>
    <w:p w14:paraId="6058C8C0" w14:textId="77777777" w:rsidR="004C0FDD" w:rsidRPr="001F2A32" w:rsidRDefault="004C0FDD" w:rsidP="004C0FDD">
      <w:pPr>
        <w:numPr>
          <w:ilvl w:val="0"/>
          <w:numId w:val="20"/>
        </w:numPr>
        <w:spacing w:after="0" w:line="240" w:lineRule="auto"/>
        <w:contextualSpacing/>
        <w:rPr>
          <w:rFonts w:cs="Arial"/>
          <w:sz w:val="22"/>
        </w:rPr>
      </w:pPr>
      <w:r w:rsidRPr="001F2A32">
        <w:rPr>
          <w:rFonts w:cs="Arial"/>
          <w:sz w:val="22"/>
        </w:rPr>
        <w:t xml:space="preserve">ordinarily resident in </w:t>
      </w:r>
      <w:proofErr w:type="gramStart"/>
      <w:r w:rsidRPr="001F2A32">
        <w:rPr>
          <w:rFonts w:cs="Arial"/>
          <w:sz w:val="22"/>
        </w:rPr>
        <w:t>North East</w:t>
      </w:r>
      <w:proofErr w:type="gramEnd"/>
      <w:r w:rsidRPr="001F2A32">
        <w:rPr>
          <w:rFonts w:cs="Arial"/>
          <w:sz w:val="22"/>
        </w:rPr>
        <w:t xml:space="preserve"> Lincolnshire, or </w:t>
      </w:r>
    </w:p>
    <w:p w14:paraId="491A49E9" w14:textId="77777777" w:rsidR="004C0FDD" w:rsidRPr="001F2A32" w:rsidRDefault="004C0FDD" w:rsidP="004C0FDD">
      <w:pPr>
        <w:numPr>
          <w:ilvl w:val="0"/>
          <w:numId w:val="20"/>
        </w:numPr>
        <w:spacing w:after="0" w:line="240" w:lineRule="auto"/>
        <w:contextualSpacing/>
        <w:rPr>
          <w:rFonts w:cs="Arial"/>
          <w:sz w:val="22"/>
        </w:rPr>
      </w:pPr>
      <w:r w:rsidRPr="001F2A32">
        <w:rPr>
          <w:rFonts w:cs="Arial"/>
          <w:sz w:val="22"/>
        </w:rPr>
        <w:t xml:space="preserve">of no settled residence, but present in </w:t>
      </w:r>
      <w:proofErr w:type="gramStart"/>
      <w:r w:rsidRPr="001F2A32">
        <w:rPr>
          <w:rFonts w:cs="Arial"/>
          <w:sz w:val="22"/>
        </w:rPr>
        <w:t>North East</w:t>
      </w:r>
      <w:proofErr w:type="gramEnd"/>
      <w:r w:rsidRPr="001F2A32">
        <w:rPr>
          <w:rFonts w:cs="Arial"/>
          <w:sz w:val="22"/>
        </w:rPr>
        <w:t xml:space="preserve"> Lincolnshire, or</w:t>
      </w:r>
    </w:p>
    <w:p w14:paraId="54F503BE" w14:textId="41A795B1" w:rsidR="002C08F5" w:rsidRPr="001F2A32" w:rsidRDefault="004C0FDD" w:rsidP="004C0FDD">
      <w:pPr>
        <w:numPr>
          <w:ilvl w:val="0"/>
          <w:numId w:val="20"/>
        </w:numPr>
        <w:spacing w:after="0" w:line="240" w:lineRule="auto"/>
        <w:contextualSpacing/>
        <w:rPr>
          <w:rFonts w:cs="Arial"/>
          <w:sz w:val="22"/>
        </w:rPr>
      </w:pPr>
      <w:r w:rsidRPr="001F2A32">
        <w:rPr>
          <w:rFonts w:cs="Arial"/>
          <w:sz w:val="22"/>
          <w:shd w:val="clear" w:color="auto" w:fill="FFFFFF"/>
        </w:rPr>
        <w:t xml:space="preserve">ordinarily resident in another local authority area, but </w:t>
      </w:r>
      <w:proofErr w:type="gramStart"/>
      <w:r w:rsidRPr="001F2A32">
        <w:rPr>
          <w:rFonts w:cs="Arial"/>
          <w:sz w:val="22"/>
          <w:shd w:val="clear" w:color="auto" w:fill="FFFFFF"/>
        </w:rPr>
        <w:t>North East</w:t>
      </w:r>
      <w:proofErr w:type="gramEnd"/>
      <w:r w:rsidRPr="001F2A32">
        <w:rPr>
          <w:rFonts w:cs="Arial"/>
          <w:sz w:val="22"/>
          <w:shd w:val="clear" w:color="auto" w:fill="FFFFFF"/>
        </w:rPr>
        <w:t xml:space="preserve"> Lincolnshire Council has decided that it will meet the person’s care needs.</w:t>
      </w:r>
    </w:p>
    <w:p w14:paraId="3E8D01D7" w14:textId="77777777" w:rsidR="0093411F" w:rsidRPr="001F2A32" w:rsidRDefault="0093411F" w:rsidP="00F62F81">
      <w:pPr>
        <w:spacing w:after="0" w:line="240" w:lineRule="auto"/>
        <w:contextualSpacing/>
        <w:rPr>
          <w:rFonts w:cs="Arial"/>
          <w:sz w:val="22"/>
          <w:shd w:val="clear" w:color="auto" w:fill="FFFFFF"/>
        </w:rPr>
      </w:pPr>
    </w:p>
    <w:p w14:paraId="0E464757" w14:textId="75ED6F3D" w:rsidR="00F62F81" w:rsidRPr="001F2A32" w:rsidRDefault="006D5ACC" w:rsidP="00F62F81">
      <w:pPr>
        <w:spacing w:after="0" w:line="240" w:lineRule="auto"/>
        <w:contextualSpacing/>
        <w:rPr>
          <w:rFonts w:cs="Arial"/>
          <w:sz w:val="22"/>
          <w:shd w:val="clear" w:color="auto" w:fill="FFFFFF"/>
        </w:rPr>
      </w:pPr>
      <w:r w:rsidRPr="001F2A32">
        <w:rPr>
          <w:rFonts w:cs="Arial"/>
          <w:sz w:val="22"/>
          <w:shd w:val="clear" w:color="auto" w:fill="FFFFFF"/>
        </w:rPr>
        <w:t>Adequate security means a first legal mortgage charge register</w:t>
      </w:r>
      <w:r w:rsidR="00407CCD" w:rsidRPr="001F2A32">
        <w:rPr>
          <w:rFonts w:cs="Arial"/>
          <w:sz w:val="22"/>
          <w:shd w:val="clear" w:color="auto" w:fill="FFFFFF"/>
        </w:rPr>
        <w:t xml:space="preserve">able </w:t>
      </w:r>
      <w:r w:rsidRPr="001F2A32">
        <w:rPr>
          <w:rFonts w:cs="Arial"/>
          <w:sz w:val="22"/>
          <w:shd w:val="clear" w:color="auto" w:fill="FFFFFF"/>
        </w:rPr>
        <w:t>in favour of the Council with the Land Registry</w:t>
      </w:r>
      <w:r w:rsidR="00D04C39" w:rsidRPr="001F2A32">
        <w:rPr>
          <w:rFonts w:cs="Arial"/>
          <w:sz w:val="22"/>
          <w:shd w:val="clear" w:color="auto" w:fill="FFFFFF"/>
        </w:rPr>
        <w:t xml:space="preserve"> (see 4.3)</w:t>
      </w:r>
      <w:r w:rsidRPr="001F2A32">
        <w:rPr>
          <w:rFonts w:cs="Arial"/>
          <w:sz w:val="22"/>
          <w:shd w:val="clear" w:color="auto" w:fill="FFFFFF"/>
        </w:rPr>
        <w:t xml:space="preserve">.  </w:t>
      </w:r>
    </w:p>
    <w:p w14:paraId="2DC2BA09" w14:textId="6CA28A15" w:rsidR="004203C6" w:rsidRPr="001F2A32" w:rsidRDefault="008C2934" w:rsidP="008C2934">
      <w:pPr>
        <w:pStyle w:val="Heading3"/>
        <w:rPr>
          <w:color w:val="auto"/>
        </w:rPr>
      </w:pPr>
      <w:bookmarkStart w:id="17" w:name="_Toc146189055"/>
      <w:r w:rsidRPr="001F2A32">
        <w:rPr>
          <w:color w:val="auto"/>
        </w:rPr>
        <w:t>4.2</w:t>
      </w:r>
      <w:r w:rsidRPr="001F2A32">
        <w:rPr>
          <w:color w:val="auto"/>
        </w:rPr>
        <w:tab/>
      </w:r>
      <w:r w:rsidR="005C2F46" w:rsidRPr="001F2A32">
        <w:rPr>
          <w:color w:val="auto"/>
        </w:rPr>
        <w:t xml:space="preserve">When the Council </w:t>
      </w:r>
      <w:r w:rsidR="005C2F46" w:rsidRPr="001F2A32">
        <w:rPr>
          <w:i/>
          <w:iCs/>
          <w:color w:val="auto"/>
        </w:rPr>
        <w:t>may</w:t>
      </w:r>
      <w:r w:rsidR="005C2F46" w:rsidRPr="001F2A32">
        <w:rPr>
          <w:color w:val="auto"/>
        </w:rPr>
        <w:t xml:space="preserve"> enter into a </w:t>
      </w:r>
      <w:proofErr w:type="gramStart"/>
      <w:r w:rsidR="005C2F46" w:rsidRPr="001F2A32">
        <w:rPr>
          <w:color w:val="auto"/>
        </w:rPr>
        <w:t>DPA</w:t>
      </w:r>
      <w:bookmarkEnd w:id="17"/>
      <w:proofErr w:type="gramEnd"/>
    </w:p>
    <w:p w14:paraId="11D2D3B7" w14:textId="77777777" w:rsidR="00010C3A" w:rsidRPr="001F2A32" w:rsidRDefault="00010C3A" w:rsidP="00765EA0">
      <w:pPr>
        <w:spacing w:after="0" w:line="240" w:lineRule="auto"/>
        <w:rPr>
          <w:rFonts w:cs="Arial"/>
          <w:sz w:val="22"/>
        </w:rPr>
      </w:pPr>
      <w:r w:rsidRPr="001F2A32">
        <w:rPr>
          <w:rFonts w:cs="Arial"/>
          <w:sz w:val="22"/>
        </w:rPr>
        <w:t xml:space="preserve">Where the Council has discretion regarding whether or not to enter into a DPA, it </w:t>
      </w:r>
      <w:r w:rsidR="00765EA0" w:rsidRPr="001F2A32">
        <w:rPr>
          <w:rFonts w:cs="Arial"/>
          <w:sz w:val="22"/>
        </w:rPr>
        <w:t xml:space="preserve">will consider all of the adult’s circumstances before it </w:t>
      </w:r>
      <w:proofErr w:type="gramStart"/>
      <w:r w:rsidR="00765EA0" w:rsidRPr="001F2A32">
        <w:rPr>
          <w:rFonts w:cs="Arial"/>
          <w:sz w:val="22"/>
        </w:rPr>
        <w:t>makes a decision</w:t>
      </w:r>
      <w:proofErr w:type="gramEnd"/>
      <w:r w:rsidR="00765EA0" w:rsidRPr="001F2A32">
        <w:rPr>
          <w:rFonts w:cs="Arial"/>
          <w:sz w:val="22"/>
        </w:rPr>
        <w:t>.</w:t>
      </w:r>
      <w:r w:rsidRPr="001F2A32">
        <w:rPr>
          <w:rFonts w:cs="Arial"/>
          <w:sz w:val="22"/>
        </w:rPr>
        <w:t xml:space="preserve">  By way of example, such considerations may include:</w:t>
      </w:r>
    </w:p>
    <w:p w14:paraId="7FCCE9BD" w14:textId="77777777" w:rsidR="00010C3A" w:rsidRPr="001F2A32" w:rsidRDefault="00010C3A" w:rsidP="00010C3A">
      <w:pPr>
        <w:spacing w:after="0" w:line="240" w:lineRule="auto"/>
        <w:rPr>
          <w:rFonts w:cs="Arial"/>
          <w:sz w:val="22"/>
          <w:shd w:val="clear" w:color="auto" w:fill="FFFFFF"/>
        </w:rPr>
      </w:pPr>
    </w:p>
    <w:p w14:paraId="7330014D" w14:textId="77777777" w:rsidR="00010C3A" w:rsidRPr="001F2A32" w:rsidRDefault="00010C3A" w:rsidP="00010C3A">
      <w:pPr>
        <w:numPr>
          <w:ilvl w:val="0"/>
          <w:numId w:val="22"/>
        </w:numPr>
        <w:shd w:val="clear" w:color="auto" w:fill="FFFFFF"/>
        <w:spacing w:after="0" w:line="240" w:lineRule="auto"/>
        <w:rPr>
          <w:rFonts w:eastAsia="Times New Roman" w:cs="Arial"/>
          <w:sz w:val="22"/>
          <w:lang w:eastAsia="en-GB"/>
        </w:rPr>
      </w:pPr>
      <w:r w:rsidRPr="001F2A32">
        <w:rPr>
          <w:rFonts w:eastAsia="Times New Roman" w:cs="Arial"/>
          <w:sz w:val="22"/>
          <w:lang w:eastAsia="en-GB"/>
        </w:rPr>
        <w:t xml:space="preserve">whether the adult has any other way to meet the cost of their care </w:t>
      </w:r>
    </w:p>
    <w:p w14:paraId="13AEDABD" w14:textId="77777777" w:rsidR="00010C3A" w:rsidRPr="001F2A32" w:rsidRDefault="00010C3A" w:rsidP="00010C3A">
      <w:pPr>
        <w:numPr>
          <w:ilvl w:val="0"/>
          <w:numId w:val="22"/>
        </w:numPr>
        <w:shd w:val="clear" w:color="auto" w:fill="FFFFFF"/>
        <w:spacing w:after="0" w:line="240" w:lineRule="auto"/>
        <w:rPr>
          <w:rFonts w:eastAsia="Times New Roman" w:cs="Arial"/>
          <w:sz w:val="22"/>
          <w:lang w:eastAsia="en-GB"/>
        </w:rPr>
      </w:pPr>
      <w:r w:rsidRPr="001F2A32">
        <w:rPr>
          <w:rFonts w:eastAsia="Times New Roman" w:cs="Arial"/>
          <w:sz w:val="22"/>
          <w:lang w:eastAsia="en-GB"/>
        </w:rPr>
        <w:t xml:space="preserve">whether meeting their care costs leaves the adult with very few assets to access </w:t>
      </w:r>
    </w:p>
    <w:p w14:paraId="4F8AF9EF" w14:textId="512B3B31" w:rsidR="006D41AD" w:rsidRPr="001F2A32" w:rsidRDefault="00010C3A" w:rsidP="00010C3A">
      <w:pPr>
        <w:numPr>
          <w:ilvl w:val="0"/>
          <w:numId w:val="22"/>
        </w:numPr>
        <w:shd w:val="clear" w:color="auto" w:fill="FFFFFF"/>
        <w:spacing w:after="0" w:line="240" w:lineRule="auto"/>
      </w:pPr>
      <w:r w:rsidRPr="001F2A32">
        <w:rPr>
          <w:rFonts w:eastAsia="Times New Roman" w:cs="Arial"/>
          <w:sz w:val="22"/>
          <w:lang w:eastAsia="en-GB"/>
        </w:rPr>
        <w:t xml:space="preserve">how far away from meeting the </w:t>
      </w:r>
      <w:r w:rsidR="00213C41" w:rsidRPr="001F2A32">
        <w:rPr>
          <w:rFonts w:eastAsia="Times New Roman" w:cs="Arial"/>
          <w:sz w:val="22"/>
          <w:lang w:eastAsia="en-GB"/>
        </w:rPr>
        <w:t xml:space="preserve">DPA </w:t>
      </w:r>
      <w:r w:rsidRPr="001F2A32">
        <w:rPr>
          <w:rFonts w:eastAsia="Times New Roman" w:cs="Arial"/>
          <w:sz w:val="22"/>
          <w:lang w:eastAsia="en-GB"/>
        </w:rPr>
        <w:t xml:space="preserve">criteria the adult is, and how likely they might be to meet the criteria in </w:t>
      </w:r>
      <w:proofErr w:type="gramStart"/>
      <w:r w:rsidRPr="001F2A32">
        <w:rPr>
          <w:rFonts w:eastAsia="Times New Roman" w:cs="Arial"/>
          <w:sz w:val="22"/>
          <w:lang w:eastAsia="en-GB"/>
        </w:rPr>
        <w:t>future</w:t>
      </w:r>
      <w:proofErr w:type="gramEnd"/>
    </w:p>
    <w:p w14:paraId="360A5090" w14:textId="797E3A57" w:rsidR="00010C3A" w:rsidRPr="001F2A32" w:rsidRDefault="006D41AD" w:rsidP="00010C3A">
      <w:pPr>
        <w:numPr>
          <w:ilvl w:val="0"/>
          <w:numId w:val="22"/>
        </w:numPr>
        <w:shd w:val="clear" w:color="auto" w:fill="FFFFFF"/>
        <w:spacing w:after="0" w:line="240" w:lineRule="auto"/>
      </w:pPr>
      <w:r w:rsidRPr="001F2A32">
        <w:rPr>
          <w:rFonts w:eastAsia="Times New Roman" w:cs="Arial"/>
          <w:sz w:val="22"/>
          <w:lang w:eastAsia="en-GB"/>
        </w:rPr>
        <w:t>the impact on the adult’s wellbeing of having, or not having, a DPA</w:t>
      </w:r>
      <w:r w:rsidR="00010C3A" w:rsidRPr="001F2A32">
        <w:rPr>
          <w:rFonts w:eastAsia="Times New Roman" w:cs="Arial"/>
          <w:sz w:val="22"/>
          <w:lang w:eastAsia="en-GB"/>
        </w:rPr>
        <w:t xml:space="preserve">.  </w:t>
      </w:r>
    </w:p>
    <w:p w14:paraId="3B5961A2" w14:textId="77777777" w:rsidR="002C08F5" w:rsidRPr="001F2A32" w:rsidRDefault="002C08F5" w:rsidP="00010C3A">
      <w:pPr>
        <w:pStyle w:val="Default"/>
        <w:rPr>
          <w:rFonts w:ascii="Arial" w:hAnsi="Arial" w:cs="Arial"/>
          <w:iCs/>
          <w:color w:val="auto"/>
        </w:rPr>
      </w:pPr>
    </w:p>
    <w:p w14:paraId="5E57B85E" w14:textId="102D764F" w:rsidR="00010C3A" w:rsidRPr="001F2A32" w:rsidRDefault="00010C3A" w:rsidP="00010C3A">
      <w:pPr>
        <w:pStyle w:val="Default"/>
        <w:jc w:val="both"/>
        <w:rPr>
          <w:rFonts w:ascii="Arial" w:hAnsi="Arial" w:cs="Arial"/>
          <w:color w:val="auto"/>
          <w:sz w:val="22"/>
        </w:rPr>
      </w:pPr>
      <w:r w:rsidRPr="001F2A32">
        <w:rPr>
          <w:rFonts w:ascii="Arial" w:hAnsi="Arial" w:cs="Arial"/>
          <w:color w:val="auto"/>
          <w:sz w:val="22"/>
        </w:rPr>
        <w:t xml:space="preserve">The Council is responsible for public money, and it has a duty to make sure that any DPA it </w:t>
      </w:r>
      <w:r w:rsidR="00063C63" w:rsidRPr="001F2A32">
        <w:rPr>
          <w:rFonts w:ascii="Arial" w:hAnsi="Arial" w:cs="Arial"/>
          <w:color w:val="auto"/>
          <w:sz w:val="22"/>
        </w:rPr>
        <w:t>enters into</w:t>
      </w:r>
      <w:r w:rsidRPr="001F2A32">
        <w:rPr>
          <w:rFonts w:ascii="Arial" w:hAnsi="Arial" w:cs="Arial"/>
          <w:color w:val="auto"/>
          <w:sz w:val="22"/>
        </w:rPr>
        <w:t xml:space="preserve"> is safe and sustainable.</w:t>
      </w:r>
    </w:p>
    <w:p w14:paraId="625E5DA1" w14:textId="77777777" w:rsidR="00010C3A" w:rsidRPr="001F2A32" w:rsidRDefault="00010C3A" w:rsidP="00010C3A">
      <w:pPr>
        <w:pStyle w:val="Default"/>
        <w:jc w:val="both"/>
        <w:rPr>
          <w:rFonts w:ascii="Arial" w:hAnsi="Arial" w:cs="Arial"/>
          <w:color w:val="auto"/>
          <w:sz w:val="22"/>
        </w:rPr>
      </w:pPr>
    </w:p>
    <w:p w14:paraId="43B3E204" w14:textId="41C814DD" w:rsidR="00010C3A" w:rsidRPr="001F2A32" w:rsidRDefault="008C2934" w:rsidP="008C2934">
      <w:pPr>
        <w:pStyle w:val="Heading4"/>
        <w:rPr>
          <w:color w:val="auto"/>
        </w:rPr>
      </w:pPr>
      <w:bookmarkStart w:id="18" w:name="_Toc146189056"/>
      <w:r w:rsidRPr="001F2A32">
        <w:rPr>
          <w:color w:val="auto"/>
        </w:rPr>
        <w:t>4.2.1</w:t>
      </w:r>
      <w:r w:rsidRPr="001F2A32">
        <w:rPr>
          <w:color w:val="auto"/>
        </w:rPr>
        <w:tab/>
        <w:t>Common situations in which the Council may be asked to exercise discretion</w:t>
      </w:r>
      <w:r w:rsidR="00D817F8" w:rsidRPr="001F2A32">
        <w:rPr>
          <w:color w:val="auto"/>
        </w:rPr>
        <w:t xml:space="preserve"> to enter into a </w:t>
      </w:r>
      <w:proofErr w:type="gramStart"/>
      <w:r w:rsidR="00D817F8" w:rsidRPr="001F2A32">
        <w:rPr>
          <w:color w:val="auto"/>
        </w:rPr>
        <w:t>DPA</w:t>
      </w:r>
      <w:bookmarkEnd w:id="18"/>
      <w:proofErr w:type="gramEnd"/>
    </w:p>
    <w:p w14:paraId="3A403881" w14:textId="0AE592CB" w:rsidR="0038404A" w:rsidRPr="001F2A32" w:rsidRDefault="0038404A" w:rsidP="0038404A">
      <w:pPr>
        <w:rPr>
          <w:b/>
          <w:bCs/>
          <w:sz w:val="22"/>
          <w:highlight w:val="cyan"/>
        </w:rPr>
      </w:pPr>
      <w:r w:rsidRPr="001F2A32">
        <w:rPr>
          <w:sz w:val="22"/>
        </w:rPr>
        <w:t xml:space="preserve">The following </w:t>
      </w:r>
      <w:r w:rsidR="006736F9" w:rsidRPr="001F2A32">
        <w:rPr>
          <w:sz w:val="22"/>
        </w:rPr>
        <w:t xml:space="preserve">non-exhaustive </w:t>
      </w:r>
      <w:r w:rsidRPr="001F2A32">
        <w:rPr>
          <w:sz w:val="22"/>
        </w:rPr>
        <w:t xml:space="preserve">examples are set out on the assumption that the adult meets all of the other criteria set out at 4.1, excepting the matter on which they seek an exercise of the Council’s discretion.  </w:t>
      </w:r>
      <w:r w:rsidRPr="001F2A32">
        <w:rPr>
          <w:b/>
          <w:bCs/>
          <w:sz w:val="22"/>
          <w:highlight w:val="cyan"/>
        </w:rPr>
        <w:t xml:space="preserve"> </w:t>
      </w:r>
    </w:p>
    <w:p w14:paraId="55254F89" w14:textId="5B51792E" w:rsidR="00F62F81" w:rsidRPr="001F2A32" w:rsidRDefault="00F62F81" w:rsidP="00F62F81">
      <w:pPr>
        <w:rPr>
          <w:rFonts w:ascii="Calibri" w:hAnsi="Calibri"/>
          <w:b/>
          <w:bCs/>
          <w:sz w:val="22"/>
        </w:rPr>
      </w:pPr>
      <w:r w:rsidRPr="001F2A32">
        <w:rPr>
          <w:b/>
          <w:bCs/>
          <w:sz w:val="22"/>
        </w:rPr>
        <w:t>Secondary charges</w:t>
      </w:r>
    </w:p>
    <w:p w14:paraId="44115645" w14:textId="424A4FD4" w:rsidR="00F62F81" w:rsidRPr="001F2A32" w:rsidRDefault="00F62F81" w:rsidP="00F62F81">
      <w:pPr>
        <w:rPr>
          <w:sz w:val="22"/>
        </w:rPr>
      </w:pPr>
      <w:r w:rsidRPr="001F2A32">
        <w:rPr>
          <w:sz w:val="22"/>
        </w:rPr>
        <w:t>In limited circumstances, the Council may be willing to offer a DPA where a first legal mortgage charge is not available</w:t>
      </w:r>
      <w:r w:rsidR="00301131" w:rsidRPr="001F2A32">
        <w:rPr>
          <w:sz w:val="22"/>
        </w:rPr>
        <w:t xml:space="preserve"> to it</w:t>
      </w:r>
      <w:r w:rsidRPr="001F2A32">
        <w:rPr>
          <w:sz w:val="22"/>
        </w:rPr>
        <w:t xml:space="preserve">.  A secondary charge might be </w:t>
      </w:r>
      <w:r w:rsidR="00063C63" w:rsidRPr="001F2A32">
        <w:rPr>
          <w:sz w:val="22"/>
        </w:rPr>
        <w:t>acceptable</w:t>
      </w:r>
      <w:r w:rsidRPr="001F2A32">
        <w:rPr>
          <w:sz w:val="22"/>
        </w:rPr>
        <w:t xml:space="preserve"> where the equity in the adult’s property is sufficient to meet the first charge already registered, </w:t>
      </w:r>
      <w:r w:rsidR="00301131" w:rsidRPr="001F2A32">
        <w:rPr>
          <w:sz w:val="22"/>
        </w:rPr>
        <w:t xml:space="preserve">as well as </w:t>
      </w:r>
      <w:r w:rsidRPr="001F2A32">
        <w:rPr>
          <w:sz w:val="22"/>
        </w:rPr>
        <w:t xml:space="preserve">any second charge </w:t>
      </w:r>
      <w:r w:rsidR="00010C3A" w:rsidRPr="001F2A32">
        <w:rPr>
          <w:sz w:val="22"/>
        </w:rPr>
        <w:t xml:space="preserve">(at least equal to the DPA amount including interest and administrative costs) </w:t>
      </w:r>
      <w:r w:rsidRPr="001F2A32">
        <w:rPr>
          <w:sz w:val="22"/>
        </w:rPr>
        <w:t xml:space="preserve">subsequently registered for the benefit of the Council.  </w:t>
      </w:r>
    </w:p>
    <w:p w14:paraId="08DC17BE" w14:textId="77777777" w:rsidR="00407CCD" w:rsidRPr="001F2A32" w:rsidRDefault="00407CCD" w:rsidP="00F62F81">
      <w:pPr>
        <w:rPr>
          <w:b/>
          <w:bCs/>
          <w:sz w:val="22"/>
        </w:rPr>
      </w:pPr>
      <w:r w:rsidRPr="001F2A32">
        <w:rPr>
          <w:b/>
          <w:bCs/>
          <w:sz w:val="22"/>
        </w:rPr>
        <w:t>Alternative types of security</w:t>
      </w:r>
    </w:p>
    <w:p w14:paraId="28DB99F2" w14:textId="2BA7A03C" w:rsidR="005C2C93" w:rsidRPr="001F2A32" w:rsidRDefault="00407CCD" w:rsidP="00F62F81">
      <w:pPr>
        <w:rPr>
          <w:rFonts w:cs="Arial"/>
          <w:sz w:val="22"/>
          <w:shd w:val="clear" w:color="auto" w:fill="FFFFFF"/>
        </w:rPr>
      </w:pPr>
      <w:r w:rsidRPr="001F2A32">
        <w:rPr>
          <w:sz w:val="22"/>
        </w:rPr>
        <w:t>Where the adult is not able to offer a first legal mortgage charge</w:t>
      </w:r>
      <w:r w:rsidRPr="001F2A32">
        <w:rPr>
          <w:b/>
          <w:bCs/>
          <w:sz w:val="22"/>
        </w:rPr>
        <w:t xml:space="preserve"> </w:t>
      </w:r>
      <w:r w:rsidRPr="001F2A32">
        <w:rPr>
          <w:rFonts w:cs="Arial"/>
          <w:sz w:val="22"/>
          <w:shd w:val="clear" w:color="auto" w:fill="FFFFFF"/>
        </w:rPr>
        <w:t>registerable in favour of the Council with the Land Registry</w:t>
      </w:r>
      <w:r w:rsidR="005C2C93" w:rsidRPr="001F2A32">
        <w:rPr>
          <w:rFonts w:cs="Arial"/>
          <w:sz w:val="22"/>
          <w:shd w:val="clear" w:color="auto" w:fill="FFFFFF"/>
        </w:rPr>
        <w:t xml:space="preserve"> (as at 4.1 above)</w:t>
      </w:r>
      <w:r w:rsidRPr="001F2A32">
        <w:rPr>
          <w:rFonts w:cs="Arial"/>
          <w:sz w:val="22"/>
          <w:shd w:val="clear" w:color="auto" w:fill="FFFFFF"/>
        </w:rPr>
        <w:t xml:space="preserve">, the Council may consider </w:t>
      </w:r>
      <w:r w:rsidR="005C2C93" w:rsidRPr="001F2A32">
        <w:rPr>
          <w:rFonts w:cs="Arial"/>
          <w:sz w:val="22"/>
          <w:shd w:val="clear" w:color="auto" w:fill="FFFFFF"/>
        </w:rPr>
        <w:t xml:space="preserve">alternative security which it deems is adequate to secure at least the DPA amount, including interest and administrative costs.  The most obvious (rather than only) example of alternative types of security is probably art, </w:t>
      </w:r>
      <w:proofErr w:type="gramStart"/>
      <w:r w:rsidR="005C2C93" w:rsidRPr="001F2A32">
        <w:rPr>
          <w:rFonts w:cs="Arial"/>
          <w:sz w:val="22"/>
          <w:shd w:val="clear" w:color="auto" w:fill="FFFFFF"/>
        </w:rPr>
        <w:t>antiques</w:t>
      </w:r>
      <w:proofErr w:type="gramEnd"/>
      <w:r w:rsidR="005C2C93" w:rsidRPr="001F2A32">
        <w:rPr>
          <w:rFonts w:cs="Arial"/>
          <w:sz w:val="22"/>
          <w:shd w:val="clear" w:color="auto" w:fill="FFFFFF"/>
        </w:rPr>
        <w:t xml:space="preserve"> or collectibles.  </w:t>
      </w:r>
    </w:p>
    <w:p w14:paraId="363535EE" w14:textId="27240E91" w:rsidR="00407CCD" w:rsidRPr="001F2A32" w:rsidRDefault="005C2C93" w:rsidP="00F62F81">
      <w:pPr>
        <w:rPr>
          <w:b/>
          <w:bCs/>
          <w:sz w:val="22"/>
        </w:rPr>
      </w:pPr>
      <w:r w:rsidRPr="001F2A32">
        <w:rPr>
          <w:rFonts w:cs="Arial"/>
          <w:sz w:val="22"/>
          <w:shd w:val="clear" w:color="auto" w:fill="FFFFFF"/>
        </w:rPr>
        <w:t xml:space="preserve">To facilitate its decision making, the Council may instruct independent experts to provide valuations which will confirm whether the security is sufficient.  The cost of any such valuation will be chargeable to the adult and/ or form part of the administrative charges which are added to the DPA, should the proposed security be accepted.  The Council may also seek expert help in ensuring that </w:t>
      </w:r>
      <w:r w:rsidR="00F84565" w:rsidRPr="001F2A32">
        <w:rPr>
          <w:rFonts w:cs="Arial"/>
          <w:sz w:val="22"/>
          <w:shd w:val="clear" w:color="auto" w:fill="FFFFFF"/>
        </w:rPr>
        <w:t xml:space="preserve">the Council’s interest in any alternative security is secured by registration or in some other way.  Again, the cost of any such expert help will be chargeable to the adult and/ or form part of the administrative changes which are added to the DPA, should the proposed security be accepted.   </w:t>
      </w:r>
      <w:r w:rsidRPr="001F2A32">
        <w:rPr>
          <w:rFonts w:cs="Arial"/>
          <w:sz w:val="22"/>
          <w:shd w:val="clear" w:color="auto" w:fill="FFFFFF"/>
        </w:rPr>
        <w:t xml:space="preserve">      </w:t>
      </w:r>
      <w:r w:rsidR="00407CCD" w:rsidRPr="001F2A32">
        <w:rPr>
          <w:rFonts w:cs="Arial"/>
          <w:sz w:val="22"/>
          <w:shd w:val="clear" w:color="auto" w:fill="FFFFFF"/>
        </w:rPr>
        <w:t xml:space="preserve">  </w:t>
      </w:r>
      <w:r w:rsidR="00407CCD" w:rsidRPr="001F2A32">
        <w:rPr>
          <w:b/>
          <w:bCs/>
          <w:sz w:val="22"/>
        </w:rPr>
        <w:t xml:space="preserve"> </w:t>
      </w:r>
    </w:p>
    <w:p w14:paraId="68277C3E" w14:textId="7E878F4A" w:rsidR="00F62F81" w:rsidRPr="001F2A32" w:rsidRDefault="00F62F81" w:rsidP="00F62F81">
      <w:pPr>
        <w:rPr>
          <w:b/>
          <w:bCs/>
          <w:sz w:val="22"/>
        </w:rPr>
      </w:pPr>
      <w:r w:rsidRPr="001F2A32">
        <w:rPr>
          <w:b/>
          <w:bCs/>
          <w:sz w:val="22"/>
        </w:rPr>
        <w:t>Top Ups</w:t>
      </w:r>
    </w:p>
    <w:p w14:paraId="4DD634EF" w14:textId="1584C69B" w:rsidR="00F62F81" w:rsidRPr="001F2A32" w:rsidRDefault="008C2934" w:rsidP="00F62F81">
      <w:pPr>
        <w:rPr>
          <w:sz w:val="22"/>
        </w:rPr>
      </w:pPr>
      <w:r w:rsidRPr="001F2A32">
        <w:rPr>
          <w:sz w:val="22"/>
        </w:rPr>
        <w:t>The Council is not required to ent</w:t>
      </w:r>
      <w:r w:rsidR="00063C63" w:rsidRPr="001F2A32">
        <w:rPr>
          <w:sz w:val="22"/>
        </w:rPr>
        <w:t>er</w:t>
      </w:r>
      <w:r w:rsidRPr="001F2A32">
        <w:rPr>
          <w:sz w:val="22"/>
        </w:rPr>
        <w:t xml:space="preserve"> into DPAs for care which it does not think is necessary to meet the adult’s needs.  </w:t>
      </w:r>
      <w:r w:rsidR="00301131" w:rsidRPr="001F2A32">
        <w:rPr>
          <w:sz w:val="22"/>
        </w:rPr>
        <w:t>In limited circumstances, the Council may be willing to allow</w:t>
      </w:r>
      <w:r w:rsidR="00F62F81" w:rsidRPr="001F2A32">
        <w:rPr>
          <w:sz w:val="22"/>
        </w:rPr>
        <w:t xml:space="preserve"> payments</w:t>
      </w:r>
      <w:r w:rsidRPr="001F2A32">
        <w:rPr>
          <w:sz w:val="22"/>
        </w:rPr>
        <w:t xml:space="preserve"> for care beyond what is required to meet need (often referred to as ‘top-ups’)</w:t>
      </w:r>
      <w:r w:rsidR="00F62F81" w:rsidRPr="001F2A32">
        <w:rPr>
          <w:sz w:val="22"/>
        </w:rPr>
        <w:t xml:space="preserve"> to form part of </w:t>
      </w:r>
      <w:r w:rsidR="00301131" w:rsidRPr="001F2A32">
        <w:rPr>
          <w:sz w:val="22"/>
        </w:rPr>
        <w:t>the DPA</w:t>
      </w:r>
      <w:r w:rsidR="00F62F81" w:rsidRPr="001F2A32">
        <w:rPr>
          <w:sz w:val="22"/>
        </w:rPr>
        <w:t xml:space="preserve">.  </w:t>
      </w:r>
      <w:r w:rsidR="00301131" w:rsidRPr="001F2A32">
        <w:rPr>
          <w:sz w:val="22"/>
        </w:rPr>
        <w:t>The Council will consider whether</w:t>
      </w:r>
      <w:r w:rsidRPr="001F2A32">
        <w:rPr>
          <w:sz w:val="22"/>
        </w:rPr>
        <w:t>,</w:t>
      </w:r>
      <w:r w:rsidR="00301131" w:rsidRPr="001F2A32">
        <w:rPr>
          <w:sz w:val="22"/>
        </w:rPr>
        <w:t xml:space="preserve"> in combination with the adult’s </w:t>
      </w:r>
      <w:r w:rsidRPr="001F2A32">
        <w:rPr>
          <w:sz w:val="22"/>
        </w:rPr>
        <w:t>necessary</w:t>
      </w:r>
      <w:r w:rsidR="00301131" w:rsidRPr="001F2A32">
        <w:rPr>
          <w:sz w:val="22"/>
        </w:rPr>
        <w:t xml:space="preserve"> care </w:t>
      </w:r>
      <w:r w:rsidR="00213C41" w:rsidRPr="001F2A32">
        <w:rPr>
          <w:sz w:val="22"/>
        </w:rPr>
        <w:t>cost</w:t>
      </w:r>
      <w:r w:rsidR="00301131" w:rsidRPr="001F2A32">
        <w:rPr>
          <w:sz w:val="22"/>
        </w:rPr>
        <w:t xml:space="preserve">s, </w:t>
      </w:r>
      <w:r w:rsidR="00F62F81" w:rsidRPr="001F2A32">
        <w:rPr>
          <w:sz w:val="22"/>
        </w:rPr>
        <w:t xml:space="preserve">the equity available </w:t>
      </w:r>
      <w:r w:rsidR="00301131" w:rsidRPr="001F2A32">
        <w:rPr>
          <w:sz w:val="22"/>
        </w:rPr>
        <w:t xml:space="preserve">in the adult’s property is likely to be adequate.  The Council will also consider the impact of top-up payments on </w:t>
      </w:r>
      <w:r w:rsidR="00F62F81" w:rsidRPr="001F2A32">
        <w:rPr>
          <w:sz w:val="22"/>
        </w:rPr>
        <w:t xml:space="preserve">when </w:t>
      </w:r>
      <w:r w:rsidR="00301131" w:rsidRPr="001F2A32">
        <w:rPr>
          <w:sz w:val="22"/>
        </w:rPr>
        <w:t>the adult is</w:t>
      </w:r>
      <w:r w:rsidR="00F62F81" w:rsidRPr="001F2A32">
        <w:rPr>
          <w:sz w:val="22"/>
        </w:rPr>
        <w:t xml:space="preserve"> likely to fall below the upper capital limit</w:t>
      </w:r>
      <w:r w:rsidR="00301131" w:rsidRPr="001F2A32">
        <w:rPr>
          <w:sz w:val="22"/>
        </w:rPr>
        <w:t xml:space="preserve"> (currently £23,250)</w:t>
      </w:r>
      <w:r w:rsidR="00213C41" w:rsidRPr="001F2A32">
        <w:rPr>
          <w:sz w:val="22"/>
        </w:rPr>
        <w:t>, and the implications arising from that</w:t>
      </w:r>
      <w:r w:rsidR="00F62F81" w:rsidRPr="001F2A32">
        <w:rPr>
          <w:sz w:val="22"/>
        </w:rPr>
        <w:t xml:space="preserve">.  </w:t>
      </w:r>
    </w:p>
    <w:p w14:paraId="6E31EF3E" w14:textId="74A69764" w:rsidR="008C2934" w:rsidRPr="001F2A32" w:rsidRDefault="008C2934" w:rsidP="00F62F81">
      <w:pPr>
        <w:rPr>
          <w:b/>
          <w:bCs/>
          <w:sz w:val="22"/>
        </w:rPr>
      </w:pPr>
      <w:r w:rsidRPr="001F2A32">
        <w:rPr>
          <w:b/>
          <w:bCs/>
          <w:sz w:val="22"/>
        </w:rPr>
        <w:t xml:space="preserve">Supported </w:t>
      </w:r>
      <w:proofErr w:type="gramStart"/>
      <w:r w:rsidRPr="001F2A32">
        <w:rPr>
          <w:b/>
          <w:bCs/>
          <w:sz w:val="22"/>
        </w:rPr>
        <w:t>living</w:t>
      </w:r>
      <w:proofErr w:type="gramEnd"/>
    </w:p>
    <w:p w14:paraId="6E0B16C0" w14:textId="7BF8ADA9" w:rsidR="00ED20FA" w:rsidRPr="001F2A32" w:rsidRDefault="00ED20FA" w:rsidP="00F62F81">
      <w:pPr>
        <w:rPr>
          <w:rFonts w:cs="Arial"/>
          <w:sz w:val="22"/>
          <w:shd w:val="clear" w:color="auto" w:fill="FFFFFF"/>
        </w:rPr>
      </w:pPr>
      <w:r w:rsidRPr="001F2A32">
        <w:rPr>
          <w:sz w:val="22"/>
        </w:rPr>
        <w:t>The Council may consider offering a DPA where the adult</w:t>
      </w:r>
      <w:r w:rsidRPr="001F2A32">
        <w:rPr>
          <w:b/>
          <w:bCs/>
          <w:sz w:val="22"/>
        </w:rPr>
        <w:t xml:space="preserve"> </w:t>
      </w:r>
      <w:r w:rsidR="0038404A" w:rsidRPr="001F2A32">
        <w:rPr>
          <w:sz w:val="22"/>
        </w:rPr>
        <w:t xml:space="preserve">is assessed as needing to be cared for in supported living, </w:t>
      </w:r>
      <w:r w:rsidRPr="001F2A32">
        <w:rPr>
          <w:rFonts w:cs="Arial"/>
          <w:sz w:val="22"/>
          <w:shd w:val="clear" w:color="auto" w:fill="FFFFFF"/>
        </w:rPr>
        <w:t>intends to retain their former home and pay their supported living care and accommodation rental costs from their DPA.  DPAs cannot finance mortgage payments on supported living accommodation.</w:t>
      </w:r>
    </w:p>
    <w:p w14:paraId="17987BFB" w14:textId="68DB2299" w:rsidR="00D817F8" w:rsidRPr="001F2A32" w:rsidRDefault="004203C6" w:rsidP="004203C6">
      <w:pPr>
        <w:pStyle w:val="Heading3"/>
        <w:rPr>
          <w:color w:val="auto"/>
        </w:rPr>
      </w:pPr>
      <w:bookmarkStart w:id="19" w:name="_Toc146189057"/>
      <w:r w:rsidRPr="001F2A32">
        <w:rPr>
          <w:color w:val="auto"/>
        </w:rPr>
        <w:t>4.3</w:t>
      </w:r>
      <w:r w:rsidRPr="001F2A32">
        <w:rPr>
          <w:color w:val="auto"/>
        </w:rPr>
        <w:tab/>
      </w:r>
      <w:r w:rsidR="00D817F8" w:rsidRPr="001F2A32">
        <w:rPr>
          <w:color w:val="auto"/>
        </w:rPr>
        <w:t xml:space="preserve">Obtaining </w:t>
      </w:r>
      <w:proofErr w:type="gramStart"/>
      <w:r w:rsidR="00D817F8" w:rsidRPr="001F2A32">
        <w:rPr>
          <w:color w:val="auto"/>
        </w:rPr>
        <w:t>security</w:t>
      </w:r>
      <w:bookmarkEnd w:id="19"/>
      <w:proofErr w:type="gramEnd"/>
    </w:p>
    <w:p w14:paraId="476CBE15" w14:textId="1CEC5E36" w:rsidR="00D04C39" w:rsidRPr="001F2A32" w:rsidRDefault="00D04C39" w:rsidP="00D04C39">
      <w:pPr>
        <w:pStyle w:val="Default"/>
        <w:jc w:val="both"/>
        <w:rPr>
          <w:rFonts w:ascii="Arial" w:hAnsi="Arial" w:cs="Arial"/>
          <w:iCs/>
          <w:color w:val="auto"/>
          <w:sz w:val="22"/>
          <w:szCs w:val="22"/>
        </w:rPr>
      </w:pPr>
      <w:r w:rsidRPr="001F2A32">
        <w:rPr>
          <w:rFonts w:ascii="Arial" w:hAnsi="Arial" w:cs="Arial"/>
          <w:iCs/>
          <w:color w:val="auto"/>
          <w:sz w:val="22"/>
          <w:szCs w:val="22"/>
        </w:rPr>
        <w:t>A first legal mortgage charge against a property, registerable in favour of the Council with the Land Registry, will be accepted as adequate security.</w:t>
      </w:r>
    </w:p>
    <w:p w14:paraId="31C517AD" w14:textId="77777777" w:rsidR="00D04C39" w:rsidRPr="001F2A32" w:rsidRDefault="00D04C39" w:rsidP="00D04C39">
      <w:pPr>
        <w:pStyle w:val="Default"/>
        <w:ind w:left="786"/>
        <w:rPr>
          <w:rFonts w:ascii="Arial" w:hAnsi="Arial" w:cs="Arial"/>
          <w:iCs/>
          <w:color w:val="auto"/>
          <w:sz w:val="22"/>
          <w:szCs w:val="22"/>
        </w:rPr>
      </w:pPr>
    </w:p>
    <w:p w14:paraId="712A1ED6" w14:textId="400D933F" w:rsidR="00D04C39" w:rsidRPr="001F2A32" w:rsidRDefault="00D04C39" w:rsidP="00D04C39">
      <w:pPr>
        <w:spacing w:after="0" w:line="240" w:lineRule="auto"/>
        <w:contextualSpacing/>
        <w:rPr>
          <w:rFonts w:cs="Arial"/>
          <w:sz w:val="22"/>
          <w:shd w:val="clear" w:color="auto" w:fill="FFFFFF"/>
        </w:rPr>
      </w:pPr>
      <w:r w:rsidRPr="001F2A32">
        <w:rPr>
          <w:rFonts w:cs="Arial"/>
          <w:sz w:val="22"/>
          <w:shd w:val="clear" w:color="auto" w:fill="FFFFFF"/>
        </w:rPr>
        <w:t xml:space="preserve">Where relevant, any other person with a legal or beneficial interest in the property must consent in writing to registration of the first legal mortgage charge.  </w:t>
      </w:r>
      <w:r w:rsidR="00221422" w:rsidRPr="001F2A32">
        <w:rPr>
          <w:rFonts w:cs="Arial"/>
          <w:iCs/>
          <w:sz w:val="22"/>
        </w:rPr>
        <w:t>This means that b</w:t>
      </w:r>
      <w:r w:rsidRPr="001F2A32">
        <w:rPr>
          <w:rFonts w:cs="Arial"/>
          <w:iCs/>
          <w:sz w:val="22"/>
        </w:rPr>
        <w:t>oth owners will need to be signatories to the charge agreement, and the co-owner will need to agree not to object to the sale of the property for the purpose of repaying the debt due to the Council. Similar consent will be obtained where a charge is being created on a property where any other person has a beneficial interest in the property.</w:t>
      </w:r>
    </w:p>
    <w:p w14:paraId="77EDF385" w14:textId="77777777" w:rsidR="00D04C39" w:rsidRPr="001F2A32" w:rsidRDefault="00D04C39" w:rsidP="00D04C39">
      <w:pPr>
        <w:pStyle w:val="Default"/>
        <w:ind w:left="786"/>
        <w:rPr>
          <w:rFonts w:ascii="Arial" w:hAnsi="Arial" w:cs="Arial"/>
          <w:iCs/>
          <w:color w:val="auto"/>
          <w:sz w:val="22"/>
          <w:szCs w:val="22"/>
        </w:rPr>
      </w:pPr>
      <w:r w:rsidRPr="001F2A32">
        <w:rPr>
          <w:rFonts w:ascii="Arial" w:hAnsi="Arial" w:cs="Arial"/>
          <w:iCs/>
          <w:color w:val="auto"/>
          <w:sz w:val="22"/>
          <w:szCs w:val="22"/>
        </w:rPr>
        <w:t xml:space="preserve"> </w:t>
      </w:r>
    </w:p>
    <w:p w14:paraId="7EA43836" w14:textId="32DFEAB5" w:rsidR="00D04C39" w:rsidRPr="001F2A32" w:rsidRDefault="00D04C39" w:rsidP="00D04C39">
      <w:pPr>
        <w:pStyle w:val="Default"/>
        <w:jc w:val="both"/>
        <w:rPr>
          <w:rFonts w:ascii="Arial" w:hAnsi="Arial" w:cs="Arial"/>
          <w:iCs/>
          <w:color w:val="auto"/>
          <w:sz w:val="22"/>
          <w:szCs w:val="22"/>
        </w:rPr>
      </w:pPr>
      <w:r w:rsidRPr="001F2A32">
        <w:rPr>
          <w:rFonts w:ascii="Arial" w:hAnsi="Arial" w:cs="Arial"/>
          <w:iCs/>
          <w:color w:val="auto"/>
          <w:sz w:val="22"/>
          <w:szCs w:val="22"/>
        </w:rPr>
        <w:t>Security will be re-valued when the amount deferred equals or exceeds 50% of the value of the security, so as to assess any potential change in the value. This will also be done periodically so as to monitor any potential further changes in value.</w:t>
      </w:r>
    </w:p>
    <w:p w14:paraId="3D3E7E44" w14:textId="77777777" w:rsidR="00D04C39" w:rsidRPr="001F2A32" w:rsidRDefault="00D04C39" w:rsidP="00D04C39">
      <w:pPr>
        <w:pStyle w:val="Default"/>
        <w:jc w:val="both"/>
        <w:rPr>
          <w:rFonts w:ascii="Arial" w:hAnsi="Arial" w:cs="Arial"/>
          <w:iCs/>
          <w:color w:val="auto"/>
          <w:sz w:val="22"/>
          <w:szCs w:val="22"/>
        </w:rPr>
      </w:pPr>
    </w:p>
    <w:p w14:paraId="169DB27E" w14:textId="279483E3" w:rsidR="00D04C39" w:rsidRPr="001F2A32" w:rsidRDefault="00D04C39" w:rsidP="00D04C39">
      <w:pPr>
        <w:pStyle w:val="Default"/>
        <w:jc w:val="both"/>
        <w:rPr>
          <w:rFonts w:ascii="Arial" w:hAnsi="Arial" w:cs="Arial"/>
          <w:iCs/>
          <w:color w:val="auto"/>
          <w:sz w:val="22"/>
          <w:szCs w:val="22"/>
        </w:rPr>
      </w:pPr>
      <w:r w:rsidRPr="001F2A32">
        <w:rPr>
          <w:rFonts w:ascii="Arial" w:hAnsi="Arial" w:cs="Arial"/>
          <w:iCs/>
          <w:color w:val="auto"/>
          <w:sz w:val="22"/>
          <w:szCs w:val="22"/>
        </w:rPr>
        <w:t xml:space="preserve">The same principles will apply if the Council exercises it discretion to accept </w:t>
      </w:r>
      <w:r w:rsidR="009B5BE1" w:rsidRPr="001F2A32">
        <w:rPr>
          <w:rFonts w:ascii="Arial" w:hAnsi="Arial" w:cs="Arial"/>
          <w:iCs/>
          <w:color w:val="auto"/>
          <w:sz w:val="22"/>
          <w:szCs w:val="22"/>
        </w:rPr>
        <w:t xml:space="preserve">secondary charges or </w:t>
      </w:r>
      <w:r w:rsidRPr="001F2A32">
        <w:rPr>
          <w:rFonts w:ascii="Arial" w:hAnsi="Arial" w:cs="Arial"/>
          <w:iCs/>
          <w:color w:val="auto"/>
          <w:sz w:val="22"/>
          <w:szCs w:val="22"/>
        </w:rPr>
        <w:t>alternative forms of security.</w:t>
      </w:r>
    </w:p>
    <w:p w14:paraId="4FC9E3C0" w14:textId="77777777" w:rsidR="00D817F8" w:rsidRPr="001F2A32" w:rsidRDefault="00D817F8" w:rsidP="00D817F8"/>
    <w:p w14:paraId="54B3F7C8" w14:textId="71DAC467" w:rsidR="00AC3BEC" w:rsidRPr="001F2A32" w:rsidRDefault="00D817F8" w:rsidP="004203C6">
      <w:pPr>
        <w:pStyle w:val="Heading3"/>
        <w:rPr>
          <w:color w:val="auto"/>
        </w:rPr>
      </w:pPr>
      <w:bookmarkStart w:id="20" w:name="_Toc146189058"/>
      <w:r w:rsidRPr="001F2A32">
        <w:rPr>
          <w:color w:val="auto"/>
        </w:rPr>
        <w:t>4.4</w:t>
      </w:r>
      <w:r w:rsidRPr="001F2A32">
        <w:rPr>
          <w:color w:val="auto"/>
        </w:rPr>
        <w:tab/>
      </w:r>
      <w:r w:rsidR="007E007E" w:rsidRPr="001F2A32">
        <w:rPr>
          <w:color w:val="auto"/>
        </w:rPr>
        <w:t xml:space="preserve">How much can be </w:t>
      </w:r>
      <w:proofErr w:type="gramStart"/>
      <w:r w:rsidR="007E007E" w:rsidRPr="001F2A32">
        <w:rPr>
          <w:color w:val="auto"/>
        </w:rPr>
        <w:t>deferred</w:t>
      </w:r>
      <w:bookmarkEnd w:id="20"/>
      <w:proofErr w:type="gramEnd"/>
    </w:p>
    <w:p w14:paraId="11568C0D" w14:textId="685EE3D2" w:rsidR="00A023F8" w:rsidRPr="001F2A32" w:rsidRDefault="00A023F8" w:rsidP="00A023F8">
      <w:pPr>
        <w:spacing w:after="0" w:line="240" w:lineRule="auto"/>
        <w:rPr>
          <w:rFonts w:cs="Arial"/>
          <w:sz w:val="22"/>
          <w:lang w:eastAsia="en-GB"/>
        </w:rPr>
      </w:pPr>
      <w:r w:rsidRPr="001F2A32">
        <w:rPr>
          <w:rFonts w:cs="Arial"/>
          <w:sz w:val="22"/>
          <w:lang w:eastAsia="en-GB"/>
        </w:rPr>
        <w:t>Potentially, an adult can defer all of their necessary care costs.  The amount that is actually deferred will depend on:</w:t>
      </w:r>
    </w:p>
    <w:p w14:paraId="75DCD9D0" w14:textId="77777777" w:rsidR="001A5279" w:rsidRPr="001F2A32" w:rsidRDefault="001A5279" w:rsidP="00A023F8">
      <w:pPr>
        <w:spacing w:after="0" w:line="240" w:lineRule="auto"/>
        <w:rPr>
          <w:rFonts w:cs="Arial"/>
          <w:sz w:val="22"/>
          <w:lang w:eastAsia="en-GB"/>
        </w:rPr>
      </w:pPr>
    </w:p>
    <w:p w14:paraId="4047808D" w14:textId="63D6AC41" w:rsidR="00A023F8" w:rsidRPr="001F2A32" w:rsidRDefault="00A023F8" w:rsidP="00A023F8">
      <w:pPr>
        <w:numPr>
          <w:ilvl w:val="0"/>
          <w:numId w:val="31"/>
        </w:numPr>
        <w:spacing w:after="0" w:line="240" w:lineRule="auto"/>
        <w:contextualSpacing/>
        <w:rPr>
          <w:rFonts w:cs="Arial"/>
          <w:sz w:val="22"/>
          <w:lang w:eastAsia="en-GB"/>
        </w:rPr>
      </w:pPr>
      <w:r w:rsidRPr="001F2A32">
        <w:rPr>
          <w:rFonts w:cs="Arial"/>
          <w:sz w:val="22"/>
          <w:lang w:eastAsia="en-GB"/>
        </w:rPr>
        <w:t xml:space="preserve">The equity the adult has in the asset they use as security (usually the adult’s </w:t>
      </w:r>
      <w:r w:rsidRPr="001F2A32">
        <w:rPr>
          <w:rFonts w:cs="Arial"/>
          <w:sz w:val="22"/>
        </w:rPr>
        <w:t>main or only home)</w:t>
      </w:r>
    </w:p>
    <w:p w14:paraId="121B730C" w14:textId="51F418DD" w:rsidR="00A023F8" w:rsidRPr="001F2A32" w:rsidRDefault="00A023F8" w:rsidP="00A023F8">
      <w:pPr>
        <w:numPr>
          <w:ilvl w:val="0"/>
          <w:numId w:val="31"/>
        </w:numPr>
        <w:spacing w:after="0" w:line="240" w:lineRule="auto"/>
        <w:contextualSpacing/>
        <w:rPr>
          <w:rFonts w:cs="Arial"/>
          <w:sz w:val="22"/>
          <w:lang w:eastAsia="en-GB"/>
        </w:rPr>
      </w:pPr>
      <w:r w:rsidRPr="001F2A32">
        <w:rPr>
          <w:rFonts w:cs="Arial"/>
          <w:sz w:val="22"/>
          <w:lang w:eastAsia="en-GB"/>
        </w:rPr>
        <w:t>The amount the adult contributes to their care costs from other sources, including for example from their income (such as an occupational pension) or from another person (such as a family member)</w:t>
      </w:r>
    </w:p>
    <w:p w14:paraId="42195453" w14:textId="371252DE" w:rsidR="00A023F8" w:rsidRPr="001F2A32" w:rsidRDefault="00A023F8" w:rsidP="00A023F8">
      <w:pPr>
        <w:numPr>
          <w:ilvl w:val="0"/>
          <w:numId w:val="31"/>
        </w:numPr>
        <w:spacing w:after="0" w:line="240" w:lineRule="auto"/>
        <w:contextualSpacing/>
        <w:rPr>
          <w:rFonts w:cs="Arial"/>
          <w:sz w:val="22"/>
          <w:lang w:eastAsia="en-GB"/>
        </w:rPr>
      </w:pPr>
      <w:r w:rsidRPr="001F2A32">
        <w:rPr>
          <w:rFonts w:cs="Arial"/>
          <w:sz w:val="22"/>
          <w:lang w:eastAsia="en-GB"/>
        </w:rPr>
        <w:t>The likely total costs of the adult’s care</w:t>
      </w:r>
      <w:r w:rsidR="00A73C43" w:rsidRPr="001F2A32">
        <w:rPr>
          <w:rFonts w:cs="Arial"/>
          <w:sz w:val="22"/>
          <w:lang w:eastAsia="en-GB"/>
        </w:rPr>
        <w:t>, including any top-ups they may desire</w:t>
      </w:r>
      <w:r w:rsidRPr="001F2A32">
        <w:rPr>
          <w:rFonts w:cs="Arial"/>
          <w:sz w:val="22"/>
          <w:lang w:eastAsia="en-GB"/>
        </w:rPr>
        <w:t>.</w:t>
      </w:r>
    </w:p>
    <w:p w14:paraId="205C1D8A" w14:textId="77777777" w:rsidR="00301131" w:rsidRPr="001F2A32" w:rsidRDefault="00301131" w:rsidP="00301131">
      <w:pPr>
        <w:shd w:val="clear" w:color="auto" w:fill="FFFFFF"/>
        <w:spacing w:after="0" w:line="240" w:lineRule="auto"/>
        <w:rPr>
          <w:rFonts w:cs="Arial"/>
        </w:rPr>
      </w:pPr>
    </w:p>
    <w:p w14:paraId="3F79648F" w14:textId="654552E9" w:rsidR="007E007E" w:rsidRPr="001F2A32" w:rsidRDefault="00A023F8" w:rsidP="007E007E">
      <w:pPr>
        <w:pStyle w:val="Default"/>
        <w:jc w:val="both"/>
        <w:rPr>
          <w:rFonts w:ascii="Arial" w:hAnsi="Arial" w:cs="Arial"/>
          <w:iCs/>
          <w:color w:val="auto"/>
          <w:sz w:val="22"/>
          <w:szCs w:val="22"/>
        </w:rPr>
      </w:pPr>
      <w:r w:rsidRPr="001F2A32">
        <w:rPr>
          <w:color w:val="auto"/>
          <w:lang w:eastAsia="en-GB"/>
        </w:rPr>
        <w:t xml:space="preserve">The Council will not allow more to be deferred than the equity limit of the asset used as security.  </w:t>
      </w:r>
      <w:r w:rsidR="00FB333C" w:rsidRPr="001F2A32">
        <w:rPr>
          <w:rFonts w:ascii="Arial" w:hAnsi="Arial" w:cs="Arial"/>
          <w:iCs/>
          <w:color w:val="auto"/>
          <w:sz w:val="22"/>
          <w:szCs w:val="22"/>
        </w:rPr>
        <w:t xml:space="preserve">Deferral of care costs </w:t>
      </w:r>
      <w:r w:rsidR="007E007E" w:rsidRPr="001F2A32">
        <w:rPr>
          <w:rFonts w:ascii="Arial" w:hAnsi="Arial" w:cs="Arial"/>
          <w:iCs/>
          <w:color w:val="auto"/>
          <w:sz w:val="22"/>
          <w:szCs w:val="22"/>
        </w:rPr>
        <w:t xml:space="preserve">will cease when </w:t>
      </w:r>
      <w:r w:rsidRPr="001F2A32">
        <w:rPr>
          <w:rFonts w:ascii="Arial" w:hAnsi="Arial" w:cs="Arial"/>
          <w:iCs/>
          <w:color w:val="auto"/>
          <w:sz w:val="22"/>
          <w:szCs w:val="22"/>
        </w:rPr>
        <w:t>an adult</w:t>
      </w:r>
      <w:r w:rsidR="007E007E" w:rsidRPr="001F2A32">
        <w:rPr>
          <w:rFonts w:ascii="Arial" w:hAnsi="Arial" w:cs="Arial"/>
          <w:iCs/>
          <w:color w:val="auto"/>
          <w:sz w:val="22"/>
          <w:szCs w:val="22"/>
        </w:rPr>
        <w:t xml:space="preserve"> has reached the </w:t>
      </w:r>
      <w:r w:rsidRPr="001F2A32">
        <w:rPr>
          <w:rFonts w:ascii="Arial" w:hAnsi="Arial" w:cs="Arial"/>
          <w:iCs/>
          <w:color w:val="auto"/>
          <w:sz w:val="22"/>
          <w:szCs w:val="22"/>
        </w:rPr>
        <w:t>‘</w:t>
      </w:r>
      <w:r w:rsidR="007E007E" w:rsidRPr="001F2A32">
        <w:rPr>
          <w:rFonts w:ascii="Arial" w:hAnsi="Arial" w:cs="Arial"/>
          <w:iCs/>
          <w:color w:val="auto"/>
          <w:sz w:val="22"/>
          <w:szCs w:val="22"/>
        </w:rPr>
        <w:t>equity limit</w:t>
      </w:r>
      <w:r w:rsidRPr="001F2A32">
        <w:rPr>
          <w:rFonts w:ascii="Arial" w:hAnsi="Arial" w:cs="Arial"/>
          <w:iCs/>
          <w:color w:val="auto"/>
          <w:sz w:val="22"/>
          <w:szCs w:val="22"/>
        </w:rPr>
        <w:t>’</w:t>
      </w:r>
      <w:r w:rsidR="007E007E" w:rsidRPr="001F2A32">
        <w:rPr>
          <w:rFonts w:ascii="Arial" w:hAnsi="Arial" w:cs="Arial"/>
          <w:iCs/>
          <w:color w:val="auto"/>
          <w:sz w:val="22"/>
          <w:szCs w:val="22"/>
        </w:rPr>
        <w:t xml:space="preserve"> (</w:t>
      </w:r>
      <w:r w:rsidR="00FB333C" w:rsidRPr="001F2A32">
        <w:rPr>
          <w:rFonts w:ascii="Arial" w:hAnsi="Arial" w:cs="Arial"/>
          <w:iCs/>
          <w:color w:val="auto"/>
          <w:sz w:val="22"/>
          <w:szCs w:val="22"/>
        </w:rPr>
        <w:t xml:space="preserve">see </w:t>
      </w:r>
      <w:r w:rsidRPr="001F2A32">
        <w:rPr>
          <w:rFonts w:ascii="Arial" w:hAnsi="Arial" w:cs="Arial"/>
          <w:iCs/>
          <w:color w:val="auto"/>
          <w:sz w:val="22"/>
          <w:szCs w:val="22"/>
        </w:rPr>
        <w:t>4.</w:t>
      </w:r>
      <w:r w:rsidR="00D04C39" w:rsidRPr="001F2A32">
        <w:rPr>
          <w:rFonts w:ascii="Arial" w:hAnsi="Arial" w:cs="Arial"/>
          <w:iCs/>
          <w:color w:val="auto"/>
          <w:sz w:val="22"/>
          <w:szCs w:val="22"/>
        </w:rPr>
        <w:t>4</w:t>
      </w:r>
      <w:r w:rsidRPr="001F2A32">
        <w:rPr>
          <w:rFonts w:ascii="Arial" w:hAnsi="Arial" w:cs="Arial"/>
          <w:iCs/>
          <w:color w:val="auto"/>
          <w:sz w:val="22"/>
          <w:szCs w:val="22"/>
        </w:rPr>
        <w:t>.1</w:t>
      </w:r>
      <w:r w:rsidR="007E007E" w:rsidRPr="001F2A32">
        <w:rPr>
          <w:rFonts w:ascii="Arial" w:hAnsi="Arial" w:cs="Arial"/>
          <w:iCs/>
          <w:color w:val="auto"/>
          <w:sz w:val="22"/>
          <w:szCs w:val="22"/>
        </w:rPr>
        <w:t>)</w:t>
      </w:r>
      <w:r w:rsidR="00FB333C" w:rsidRPr="001F2A32">
        <w:rPr>
          <w:rFonts w:ascii="Arial" w:hAnsi="Arial" w:cs="Arial"/>
          <w:iCs/>
          <w:color w:val="auto"/>
          <w:sz w:val="22"/>
          <w:szCs w:val="22"/>
        </w:rPr>
        <w:t xml:space="preserve">.  Interest </w:t>
      </w:r>
      <w:r w:rsidR="00221422" w:rsidRPr="001F2A32">
        <w:rPr>
          <w:rFonts w:ascii="Arial" w:hAnsi="Arial" w:cs="Arial"/>
          <w:iCs/>
          <w:color w:val="auto"/>
          <w:sz w:val="22"/>
          <w:szCs w:val="22"/>
        </w:rPr>
        <w:t>will</w:t>
      </w:r>
      <w:r w:rsidR="00FB333C" w:rsidRPr="001F2A32">
        <w:rPr>
          <w:rFonts w:ascii="Arial" w:hAnsi="Arial" w:cs="Arial"/>
          <w:iCs/>
          <w:color w:val="auto"/>
          <w:sz w:val="22"/>
          <w:szCs w:val="22"/>
        </w:rPr>
        <w:t xml:space="preserve"> still accrue beyond this point and administrative charges </w:t>
      </w:r>
      <w:r w:rsidR="00A83801" w:rsidRPr="001F2A32">
        <w:rPr>
          <w:rFonts w:ascii="Arial" w:hAnsi="Arial" w:cs="Arial"/>
          <w:iCs/>
          <w:color w:val="auto"/>
          <w:sz w:val="22"/>
          <w:szCs w:val="22"/>
        </w:rPr>
        <w:t>will</w:t>
      </w:r>
      <w:r w:rsidR="00FB333C" w:rsidRPr="001F2A32">
        <w:rPr>
          <w:rFonts w:ascii="Arial" w:hAnsi="Arial" w:cs="Arial"/>
          <w:iCs/>
          <w:color w:val="auto"/>
          <w:sz w:val="22"/>
          <w:szCs w:val="22"/>
        </w:rPr>
        <w:t xml:space="preserve"> still be </w:t>
      </w:r>
      <w:r w:rsidR="00221422" w:rsidRPr="001F2A32">
        <w:rPr>
          <w:rFonts w:ascii="Arial" w:hAnsi="Arial" w:cs="Arial"/>
          <w:iCs/>
          <w:color w:val="auto"/>
          <w:sz w:val="22"/>
          <w:szCs w:val="22"/>
        </w:rPr>
        <w:t>incurred</w:t>
      </w:r>
      <w:r w:rsidR="00FB333C" w:rsidRPr="001F2A32">
        <w:rPr>
          <w:rFonts w:ascii="Arial" w:hAnsi="Arial" w:cs="Arial"/>
          <w:iCs/>
          <w:color w:val="auto"/>
          <w:sz w:val="22"/>
          <w:szCs w:val="22"/>
        </w:rPr>
        <w:t>.  Equity limits may be reached earlier than expected when the value of the</w:t>
      </w:r>
      <w:r w:rsidR="00580A95" w:rsidRPr="001F2A32">
        <w:rPr>
          <w:rFonts w:ascii="Arial" w:hAnsi="Arial" w:cs="Arial"/>
          <w:iCs/>
          <w:color w:val="auto"/>
          <w:sz w:val="22"/>
          <w:szCs w:val="22"/>
        </w:rPr>
        <w:t xml:space="preserve"> property</w:t>
      </w:r>
      <w:r w:rsidR="00FB333C" w:rsidRPr="001F2A32">
        <w:rPr>
          <w:rFonts w:ascii="Arial" w:hAnsi="Arial" w:cs="Arial"/>
          <w:iCs/>
          <w:color w:val="auto"/>
          <w:sz w:val="22"/>
          <w:szCs w:val="22"/>
        </w:rPr>
        <w:t xml:space="preserve"> used</w:t>
      </w:r>
      <w:r w:rsidR="00580A95" w:rsidRPr="001F2A32">
        <w:rPr>
          <w:rFonts w:ascii="Arial" w:hAnsi="Arial" w:cs="Arial"/>
          <w:iCs/>
          <w:color w:val="auto"/>
          <w:sz w:val="22"/>
          <w:szCs w:val="22"/>
        </w:rPr>
        <w:t xml:space="preserve"> as</w:t>
      </w:r>
      <w:r w:rsidR="00FB333C" w:rsidRPr="001F2A32">
        <w:rPr>
          <w:rFonts w:ascii="Arial" w:hAnsi="Arial" w:cs="Arial"/>
          <w:iCs/>
          <w:color w:val="auto"/>
          <w:sz w:val="22"/>
          <w:szCs w:val="22"/>
        </w:rPr>
        <w:t xml:space="preserve"> </w:t>
      </w:r>
      <w:r w:rsidR="00580A95" w:rsidRPr="001F2A32">
        <w:rPr>
          <w:rFonts w:ascii="Arial" w:hAnsi="Arial" w:cs="Arial"/>
          <w:iCs/>
          <w:color w:val="auto"/>
          <w:sz w:val="22"/>
          <w:szCs w:val="22"/>
        </w:rPr>
        <w:t xml:space="preserve">security </w:t>
      </w:r>
      <w:r w:rsidR="00FB333C" w:rsidRPr="001F2A32">
        <w:rPr>
          <w:rFonts w:ascii="Arial" w:hAnsi="Arial" w:cs="Arial"/>
          <w:iCs/>
          <w:color w:val="auto"/>
          <w:sz w:val="22"/>
          <w:szCs w:val="22"/>
        </w:rPr>
        <w:t xml:space="preserve">has dropped.  Deferrals will also cease where the adult is </w:t>
      </w:r>
      <w:r w:rsidR="007E007E" w:rsidRPr="001F2A32">
        <w:rPr>
          <w:rFonts w:ascii="Arial" w:hAnsi="Arial" w:cs="Arial"/>
          <w:iCs/>
          <w:color w:val="auto"/>
          <w:sz w:val="22"/>
          <w:szCs w:val="22"/>
        </w:rPr>
        <w:t xml:space="preserve">no longer receiving care and support in a care home. </w:t>
      </w:r>
    </w:p>
    <w:p w14:paraId="1F467ACE" w14:textId="77777777" w:rsidR="007E007E" w:rsidRPr="001F2A32" w:rsidRDefault="007E007E" w:rsidP="00301131">
      <w:pPr>
        <w:shd w:val="clear" w:color="auto" w:fill="FFFFFF"/>
        <w:spacing w:after="0" w:line="240" w:lineRule="auto"/>
      </w:pPr>
    </w:p>
    <w:p w14:paraId="52695885" w14:textId="2B45DD3B" w:rsidR="00301131" w:rsidRPr="001F2A32" w:rsidRDefault="00301131" w:rsidP="00A73C43">
      <w:pPr>
        <w:pStyle w:val="Heading4"/>
        <w:rPr>
          <w:color w:val="auto"/>
        </w:rPr>
      </w:pPr>
      <w:bookmarkStart w:id="21" w:name="_Toc146189059"/>
      <w:r w:rsidRPr="001F2A32">
        <w:rPr>
          <w:color w:val="auto"/>
        </w:rPr>
        <w:t>4.</w:t>
      </w:r>
      <w:r w:rsidR="00D04C39" w:rsidRPr="001F2A32">
        <w:rPr>
          <w:color w:val="auto"/>
        </w:rPr>
        <w:t>4</w:t>
      </w:r>
      <w:r w:rsidR="00A73C43" w:rsidRPr="001F2A32">
        <w:rPr>
          <w:color w:val="auto"/>
        </w:rPr>
        <w:t>.1</w:t>
      </w:r>
      <w:r w:rsidRPr="001F2A32">
        <w:rPr>
          <w:color w:val="auto"/>
        </w:rPr>
        <w:t xml:space="preserve"> </w:t>
      </w:r>
      <w:r w:rsidR="00A73C43" w:rsidRPr="001F2A32">
        <w:rPr>
          <w:color w:val="auto"/>
        </w:rPr>
        <w:t xml:space="preserve">the </w:t>
      </w:r>
      <w:r w:rsidRPr="001F2A32">
        <w:rPr>
          <w:color w:val="auto"/>
        </w:rPr>
        <w:t>equity limit</w:t>
      </w:r>
      <w:bookmarkEnd w:id="21"/>
    </w:p>
    <w:p w14:paraId="7E5E47CB" w14:textId="048422CC" w:rsidR="000B294A" w:rsidRPr="001F2A32" w:rsidRDefault="00A73C43" w:rsidP="00A73C43">
      <w:pPr>
        <w:rPr>
          <w:sz w:val="22"/>
          <w:lang w:eastAsia="en-GB"/>
        </w:rPr>
      </w:pPr>
      <w:r w:rsidRPr="001F2A32">
        <w:rPr>
          <w:sz w:val="22"/>
          <w:lang w:eastAsia="en-GB"/>
        </w:rPr>
        <w:t xml:space="preserve">Establishing an equity limit is intended to ensure that the property used as security </w:t>
      </w:r>
      <w:r w:rsidR="00F7674E" w:rsidRPr="001F2A32">
        <w:rPr>
          <w:sz w:val="22"/>
          <w:lang w:eastAsia="en-GB"/>
        </w:rPr>
        <w:t>retains sufficient value to</w:t>
      </w:r>
      <w:r w:rsidR="00A83801" w:rsidRPr="001F2A32">
        <w:rPr>
          <w:sz w:val="22"/>
          <w:lang w:eastAsia="en-GB"/>
        </w:rPr>
        <w:t xml:space="preserve"> act</w:t>
      </w:r>
      <w:r w:rsidR="00F7674E" w:rsidRPr="001F2A32">
        <w:rPr>
          <w:sz w:val="22"/>
          <w:lang w:eastAsia="en-GB"/>
        </w:rPr>
        <w:t xml:space="preserve"> </w:t>
      </w:r>
      <w:r w:rsidRPr="001F2A32">
        <w:rPr>
          <w:sz w:val="22"/>
          <w:lang w:eastAsia="en-GB"/>
        </w:rPr>
        <w:t xml:space="preserve">as a ‘buffer’ to cover </w:t>
      </w:r>
      <w:r w:rsidR="00F7674E" w:rsidRPr="001F2A32">
        <w:rPr>
          <w:sz w:val="22"/>
          <w:lang w:eastAsia="en-GB"/>
        </w:rPr>
        <w:t xml:space="preserve">a) </w:t>
      </w:r>
      <w:r w:rsidRPr="001F2A32">
        <w:rPr>
          <w:sz w:val="22"/>
          <w:lang w:eastAsia="en-GB"/>
        </w:rPr>
        <w:t xml:space="preserve">any changes in its value, </w:t>
      </w:r>
      <w:r w:rsidR="000B294A" w:rsidRPr="001F2A32">
        <w:rPr>
          <w:sz w:val="22"/>
          <w:lang w:eastAsia="en-GB"/>
        </w:rPr>
        <w:t xml:space="preserve">and </w:t>
      </w:r>
      <w:r w:rsidR="00F7674E" w:rsidRPr="001F2A32">
        <w:rPr>
          <w:sz w:val="22"/>
          <w:lang w:eastAsia="en-GB"/>
        </w:rPr>
        <w:t xml:space="preserve">b) </w:t>
      </w:r>
      <w:r w:rsidR="000B294A" w:rsidRPr="001F2A32">
        <w:rPr>
          <w:sz w:val="22"/>
          <w:lang w:eastAsia="en-GB"/>
        </w:rPr>
        <w:t>the</w:t>
      </w:r>
      <w:r w:rsidRPr="001F2A32">
        <w:rPr>
          <w:sz w:val="22"/>
          <w:lang w:eastAsia="en-GB"/>
        </w:rPr>
        <w:t xml:space="preserve"> interest and administration fees that continue to accrue.</w:t>
      </w:r>
    </w:p>
    <w:p w14:paraId="463A63E4" w14:textId="097D8723" w:rsidR="00B9317A" w:rsidRPr="001F2A32" w:rsidRDefault="00A73C43" w:rsidP="00A73C43">
      <w:pPr>
        <w:spacing w:after="0" w:line="240" w:lineRule="auto"/>
        <w:rPr>
          <w:rFonts w:cs="Arial"/>
          <w:sz w:val="22"/>
          <w:shd w:val="clear" w:color="auto" w:fill="FFFFFF"/>
        </w:rPr>
      </w:pPr>
      <w:r w:rsidRPr="001F2A32">
        <w:rPr>
          <w:rFonts w:cs="Arial"/>
          <w:sz w:val="22"/>
          <w:lang w:eastAsia="en-GB"/>
        </w:rPr>
        <w:t xml:space="preserve">Where a property is used as security, the Council </w:t>
      </w:r>
      <w:r w:rsidR="000B294A" w:rsidRPr="001F2A32">
        <w:rPr>
          <w:rFonts w:cs="Arial"/>
          <w:sz w:val="22"/>
          <w:lang w:eastAsia="en-GB"/>
        </w:rPr>
        <w:t xml:space="preserve">will obtain a </w:t>
      </w:r>
      <w:r w:rsidR="000B294A" w:rsidRPr="001F2A32">
        <w:rPr>
          <w:rFonts w:cs="Arial"/>
          <w:iCs/>
          <w:sz w:val="22"/>
        </w:rPr>
        <w:t>Royal Institute of Chartered Surveyors (RICS) valuation</w:t>
      </w:r>
      <w:r w:rsidRPr="001F2A32">
        <w:rPr>
          <w:rFonts w:cs="Arial"/>
          <w:sz w:val="22"/>
          <w:lang w:eastAsia="en-GB"/>
        </w:rPr>
        <w:t xml:space="preserve">, to </w:t>
      </w:r>
      <w:r w:rsidR="000B294A" w:rsidRPr="001F2A32">
        <w:rPr>
          <w:rFonts w:cs="Arial"/>
          <w:sz w:val="22"/>
          <w:lang w:eastAsia="en-GB"/>
        </w:rPr>
        <w:t xml:space="preserve">help </w:t>
      </w:r>
      <w:r w:rsidRPr="001F2A32">
        <w:rPr>
          <w:rFonts w:cs="Arial"/>
          <w:sz w:val="22"/>
          <w:lang w:eastAsia="en-GB"/>
        </w:rPr>
        <w:t>establish the equity limit.</w:t>
      </w:r>
      <w:r w:rsidR="00B9317A" w:rsidRPr="001F2A32">
        <w:rPr>
          <w:rFonts w:cs="Arial"/>
          <w:sz w:val="22"/>
          <w:lang w:eastAsia="en-GB"/>
        </w:rPr>
        <w:t xml:space="preserve">  The equity limit will be set at the value of the property, minus 10%, minus the amount of the lower capital limit (currently £14,250), and the amount of the encumbrance secured on it.  The cost of the valuation will be</w:t>
      </w:r>
      <w:r w:rsidR="00B9317A" w:rsidRPr="001F2A32">
        <w:rPr>
          <w:rFonts w:cs="Arial"/>
          <w:sz w:val="22"/>
          <w:shd w:val="clear" w:color="auto" w:fill="FFFFFF"/>
        </w:rPr>
        <w:t xml:space="preserve"> chargeable to the adult</w:t>
      </w:r>
      <w:r w:rsidR="00C775F9" w:rsidRPr="001F2A32">
        <w:rPr>
          <w:rFonts w:cs="Arial"/>
          <w:sz w:val="22"/>
          <w:shd w:val="clear" w:color="auto" w:fill="FFFFFF"/>
        </w:rPr>
        <w:t>.  This charge will</w:t>
      </w:r>
      <w:r w:rsidR="00B9317A" w:rsidRPr="001F2A32">
        <w:rPr>
          <w:rFonts w:cs="Arial"/>
          <w:sz w:val="22"/>
          <w:shd w:val="clear" w:color="auto" w:fill="FFFFFF"/>
        </w:rPr>
        <w:t xml:space="preserve"> form part of the administrative charges which are added to the DPA</w:t>
      </w:r>
      <w:r w:rsidR="00C775F9" w:rsidRPr="001F2A32">
        <w:rPr>
          <w:rFonts w:cs="Arial"/>
          <w:sz w:val="22"/>
          <w:shd w:val="clear" w:color="auto" w:fill="FFFFFF"/>
        </w:rPr>
        <w:t>, unless the adult asks to pay the Council separately for it</w:t>
      </w:r>
      <w:r w:rsidR="00B9317A" w:rsidRPr="001F2A32">
        <w:rPr>
          <w:rFonts w:cs="Arial"/>
          <w:sz w:val="22"/>
          <w:shd w:val="clear" w:color="auto" w:fill="FFFFFF"/>
        </w:rPr>
        <w:t>.</w:t>
      </w:r>
    </w:p>
    <w:p w14:paraId="25797224" w14:textId="77777777" w:rsidR="00B9317A" w:rsidRPr="001F2A32" w:rsidRDefault="00B9317A" w:rsidP="00A73C43">
      <w:pPr>
        <w:spacing w:after="0" w:line="240" w:lineRule="auto"/>
        <w:rPr>
          <w:rFonts w:cs="Arial"/>
          <w:sz w:val="22"/>
          <w:shd w:val="clear" w:color="auto" w:fill="FFFFFF"/>
        </w:rPr>
      </w:pPr>
    </w:p>
    <w:p w14:paraId="71711E9D" w14:textId="683FC72D" w:rsidR="000B294A" w:rsidRPr="001F2A32" w:rsidRDefault="00F7674E" w:rsidP="000B294A">
      <w:pPr>
        <w:pStyle w:val="Default"/>
        <w:tabs>
          <w:tab w:val="left" w:pos="851"/>
        </w:tabs>
        <w:jc w:val="both"/>
        <w:rPr>
          <w:rFonts w:ascii="Arial" w:hAnsi="Arial" w:cs="Arial"/>
          <w:iCs/>
          <w:color w:val="auto"/>
          <w:sz w:val="22"/>
          <w:szCs w:val="22"/>
        </w:rPr>
      </w:pPr>
      <w:r w:rsidRPr="001F2A32">
        <w:rPr>
          <w:rFonts w:ascii="Arial" w:hAnsi="Arial" w:cs="Arial"/>
          <w:iCs/>
          <w:color w:val="auto"/>
          <w:sz w:val="22"/>
          <w:szCs w:val="22"/>
        </w:rPr>
        <w:t>The</w:t>
      </w:r>
      <w:r w:rsidR="000B294A" w:rsidRPr="001F2A32">
        <w:rPr>
          <w:rFonts w:ascii="Arial" w:hAnsi="Arial" w:cs="Arial"/>
          <w:iCs/>
          <w:color w:val="auto"/>
          <w:sz w:val="22"/>
          <w:szCs w:val="22"/>
        </w:rPr>
        <w:t xml:space="preserve"> adult may </w:t>
      </w:r>
      <w:r w:rsidRPr="001F2A32">
        <w:rPr>
          <w:rFonts w:ascii="Arial" w:hAnsi="Arial" w:cs="Arial"/>
          <w:iCs/>
          <w:color w:val="auto"/>
          <w:sz w:val="22"/>
          <w:szCs w:val="22"/>
        </w:rPr>
        <w:t xml:space="preserve">choose to </w:t>
      </w:r>
      <w:r w:rsidR="000B294A" w:rsidRPr="001F2A32">
        <w:rPr>
          <w:rFonts w:ascii="Arial" w:hAnsi="Arial" w:cs="Arial"/>
          <w:iCs/>
          <w:color w:val="auto"/>
          <w:sz w:val="22"/>
          <w:szCs w:val="22"/>
        </w:rPr>
        <w:t>obtain an independent assessment of the property’s value (in addition to the Council’s valuation), at their own expense.  If the independent assessment finds a substantially differ</w:t>
      </w:r>
      <w:r w:rsidR="00A83801" w:rsidRPr="001F2A32">
        <w:rPr>
          <w:rFonts w:ascii="Arial" w:hAnsi="Arial" w:cs="Arial"/>
          <w:iCs/>
          <w:color w:val="auto"/>
          <w:sz w:val="22"/>
          <w:szCs w:val="22"/>
        </w:rPr>
        <w:t>ent</w:t>
      </w:r>
      <w:r w:rsidR="000B294A" w:rsidRPr="001F2A32">
        <w:rPr>
          <w:rFonts w:ascii="Arial" w:hAnsi="Arial" w:cs="Arial"/>
          <w:iCs/>
          <w:color w:val="auto"/>
          <w:sz w:val="22"/>
          <w:szCs w:val="22"/>
        </w:rPr>
        <w:t xml:space="preserve"> value </w:t>
      </w:r>
      <w:r w:rsidR="00A83801" w:rsidRPr="001F2A32">
        <w:rPr>
          <w:rFonts w:ascii="Arial" w:hAnsi="Arial" w:cs="Arial"/>
          <w:iCs/>
          <w:color w:val="auto"/>
          <w:sz w:val="22"/>
          <w:szCs w:val="22"/>
        </w:rPr>
        <w:t>from</w:t>
      </w:r>
      <w:r w:rsidR="000B294A" w:rsidRPr="001F2A32">
        <w:rPr>
          <w:rFonts w:ascii="Arial" w:hAnsi="Arial" w:cs="Arial"/>
          <w:iCs/>
          <w:color w:val="auto"/>
          <w:sz w:val="22"/>
          <w:szCs w:val="22"/>
        </w:rPr>
        <w:t xml:space="preserve"> the Council</w:t>
      </w:r>
      <w:r w:rsidR="00A83801" w:rsidRPr="001F2A32">
        <w:rPr>
          <w:rFonts w:ascii="Arial" w:hAnsi="Arial" w:cs="Arial"/>
          <w:iCs/>
          <w:color w:val="auto"/>
          <w:sz w:val="22"/>
          <w:szCs w:val="22"/>
        </w:rPr>
        <w:t xml:space="preserve">’s </w:t>
      </w:r>
      <w:r w:rsidR="000B294A" w:rsidRPr="001F2A32">
        <w:rPr>
          <w:rFonts w:ascii="Arial" w:hAnsi="Arial" w:cs="Arial"/>
          <w:iCs/>
          <w:color w:val="auto"/>
          <w:sz w:val="22"/>
          <w:szCs w:val="22"/>
        </w:rPr>
        <w:t>valuation, the Council and the adult will discuss and agree an appropriate valuation prior to proceeding with the agreement.</w:t>
      </w:r>
    </w:p>
    <w:p w14:paraId="24FCCBEF" w14:textId="77777777" w:rsidR="000B294A" w:rsidRPr="001F2A32" w:rsidRDefault="000B294A" w:rsidP="000B294A">
      <w:pPr>
        <w:pStyle w:val="Default"/>
        <w:tabs>
          <w:tab w:val="left" w:pos="851"/>
        </w:tabs>
        <w:jc w:val="both"/>
        <w:rPr>
          <w:rFonts w:ascii="Arial" w:hAnsi="Arial" w:cs="Arial"/>
          <w:iCs/>
          <w:color w:val="auto"/>
          <w:sz w:val="22"/>
          <w:szCs w:val="22"/>
        </w:rPr>
      </w:pPr>
    </w:p>
    <w:p w14:paraId="00D621BC" w14:textId="0BACFD64" w:rsidR="001E0BFE" w:rsidRPr="001F2A32" w:rsidRDefault="001E0BFE" w:rsidP="001E0BFE">
      <w:pPr>
        <w:spacing w:after="0" w:line="240" w:lineRule="auto"/>
        <w:rPr>
          <w:rFonts w:cs="Arial"/>
          <w:sz w:val="22"/>
          <w:lang w:eastAsia="en-GB"/>
        </w:rPr>
      </w:pPr>
      <w:r w:rsidRPr="001F2A32">
        <w:rPr>
          <w:rFonts w:cs="Arial"/>
          <w:sz w:val="22"/>
        </w:rPr>
        <w:t>T</w:t>
      </w:r>
      <w:r w:rsidRPr="001F2A32">
        <w:rPr>
          <w:rFonts w:cs="Arial"/>
          <w:sz w:val="22"/>
          <w:lang w:eastAsia="en-GB"/>
        </w:rPr>
        <w:t xml:space="preserve">he Council will revalue the security from time to time, to make sure the DPA remains safe and sustainable.  If the Council is concerned it will work with the adult to review their situation and decide what is best for the adult’s costs in future.  </w:t>
      </w:r>
    </w:p>
    <w:p w14:paraId="69BF0B7A" w14:textId="77777777" w:rsidR="001E0BFE" w:rsidRPr="001F2A32" w:rsidRDefault="001E0BFE" w:rsidP="000B294A">
      <w:pPr>
        <w:pStyle w:val="Default"/>
        <w:tabs>
          <w:tab w:val="left" w:pos="567"/>
        </w:tabs>
        <w:jc w:val="both"/>
        <w:rPr>
          <w:rFonts w:ascii="Arial" w:hAnsi="Arial" w:cs="Arial"/>
          <w:iCs/>
          <w:color w:val="auto"/>
          <w:sz w:val="22"/>
          <w:szCs w:val="22"/>
        </w:rPr>
      </w:pPr>
    </w:p>
    <w:p w14:paraId="4342E85A" w14:textId="6189423D" w:rsidR="000B294A" w:rsidRPr="001F2A32" w:rsidRDefault="000B294A" w:rsidP="000B294A">
      <w:pPr>
        <w:pStyle w:val="Default"/>
        <w:tabs>
          <w:tab w:val="left" w:pos="567"/>
        </w:tabs>
        <w:jc w:val="both"/>
        <w:rPr>
          <w:rFonts w:ascii="Arial" w:hAnsi="Arial" w:cs="Arial"/>
          <w:iCs/>
          <w:color w:val="auto"/>
          <w:sz w:val="22"/>
          <w:szCs w:val="22"/>
        </w:rPr>
      </w:pPr>
      <w:r w:rsidRPr="001F2A32">
        <w:rPr>
          <w:rFonts w:ascii="Arial" w:hAnsi="Arial" w:cs="Arial"/>
          <w:iCs/>
          <w:color w:val="auto"/>
          <w:sz w:val="22"/>
          <w:szCs w:val="22"/>
        </w:rPr>
        <w:t>If the adult approaches or reaches the point at which they have deferred 70% of the value of their property, then the cost of their care will be reviewed with them, alongside whether a DPA continues to be the best way for them to meet these costs.</w:t>
      </w:r>
    </w:p>
    <w:p w14:paraId="697AA96F" w14:textId="77777777" w:rsidR="00FB333C" w:rsidRPr="001F2A32" w:rsidRDefault="00FB333C" w:rsidP="000B294A">
      <w:pPr>
        <w:pStyle w:val="Default"/>
        <w:tabs>
          <w:tab w:val="left" w:pos="567"/>
        </w:tabs>
        <w:jc w:val="both"/>
        <w:rPr>
          <w:rFonts w:ascii="Arial" w:hAnsi="Arial" w:cs="Arial"/>
          <w:iCs/>
          <w:color w:val="auto"/>
          <w:sz w:val="22"/>
          <w:szCs w:val="22"/>
        </w:rPr>
      </w:pPr>
    </w:p>
    <w:p w14:paraId="50556B1D" w14:textId="72B2330D" w:rsidR="00FB333C" w:rsidRPr="001F2A32" w:rsidRDefault="00FB333C" w:rsidP="00FB333C">
      <w:pPr>
        <w:pStyle w:val="Heading3"/>
        <w:rPr>
          <w:color w:val="auto"/>
        </w:rPr>
      </w:pPr>
      <w:bookmarkStart w:id="22" w:name="_Toc146189060"/>
      <w:r w:rsidRPr="001F2A32">
        <w:rPr>
          <w:color w:val="auto"/>
        </w:rPr>
        <w:t>4.</w:t>
      </w:r>
      <w:r w:rsidR="00D04C39" w:rsidRPr="001F2A32">
        <w:rPr>
          <w:color w:val="auto"/>
        </w:rPr>
        <w:t>5</w:t>
      </w:r>
      <w:r w:rsidR="00D04C39" w:rsidRPr="001F2A32">
        <w:rPr>
          <w:color w:val="auto"/>
        </w:rPr>
        <w:tab/>
        <w:t>C</w:t>
      </w:r>
      <w:r w:rsidRPr="001F2A32">
        <w:rPr>
          <w:color w:val="auto"/>
        </w:rPr>
        <w:t xml:space="preserve">ontributing to the adult’s care cost from other </w:t>
      </w:r>
      <w:proofErr w:type="gramStart"/>
      <w:r w:rsidRPr="001F2A32">
        <w:rPr>
          <w:color w:val="auto"/>
        </w:rPr>
        <w:t>sources</w:t>
      </w:r>
      <w:bookmarkEnd w:id="22"/>
      <w:proofErr w:type="gramEnd"/>
      <w:r w:rsidRPr="001F2A32">
        <w:rPr>
          <w:color w:val="auto"/>
        </w:rPr>
        <w:t xml:space="preserve"> </w:t>
      </w:r>
    </w:p>
    <w:p w14:paraId="29DD50DF" w14:textId="1CD3034F" w:rsidR="00FB333C" w:rsidRPr="001F2A32" w:rsidRDefault="00FB333C" w:rsidP="00FB333C">
      <w:pPr>
        <w:pStyle w:val="Default"/>
        <w:tabs>
          <w:tab w:val="left" w:pos="426"/>
        </w:tabs>
        <w:rPr>
          <w:rFonts w:ascii="Arial" w:hAnsi="Arial" w:cs="Arial"/>
          <w:iCs/>
          <w:color w:val="auto"/>
          <w:sz w:val="22"/>
          <w:szCs w:val="22"/>
        </w:rPr>
      </w:pPr>
      <w:r w:rsidRPr="001F2A32">
        <w:rPr>
          <w:rFonts w:ascii="Arial" w:hAnsi="Arial" w:cs="Arial"/>
          <w:iCs/>
          <w:color w:val="auto"/>
          <w:sz w:val="22"/>
          <w:szCs w:val="22"/>
        </w:rPr>
        <w:t>The share of care costs the adult defers will depend on the amount they will be paying from:</w:t>
      </w:r>
    </w:p>
    <w:p w14:paraId="07A32066" w14:textId="77777777" w:rsidR="001A5279" w:rsidRPr="001F2A32" w:rsidRDefault="001A5279" w:rsidP="00FB333C">
      <w:pPr>
        <w:pStyle w:val="Default"/>
        <w:tabs>
          <w:tab w:val="left" w:pos="426"/>
        </w:tabs>
        <w:rPr>
          <w:rFonts w:ascii="Arial" w:hAnsi="Arial" w:cs="Arial"/>
          <w:iCs/>
          <w:color w:val="auto"/>
          <w:sz w:val="22"/>
          <w:szCs w:val="22"/>
        </w:rPr>
      </w:pPr>
    </w:p>
    <w:p w14:paraId="2A744A5D" w14:textId="77777777" w:rsidR="00FB333C" w:rsidRPr="001F2A32" w:rsidRDefault="00FB333C" w:rsidP="00FB333C">
      <w:pPr>
        <w:pStyle w:val="Default"/>
        <w:numPr>
          <w:ilvl w:val="0"/>
          <w:numId w:val="32"/>
        </w:numPr>
        <w:tabs>
          <w:tab w:val="left" w:pos="851"/>
        </w:tabs>
        <w:ind w:left="1134" w:hanging="283"/>
        <w:rPr>
          <w:rFonts w:ascii="Arial" w:hAnsi="Arial" w:cs="Arial"/>
          <w:iCs/>
          <w:color w:val="auto"/>
          <w:sz w:val="22"/>
          <w:szCs w:val="22"/>
        </w:rPr>
      </w:pPr>
      <w:r w:rsidRPr="001F2A32">
        <w:rPr>
          <w:rFonts w:ascii="Arial" w:hAnsi="Arial" w:cs="Arial"/>
          <w:iCs/>
          <w:color w:val="auto"/>
          <w:sz w:val="22"/>
          <w:szCs w:val="22"/>
        </w:rPr>
        <w:t xml:space="preserve">Income, including pension </w:t>
      </w:r>
      <w:proofErr w:type="gramStart"/>
      <w:r w:rsidRPr="001F2A32">
        <w:rPr>
          <w:rFonts w:ascii="Arial" w:hAnsi="Arial" w:cs="Arial"/>
          <w:iCs/>
          <w:color w:val="auto"/>
          <w:sz w:val="22"/>
          <w:szCs w:val="22"/>
        </w:rPr>
        <w:t>income</w:t>
      </w:r>
      <w:proofErr w:type="gramEnd"/>
    </w:p>
    <w:p w14:paraId="4A5592F9" w14:textId="77777777" w:rsidR="00FB333C" w:rsidRPr="001F2A32" w:rsidRDefault="00FB333C" w:rsidP="00FB333C">
      <w:pPr>
        <w:pStyle w:val="Default"/>
        <w:numPr>
          <w:ilvl w:val="0"/>
          <w:numId w:val="32"/>
        </w:numPr>
        <w:tabs>
          <w:tab w:val="left" w:pos="851"/>
        </w:tabs>
        <w:ind w:left="1134" w:hanging="283"/>
        <w:rPr>
          <w:rFonts w:ascii="Arial" w:hAnsi="Arial" w:cs="Arial"/>
          <w:iCs/>
          <w:color w:val="auto"/>
          <w:sz w:val="22"/>
          <w:szCs w:val="22"/>
        </w:rPr>
      </w:pPr>
      <w:r w:rsidRPr="001F2A32">
        <w:rPr>
          <w:rFonts w:ascii="Arial" w:hAnsi="Arial" w:cs="Arial"/>
          <w:iCs/>
          <w:color w:val="auto"/>
          <w:sz w:val="22"/>
          <w:szCs w:val="22"/>
        </w:rPr>
        <w:t>Savings or other assets they might have access to</w:t>
      </w:r>
    </w:p>
    <w:p w14:paraId="4FF43558" w14:textId="77777777" w:rsidR="00FB333C" w:rsidRPr="001F2A32" w:rsidRDefault="00FB333C" w:rsidP="00FB333C">
      <w:pPr>
        <w:pStyle w:val="Default"/>
        <w:numPr>
          <w:ilvl w:val="0"/>
          <w:numId w:val="32"/>
        </w:numPr>
        <w:tabs>
          <w:tab w:val="left" w:pos="851"/>
        </w:tabs>
        <w:ind w:left="1134" w:hanging="283"/>
        <w:rPr>
          <w:rFonts w:ascii="Arial" w:hAnsi="Arial" w:cs="Arial"/>
          <w:iCs/>
          <w:color w:val="auto"/>
          <w:sz w:val="22"/>
          <w:szCs w:val="22"/>
        </w:rPr>
      </w:pPr>
      <w:r w:rsidRPr="001F2A32">
        <w:rPr>
          <w:rFonts w:ascii="Arial" w:hAnsi="Arial" w:cs="Arial"/>
          <w:iCs/>
          <w:color w:val="auto"/>
          <w:sz w:val="22"/>
          <w:szCs w:val="22"/>
        </w:rPr>
        <w:t xml:space="preserve">A financial product designed to pay for long term </w:t>
      </w:r>
      <w:proofErr w:type="gramStart"/>
      <w:r w:rsidRPr="001F2A32">
        <w:rPr>
          <w:rFonts w:ascii="Arial" w:hAnsi="Arial" w:cs="Arial"/>
          <w:iCs/>
          <w:color w:val="auto"/>
          <w:sz w:val="22"/>
          <w:szCs w:val="22"/>
        </w:rPr>
        <w:t>care</w:t>
      </w:r>
      <w:proofErr w:type="gramEnd"/>
    </w:p>
    <w:p w14:paraId="66AF5778" w14:textId="697B6E90" w:rsidR="00FB333C" w:rsidRPr="001F2A32" w:rsidRDefault="00FB333C" w:rsidP="00FB333C">
      <w:pPr>
        <w:pStyle w:val="Default"/>
        <w:numPr>
          <w:ilvl w:val="0"/>
          <w:numId w:val="32"/>
        </w:numPr>
        <w:tabs>
          <w:tab w:val="left" w:pos="851"/>
        </w:tabs>
        <w:ind w:left="1134" w:hanging="283"/>
        <w:rPr>
          <w:rFonts w:ascii="Arial" w:hAnsi="Arial" w:cs="Arial"/>
          <w:iCs/>
          <w:color w:val="auto"/>
          <w:sz w:val="22"/>
          <w:szCs w:val="22"/>
        </w:rPr>
      </w:pPr>
      <w:r w:rsidRPr="001F2A32">
        <w:rPr>
          <w:rFonts w:ascii="Arial" w:hAnsi="Arial" w:cs="Arial"/>
          <w:iCs/>
          <w:color w:val="auto"/>
          <w:sz w:val="22"/>
          <w:szCs w:val="22"/>
        </w:rPr>
        <w:t xml:space="preserve">A DPA which enables them to pay for their care at a later date out of assets. </w:t>
      </w:r>
    </w:p>
    <w:p w14:paraId="6FBB8303" w14:textId="77777777" w:rsidR="00FB333C" w:rsidRPr="001F2A32" w:rsidRDefault="00FB333C" w:rsidP="00FB333C">
      <w:pPr>
        <w:pStyle w:val="Default"/>
        <w:tabs>
          <w:tab w:val="left" w:pos="851"/>
        </w:tabs>
        <w:rPr>
          <w:rFonts w:ascii="Arial" w:hAnsi="Arial" w:cs="Arial"/>
          <w:iCs/>
          <w:color w:val="auto"/>
          <w:sz w:val="22"/>
          <w:szCs w:val="22"/>
        </w:rPr>
      </w:pPr>
    </w:p>
    <w:p w14:paraId="079E03ED" w14:textId="77777777" w:rsidR="00FB333C" w:rsidRPr="001F2A32" w:rsidRDefault="00FB333C" w:rsidP="00FB333C">
      <w:pPr>
        <w:pStyle w:val="Default"/>
        <w:tabs>
          <w:tab w:val="left" w:pos="567"/>
        </w:tabs>
        <w:rPr>
          <w:rFonts w:ascii="Arial" w:hAnsi="Arial" w:cs="Arial"/>
          <w:iCs/>
          <w:color w:val="auto"/>
          <w:sz w:val="22"/>
          <w:szCs w:val="22"/>
        </w:rPr>
      </w:pPr>
      <w:r w:rsidRPr="001F2A32">
        <w:rPr>
          <w:rFonts w:ascii="Arial" w:hAnsi="Arial" w:cs="Arial"/>
          <w:iCs/>
          <w:color w:val="auto"/>
          <w:sz w:val="22"/>
          <w:szCs w:val="22"/>
        </w:rPr>
        <w:t>Account will also be taken of the costs of property maintenance when calculating the client contribution.</w:t>
      </w:r>
    </w:p>
    <w:p w14:paraId="0CCD866E" w14:textId="77777777" w:rsidR="001A5279" w:rsidRPr="001F2A32" w:rsidRDefault="001A5279" w:rsidP="00FB333C">
      <w:pPr>
        <w:pStyle w:val="Default"/>
        <w:tabs>
          <w:tab w:val="left" w:pos="567"/>
        </w:tabs>
        <w:rPr>
          <w:rFonts w:ascii="Arial" w:hAnsi="Arial" w:cs="Arial"/>
          <w:iCs/>
          <w:color w:val="auto"/>
          <w:sz w:val="22"/>
          <w:szCs w:val="22"/>
        </w:rPr>
      </w:pPr>
    </w:p>
    <w:p w14:paraId="0F200ACA" w14:textId="65C9FA66" w:rsidR="001A5279" w:rsidRPr="001F2A32" w:rsidRDefault="001A5279" w:rsidP="001A5279">
      <w:pPr>
        <w:pStyle w:val="Heading3"/>
        <w:rPr>
          <w:color w:val="auto"/>
        </w:rPr>
      </w:pPr>
      <w:bookmarkStart w:id="23" w:name="_Toc146189061"/>
      <w:r w:rsidRPr="001F2A32">
        <w:rPr>
          <w:color w:val="auto"/>
        </w:rPr>
        <w:t>4.6</w:t>
      </w:r>
      <w:r w:rsidRPr="001F2A32">
        <w:rPr>
          <w:color w:val="auto"/>
        </w:rPr>
        <w:tab/>
        <w:t xml:space="preserve">Renting out a </w:t>
      </w:r>
      <w:proofErr w:type="gramStart"/>
      <w:r w:rsidRPr="001F2A32">
        <w:rPr>
          <w:color w:val="auto"/>
        </w:rPr>
        <w:t>property</w:t>
      </w:r>
      <w:bookmarkEnd w:id="23"/>
      <w:proofErr w:type="gramEnd"/>
    </w:p>
    <w:p w14:paraId="694511C8" w14:textId="22BDDAD6" w:rsidR="001A5279" w:rsidRPr="001F2A32" w:rsidRDefault="001A5279" w:rsidP="001A5279">
      <w:pPr>
        <w:rPr>
          <w:rFonts w:cs="Arial"/>
          <w:sz w:val="22"/>
        </w:rPr>
      </w:pPr>
      <w:r w:rsidRPr="001F2A32">
        <w:rPr>
          <w:rFonts w:cs="Arial"/>
          <w:sz w:val="22"/>
        </w:rPr>
        <w:t>Those eligible for a DPA may choose to rent out their property to obtain additional income to help pay for care costs.  Where a property is rented out, there are some additional requirements.  The adult must:</w:t>
      </w:r>
    </w:p>
    <w:p w14:paraId="04B03025" w14:textId="77777777" w:rsidR="001A5279" w:rsidRPr="001F2A32" w:rsidRDefault="001A5279" w:rsidP="001A5279">
      <w:pPr>
        <w:pStyle w:val="ListParagraph"/>
        <w:numPr>
          <w:ilvl w:val="0"/>
          <w:numId w:val="33"/>
        </w:numPr>
        <w:spacing w:after="200" w:line="276" w:lineRule="auto"/>
        <w:rPr>
          <w:rFonts w:cs="Arial"/>
          <w:sz w:val="22"/>
        </w:rPr>
      </w:pPr>
      <w:r w:rsidRPr="001F2A32">
        <w:rPr>
          <w:rFonts w:cs="Arial"/>
          <w:sz w:val="22"/>
        </w:rPr>
        <w:t xml:space="preserve">maintain their property to an appropriate </w:t>
      </w:r>
      <w:proofErr w:type="gramStart"/>
      <w:r w:rsidRPr="001F2A32">
        <w:rPr>
          <w:rFonts w:cs="Arial"/>
          <w:sz w:val="22"/>
        </w:rPr>
        <w:t>standard</w:t>
      </w:r>
      <w:proofErr w:type="gramEnd"/>
      <w:r w:rsidRPr="001F2A32">
        <w:rPr>
          <w:rFonts w:cs="Arial"/>
          <w:sz w:val="22"/>
        </w:rPr>
        <w:t xml:space="preserve"> </w:t>
      </w:r>
    </w:p>
    <w:p w14:paraId="497E5208" w14:textId="482669A8" w:rsidR="001A5279" w:rsidRPr="001F2A32" w:rsidRDefault="001A5279" w:rsidP="001A5279">
      <w:pPr>
        <w:pStyle w:val="ListParagraph"/>
        <w:numPr>
          <w:ilvl w:val="0"/>
          <w:numId w:val="33"/>
        </w:numPr>
        <w:spacing w:after="200" w:line="276" w:lineRule="auto"/>
        <w:rPr>
          <w:rFonts w:cs="Arial"/>
          <w:sz w:val="22"/>
        </w:rPr>
      </w:pPr>
      <w:r w:rsidRPr="001F2A32">
        <w:rPr>
          <w:rFonts w:cs="Arial"/>
          <w:sz w:val="22"/>
        </w:rPr>
        <w:t xml:space="preserve">enter into an Assured Shorthold Tenancy Agreement with their tenant(s) and submit a copy of the Agreement to the Council as part of the DPA </w:t>
      </w:r>
      <w:proofErr w:type="gramStart"/>
      <w:r w:rsidRPr="001F2A32">
        <w:rPr>
          <w:rFonts w:cs="Arial"/>
          <w:sz w:val="22"/>
        </w:rPr>
        <w:t>process</w:t>
      </w:r>
      <w:proofErr w:type="gramEnd"/>
      <w:r w:rsidRPr="001F2A32">
        <w:rPr>
          <w:rFonts w:cs="Arial"/>
          <w:sz w:val="22"/>
        </w:rPr>
        <w:t xml:space="preserve">  </w:t>
      </w:r>
    </w:p>
    <w:p w14:paraId="0E1DC644" w14:textId="2FA6B91A" w:rsidR="001A5279" w:rsidRPr="001F2A32" w:rsidRDefault="001A5279" w:rsidP="001A5279">
      <w:pPr>
        <w:pStyle w:val="ListParagraph"/>
        <w:numPr>
          <w:ilvl w:val="0"/>
          <w:numId w:val="33"/>
        </w:numPr>
        <w:spacing w:after="200" w:line="276" w:lineRule="auto"/>
        <w:rPr>
          <w:rFonts w:cs="Arial"/>
          <w:sz w:val="22"/>
        </w:rPr>
      </w:pPr>
      <w:r w:rsidRPr="001F2A32">
        <w:rPr>
          <w:rFonts w:cs="Arial"/>
          <w:sz w:val="22"/>
        </w:rPr>
        <w:t xml:space="preserve">When the </w:t>
      </w:r>
      <w:r w:rsidR="00A83801" w:rsidRPr="001F2A32">
        <w:rPr>
          <w:rFonts w:cs="Arial"/>
          <w:sz w:val="22"/>
        </w:rPr>
        <w:t>DPA</w:t>
      </w:r>
      <w:r w:rsidRPr="001F2A32">
        <w:rPr>
          <w:rFonts w:cs="Arial"/>
          <w:sz w:val="22"/>
        </w:rPr>
        <w:t xml:space="preserve"> comes to an end, repay the full deb</w:t>
      </w:r>
      <w:r w:rsidR="00A83801" w:rsidRPr="001F2A32">
        <w:rPr>
          <w:rFonts w:cs="Arial"/>
          <w:sz w:val="22"/>
        </w:rPr>
        <w:t>t</w:t>
      </w:r>
      <w:r w:rsidRPr="001F2A32">
        <w:rPr>
          <w:rFonts w:cs="Arial"/>
          <w:sz w:val="22"/>
        </w:rPr>
        <w:t xml:space="preserve"> accrued within the required time limits.  This could mean that the tenant will need to move </w:t>
      </w:r>
      <w:proofErr w:type="gramStart"/>
      <w:r w:rsidRPr="001F2A32">
        <w:rPr>
          <w:rFonts w:cs="Arial"/>
          <w:sz w:val="22"/>
        </w:rPr>
        <w:t>out</w:t>
      </w:r>
      <w:proofErr w:type="gramEnd"/>
      <w:r w:rsidRPr="001F2A32">
        <w:rPr>
          <w:rFonts w:cs="Arial"/>
          <w:sz w:val="22"/>
        </w:rPr>
        <w:t xml:space="preserve">  </w:t>
      </w:r>
    </w:p>
    <w:p w14:paraId="274BCB83" w14:textId="50AD1640" w:rsidR="001A5279" w:rsidRPr="001F2A32" w:rsidRDefault="001A5279" w:rsidP="001A5279">
      <w:pPr>
        <w:pStyle w:val="ListParagraph"/>
        <w:numPr>
          <w:ilvl w:val="0"/>
          <w:numId w:val="33"/>
        </w:numPr>
        <w:spacing w:after="200" w:line="276" w:lineRule="auto"/>
        <w:rPr>
          <w:rFonts w:cs="Arial"/>
          <w:sz w:val="22"/>
        </w:rPr>
      </w:pPr>
      <w:r w:rsidRPr="001F2A32">
        <w:rPr>
          <w:rFonts w:cs="Arial"/>
          <w:sz w:val="22"/>
        </w:rPr>
        <w:t xml:space="preserve">inform the DWP that they are renting out their property (the adult’s benefit entitlement may be affected by receipt of rental income). </w:t>
      </w:r>
    </w:p>
    <w:p w14:paraId="21CB2BE5" w14:textId="28B6655C" w:rsidR="001A5279" w:rsidRPr="001F2A32" w:rsidRDefault="001A5279" w:rsidP="001A5279">
      <w:pPr>
        <w:rPr>
          <w:rFonts w:cs="Arial"/>
          <w:sz w:val="22"/>
        </w:rPr>
      </w:pPr>
      <w:r w:rsidRPr="001F2A32">
        <w:rPr>
          <w:rFonts w:cs="Arial"/>
          <w:sz w:val="22"/>
        </w:rPr>
        <w:t>Where the adult uses rental income to pay for all or part of their care costs (to reduce the amount of debt that accrue</w:t>
      </w:r>
      <w:r w:rsidR="00F619FB" w:rsidRPr="001F2A32">
        <w:rPr>
          <w:rFonts w:cs="Arial"/>
          <w:sz w:val="22"/>
        </w:rPr>
        <w:t>s</w:t>
      </w:r>
      <w:r w:rsidRPr="001F2A32">
        <w:rPr>
          <w:rFonts w:cs="Arial"/>
          <w:sz w:val="22"/>
        </w:rPr>
        <w:t xml:space="preserve">), it is expected that they will retain the £144.00 disposable income allowance (for example to maintain the property to appropriate standards).  The disposable income amount of £144.00 will not be taken into account as part of the financial </w:t>
      </w:r>
      <w:proofErr w:type="gramStart"/>
      <w:r w:rsidRPr="001F2A32">
        <w:rPr>
          <w:rFonts w:cs="Arial"/>
          <w:sz w:val="22"/>
        </w:rPr>
        <w:t>assessment</w:t>
      </w:r>
      <w:r w:rsidR="00F619FB" w:rsidRPr="001F2A32">
        <w:rPr>
          <w:rFonts w:cs="Arial"/>
          <w:sz w:val="22"/>
        </w:rPr>
        <w:t>,</w:t>
      </w:r>
      <w:r w:rsidRPr="001F2A32">
        <w:rPr>
          <w:rFonts w:cs="Arial"/>
          <w:sz w:val="22"/>
        </w:rPr>
        <w:t xml:space="preserve"> but</w:t>
      </w:r>
      <w:proofErr w:type="gramEnd"/>
      <w:r w:rsidRPr="001F2A32">
        <w:rPr>
          <w:rFonts w:cs="Arial"/>
          <w:sz w:val="22"/>
        </w:rPr>
        <w:t xml:space="preserve"> will impact on the level of debt that accrues (in other words, if the £144.00 is retained, </w:t>
      </w:r>
      <w:r w:rsidR="00F619FB" w:rsidRPr="001F2A32">
        <w:rPr>
          <w:rFonts w:cs="Arial"/>
          <w:sz w:val="22"/>
        </w:rPr>
        <w:t xml:space="preserve">the adult cannot </w:t>
      </w:r>
      <w:r w:rsidRPr="001F2A32">
        <w:rPr>
          <w:rFonts w:cs="Arial"/>
          <w:sz w:val="22"/>
        </w:rPr>
        <w:t xml:space="preserve">use it to pay for care costs, and so the debt will be larger). </w:t>
      </w:r>
    </w:p>
    <w:p w14:paraId="3585CE38" w14:textId="2D7D85D6" w:rsidR="001A5279" w:rsidRPr="001F2A32" w:rsidRDefault="00F619FB" w:rsidP="00F619FB">
      <w:pPr>
        <w:pStyle w:val="Heading3"/>
        <w:rPr>
          <w:color w:val="auto"/>
        </w:rPr>
      </w:pPr>
      <w:bookmarkStart w:id="24" w:name="_Toc146189062"/>
      <w:r w:rsidRPr="001F2A32">
        <w:rPr>
          <w:color w:val="auto"/>
        </w:rPr>
        <w:t>4.7</w:t>
      </w:r>
      <w:r w:rsidRPr="001F2A32">
        <w:rPr>
          <w:color w:val="auto"/>
        </w:rPr>
        <w:tab/>
        <w:t>Interest rate and administration charges</w:t>
      </w:r>
      <w:bookmarkEnd w:id="24"/>
    </w:p>
    <w:p w14:paraId="23924FFD" w14:textId="5C0F0FBD" w:rsidR="00F619FB" w:rsidRPr="001F2A32" w:rsidRDefault="00F619FB" w:rsidP="009128D2">
      <w:pPr>
        <w:pStyle w:val="Default"/>
        <w:jc w:val="both"/>
        <w:rPr>
          <w:rFonts w:ascii="Arial" w:hAnsi="Arial" w:cs="Arial"/>
          <w:iCs/>
          <w:color w:val="auto"/>
          <w:sz w:val="22"/>
          <w:szCs w:val="22"/>
        </w:rPr>
      </w:pPr>
      <w:r w:rsidRPr="001F2A32">
        <w:rPr>
          <w:rFonts w:ascii="Arial" w:hAnsi="Arial" w:cs="Arial"/>
          <w:iCs/>
          <w:color w:val="auto"/>
          <w:sz w:val="22"/>
          <w:szCs w:val="22"/>
        </w:rPr>
        <w:t xml:space="preserve">DPAs are </w:t>
      </w:r>
      <w:r w:rsidR="00FA1E65" w:rsidRPr="001F2A32">
        <w:rPr>
          <w:rFonts w:ascii="Arial" w:hAnsi="Arial" w:cs="Arial"/>
          <w:iCs/>
          <w:color w:val="auto"/>
          <w:sz w:val="22"/>
          <w:szCs w:val="22"/>
        </w:rPr>
        <w:t xml:space="preserve">made </w:t>
      </w:r>
      <w:r w:rsidRPr="001F2A32">
        <w:rPr>
          <w:rFonts w:ascii="Arial" w:hAnsi="Arial" w:cs="Arial"/>
          <w:iCs/>
          <w:color w:val="auto"/>
          <w:sz w:val="22"/>
          <w:szCs w:val="22"/>
        </w:rPr>
        <w:t xml:space="preserve">available on a cost-neutral basis.  The Council intends to cover the risks and recoup the costs associated with deferring fees, by </w:t>
      </w:r>
      <w:r w:rsidR="00FA1E65" w:rsidRPr="001F2A32">
        <w:rPr>
          <w:rFonts w:ascii="Arial" w:hAnsi="Arial" w:cs="Arial"/>
          <w:iCs/>
          <w:color w:val="auto"/>
          <w:sz w:val="22"/>
          <w:szCs w:val="22"/>
        </w:rPr>
        <w:t>charging interest and administration fees</w:t>
      </w:r>
      <w:r w:rsidRPr="001F2A32">
        <w:rPr>
          <w:rFonts w:ascii="Arial" w:hAnsi="Arial" w:cs="Arial"/>
          <w:iCs/>
          <w:color w:val="auto"/>
          <w:sz w:val="22"/>
          <w:szCs w:val="22"/>
        </w:rPr>
        <w:t xml:space="preserve">. </w:t>
      </w:r>
    </w:p>
    <w:p w14:paraId="5981FBF9" w14:textId="77777777" w:rsidR="00FA1E65" w:rsidRPr="001F2A32" w:rsidRDefault="00FA1E65" w:rsidP="00FA1E65">
      <w:pPr>
        <w:pStyle w:val="Heading3"/>
        <w:rPr>
          <w:color w:val="auto"/>
        </w:rPr>
      </w:pPr>
      <w:bookmarkStart w:id="25" w:name="_Toc146189063"/>
      <w:r w:rsidRPr="001F2A32">
        <w:rPr>
          <w:color w:val="auto"/>
        </w:rPr>
        <w:t>4.7.1</w:t>
      </w:r>
      <w:r w:rsidRPr="001F2A32">
        <w:rPr>
          <w:color w:val="auto"/>
        </w:rPr>
        <w:tab/>
        <w:t>interest</w:t>
      </w:r>
      <w:bookmarkEnd w:id="25"/>
    </w:p>
    <w:p w14:paraId="40F25817" w14:textId="77777777" w:rsidR="00FA1E65" w:rsidRPr="001F2A32" w:rsidRDefault="00FA1E65" w:rsidP="00FA1E65">
      <w:pPr>
        <w:pStyle w:val="Default"/>
        <w:jc w:val="both"/>
        <w:rPr>
          <w:rFonts w:ascii="Arial" w:hAnsi="Arial" w:cs="Arial"/>
          <w:iCs/>
          <w:color w:val="auto"/>
          <w:sz w:val="22"/>
          <w:szCs w:val="22"/>
        </w:rPr>
      </w:pPr>
      <w:r w:rsidRPr="001F2A32">
        <w:rPr>
          <w:rFonts w:ascii="Arial" w:hAnsi="Arial" w:cs="Arial"/>
          <w:iCs/>
          <w:color w:val="auto"/>
          <w:sz w:val="22"/>
          <w:szCs w:val="22"/>
        </w:rPr>
        <w:t>Interest will be charged at the maximum amount specified in the regulations. This rate will change every 6 months to track the market gilts rate specified in the most recently published report by the Office of Budget Responsibility (published in the Economic and Fiscal Outlook).</w:t>
      </w:r>
    </w:p>
    <w:p w14:paraId="2C2A3835" w14:textId="77777777" w:rsidR="00FA1E65" w:rsidRPr="001F2A32" w:rsidRDefault="00FA1E65" w:rsidP="00FA1E65">
      <w:pPr>
        <w:pStyle w:val="Default"/>
        <w:jc w:val="both"/>
        <w:rPr>
          <w:rFonts w:ascii="Arial" w:hAnsi="Arial" w:cs="Arial"/>
          <w:iCs/>
          <w:color w:val="auto"/>
          <w:sz w:val="22"/>
          <w:szCs w:val="22"/>
        </w:rPr>
      </w:pPr>
    </w:p>
    <w:p w14:paraId="6ABB1887" w14:textId="16A3FE44" w:rsidR="00FA1E65" w:rsidRPr="001F2A32" w:rsidRDefault="00FA1E65" w:rsidP="00FA1E65">
      <w:pPr>
        <w:pStyle w:val="Default"/>
        <w:jc w:val="both"/>
        <w:rPr>
          <w:rFonts w:ascii="Arial" w:hAnsi="Arial" w:cs="Arial"/>
          <w:iCs/>
          <w:color w:val="auto"/>
          <w:sz w:val="22"/>
          <w:szCs w:val="22"/>
        </w:rPr>
      </w:pPr>
      <w:r w:rsidRPr="001F2A32">
        <w:rPr>
          <w:rFonts w:ascii="Arial" w:hAnsi="Arial" w:cs="Arial"/>
          <w:iCs/>
          <w:color w:val="auto"/>
          <w:sz w:val="22"/>
          <w:szCs w:val="22"/>
        </w:rPr>
        <w:t>The interest charged and added to the deferred amount will be compounded.</w:t>
      </w:r>
    </w:p>
    <w:p w14:paraId="26A8D3A1" w14:textId="77777777" w:rsidR="00FA1E65" w:rsidRPr="001F2A32" w:rsidRDefault="00FA1E65" w:rsidP="00FA1E65">
      <w:pPr>
        <w:pStyle w:val="Default"/>
        <w:ind w:left="720"/>
        <w:jc w:val="both"/>
        <w:rPr>
          <w:rFonts w:ascii="Arial" w:hAnsi="Arial" w:cs="Arial"/>
          <w:iCs/>
          <w:color w:val="auto"/>
          <w:sz w:val="22"/>
          <w:szCs w:val="22"/>
        </w:rPr>
      </w:pPr>
    </w:p>
    <w:p w14:paraId="35CB8023" w14:textId="4B6E627D" w:rsidR="00FA1E65" w:rsidRPr="001F2A32" w:rsidRDefault="00FA1E65" w:rsidP="00FA1E65">
      <w:pPr>
        <w:pStyle w:val="Default"/>
        <w:jc w:val="both"/>
        <w:rPr>
          <w:rFonts w:ascii="Arial" w:hAnsi="Arial" w:cs="Arial"/>
          <w:iCs/>
          <w:color w:val="auto"/>
          <w:sz w:val="22"/>
          <w:szCs w:val="22"/>
        </w:rPr>
      </w:pPr>
      <w:r w:rsidRPr="001F2A32">
        <w:rPr>
          <w:rFonts w:ascii="Arial" w:hAnsi="Arial" w:cs="Arial"/>
          <w:iCs/>
          <w:color w:val="auto"/>
          <w:sz w:val="22"/>
          <w:szCs w:val="22"/>
        </w:rPr>
        <w:t>Interest will accrue on the amount deferred even once the “equity limit” has been reached.</w:t>
      </w:r>
      <w:r w:rsidR="00032EDB" w:rsidRPr="001F2A32">
        <w:rPr>
          <w:rFonts w:ascii="Arial" w:hAnsi="Arial" w:cs="Arial"/>
          <w:iCs/>
          <w:color w:val="auto"/>
          <w:sz w:val="22"/>
          <w:szCs w:val="22"/>
        </w:rPr>
        <w:t xml:space="preserve">  </w:t>
      </w:r>
    </w:p>
    <w:p w14:paraId="0146F436" w14:textId="579646D3" w:rsidR="00FA1E65" w:rsidRPr="001F2A32" w:rsidRDefault="00FA1E65" w:rsidP="00FA1E65">
      <w:pPr>
        <w:pStyle w:val="Heading3"/>
        <w:rPr>
          <w:color w:val="auto"/>
        </w:rPr>
      </w:pPr>
      <w:bookmarkStart w:id="26" w:name="_Toc146189064"/>
      <w:r w:rsidRPr="001F2A32">
        <w:rPr>
          <w:color w:val="auto"/>
        </w:rPr>
        <w:t>4.7.2</w:t>
      </w:r>
      <w:r w:rsidRPr="001F2A32">
        <w:rPr>
          <w:color w:val="auto"/>
        </w:rPr>
        <w:tab/>
        <w:t>administration charges</w:t>
      </w:r>
      <w:bookmarkEnd w:id="26"/>
    </w:p>
    <w:p w14:paraId="3F135029" w14:textId="417DBDAE" w:rsidR="00F619FB" w:rsidRPr="001F2A32" w:rsidRDefault="00F619FB" w:rsidP="00F619FB">
      <w:pPr>
        <w:pStyle w:val="Default"/>
        <w:rPr>
          <w:rFonts w:ascii="Arial" w:hAnsi="Arial" w:cs="Arial"/>
          <w:iCs/>
          <w:color w:val="auto"/>
          <w:sz w:val="22"/>
          <w:szCs w:val="22"/>
        </w:rPr>
      </w:pPr>
      <w:r w:rsidRPr="001F2A32">
        <w:rPr>
          <w:rFonts w:ascii="Arial" w:hAnsi="Arial" w:cs="Arial"/>
          <w:iCs/>
          <w:color w:val="auto"/>
          <w:sz w:val="22"/>
          <w:szCs w:val="22"/>
        </w:rPr>
        <w:t xml:space="preserve">Administration charges are calculated on the basis set out in the Care Act and include the following (by way of </w:t>
      </w:r>
      <w:r w:rsidR="00A83801" w:rsidRPr="001F2A32">
        <w:rPr>
          <w:rFonts w:ascii="Arial" w:hAnsi="Arial" w:cs="Arial"/>
          <w:iCs/>
          <w:color w:val="auto"/>
          <w:sz w:val="22"/>
          <w:szCs w:val="22"/>
        </w:rPr>
        <w:t xml:space="preserve">minimum </w:t>
      </w:r>
      <w:r w:rsidRPr="001F2A32">
        <w:rPr>
          <w:rFonts w:ascii="Arial" w:hAnsi="Arial" w:cs="Arial"/>
          <w:iCs/>
          <w:color w:val="auto"/>
          <w:sz w:val="22"/>
          <w:szCs w:val="22"/>
        </w:rPr>
        <w:t>example only):</w:t>
      </w:r>
    </w:p>
    <w:p w14:paraId="40E558BE" w14:textId="77777777" w:rsidR="00F619FB" w:rsidRPr="001F2A32" w:rsidRDefault="00F619FB" w:rsidP="00F619FB">
      <w:pPr>
        <w:pStyle w:val="Default"/>
        <w:rPr>
          <w:rFonts w:ascii="Arial" w:hAnsi="Arial" w:cs="Arial"/>
          <w:iCs/>
          <w:color w:val="auto"/>
          <w:sz w:val="22"/>
          <w:szCs w:val="22"/>
        </w:rPr>
      </w:pPr>
    </w:p>
    <w:p w14:paraId="62F71806" w14:textId="305A5097" w:rsidR="00F619FB" w:rsidRPr="001F2A32" w:rsidRDefault="00F619FB" w:rsidP="00F619FB">
      <w:pPr>
        <w:pStyle w:val="Default"/>
        <w:numPr>
          <w:ilvl w:val="0"/>
          <w:numId w:val="35"/>
        </w:numPr>
        <w:ind w:left="1134" w:hanging="283"/>
        <w:jc w:val="both"/>
        <w:rPr>
          <w:rFonts w:ascii="Arial" w:hAnsi="Arial" w:cs="Arial"/>
          <w:iCs/>
          <w:color w:val="auto"/>
          <w:sz w:val="22"/>
          <w:szCs w:val="22"/>
        </w:rPr>
      </w:pPr>
      <w:r w:rsidRPr="001F2A32">
        <w:rPr>
          <w:rFonts w:ascii="Arial" w:hAnsi="Arial" w:cs="Arial"/>
          <w:iCs/>
          <w:color w:val="auto"/>
          <w:sz w:val="22"/>
          <w:szCs w:val="22"/>
        </w:rPr>
        <w:t xml:space="preserve">Registering a legal charge with the Land Registry or equivalent against the title of the property used as security for the DPA, including Land Registry search charges and any identity checks </w:t>
      </w:r>
      <w:proofErr w:type="gramStart"/>
      <w:r w:rsidRPr="001F2A32">
        <w:rPr>
          <w:rFonts w:ascii="Arial" w:hAnsi="Arial" w:cs="Arial"/>
          <w:iCs/>
          <w:color w:val="auto"/>
          <w:sz w:val="22"/>
          <w:szCs w:val="22"/>
        </w:rPr>
        <w:t>required</w:t>
      </w:r>
      <w:proofErr w:type="gramEnd"/>
    </w:p>
    <w:p w14:paraId="3C6183EF" w14:textId="451ACDEA" w:rsidR="00F619FB" w:rsidRPr="001F2A32" w:rsidRDefault="00F619FB" w:rsidP="00F619FB">
      <w:pPr>
        <w:pStyle w:val="Default"/>
        <w:numPr>
          <w:ilvl w:val="0"/>
          <w:numId w:val="34"/>
        </w:numPr>
        <w:ind w:left="1134" w:hanging="283"/>
        <w:jc w:val="both"/>
        <w:rPr>
          <w:rFonts w:ascii="Arial" w:hAnsi="Arial" w:cs="Arial"/>
          <w:iCs/>
          <w:color w:val="auto"/>
          <w:sz w:val="22"/>
          <w:szCs w:val="22"/>
        </w:rPr>
      </w:pPr>
      <w:r w:rsidRPr="001F2A32">
        <w:rPr>
          <w:rFonts w:ascii="Arial" w:hAnsi="Arial" w:cs="Arial"/>
          <w:iCs/>
          <w:color w:val="auto"/>
          <w:sz w:val="22"/>
          <w:szCs w:val="22"/>
        </w:rPr>
        <w:t xml:space="preserve">Cost of RICS or other specialist valuation and revaluation of the property used as security for the </w:t>
      </w:r>
      <w:proofErr w:type="gramStart"/>
      <w:r w:rsidRPr="001F2A32">
        <w:rPr>
          <w:rFonts w:ascii="Arial" w:hAnsi="Arial" w:cs="Arial"/>
          <w:iCs/>
          <w:color w:val="auto"/>
          <w:sz w:val="22"/>
          <w:szCs w:val="22"/>
        </w:rPr>
        <w:t>DPA</w:t>
      </w:r>
      <w:proofErr w:type="gramEnd"/>
    </w:p>
    <w:p w14:paraId="040F34EE" w14:textId="22089C02" w:rsidR="00F619FB" w:rsidRPr="001F2A32" w:rsidRDefault="00F619FB" w:rsidP="00F619FB">
      <w:pPr>
        <w:pStyle w:val="Default"/>
        <w:numPr>
          <w:ilvl w:val="0"/>
          <w:numId w:val="34"/>
        </w:numPr>
        <w:ind w:left="1134" w:hanging="283"/>
        <w:jc w:val="both"/>
        <w:rPr>
          <w:rFonts w:ascii="Arial" w:hAnsi="Arial" w:cs="Arial"/>
          <w:iCs/>
          <w:color w:val="auto"/>
          <w:sz w:val="22"/>
          <w:szCs w:val="22"/>
        </w:rPr>
      </w:pPr>
      <w:r w:rsidRPr="001F2A32">
        <w:rPr>
          <w:rFonts w:ascii="Arial" w:hAnsi="Arial" w:cs="Arial"/>
          <w:iCs/>
          <w:color w:val="auto"/>
          <w:sz w:val="22"/>
          <w:szCs w:val="22"/>
        </w:rPr>
        <w:t xml:space="preserve">Costs of removal of charges against the property used as security for the </w:t>
      </w:r>
      <w:proofErr w:type="gramStart"/>
      <w:r w:rsidRPr="001F2A32">
        <w:rPr>
          <w:rFonts w:ascii="Arial" w:hAnsi="Arial" w:cs="Arial"/>
          <w:iCs/>
          <w:color w:val="auto"/>
          <w:sz w:val="22"/>
          <w:szCs w:val="22"/>
        </w:rPr>
        <w:t>DPA</w:t>
      </w:r>
      <w:proofErr w:type="gramEnd"/>
    </w:p>
    <w:p w14:paraId="566E3E6A" w14:textId="77777777" w:rsidR="00F619FB" w:rsidRPr="001F2A32" w:rsidRDefault="00F619FB" w:rsidP="00F619FB">
      <w:pPr>
        <w:pStyle w:val="Default"/>
        <w:numPr>
          <w:ilvl w:val="0"/>
          <w:numId w:val="34"/>
        </w:numPr>
        <w:ind w:left="1134" w:hanging="283"/>
        <w:jc w:val="both"/>
        <w:rPr>
          <w:rFonts w:ascii="Arial" w:hAnsi="Arial" w:cs="Arial"/>
          <w:iCs/>
          <w:color w:val="auto"/>
          <w:sz w:val="22"/>
          <w:szCs w:val="22"/>
        </w:rPr>
      </w:pPr>
      <w:r w:rsidRPr="001F2A32">
        <w:rPr>
          <w:rFonts w:ascii="Arial" w:hAnsi="Arial" w:cs="Arial"/>
          <w:iCs/>
          <w:color w:val="auto"/>
          <w:sz w:val="22"/>
          <w:szCs w:val="22"/>
        </w:rPr>
        <w:t>Overheads, may include, but are not limited to, legal fees, postage, printing, management costs.</w:t>
      </w:r>
    </w:p>
    <w:p w14:paraId="5E5D4BF0" w14:textId="77777777" w:rsidR="00F619FB" w:rsidRPr="001F2A32" w:rsidRDefault="00F619FB" w:rsidP="00F619FB">
      <w:pPr>
        <w:pStyle w:val="Default"/>
        <w:ind w:left="786"/>
        <w:jc w:val="both"/>
        <w:rPr>
          <w:rFonts w:ascii="Arial" w:hAnsi="Arial" w:cs="Arial"/>
          <w:iCs/>
          <w:color w:val="auto"/>
          <w:sz w:val="22"/>
          <w:szCs w:val="22"/>
          <w:highlight w:val="yellow"/>
        </w:rPr>
      </w:pPr>
    </w:p>
    <w:p w14:paraId="3C371173" w14:textId="52B4116F" w:rsidR="00F619FB" w:rsidRPr="001F2A32" w:rsidRDefault="00FA1E65" w:rsidP="00FA1E65">
      <w:pPr>
        <w:pStyle w:val="Default"/>
        <w:jc w:val="both"/>
        <w:rPr>
          <w:rFonts w:ascii="Arial" w:hAnsi="Arial" w:cs="Arial"/>
          <w:iCs/>
          <w:color w:val="auto"/>
          <w:sz w:val="22"/>
          <w:szCs w:val="22"/>
        </w:rPr>
      </w:pPr>
      <w:bookmarkStart w:id="27" w:name="_Hlk146104559"/>
      <w:r w:rsidRPr="001F2A32">
        <w:rPr>
          <w:rFonts w:ascii="Arial" w:hAnsi="Arial" w:cs="Arial"/>
          <w:iCs/>
          <w:color w:val="auto"/>
          <w:sz w:val="22"/>
          <w:szCs w:val="22"/>
        </w:rPr>
        <w:t>For the year 2023/24, t</w:t>
      </w:r>
      <w:r w:rsidR="00F619FB" w:rsidRPr="001F2A32">
        <w:rPr>
          <w:rFonts w:ascii="Arial" w:hAnsi="Arial" w:cs="Arial"/>
          <w:iCs/>
          <w:color w:val="auto"/>
          <w:sz w:val="22"/>
          <w:szCs w:val="22"/>
        </w:rPr>
        <w:t>he total administration fee is estimated at £2</w:t>
      </w:r>
      <w:r w:rsidR="00CB2B19" w:rsidRPr="001F2A32">
        <w:rPr>
          <w:rFonts w:ascii="Arial" w:hAnsi="Arial" w:cs="Arial"/>
          <w:iCs/>
          <w:color w:val="auto"/>
          <w:sz w:val="22"/>
          <w:szCs w:val="22"/>
        </w:rPr>
        <w:t>130</w:t>
      </w:r>
      <w:r w:rsidR="00F619FB" w:rsidRPr="001F2A32">
        <w:rPr>
          <w:rFonts w:ascii="Arial" w:hAnsi="Arial" w:cs="Arial"/>
          <w:iCs/>
          <w:color w:val="auto"/>
          <w:sz w:val="22"/>
          <w:szCs w:val="22"/>
        </w:rPr>
        <w:t xml:space="preserve"> (based on the average duration of a DPA, of </w:t>
      </w:r>
      <w:r w:rsidR="00A83801" w:rsidRPr="001F2A32">
        <w:rPr>
          <w:rFonts w:ascii="Arial" w:hAnsi="Arial" w:cs="Arial"/>
          <w:iCs/>
          <w:color w:val="auto"/>
          <w:sz w:val="22"/>
          <w:szCs w:val="22"/>
        </w:rPr>
        <w:t>four</w:t>
      </w:r>
      <w:r w:rsidR="00F619FB" w:rsidRPr="001F2A32">
        <w:rPr>
          <w:rFonts w:ascii="Arial" w:hAnsi="Arial" w:cs="Arial"/>
          <w:iCs/>
          <w:color w:val="auto"/>
          <w:sz w:val="22"/>
          <w:szCs w:val="22"/>
        </w:rPr>
        <w:t xml:space="preserve"> years).  This</w:t>
      </w:r>
      <w:r w:rsidR="00CB2B19" w:rsidRPr="001F2A32">
        <w:rPr>
          <w:rFonts w:ascii="Arial" w:hAnsi="Arial" w:cs="Arial"/>
          <w:iCs/>
          <w:color w:val="auto"/>
          <w:sz w:val="22"/>
          <w:szCs w:val="22"/>
        </w:rPr>
        <w:t xml:space="preserve"> estimated</w:t>
      </w:r>
      <w:r w:rsidR="00F619FB" w:rsidRPr="001F2A32">
        <w:rPr>
          <w:rFonts w:ascii="Arial" w:hAnsi="Arial" w:cs="Arial"/>
          <w:iCs/>
          <w:color w:val="auto"/>
          <w:sz w:val="22"/>
          <w:szCs w:val="22"/>
        </w:rPr>
        <w:t xml:space="preserve"> fee is broken down as follows:  </w:t>
      </w:r>
    </w:p>
    <w:p w14:paraId="2C19F9EB" w14:textId="77777777" w:rsidR="006B6AC8" w:rsidRPr="001F2A32" w:rsidRDefault="006B6AC8" w:rsidP="00FA1E65">
      <w:pPr>
        <w:pStyle w:val="Default"/>
        <w:jc w:val="both"/>
        <w:rPr>
          <w:rFonts w:ascii="Arial" w:hAnsi="Arial" w:cs="Arial"/>
          <w:iCs/>
          <w:color w:val="auto"/>
          <w:sz w:val="22"/>
          <w:szCs w:val="22"/>
        </w:rPr>
      </w:pPr>
    </w:p>
    <w:p w14:paraId="43C9ACDA" w14:textId="77777777" w:rsidR="006B6AC8" w:rsidRPr="001F2A32" w:rsidRDefault="006B6AC8" w:rsidP="00FA1E65">
      <w:pPr>
        <w:pStyle w:val="Default"/>
        <w:jc w:val="both"/>
        <w:rPr>
          <w:rFonts w:ascii="Arial" w:hAnsi="Arial" w:cs="Arial"/>
          <w:iCs/>
          <w:color w:val="auto"/>
          <w:sz w:val="22"/>
          <w:szCs w:val="22"/>
        </w:rPr>
      </w:pPr>
    </w:p>
    <w:tbl>
      <w:tblPr>
        <w:tblW w:w="9026" w:type="dxa"/>
        <w:jc w:val="center"/>
        <w:tblCellMar>
          <w:left w:w="0" w:type="dxa"/>
          <w:right w:w="0" w:type="dxa"/>
        </w:tblCellMar>
        <w:tblLook w:val="04A0" w:firstRow="1" w:lastRow="0" w:firstColumn="1" w:lastColumn="0" w:noHBand="0" w:noVBand="1"/>
      </w:tblPr>
      <w:tblGrid>
        <w:gridCol w:w="2552"/>
        <w:gridCol w:w="7"/>
        <w:gridCol w:w="1964"/>
        <w:gridCol w:w="2552"/>
        <w:gridCol w:w="1005"/>
        <w:gridCol w:w="946"/>
      </w:tblGrid>
      <w:tr w:rsidR="001F2A32" w:rsidRPr="001F2A32" w14:paraId="1773E6B6" w14:textId="77777777" w:rsidTr="00362D54">
        <w:trPr>
          <w:trHeight w:val="600"/>
          <w:jc w:val="center"/>
        </w:trPr>
        <w:tc>
          <w:tcPr>
            <w:tcW w:w="2552" w:type="dxa"/>
            <w:shd w:val="clear" w:color="auto" w:fill="BFBFBF"/>
            <w:noWrap/>
            <w:tcMar>
              <w:top w:w="0" w:type="dxa"/>
              <w:left w:w="108" w:type="dxa"/>
              <w:bottom w:w="0" w:type="dxa"/>
              <w:right w:w="108" w:type="dxa"/>
            </w:tcMar>
            <w:vAlign w:val="bottom"/>
            <w:hideMark/>
          </w:tcPr>
          <w:p w14:paraId="27A54BC2" w14:textId="77777777" w:rsidR="00362D54" w:rsidRPr="001F2A32" w:rsidRDefault="00362D54" w:rsidP="006D29B0">
            <w:pPr>
              <w:spacing w:line="276" w:lineRule="auto"/>
              <w:rPr>
                <w:rFonts w:cs="Arial"/>
                <w:b/>
                <w:bCs/>
                <w:sz w:val="22"/>
              </w:rPr>
            </w:pPr>
            <w:r w:rsidRPr="001F2A32">
              <w:rPr>
                <w:rFonts w:cs="Arial"/>
                <w:b/>
                <w:bCs/>
                <w:sz w:val="22"/>
              </w:rPr>
              <w:t> </w:t>
            </w:r>
          </w:p>
        </w:tc>
        <w:tc>
          <w:tcPr>
            <w:tcW w:w="7" w:type="dxa"/>
            <w:shd w:val="clear" w:color="auto" w:fill="BFBFBF"/>
          </w:tcPr>
          <w:p w14:paraId="0FB1925B" w14:textId="77777777" w:rsidR="00362D54" w:rsidRPr="001F2A32" w:rsidRDefault="00362D54" w:rsidP="006D29B0">
            <w:pPr>
              <w:spacing w:line="276" w:lineRule="auto"/>
              <w:jc w:val="center"/>
              <w:rPr>
                <w:rFonts w:cs="Arial"/>
                <w:b/>
                <w:bCs/>
                <w:sz w:val="22"/>
              </w:rPr>
            </w:pPr>
          </w:p>
        </w:tc>
        <w:tc>
          <w:tcPr>
            <w:tcW w:w="1964" w:type="dxa"/>
            <w:shd w:val="clear" w:color="auto" w:fill="BFBFBF"/>
            <w:tcMar>
              <w:top w:w="0" w:type="dxa"/>
              <w:left w:w="108" w:type="dxa"/>
              <w:bottom w:w="0" w:type="dxa"/>
              <w:right w:w="108" w:type="dxa"/>
            </w:tcMar>
            <w:vAlign w:val="bottom"/>
            <w:hideMark/>
          </w:tcPr>
          <w:p w14:paraId="0B58294C" w14:textId="14E77CF5" w:rsidR="00362D54" w:rsidRPr="001F2A32" w:rsidRDefault="00362D54" w:rsidP="006D29B0">
            <w:pPr>
              <w:spacing w:line="276" w:lineRule="auto"/>
              <w:jc w:val="center"/>
              <w:rPr>
                <w:rFonts w:cs="Arial"/>
                <w:b/>
                <w:bCs/>
                <w:sz w:val="22"/>
              </w:rPr>
            </w:pPr>
            <w:r w:rsidRPr="001F2A32">
              <w:rPr>
                <w:rFonts w:cs="Arial"/>
                <w:b/>
                <w:bCs/>
                <w:sz w:val="22"/>
              </w:rPr>
              <w:t>Arrangement £</w:t>
            </w:r>
          </w:p>
        </w:tc>
        <w:tc>
          <w:tcPr>
            <w:tcW w:w="2552" w:type="dxa"/>
            <w:shd w:val="clear" w:color="auto" w:fill="BFBFBF"/>
            <w:tcMar>
              <w:top w:w="0" w:type="dxa"/>
              <w:left w:w="108" w:type="dxa"/>
              <w:bottom w:w="0" w:type="dxa"/>
              <w:right w:w="108" w:type="dxa"/>
            </w:tcMar>
            <w:vAlign w:val="bottom"/>
            <w:hideMark/>
          </w:tcPr>
          <w:p w14:paraId="5034F797" w14:textId="77777777" w:rsidR="00362D54" w:rsidRPr="001F2A32" w:rsidRDefault="00362D54" w:rsidP="006D29B0">
            <w:pPr>
              <w:spacing w:line="276" w:lineRule="auto"/>
              <w:jc w:val="center"/>
              <w:rPr>
                <w:rFonts w:cs="Arial"/>
                <w:b/>
                <w:bCs/>
                <w:sz w:val="22"/>
              </w:rPr>
            </w:pPr>
            <w:r w:rsidRPr="001F2A32">
              <w:rPr>
                <w:rFonts w:cs="Arial"/>
                <w:b/>
                <w:bCs/>
                <w:sz w:val="22"/>
              </w:rPr>
              <w:t>On-going Costs p.a. £</w:t>
            </w:r>
          </w:p>
        </w:tc>
        <w:tc>
          <w:tcPr>
            <w:tcW w:w="1005" w:type="dxa"/>
            <w:shd w:val="clear" w:color="auto" w:fill="BFBFBF"/>
          </w:tcPr>
          <w:p w14:paraId="4E6A98A8" w14:textId="77777777" w:rsidR="00362D54" w:rsidRPr="001F2A32" w:rsidRDefault="00362D54" w:rsidP="006D29B0">
            <w:pPr>
              <w:spacing w:line="276" w:lineRule="auto"/>
              <w:jc w:val="center"/>
              <w:rPr>
                <w:rFonts w:cs="Arial"/>
                <w:b/>
                <w:bCs/>
                <w:sz w:val="22"/>
              </w:rPr>
            </w:pPr>
          </w:p>
          <w:p w14:paraId="79422677" w14:textId="00C2DB7A" w:rsidR="00362D54" w:rsidRPr="001F2A32" w:rsidRDefault="00362D54" w:rsidP="006D29B0">
            <w:pPr>
              <w:spacing w:line="276" w:lineRule="auto"/>
              <w:jc w:val="center"/>
              <w:rPr>
                <w:rFonts w:cs="Arial"/>
                <w:b/>
                <w:bCs/>
                <w:sz w:val="22"/>
              </w:rPr>
            </w:pPr>
            <w:r w:rsidRPr="001F2A32">
              <w:rPr>
                <w:rFonts w:cs="Arial"/>
                <w:b/>
                <w:bCs/>
                <w:sz w:val="22"/>
              </w:rPr>
              <w:t>End £</w:t>
            </w:r>
          </w:p>
        </w:tc>
        <w:tc>
          <w:tcPr>
            <w:tcW w:w="946" w:type="dxa"/>
            <w:shd w:val="clear" w:color="auto" w:fill="BFBFBF"/>
            <w:tcMar>
              <w:top w:w="0" w:type="dxa"/>
              <w:left w:w="108" w:type="dxa"/>
              <w:bottom w:w="0" w:type="dxa"/>
              <w:right w:w="108" w:type="dxa"/>
            </w:tcMar>
            <w:vAlign w:val="bottom"/>
            <w:hideMark/>
          </w:tcPr>
          <w:p w14:paraId="1B0B316D" w14:textId="49DA1359" w:rsidR="00362D54" w:rsidRPr="001F2A32" w:rsidRDefault="00362D54" w:rsidP="006D29B0">
            <w:pPr>
              <w:spacing w:line="276" w:lineRule="auto"/>
              <w:jc w:val="center"/>
              <w:rPr>
                <w:rFonts w:cs="Arial"/>
                <w:b/>
                <w:bCs/>
                <w:sz w:val="22"/>
              </w:rPr>
            </w:pPr>
          </w:p>
        </w:tc>
      </w:tr>
      <w:tr w:rsidR="001F2A32" w:rsidRPr="001F2A32" w14:paraId="416CDDA4" w14:textId="77777777" w:rsidTr="00362D54">
        <w:trPr>
          <w:trHeight w:val="300"/>
          <w:jc w:val="center"/>
        </w:trPr>
        <w:tc>
          <w:tcPr>
            <w:tcW w:w="2552" w:type="dxa"/>
            <w:noWrap/>
            <w:tcMar>
              <w:top w:w="0" w:type="dxa"/>
              <w:left w:w="108" w:type="dxa"/>
              <w:bottom w:w="0" w:type="dxa"/>
              <w:right w:w="108" w:type="dxa"/>
            </w:tcMar>
            <w:vAlign w:val="bottom"/>
            <w:hideMark/>
          </w:tcPr>
          <w:p w14:paraId="54668BDD" w14:textId="77777777" w:rsidR="00362D54" w:rsidRPr="001F2A32" w:rsidRDefault="00362D54" w:rsidP="006D29B0">
            <w:pPr>
              <w:spacing w:line="276" w:lineRule="auto"/>
              <w:rPr>
                <w:rFonts w:cs="Arial"/>
                <w:sz w:val="22"/>
              </w:rPr>
            </w:pPr>
            <w:r w:rsidRPr="001F2A32">
              <w:rPr>
                <w:rFonts w:cs="Arial"/>
                <w:sz w:val="22"/>
              </w:rPr>
              <w:t>Valuation</w:t>
            </w:r>
          </w:p>
        </w:tc>
        <w:tc>
          <w:tcPr>
            <w:tcW w:w="7" w:type="dxa"/>
          </w:tcPr>
          <w:p w14:paraId="37BA41C7" w14:textId="77777777" w:rsidR="00362D54" w:rsidRPr="001F2A32" w:rsidRDefault="00362D54" w:rsidP="006D29B0">
            <w:pPr>
              <w:spacing w:line="276" w:lineRule="auto"/>
              <w:jc w:val="right"/>
              <w:rPr>
                <w:rFonts w:cs="Arial"/>
                <w:sz w:val="22"/>
              </w:rPr>
            </w:pPr>
          </w:p>
        </w:tc>
        <w:tc>
          <w:tcPr>
            <w:tcW w:w="1964" w:type="dxa"/>
            <w:noWrap/>
            <w:tcMar>
              <w:top w:w="0" w:type="dxa"/>
              <w:left w:w="108" w:type="dxa"/>
              <w:bottom w:w="0" w:type="dxa"/>
              <w:right w:w="108" w:type="dxa"/>
            </w:tcMar>
            <w:vAlign w:val="bottom"/>
            <w:hideMark/>
          </w:tcPr>
          <w:p w14:paraId="7D107C84" w14:textId="36786D62" w:rsidR="00362D54" w:rsidRPr="001F2A32" w:rsidRDefault="00362D54" w:rsidP="006D29B0">
            <w:pPr>
              <w:spacing w:line="276" w:lineRule="auto"/>
              <w:jc w:val="right"/>
              <w:rPr>
                <w:rFonts w:cs="Arial"/>
                <w:sz w:val="22"/>
              </w:rPr>
            </w:pPr>
            <w:r w:rsidRPr="001F2A32">
              <w:rPr>
                <w:rFonts w:cs="Arial"/>
                <w:sz w:val="22"/>
              </w:rPr>
              <w:t>350</w:t>
            </w:r>
          </w:p>
        </w:tc>
        <w:tc>
          <w:tcPr>
            <w:tcW w:w="2552" w:type="dxa"/>
            <w:noWrap/>
            <w:tcMar>
              <w:top w:w="0" w:type="dxa"/>
              <w:left w:w="108" w:type="dxa"/>
              <w:bottom w:w="0" w:type="dxa"/>
              <w:right w:w="108" w:type="dxa"/>
            </w:tcMar>
            <w:vAlign w:val="bottom"/>
            <w:hideMark/>
          </w:tcPr>
          <w:p w14:paraId="7C85CEFB" w14:textId="685443FB" w:rsidR="00362D54" w:rsidRPr="001F2A32" w:rsidRDefault="00362D54" w:rsidP="006D29B0">
            <w:pPr>
              <w:spacing w:line="276" w:lineRule="auto"/>
              <w:jc w:val="right"/>
              <w:rPr>
                <w:rFonts w:cs="Arial"/>
                <w:sz w:val="22"/>
              </w:rPr>
            </w:pPr>
            <w:r w:rsidRPr="001F2A32">
              <w:rPr>
                <w:rFonts w:cs="Arial"/>
                <w:sz w:val="22"/>
              </w:rPr>
              <w:t>75</w:t>
            </w:r>
          </w:p>
        </w:tc>
        <w:tc>
          <w:tcPr>
            <w:tcW w:w="1005" w:type="dxa"/>
          </w:tcPr>
          <w:p w14:paraId="6D1AD496" w14:textId="0CD3DB59" w:rsidR="00362D54" w:rsidRPr="001F2A32" w:rsidRDefault="00362D54" w:rsidP="006D29B0">
            <w:pPr>
              <w:spacing w:line="276" w:lineRule="auto"/>
              <w:jc w:val="right"/>
              <w:rPr>
                <w:rFonts w:cs="Arial"/>
                <w:sz w:val="22"/>
              </w:rPr>
            </w:pPr>
            <w:r w:rsidRPr="001F2A32">
              <w:rPr>
                <w:rFonts w:cs="Arial"/>
                <w:sz w:val="22"/>
              </w:rPr>
              <w:t>0</w:t>
            </w:r>
          </w:p>
        </w:tc>
        <w:tc>
          <w:tcPr>
            <w:tcW w:w="946" w:type="dxa"/>
            <w:noWrap/>
            <w:tcMar>
              <w:top w:w="0" w:type="dxa"/>
              <w:left w:w="108" w:type="dxa"/>
              <w:bottom w:w="0" w:type="dxa"/>
              <w:right w:w="108" w:type="dxa"/>
            </w:tcMar>
            <w:vAlign w:val="bottom"/>
            <w:hideMark/>
          </w:tcPr>
          <w:p w14:paraId="34627D47" w14:textId="67358FA0" w:rsidR="00362D54" w:rsidRPr="001F2A32" w:rsidRDefault="00362D54" w:rsidP="006D29B0">
            <w:pPr>
              <w:spacing w:line="276" w:lineRule="auto"/>
              <w:jc w:val="right"/>
              <w:rPr>
                <w:rFonts w:cs="Arial"/>
                <w:sz w:val="22"/>
              </w:rPr>
            </w:pPr>
          </w:p>
        </w:tc>
      </w:tr>
      <w:tr w:rsidR="001F2A32" w:rsidRPr="001F2A32" w14:paraId="5CB91435" w14:textId="77777777" w:rsidTr="00362D54">
        <w:trPr>
          <w:trHeight w:val="300"/>
          <w:jc w:val="center"/>
        </w:trPr>
        <w:tc>
          <w:tcPr>
            <w:tcW w:w="2552" w:type="dxa"/>
            <w:noWrap/>
            <w:tcMar>
              <w:top w:w="0" w:type="dxa"/>
              <w:left w:w="108" w:type="dxa"/>
              <w:bottom w:w="0" w:type="dxa"/>
              <w:right w:w="108" w:type="dxa"/>
            </w:tcMar>
            <w:vAlign w:val="bottom"/>
            <w:hideMark/>
          </w:tcPr>
          <w:p w14:paraId="087FB60C" w14:textId="77777777" w:rsidR="00362D54" w:rsidRPr="001F2A32" w:rsidRDefault="00362D54" w:rsidP="006D29B0">
            <w:pPr>
              <w:spacing w:line="276" w:lineRule="auto"/>
              <w:rPr>
                <w:rFonts w:cs="Arial"/>
                <w:sz w:val="22"/>
              </w:rPr>
            </w:pPr>
            <w:r w:rsidRPr="001F2A32">
              <w:rPr>
                <w:rFonts w:cs="Arial"/>
                <w:sz w:val="22"/>
              </w:rPr>
              <w:t>Visiting Officer</w:t>
            </w:r>
          </w:p>
        </w:tc>
        <w:tc>
          <w:tcPr>
            <w:tcW w:w="7" w:type="dxa"/>
          </w:tcPr>
          <w:p w14:paraId="0D7A7B63" w14:textId="77777777" w:rsidR="00362D54" w:rsidRPr="001F2A32" w:rsidRDefault="00362D54" w:rsidP="006D29B0">
            <w:pPr>
              <w:spacing w:line="276" w:lineRule="auto"/>
              <w:jc w:val="right"/>
              <w:rPr>
                <w:rFonts w:cs="Arial"/>
                <w:sz w:val="22"/>
              </w:rPr>
            </w:pPr>
          </w:p>
        </w:tc>
        <w:tc>
          <w:tcPr>
            <w:tcW w:w="1964" w:type="dxa"/>
            <w:noWrap/>
            <w:tcMar>
              <w:top w:w="0" w:type="dxa"/>
              <w:left w:w="108" w:type="dxa"/>
              <w:bottom w:w="0" w:type="dxa"/>
              <w:right w:w="108" w:type="dxa"/>
            </w:tcMar>
            <w:vAlign w:val="bottom"/>
            <w:hideMark/>
          </w:tcPr>
          <w:p w14:paraId="26779931" w14:textId="27194A85" w:rsidR="00362D54" w:rsidRPr="001F2A32" w:rsidRDefault="00362D54" w:rsidP="006D29B0">
            <w:pPr>
              <w:spacing w:line="276" w:lineRule="auto"/>
              <w:jc w:val="right"/>
              <w:rPr>
                <w:rFonts w:cs="Arial"/>
                <w:sz w:val="22"/>
              </w:rPr>
            </w:pPr>
            <w:r w:rsidRPr="001F2A32">
              <w:rPr>
                <w:rFonts w:cs="Arial"/>
                <w:sz w:val="22"/>
              </w:rPr>
              <w:t>125</w:t>
            </w:r>
          </w:p>
        </w:tc>
        <w:tc>
          <w:tcPr>
            <w:tcW w:w="2552" w:type="dxa"/>
            <w:noWrap/>
            <w:tcMar>
              <w:top w:w="0" w:type="dxa"/>
              <w:left w:w="108" w:type="dxa"/>
              <w:bottom w:w="0" w:type="dxa"/>
              <w:right w:w="108" w:type="dxa"/>
            </w:tcMar>
            <w:vAlign w:val="bottom"/>
            <w:hideMark/>
          </w:tcPr>
          <w:p w14:paraId="553CB46E" w14:textId="77777777" w:rsidR="00362D54" w:rsidRPr="001F2A32" w:rsidRDefault="00362D54" w:rsidP="006D29B0">
            <w:pPr>
              <w:spacing w:line="276" w:lineRule="auto"/>
              <w:jc w:val="right"/>
              <w:rPr>
                <w:rFonts w:cs="Arial"/>
                <w:sz w:val="22"/>
              </w:rPr>
            </w:pPr>
            <w:r w:rsidRPr="001F2A32">
              <w:rPr>
                <w:rFonts w:cs="Arial"/>
                <w:sz w:val="22"/>
              </w:rPr>
              <w:t>40</w:t>
            </w:r>
          </w:p>
        </w:tc>
        <w:tc>
          <w:tcPr>
            <w:tcW w:w="1005" w:type="dxa"/>
          </w:tcPr>
          <w:p w14:paraId="5B1AF9B1" w14:textId="72D727B1" w:rsidR="00362D54" w:rsidRPr="001F2A32" w:rsidRDefault="00362D54" w:rsidP="006D29B0">
            <w:pPr>
              <w:spacing w:line="276" w:lineRule="auto"/>
              <w:jc w:val="right"/>
              <w:rPr>
                <w:rFonts w:cs="Arial"/>
                <w:sz w:val="22"/>
              </w:rPr>
            </w:pPr>
            <w:r w:rsidRPr="001F2A32">
              <w:rPr>
                <w:rFonts w:cs="Arial"/>
                <w:sz w:val="22"/>
              </w:rPr>
              <w:t>125</w:t>
            </w:r>
          </w:p>
        </w:tc>
        <w:tc>
          <w:tcPr>
            <w:tcW w:w="946" w:type="dxa"/>
            <w:noWrap/>
            <w:tcMar>
              <w:top w:w="0" w:type="dxa"/>
              <w:left w:w="108" w:type="dxa"/>
              <w:bottom w:w="0" w:type="dxa"/>
              <w:right w:w="108" w:type="dxa"/>
            </w:tcMar>
            <w:vAlign w:val="bottom"/>
            <w:hideMark/>
          </w:tcPr>
          <w:p w14:paraId="14E2D2AE" w14:textId="79635595" w:rsidR="00362D54" w:rsidRPr="001F2A32" w:rsidRDefault="00362D54" w:rsidP="006D29B0">
            <w:pPr>
              <w:spacing w:line="276" w:lineRule="auto"/>
              <w:jc w:val="right"/>
              <w:rPr>
                <w:rFonts w:cs="Arial"/>
                <w:sz w:val="22"/>
              </w:rPr>
            </w:pPr>
          </w:p>
        </w:tc>
      </w:tr>
      <w:tr w:rsidR="001F2A32" w:rsidRPr="001F2A32" w14:paraId="6F57F08B" w14:textId="77777777" w:rsidTr="00362D54">
        <w:trPr>
          <w:trHeight w:val="300"/>
          <w:jc w:val="center"/>
        </w:trPr>
        <w:tc>
          <w:tcPr>
            <w:tcW w:w="2552" w:type="dxa"/>
            <w:noWrap/>
            <w:tcMar>
              <w:top w:w="0" w:type="dxa"/>
              <w:left w:w="108" w:type="dxa"/>
              <w:bottom w:w="0" w:type="dxa"/>
              <w:right w:w="108" w:type="dxa"/>
            </w:tcMar>
            <w:vAlign w:val="bottom"/>
            <w:hideMark/>
          </w:tcPr>
          <w:p w14:paraId="43491B88" w14:textId="77777777" w:rsidR="00362D54" w:rsidRPr="001F2A32" w:rsidRDefault="00362D54" w:rsidP="006D29B0">
            <w:pPr>
              <w:spacing w:line="276" w:lineRule="auto"/>
              <w:rPr>
                <w:rFonts w:cs="Arial"/>
                <w:sz w:val="22"/>
              </w:rPr>
            </w:pPr>
            <w:r w:rsidRPr="001F2A32">
              <w:rPr>
                <w:rFonts w:cs="Arial"/>
                <w:sz w:val="22"/>
              </w:rPr>
              <w:t>Legal Fees</w:t>
            </w:r>
          </w:p>
        </w:tc>
        <w:tc>
          <w:tcPr>
            <w:tcW w:w="7" w:type="dxa"/>
          </w:tcPr>
          <w:p w14:paraId="507CA396" w14:textId="77777777" w:rsidR="00362D54" w:rsidRPr="001F2A32" w:rsidRDefault="00362D54" w:rsidP="006D29B0">
            <w:pPr>
              <w:spacing w:line="276" w:lineRule="auto"/>
              <w:jc w:val="right"/>
              <w:rPr>
                <w:rFonts w:cs="Arial"/>
                <w:sz w:val="22"/>
              </w:rPr>
            </w:pPr>
          </w:p>
        </w:tc>
        <w:tc>
          <w:tcPr>
            <w:tcW w:w="1964" w:type="dxa"/>
            <w:noWrap/>
            <w:tcMar>
              <w:top w:w="0" w:type="dxa"/>
              <w:left w:w="108" w:type="dxa"/>
              <w:bottom w:w="0" w:type="dxa"/>
              <w:right w:w="108" w:type="dxa"/>
            </w:tcMar>
            <w:vAlign w:val="bottom"/>
            <w:hideMark/>
          </w:tcPr>
          <w:p w14:paraId="66B207EC" w14:textId="60AF42F3" w:rsidR="00362D54" w:rsidRPr="001F2A32" w:rsidRDefault="00362D54" w:rsidP="006D29B0">
            <w:pPr>
              <w:spacing w:line="276" w:lineRule="auto"/>
              <w:jc w:val="right"/>
              <w:rPr>
                <w:rFonts w:cs="Arial"/>
                <w:sz w:val="22"/>
              </w:rPr>
            </w:pPr>
            <w:r w:rsidRPr="001F2A32">
              <w:rPr>
                <w:rFonts w:cs="Arial"/>
                <w:sz w:val="22"/>
              </w:rPr>
              <w:t>600</w:t>
            </w:r>
          </w:p>
        </w:tc>
        <w:tc>
          <w:tcPr>
            <w:tcW w:w="2552" w:type="dxa"/>
            <w:noWrap/>
            <w:tcMar>
              <w:top w:w="0" w:type="dxa"/>
              <w:left w:w="108" w:type="dxa"/>
              <w:bottom w:w="0" w:type="dxa"/>
              <w:right w:w="108" w:type="dxa"/>
            </w:tcMar>
            <w:vAlign w:val="bottom"/>
            <w:hideMark/>
          </w:tcPr>
          <w:p w14:paraId="56E6C891" w14:textId="03C0F092" w:rsidR="00362D54" w:rsidRPr="001F2A32" w:rsidRDefault="00362D54" w:rsidP="00CA5002">
            <w:pPr>
              <w:jc w:val="right"/>
              <w:rPr>
                <w:rFonts w:cs="Arial"/>
                <w:sz w:val="22"/>
              </w:rPr>
            </w:pPr>
            <w:r w:rsidRPr="001F2A32">
              <w:rPr>
                <w:rFonts w:cs="Arial"/>
                <w:sz w:val="22"/>
              </w:rPr>
              <w:t>0</w:t>
            </w:r>
          </w:p>
        </w:tc>
        <w:tc>
          <w:tcPr>
            <w:tcW w:w="1005" w:type="dxa"/>
          </w:tcPr>
          <w:p w14:paraId="0C181B6E" w14:textId="3E1288AE" w:rsidR="00362D54" w:rsidRPr="001F2A32" w:rsidRDefault="00362D54" w:rsidP="006D29B0">
            <w:pPr>
              <w:spacing w:line="276" w:lineRule="auto"/>
              <w:jc w:val="right"/>
              <w:rPr>
                <w:rFonts w:cs="Arial"/>
                <w:sz w:val="22"/>
              </w:rPr>
            </w:pPr>
            <w:r w:rsidRPr="001F2A32">
              <w:rPr>
                <w:rFonts w:cs="Arial"/>
                <w:sz w:val="22"/>
              </w:rPr>
              <w:t>300</w:t>
            </w:r>
          </w:p>
        </w:tc>
        <w:tc>
          <w:tcPr>
            <w:tcW w:w="946" w:type="dxa"/>
            <w:noWrap/>
            <w:tcMar>
              <w:top w:w="0" w:type="dxa"/>
              <w:left w:w="108" w:type="dxa"/>
              <w:bottom w:w="0" w:type="dxa"/>
              <w:right w:w="108" w:type="dxa"/>
            </w:tcMar>
            <w:vAlign w:val="bottom"/>
            <w:hideMark/>
          </w:tcPr>
          <w:p w14:paraId="6EA948BA" w14:textId="4293E059" w:rsidR="00362D54" w:rsidRPr="001F2A32" w:rsidRDefault="00362D54" w:rsidP="006D29B0">
            <w:pPr>
              <w:spacing w:line="276" w:lineRule="auto"/>
              <w:jc w:val="right"/>
              <w:rPr>
                <w:rFonts w:cs="Arial"/>
                <w:sz w:val="22"/>
              </w:rPr>
            </w:pPr>
          </w:p>
        </w:tc>
      </w:tr>
      <w:tr w:rsidR="001F2A32" w:rsidRPr="001F2A32" w14:paraId="043CB1E3" w14:textId="77777777" w:rsidTr="00362D54">
        <w:trPr>
          <w:trHeight w:val="300"/>
          <w:jc w:val="center"/>
        </w:trPr>
        <w:tc>
          <w:tcPr>
            <w:tcW w:w="2552" w:type="dxa"/>
            <w:noWrap/>
            <w:tcMar>
              <w:top w:w="0" w:type="dxa"/>
              <w:left w:w="108" w:type="dxa"/>
              <w:bottom w:w="0" w:type="dxa"/>
              <w:right w:w="108" w:type="dxa"/>
            </w:tcMar>
            <w:vAlign w:val="bottom"/>
            <w:hideMark/>
          </w:tcPr>
          <w:p w14:paraId="1BB3F0C5" w14:textId="7D91FD3D" w:rsidR="00362D54" w:rsidRPr="001F2A32" w:rsidRDefault="00362D54" w:rsidP="006D29B0">
            <w:pPr>
              <w:spacing w:line="276" w:lineRule="auto"/>
              <w:rPr>
                <w:rFonts w:cs="Arial"/>
                <w:sz w:val="22"/>
              </w:rPr>
            </w:pPr>
            <w:r w:rsidRPr="001F2A32">
              <w:rPr>
                <w:rFonts w:cs="Arial"/>
                <w:sz w:val="22"/>
              </w:rPr>
              <w:t>Council costs</w:t>
            </w:r>
          </w:p>
        </w:tc>
        <w:tc>
          <w:tcPr>
            <w:tcW w:w="7" w:type="dxa"/>
          </w:tcPr>
          <w:p w14:paraId="08AB4CC7" w14:textId="77777777" w:rsidR="00362D54" w:rsidRPr="001F2A32" w:rsidRDefault="00362D54" w:rsidP="006D29B0">
            <w:pPr>
              <w:spacing w:line="276" w:lineRule="auto"/>
              <w:jc w:val="right"/>
              <w:rPr>
                <w:rFonts w:cs="Arial"/>
                <w:sz w:val="22"/>
              </w:rPr>
            </w:pPr>
          </w:p>
        </w:tc>
        <w:tc>
          <w:tcPr>
            <w:tcW w:w="1964" w:type="dxa"/>
            <w:noWrap/>
            <w:tcMar>
              <w:top w:w="0" w:type="dxa"/>
              <w:left w:w="108" w:type="dxa"/>
              <w:bottom w:w="0" w:type="dxa"/>
              <w:right w:w="108" w:type="dxa"/>
            </w:tcMar>
            <w:vAlign w:val="bottom"/>
            <w:hideMark/>
          </w:tcPr>
          <w:p w14:paraId="61287B2C" w14:textId="5BE1A2D7" w:rsidR="00362D54" w:rsidRPr="001F2A32" w:rsidRDefault="00362D54" w:rsidP="006D29B0">
            <w:pPr>
              <w:spacing w:line="276" w:lineRule="auto"/>
              <w:jc w:val="right"/>
              <w:rPr>
                <w:rFonts w:cs="Arial"/>
                <w:sz w:val="22"/>
              </w:rPr>
            </w:pPr>
            <w:r w:rsidRPr="001F2A32">
              <w:rPr>
                <w:rFonts w:cs="Arial"/>
                <w:sz w:val="22"/>
              </w:rPr>
              <w:t>25</w:t>
            </w:r>
          </w:p>
        </w:tc>
        <w:tc>
          <w:tcPr>
            <w:tcW w:w="2552" w:type="dxa"/>
            <w:noWrap/>
            <w:tcMar>
              <w:top w:w="0" w:type="dxa"/>
              <w:left w:w="108" w:type="dxa"/>
              <w:bottom w:w="0" w:type="dxa"/>
              <w:right w:w="108" w:type="dxa"/>
            </w:tcMar>
            <w:vAlign w:val="bottom"/>
            <w:hideMark/>
          </w:tcPr>
          <w:p w14:paraId="690A3D5E" w14:textId="11445F32" w:rsidR="00362D54" w:rsidRPr="001F2A32" w:rsidRDefault="00362D54" w:rsidP="006D29B0">
            <w:pPr>
              <w:spacing w:line="276" w:lineRule="auto"/>
              <w:jc w:val="right"/>
              <w:rPr>
                <w:rFonts w:cs="Arial"/>
                <w:sz w:val="22"/>
              </w:rPr>
            </w:pPr>
            <w:r w:rsidRPr="001F2A32">
              <w:rPr>
                <w:rFonts w:cs="Arial"/>
                <w:sz w:val="22"/>
              </w:rPr>
              <w:t>30</w:t>
            </w:r>
          </w:p>
        </w:tc>
        <w:tc>
          <w:tcPr>
            <w:tcW w:w="1005" w:type="dxa"/>
          </w:tcPr>
          <w:p w14:paraId="3C3721B6" w14:textId="58818B0A" w:rsidR="00362D54" w:rsidRPr="001F2A32" w:rsidRDefault="00362D54" w:rsidP="006D29B0">
            <w:pPr>
              <w:spacing w:line="276" w:lineRule="auto"/>
              <w:jc w:val="right"/>
              <w:rPr>
                <w:rFonts w:cs="Arial"/>
                <w:sz w:val="22"/>
              </w:rPr>
            </w:pPr>
            <w:r w:rsidRPr="001F2A32">
              <w:rPr>
                <w:rFonts w:cs="Arial"/>
                <w:sz w:val="22"/>
              </w:rPr>
              <w:t>25</w:t>
            </w:r>
          </w:p>
        </w:tc>
        <w:tc>
          <w:tcPr>
            <w:tcW w:w="946" w:type="dxa"/>
            <w:noWrap/>
            <w:tcMar>
              <w:top w:w="0" w:type="dxa"/>
              <w:left w:w="108" w:type="dxa"/>
              <w:bottom w:w="0" w:type="dxa"/>
              <w:right w:w="108" w:type="dxa"/>
            </w:tcMar>
            <w:vAlign w:val="bottom"/>
            <w:hideMark/>
          </w:tcPr>
          <w:p w14:paraId="48E13F0D" w14:textId="11F0A89F" w:rsidR="00362D54" w:rsidRPr="001F2A32" w:rsidRDefault="00362D54" w:rsidP="006D29B0">
            <w:pPr>
              <w:spacing w:line="276" w:lineRule="auto"/>
              <w:jc w:val="right"/>
              <w:rPr>
                <w:rFonts w:cs="Arial"/>
                <w:sz w:val="22"/>
              </w:rPr>
            </w:pPr>
          </w:p>
        </w:tc>
      </w:tr>
      <w:tr w:rsidR="001F2A32" w:rsidRPr="001F2A32" w14:paraId="02BA576C" w14:textId="77777777" w:rsidTr="00362D54">
        <w:trPr>
          <w:trHeight w:val="300"/>
          <w:jc w:val="center"/>
        </w:trPr>
        <w:tc>
          <w:tcPr>
            <w:tcW w:w="2552" w:type="dxa"/>
            <w:noWrap/>
            <w:tcMar>
              <w:top w:w="0" w:type="dxa"/>
              <w:left w:w="108" w:type="dxa"/>
              <w:bottom w:w="0" w:type="dxa"/>
              <w:right w:w="108" w:type="dxa"/>
            </w:tcMar>
            <w:vAlign w:val="bottom"/>
            <w:hideMark/>
          </w:tcPr>
          <w:p w14:paraId="278114FA" w14:textId="02B961BD" w:rsidR="00362D54" w:rsidRPr="001F2A32" w:rsidRDefault="00362D54" w:rsidP="006D29B0">
            <w:pPr>
              <w:rPr>
                <w:rFonts w:cs="Arial"/>
                <w:sz w:val="22"/>
              </w:rPr>
            </w:pPr>
            <w:r w:rsidRPr="001F2A32">
              <w:rPr>
                <w:rFonts w:cs="Arial"/>
                <w:sz w:val="22"/>
              </w:rPr>
              <w:t>Subtotal</w:t>
            </w:r>
          </w:p>
        </w:tc>
        <w:tc>
          <w:tcPr>
            <w:tcW w:w="7" w:type="dxa"/>
          </w:tcPr>
          <w:p w14:paraId="44EF3D7A" w14:textId="77777777" w:rsidR="00362D54" w:rsidRPr="001F2A32" w:rsidRDefault="00362D54" w:rsidP="006D29B0">
            <w:pPr>
              <w:spacing w:line="276" w:lineRule="auto"/>
              <w:jc w:val="right"/>
              <w:rPr>
                <w:rFonts w:cs="Arial"/>
                <w:b/>
                <w:sz w:val="22"/>
              </w:rPr>
            </w:pPr>
          </w:p>
        </w:tc>
        <w:tc>
          <w:tcPr>
            <w:tcW w:w="1964" w:type="dxa"/>
            <w:noWrap/>
            <w:tcMar>
              <w:top w:w="0" w:type="dxa"/>
              <w:left w:w="108" w:type="dxa"/>
              <w:bottom w:w="0" w:type="dxa"/>
              <w:right w:w="108" w:type="dxa"/>
            </w:tcMar>
            <w:vAlign w:val="bottom"/>
            <w:hideMark/>
          </w:tcPr>
          <w:p w14:paraId="1E0E878D" w14:textId="41F5334B" w:rsidR="00362D54" w:rsidRPr="001F2A32" w:rsidRDefault="00362D54" w:rsidP="006D29B0">
            <w:pPr>
              <w:spacing w:line="276" w:lineRule="auto"/>
              <w:jc w:val="right"/>
              <w:rPr>
                <w:rFonts w:cs="Arial"/>
                <w:b/>
                <w:sz w:val="22"/>
              </w:rPr>
            </w:pPr>
            <w:r w:rsidRPr="001F2A32">
              <w:rPr>
                <w:rFonts w:cs="Arial"/>
                <w:b/>
                <w:sz w:val="22"/>
              </w:rPr>
              <w:t>1100</w:t>
            </w:r>
          </w:p>
        </w:tc>
        <w:tc>
          <w:tcPr>
            <w:tcW w:w="2552" w:type="dxa"/>
            <w:noWrap/>
            <w:tcMar>
              <w:top w:w="0" w:type="dxa"/>
              <w:left w:w="108" w:type="dxa"/>
              <w:bottom w:w="0" w:type="dxa"/>
              <w:right w:w="108" w:type="dxa"/>
            </w:tcMar>
            <w:vAlign w:val="bottom"/>
            <w:hideMark/>
          </w:tcPr>
          <w:p w14:paraId="2E72DFB3" w14:textId="4527B4C5" w:rsidR="00362D54" w:rsidRPr="001F2A32" w:rsidRDefault="00362D54" w:rsidP="006D29B0">
            <w:pPr>
              <w:spacing w:line="276" w:lineRule="auto"/>
              <w:jc w:val="right"/>
              <w:rPr>
                <w:rFonts w:cs="Arial"/>
                <w:b/>
                <w:sz w:val="22"/>
              </w:rPr>
            </w:pPr>
            <w:r w:rsidRPr="001F2A32">
              <w:rPr>
                <w:rFonts w:cs="Arial"/>
                <w:b/>
                <w:sz w:val="22"/>
              </w:rPr>
              <w:t>145</w:t>
            </w:r>
          </w:p>
        </w:tc>
        <w:tc>
          <w:tcPr>
            <w:tcW w:w="1005" w:type="dxa"/>
          </w:tcPr>
          <w:p w14:paraId="044FF3D9" w14:textId="5DD33CA6" w:rsidR="00362D54" w:rsidRPr="001F2A32" w:rsidRDefault="001F2A32" w:rsidP="006D29B0">
            <w:pPr>
              <w:spacing w:line="276" w:lineRule="auto"/>
              <w:jc w:val="right"/>
              <w:rPr>
                <w:rFonts w:cs="Arial"/>
                <w:b/>
                <w:sz w:val="22"/>
              </w:rPr>
            </w:pPr>
            <w:r w:rsidRPr="001F2A32">
              <w:rPr>
                <w:rFonts w:cs="Arial"/>
                <w:b/>
                <w:sz w:val="22"/>
              </w:rPr>
              <w:t>45</w:t>
            </w:r>
            <w:r w:rsidR="00362D54" w:rsidRPr="001F2A32">
              <w:rPr>
                <w:rFonts w:cs="Arial"/>
                <w:b/>
                <w:sz w:val="22"/>
              </w:rPr>
              <w:t>0</w:t>
            </w:r>
          </w:p>
        </w:tc>
        <w:tc>
          <w:tcPr>
            <w:tcW w:w="946" w:type="dxa"/>
            <w:noWrap/>
            <w:tcMar>
              <w:top w:w="0" w:type="dxa"/>
              <w:left w:w="108" w:type="dxa"/>
              <w:bottom w:w="0" w:type="dxa"/>
              <w:right w:w="108" w:type="dxa"/>
            </w:tcMar>
            <w:vAlign w:val="bottom"/>
            <w:hideMark/>
          </w:tcPr>
          <w:p w14:paraId="07FCA7B4" w14:textId="1E2BD3E0" w:rsidR="00362D54" w:rsidRPr="001F2A32" w:rsidRDefault="00362D54" w:rsidP="006D29B0">
            <w:pPr>
              <w:spacing w:line="276" w:lineRule="auto"/>
              <w:jc w:val="right"/>
              <w:rPr>
                <w:rFonts w:cs="Arial"/>
                <w:b/>
                <w:sz w:val="22"/>
              </w:rPr>
            </w:pPr>
          </w:p>
        </w:tc>
      </w:tr>
      <w:tr w:rsidR="00362D54" w:rsidRPr="001F2A32" w14:paraId="0C28F5D9" w14:textId="77777777" w:rsidTr="00362D54">
        <w:trPr>
          <w:trHeight w:val="300"/>
          <w:jc w:val="center"/>
        </w:trPr>
        <w:tc>
          <w:tcPr>
            <w:tcW w:w="2552" w:type="dxa"/>
            <w:noWrap/>
            <w:tcMar>
              <w:top w:w="0" w:type="dxa"/>
              <w:left w:w="108" w:type="dxa"/>
              <w:bottom w:w="0" w:type="dxa"/>
              <w:right w:w="108" w:type="dxa"/>
            </w:tcMar>
            <w:vAlign w:val="bottom"/>
          </w:tcPr>
          <w:p w14:paraId="25F27E13" w14:textId="533E5BE3" w:rsidR="00362D54" w:rsidRPr="001F2A32" w:rsidRDefault="00362D54" w:rsidP="006D29B0">
            <w:pPr>
              <w:rPr>
                <w:rFonts w:cs="Arial"/>
                <w:sz w:val="22"/>
              </w:rPr>
            </w:pPr>
            <w:r w:rsidRPr="001F2A32">
              <w:rPr>
                <w:rFonts w:cs="Arial"/>
                <w:sz w:val="22"/>
              </w:rPr>
              <w:t>Grand total (estimated, if over four years)</w:t>
            </w:r>
          </w:p>
        </w:tc>
        <w:tc>
          <w:tcPr>
            <w:tcW w:w="7" w:type="dxa"/>
          </w:tcPr>
          <w:p w14:paraId="62DB6F00" w14:textId="77777777" w:rsidR="00362D54" w:rsidRPr="001F2A32" w:rsidRDefault="00362D54" w:rsidP="006D29B0">
            <w:pPr>
              <w:spacing w:line="276" w:lineRule="auto"/>
              <w:jc w:val="right"/>
              <w:rPr>
                <w:rFonts w:cs="Arial"/>
                <w:b/>
                <w:sz w:val="22"/>
              </w:rPr>
            </w:pPr>
          </w:p>
        </w:tc>
        <w:tc>
          <w:tcPr>
            <w:tcW w:w="1964" w:type="dxa"/>
            <w:noWrap/>
            <w:tcMar>
              <w:top w:w="0" w:type="dxa"/>
              <w:left w:w="108" w:type="dxa"/>
              <w:bottom w:w="0" w:type="dxa"/>
              <w:right w:w="108" w:type="dxa"/>
            </w:tcMar>
            <w:vAlign w:val="bottom"/>
          </w:tcPr>
          <w:p w14:paraId="173E3383" w14:textId="25AFFF5A" w:rsidR="00362D54" w:rsidRPr="001F2A32" w:rsidRDefault="001F2A32" w:rsidP="006D29B0">
            <w:pPr>
              <w:spacing w:line="276" w:lineRule="auto"/>
              <w:jc w:val="right"/>
              <w:rPr>
                <w:rFonts w:cs="Arial"/>
                <w:b/>
                <w:sz w:val="22"/>
              </w:rPr>
            </w:pPr>
            <w:r w:rsidRPr="001F2A32">
              <w:rPr>
                <w:rFonts w:cs="Arial"/>
                <w:b/>
                <w:sz w:val="22"/>
              </w:rPr>
              <w:t>1100</w:t>
            </w:r>
          </w:p>
        </w:tc>
        <w:tc>
          <w:tcPr>
            <w:tcW w:w="2552" w:type="dxa"/>
            <w:noWrap/>
            <w:tcMar>
              <w:top w:w="0" w:type="dxa"/>
              <w:left w:w="108" w:type="dxa"/>
              <w:bottom w:w="0" w:type="dxa"/>
              <w:right w:w="108" w:type="dxa"/>
            </w:tcMar>
            <w:vAlign w:val="bottom"/>
          </w:tcPr>
          <w:p w14:paraId="484ADA44" w14:textId="710D9993" w:rsidR="00362D54" w:rsidRPr="001F2A32" w:rsidRDefault="001F2A32" w:rsidP="006D29B0">
            <w:pPr>
              <w:spacing w:line="276" w:lineRule="auto"/>
              <w:jc w:val="right"/>
              <w:rPr>
                <w:rFonts w:cs="Arial"/>
                <w:b/>
                <w:sz w:val="22"/>
              </w:rPr>
            </w:pPr>
            <w:r w:rsidRPr="001F2A32">
              <w:rPr>
                <w:rFonts w:cs="Arial"/>
                <w:b/>
                <w:sz w:val="22"/>
              </w:rPr>
              <w:t>(145 x 4) 580</w:t>
            </w:r>
          </w:p>
        </w:tc>
        <w:tc>
          <w:tcPr>
            <w:tcW w:w="1005" w:type="dxa"/>
          </w:tcPr>
          <w:p w14:paraId="17340ADF" w14:textId="77777777" w:rsidR="001F2A32" w:rsidRPr="001F2A32" w:rsidRDefault="001F2A32" w:rsidP="006D29B0">
            <w:pPr>
              <w:spacing w:line="276" w:lineRule="auto"/>
              <w:jc w:val="right"/>
              <w:rPr>
                <w:rFonts w:cs="Arial"/>
                <w:b/>
                <w:sz w:val="22"/>
              </w:rPr>
            </w:pPr>
          </w:p>
          <w:p w14:paraId="664DB384" w14:textId="546DE697" w:rsidR="00362D54" w:rsidRPr="001F2A32" w:rsidRDefault="001F2A32" w:rsidP="006D29B0">
            <w:pPr>
              <w:spacing w:line="276" w:lineRule="auto"/>
              <w:jc w:val="right"/>
              <w:rPr>
                <w:rFonts w:cs="Arial"/>
                <w:b/>
                <w:sz w:val="22"/>
              </w:rPr>
            </w:pPr>
            <w:r w:rsidRPr="001F2A32">
              <w:rPr>
                <w:rFonts w:cs="Arial"/>
                <w:b/>
                <w:sz w:val="22"/>
              </w:rPr>
              <w:t>450</w:t>
            </w:r>
          </w:p>
        </w:tc>
        <w:tc>
          <w:tcPr>
            <w:tcW w:w="946" w:type="dxa"/>
            <w:noWrap/>
            <w:tcMar>
              <w:top w:w="0" w:type="dxa"/>
              <w:left w:w="108" w:type="dxa"/>
              <w:bottom w:w="0" w:type="dxa"/>
              <w:right w:w="108" w:type="dxa"/>
            </w:tcMar>
            <w:vAlign w:val="bottom"/>
          </w:tcPr>
          <w:p w14:paraId="7AA44CF3" w14:textId="03C3B487" w:rsidR="00362D54" w:rsidRPr="001F2A32" w:rsidRDefault="001F2A32" w:rsidP="006D29B0">
            <w:pPr>
              <w:spacing w:line="276" w:lineRule="auto"/>
              <w:jc w:val="right"/>
              <w:rPr>
                <w:rFonts w:cs="Arial"/>
                <w:b/>
                <w:sz w:val="22"/>
              </w:rPr>
            </w:pPr>
            <w:r w:rsidRPr="001F2A32">
              <w:rPr>
                <w:rFonts w:cs="Arial"/>
                <w:b/>
                <w:sz w:val="22"/>
              </w:rPr>
              <w:t>2130</w:t>
            </w:r>
          </w:p>
        </w:tc>
      </w:tr>
      <w:bookmarkEnd w:id="27"/>
    </w:tbl>
    <w:p w14:paraId="41B87219" w14:textId="77777777" w:rsidR="00F619FB" w:rsidRPr="001F2A32" w:rsidRDefault="00F619FB" w:rsidP="00F619FB">
      <w:pPr>
        <w:pStyle w:val="Default"/>
        <w:ind w:left="567"/>
        <w:jc w:val="both"/>
        <w:rPr>
          <w:rFonts w:ascii="Arial" w:hAnsi="Arial" w:cs="Arial"/>
          <w:iCs/>
          <w:color w:val="auto"/>
          <w:sz w:val="22"/>
          <w:szCs w:val="22"/>
        </w:rPr>
      </w:pPr>
    </w:p>
    <w:p w14:paraId="5BFDF4D6" w14:textId="459276AC" w:rsidR="00F619FB" w:rsidRPr="001F2A32" w:rsidRDefault="00F619FB" w:rsidP="00FA1E65">
      <w:pPr>
        <w:pStyle w:val="Default"/>
        <w:jc w:val="both"/>
        <w:rPr>
          <w:rFonts w:ascii="Arial" w:hAnsi="Arial" w:cs="Arial"/>
          <w:iCs/>
          <w:color w:val="auto"/>
          <w:sz w:val="22"/>
          <w:szCs w:val="22"/>
        </w:rPr>
      </w:pPr>
      <w:r w:rsidRPr="001F2A32">
        <w:rPr>
          <w:rFonts w:ascii="Arial" w:hAnsi="Arial" w:cs="Arial"/>
          <w:iCs/>
          <w:color w:val="auto"/>
          <w:sz w:val="22"/>
          <w:szCs w:val="22"/>
        </w:rPr>
        <w:t>For those renting out their property, there will be an additional charge</w:t>
      </w:r>
      <w:r w:rsidR="00CB2B19" w:rsidRPr="001F2A32">
        <w:rPr>
          <w:rFonts w:ascii="Arial" w:hAnsi="Arial" w:cs="Arial"/>
          <w:iCs/>
          <w:color w:val="auto"/>
          <w:sz w:val="22"/>
          <w:szCs w:val="22"/>
        </w:rPr>
        <w:t xml:space="preserve"> of at least £90</w:t>
      </w:r>
      <w:r w:rsidRPr="001F2A32">
        <w:rPr>
          <w:rFonts w:ascii="Arial" w:hAnsi="Arial" w:cs="Arial"/>
          <w:iCs/>
          <w:color w:val="auto"/>
          <w:sz w:val="22"/>
          <w:szCs w:val="22"/>
        </w:rPr>
        <w:t>, to cover the Council’s solicitor’s fees in checking the required tenancy agreement.</w:t>
      </w:r>
    </w:p>
    <w:p w14:paraId="38A698B9" w14:textId="77777777" w:rsidR="00F619FB" w:rsidRPr="001F2A32" w:rsidRDefault="00F619FB" w:rsidP="00F619FB">
      <w:pPr>
        <w:pStyle w:val="Default"/>
        <w:ind w:left="567"/>
        <w:jc w:val="both"/>
        <w:rPr>
          <w:rFonts w:ascii="Arial" w:hAnsi="Arial" w:cs="Arial"/>
          <w:iCs/>
          <w:color w:val="auto"/>
          <w:sz w:val="22"/>
          <w:szCs w:val="22"/>
          <w:highlight w:val="yellow"/>
        </w:rPr>
      </w:pPr>
    </w:p>
    <w:p w14:paraId="49B0901C" w14:textId="38595D86" w:rsidR="006428FE" w:rsidRPr="001F2A32" w:rsidRDefault="006428FE" w:rsidP="00FA1E65">
      <w:pPr>
        <w:pStyle w:val="Default"/>
        <w:jc w:val="both"/>
        <w:rPr>
          <w:rFonts w:ascii="Arial" w:hAnsi="Arial" w:cs="Arial"/>
          <w:iCs/>
          <w:color w:val="auto"/>
          <w:sz w:val="22"/>
          <w:szCs w:val="22"/>
        </w:rPr>
      </w:pPr>
      <w:r w:rsidRPr="001F2A32">
        <w:rPr>
          <w:rFonts w:ascii="Arial" w:hAnsi="Arial" w:cs="Arial"/>
          <w:iCs/>
          <w:color w:val="auto"/>
          <w:sz w:val="22"/>
          <w:szCs w:val="22"/>
        </w:rPr>
        <w:t xml:space="preserve">The above is an estimate </w:t>
      </w:r>
      <w:proofErr w:type="gramStart"/>
      <w:r w:rsidRPr="001F2A32">
        <w:rPr>
          <w:rFonts w:ascii="Arial" w:hAnsi="Arial" w:cs="Arial"/>
          <w:iCs/>
          <w:color w:val="auto"/>
          <w:sz w:val="22"/>
          <w:szCs w:val="22"/>
        </w:rPr>
        <w:t>only</w:t>
      </w:r>
      <w:r w:rsidR="00A83801" w:rsidRPr="001F2A32">
        <w:rPr>
          <w:rFonts w:ascii="Arial" w:hAnsi="Arial" w:cs="Arial"/>
          <w:iCs/>
          <w:color w:val="auto"/>
          <w:sz w:val="22"/>
          <w:szCs w:val="22"/>
        </w:rPr>
        <w:t>, but</w:t>
      </w:r>
      <w:proofErr w:type="gramEnd"/>
      <w:r w:rsidR="00A83801" w:rsidRPr="001F2A32">
        <w:rPr>
          <w:rFonts w:ascii="Arial" w:hAnsi="Arial" w:cs="Arial"/>
          <w:iCs/>
          <w:color w:val="auto"/>
          <w:sz w:val="22"/>
          <w:szCs w:val="22"/>
        </w:rPr>
        <w:t xml:space="preserve"> is likely to be the minimum which the adult will pay</w:t>
      </w:r>
      <w:r w:rsidRPr="001F2A32">
        <w:rPr>
          <w:rFonts w:ascii="Arial" w:hAnsi="Arial" w:cs="Arial"/>
          <w:iCs/>
          <w:color w:val="auto"/>
          <w:sz w:val="22"/>
          <w:szCs w:val="22"/>
        </w:rPr>
        <w:t xml:space="preserve">.  The actual fee will depend on individual circumstances.  </w:t>
      </w:r>
    </w:p>
    <w:p w14:paraId="1DC6D2F6" w14:textId="77777777" w:rsidR="006428FE" w:rsidRPr="001F2A32" w:rsidRDefault="006428FE" w:rsidP="00FA1E65">
      <w:pPr>
        <w:pStyle w:val="Default"/>
        <w:jc w:val="both"/>
        <w:rPr>
          <w:rFonts w:ascii="Arial" w:hAnsi="Arial" w:cs="Arial"/>
          <w:iCs/>
          <w:color w:val="auto"/>
          <w:sz w:val="22"/>
          <w:szCs w:val="22"/>
        </w:rPr>
      </w:pPr>
    </w:p>
    <w:p w14:paraId="6A3DC905" w14:textId="6F97FA16" w:rsidR="00F619FB" w:rsidRPr="001F2A32" w:rsidRDefault="006428FE" w:rsidP="00FA1E65">
      <w:pPr>
        <w:pStyle w:val="Default"/>
        <w:jc w:val="both"/>
        <w:rPr>
          <w:rFonts w:ascii="Arial" w:hAnsi="Arial" w:cs="Arial"/>
          <w:iCs/>
          <w:color w:val="auto"/>
          <w:sz w:val="22"/>
          <w:szCs w:val="22"/>
        </w:rPr>
      </w:pPr>
      <w:r w:rsidRPr="001F2A32">
        <w:rPr>
          <w:rFonts w:ascii="Arial" w:hAnsi="Arial" w:cs="Arial"/>
          <w:iCs/>
          <w:color w:val="auto"/>
          <w:sz w:val="22"/>
          <w:szCs w:val="22"/>
        </w:rPr>
        <w:t>F</w:t>
      </w:r>
      <w:r w:rsidR="00F619FB" w:rsidRPr="001F2A32">
        <w:rPr>
          <w:rFonts w:ascii="Arial" w:hAnsi="Arial" w:cs="Arial"/>
          <w:iCs/>
          <w:color w:val="auto"/>
          <w:sz w:val="22"/>
          <w:szCs w:val="22"/>
        </w:rPr>
        <w:t>ee</w:t>
      </w:r>
      <w:r w:rsidRPr="001F2A32">
        <w:rPr>
          <w:rFonts w:ascii="Arial" w:hAnsi="Arial" w:cs="Arial"/>
          <w:iCs/>
          <w:color w:val="auto"/>
          <w:sz w:val="22"/>
          <w:szCs w:val="22"/>
        </w:rPr>
        <w:t>s</w:t>
      </w:r>
      <w:r w:rsidR="00F619FB" w:rsidRPr="001F2A32">
        <w:rPr>
          <w:rFonts w:ascii="Arial" w:hAnsi="Arial" w:cs="Arial"/>
          <w:iCs/>
          <w:color w:val="auto"/>
          <w:sz w:val="22"/>
          <w:szCs w:val="22"/>
        </w:rPr>
        <w:t xml:space="preserve"> </w:t>
      </w:r>
      <w:r w:rsidRPr="001F2A32">
        <w:rPr>
          <w:rFonts w:ascii="Arial" w:hAnsi="Arial" w:cs="Arial"/>
          <w:iCs/>
          <w:color w:val="auto"/>
          <w:sz w:val="22"/>
          <w:szCs w:val="22"/>
        </w:rPr>
        <w:t>are</w:t>
      </w:r>
      <w:r w:rsidR="00CB2B19" w:rsidRPr="001F2A32">
        <w:rPr>
          <w:rFonts w:ascii="Arial" w:hAnsi="Arial" w:cs="Arial"/>
          <w:iCs/>
          <w:color w:val="auto"/>
          <w:sz w:val="22"/>
          <w:szCs w:val="22"/>
        </w:rPr>
        <w:t xml:space="preserve"> reviewed </w:t>
      </w:r>
      <w:proofErr w:type="gramStart"/>
      <w:r w:rsidR="00CB2B19" w:rsidRPr="001F2A32">
        <w:rPr>
          <w:rFonts w:ascii="Arial" w:hAnsi="Arial" w:cs="Arial"/>
          <w:iCs/>
          <w:color w:val="auto"/>
          <w:sz w:val="22"/>
          <w:szCs w:val="22"/>
        </w:rPr>
        <w:t>regularly</w:t>
      </w:r>
      <w:r w:rsidR="00F619FB" w:rsidRPr="001F2A32">
        <w:rPr>
          <w:rFonts w:ascii="Arial" w:hAnsi="Arial" w:cs="Arial"/>
          <w:iCs/>
          <w:color w:val="auto"/>
          <w:sz w:val="22"/>
          <w:szCs w:val="22"/>
        </w:rPr>
        <w:t>, and</w:t>
      </w:r>
      <w:proofErr w:type="gramEnd"/>
      <w:r w:rsidR="00F619FB" w:rsidRPr="001F2A32">
        <w:rPr>
          <w:rFonts w:ascii="Arial" w:hAnsi="Arial" w:cs="Arial"/>
          <w:iCs/>
          <w:color w:val="auto"/>
          <w:sz w:val="22"/>
          <w:szCs w:val="22"/>
        </w:rPr>
        <w:t xml:space="preserve"> </w:t>
      </w:r>
      <w:r w:rsidRPr="001F2A32">
        <w:rPr>
          <w:rFonts w:ascii="Arial" w:hAnsi="Arial" w:cs="Arial"/>
          <w:iCs/>
          <w:color w:val="auto"/>
          <w:sz w:val="22"/>
          <w:szCs w:val="22"/>
        </w:rPr>
        <w:t>are</w:t>
      </w:r>
      <w:r w:rsidR="00F619FB" w:rsidRPr="001F2A32">
        <w:rPr>
          <w:rFonts w:ascii="Arial" w:hAnsi="Arial" w:cs="Arial"/>
          <w:iCs/>
          <w:color w:val="auto"/>
          <w:sz w:val="22"/>
          <w:szCs w:val="22"/>
        </w:rPr>
        <w:t xml:space="preserve"> therefore subject to change.  </w:t>
      </w:r>
    </w:p>
    <w:p w14:paraId="631A3498" w14:textId="77777777" w:rsidR="009128D2" w:rsidRPr="001F2A32" w:rsidRDefault="009128D2" w:rsidP="00FA1E65">
      <w:pPr>
        <w:pStyle w:val="Default"/>
        <w:jc w:val="both"/>
        <w:rPr>
          <w:rFonts w:ascii="Arial" w:hAnsi="Arial" w:cs="Arial"/>
          <w:iCs/>
          <w:color w:val="auto"/>
          <w:sz w:val="22"/>
          <w:szCs w:val="22"/>
        </w:rPr>
      </w:pPr>
    </w:p>
    <w:p w14:paraId="5F55C085" w14:textId="24DC2C2E" w:rsidR="00F619FB" w:rsidRPr="001F2A32" w:rsidRDefault="009128D2" w:rsidP="009128D2">
      <w:pPr>
        <w:pStyle w:val="Default"/>
        <w:jc w:val="both"/>
        <w:rPr>
          <w:rFonts w:ascii="Arial" w:hAnsi="Arial" w:cs="Arial"/>
          <w:iCs/>
          <w:color w:val="auto"/>
          <w:sz w:val="22"/>
          <w:szCs w:val="22"/>
        </w:rPr>
      </w:pPr>
      <w:r w:rsidRPr="001F2A32">
        <w:rPr>
          <w:rFonts w:ascii="Arial" w:hAnsi="Arial" w:cs="Arial"/>
          <w:iCs/>
          <w:color w:val="auto"/>
          <w:sz w:val="22"/>
          <w:szCs w:val="22"/>
        </w:rPr>
        <w:t>Charges will continue to be levied until the DPA is terminated, and all matters in respect of its termination are concluded.</w:t>
      </w:r>
    </w:p>
    <w:p w14:paraId="523480ED" w14:textId="272C8615" w:rsidR="000B294A" w:rsidRPr="001F2A32" w:rsidRDefault="00FA1E65" w:rsidP="00FA1E65">
      <w:pPr>
        <w:pStyle w:val="Heading3"/>
        <w:rPr>
          <w:color w:val="auto"/>
        </w:rPr>
      </w:pPr>
      <w:bookmarkStart w:id="28" w:name="_Toc146189065"/>
      <w:r w:rsidRPr="001F2A32">
        <w:rPr>
          <w:color w:val="auto"/>
        </w:rPr>
        <w:t>4.7.3</w:t>
      </w:r>
      <w:r w:rsidRPr="001F2A32">
        <w:rPr>
          <w:color w:val="auto"/>
        </w:rPr>
        <w:tab/>
        <w:t>treatment of interest and administration charges</w:t>
      </w:r>
      <w:bookmarkEnd w:id="28"/>
    </w:p>
    <w:p w14:paraId="08F962A3" w14:textId="393B4012" w:rsidR="00FA1E65" w:rsidRPr="001F2A32" w:rsidRDefault="00FA1E65" w:rsidP="000B294A">
      <w:pPr>
        <w:pStyle w:val="Default"/>
        <w:tabs>
          <w:tab w:val="left" w:pos="851"/>
        </w:tabs>
        <w:jc w:val="both"/>
        <w:rPr>
          <w:rFonts w:ascii="Arial" w:hAnsi="Arial" w:cs="Arial"/>
          <w:iCs/>
          <w:color w:val="auto"/>
          <w:sz w:val="22"/>
          <w:szCs w:val="22"/>
        </w:rPr>
      </w:pPr>
      <w:r w:rsidRPr="001F2A32">
        <w:rPr>
          <w:rFonts w:ascii="Arial" w:hAnsi="Arial" w:cs="Arial"/>
          <w:iCs/>
          <w:color w:val="auto"/>
          <w:sz w:val="22"/>
          <w:szCs w:val="22"/>
        </w:rPr>
        <w:t>Interest and administration charges and will be added on to the total amount deferred as they are accrued, although the adult may request to pay these separately.</w:t>
      </w:r>
    </w:p>
    <w:p w14:paraId="69D26CAB" w14:textId="77777777" w:rsidR="00FA1E65" w:rsidRPr="001F2A32" w:rsidRDefault="00FA1E65" w:rsidP="000B294A">
      <w:pPr>
        <w:pStyle w:val="Default"/>
        <w:tabs>
          <w:tab w:val="left" w:pos="851"/>
        </w:tabs>
        <w:jc w:val="both"/>
        <w:rPr>
          <w:rFonts w:ascii="Arial" w:hAnsi="Arial" w:cs="Arial"/>
          <w:iCs/>
          <w:color w:val="auto"/>
          <w:sz w:val="22"/>
          <w:szCs w:val="22"/>
        </w:rPr>
      </w:pPr>
    </w:p>
    <w:p w14:paraId="2D5DA040" w14:textId="5A0DD9BB" w:rsidR="00FA1E65" w:rsidRPr="001F2A32" w:rsidRDefault="00FA1E65" w:rsidP="00FA1E65">
      <w:pPr>
        <w:pStyle w:val="Default"/>
        <w:jc w:val="both"/>
        <w:rPr>
          <w:rFonts w:ascii="Arial" w:hAnsi="Arial" w:cs="Arial"/>
          <w:iCs/>
          <w:color w:val="auto"/>
          <w:sz w:val="22"/>
          <w:szCs w:val="22"/>
        </w:rPr>
      </w:pPr>
      <w:r w:rsidRPr="001F2A32">
        <w:rPr>
          <w:rFonts w:ascii="Arial" w:hAnsi="Arial" w:cs="Arial"/>
          <w:iCs/>
          <w:color w:val="auto"/>
          <w:sz w:val="22"/>
          <w:szCs w:val="22"/>
        </w:rPr>
        <w:t xml:space="preserve">When calculating progress towards the equity limit, the Council will also include any interest and/or </w:t>
      </w:r>
      <w:r w:rsidR="009128D2" w:rsidRPr="001F2A32">
        <w:rPr>
          <w:rFonts w:ascii="Arial" w:hAnsi="Arial" w:cs="Arial"/>
          <w:iCs/>
          <w:color w:val="auto"/>
          <w:sz w:val="22"/>
          <w:szCs w:val="22"/>
        </w:rPr>
        <w:t>charge</w:t>
      </w:r>
      <w:r w:rsidRPr="001F2A32">
        <w:rPr>
          <w:rFonts w:ascii="Arial" w:hAnsi="Arial" w:cs="Arial"/>
          <w:iCs/>
          <w:color w:val="auto"/>
          <w:sz w:val="22"/>
          <w:szCs w:val="22"/>
        </w:rPr>
        <w:t>s to be deferred.</w:t>
      </w:r>
    </w:p>
    <w:p w14:paraId="334F1AB9" w14:textId="77777777" w:rsidR="00F1717A" w:rsidRPr="001F2A32" w:rsidRDefault="00F1717A" w:rsidP="00FA1E65">
      <w:pPr>
        <w:pStyle w:val="Default"/>
        <w:jc w:val="both"/>
        <w:rPr>
          <w:rFonts w:ascii="Arial" w:hAnsi="Arial" w:cs="Arial"/>
          <w:iCs/>
          <w:color w:val="auto"/>
          <w:sz w:val="22"/>
          <w:szCs w:val="22"/>
        </w:rPr>
      </w:pPr>
    </w:p>
    <w:p w14:paraId="101FDABF" w14:textId="76D6DFFE" w:rsidR="00F1717A" w:rsidRPr="001F2A32" w:rsidRDefault="00F1717A" w:rsidP="00F1717A">
      <w:pPr>
        <w:pStyle w:val="Heading3"/>
        <w:rPr>
          <w:color w:val="auto"/>
        </w:rPr>
      </w:pPr>
      <w:bookmarkStart w:id="29" w:name="_Toc146189066"/>
      <w:r w:rsidRPr="001F2A32">
        <w:rPr>
          <w:color w:val="auto"/>
        </w:rPr>
        <w:t>4.8</w:t>
      </w:r>
      <w:r w:rsidRPr="001F2A32">
        <w:rPr>
          <w:color w:val="auto"/>
        </w:rPr>
        <w:tab/>
        <w:t xml:space="preserve">Making the DPA </w:t>
      </w:r>
      <w:proofErr w:type="gramStart"/>
      <w:r w:rsidRPr="001F2A32">
        <w:rPr>
          <w:color w:val="auto"/>
        </w:rPr>
        <w:t>agreement</w:t>
      </w:r>
      <w:bookmarkEnd w:id="29"/>
      <w:proofErr w:type="gramEnd"/>
    </w:p>
    <w:p w14:paraId="05EB8E5F" w14:textId="41985C28" w:rsidR="00F1717A" w:rsidRPr="001F2A32" w:rsidRDefault="00F1717A" w:rsidP="00F1717A">
      <w:pPr>
        <w:pStyle w:val="pf0"/>
        <w:rPr>
          <w:rFonts w:ascii="Arial" w:eastAsiaTheme="minorHAnsi" w:hAnsi="Arial" w:cs="Arial"/>
          <w:iCs/>
          <w:sz w:val="22"/>
          <w:szCs w:val="22"/>
          <w:lang w:eastAsia="en-US"/>
        </w:rPr>
      </w:pPr>
      <w:r w:rsidRPr="001F2A32">
        <w:rPr>
          <w:rFonts w:ascii="Arial" w:hAnsi="Arial" w:cs="Arial"/>
          <w:iCs/>
          <w:sz w:val="22"/>
          <w:szCs w:val="22"/>
        </w:rPr>
        <w:t xml:space="preserve">The Council aims to finalise and have the DPA in place by the end of the 12-week disregard period (where applicable).  Where arrangements for a DPA are terminated before completion, for example because the adult’s property sells within the 12-week disregard period, the Council will seek to recover from the adult all costs incurred by it in progressing the DPA.  Such are likely to include (but may not be limited to) valuation costs, legal fees, </w:t>
      </w:r>
      <w:proofErr w:type="gramStart"/>
      <w:r w:rsidRPr="001F2A32">
        <w:rPr>
          <w:rFonts w:ascii="Arial" w:eastAsiaTheme="minorHAnsi" w:hAnsi="Arial" w:cs="Arial"/>
          <w:iCs/>
          <w:sz w:val="22"/>
          <w:szCs w:val="22"/>
          <w:lang w:eastAsia="en-US"/>
        </w:rPr>
        <w:t>overheads</w:t>
      </w:r>
      <w:proofErr w:type="gramEnd"/>
      <w:r w:rsidRPr="001F2A32">
        <w:rPr>
          <w:rFonts w:ascii="Arial" w:eastAsiaTheme="minorHAnsi" w:hAnsi="Arial" w:cs="Arial"/>
          <w:iCs/>
          <w:sz w:val="22"/>
          <w:szCs w:val="22"/>
          <w:lang w:eastAsia="en-US"/>
        </w:rPr>
        <w:t xml:space="preserve"> and staffing costs.  </w:t>
      </w:r>
    </w:p>
    <w:p w14:paraId="38C19486" w14:textId="6AF3842B" w:rsidR="00F1717A" w:rsidRPr="001F2A32" w:rsidRDefault="00F1717A" w:rsidP="00F1717A">
      <w:pPr>
        <w:pStyle w:val="Default"/>
        <w:jc w:val="both"/>
        <w:rPr>
          <w:rFonts w:ascii="Arial" w:hAnsi="Arial" w:cs="Arial"/>
          <w:iCs/>
          <w:color w:val="auto"/>
          <w:sz w:val="22"/>
          <w:szCs w:val="22"/>
        </w:rPr>
      </w:pPr>
      <w:r w:rsidRPr="001F2A32">
        <w:rPr>
          <w:rFonts w:ascii="Arial" w:hAnsi="Arial" w:cs="Arial"/>
          <w:iCs/>
          <w:color w:val="auto"/>
          <w:sz w:val="22"/>
          <w:szCs w:val="22"/>
        </w:rPr>
        <w:t xml:space="preserve">The DPA must be signed as a deed.  It will clearly set out all terms, </w:t>
      </w:r>
      <w:proofErr w:type="gramStart"/>
      <w:r w:rsidRPr="001F2A32">
        <w:rPr>
          <w:rFonts w:ascii="Arial" w:hAnsi="Arial" w:cs="Arial"/>
          <w:iCs/>
          <w:color w:val="auto"/>
          <w:sz w:val="22"/>
          <w:szCs w:val="22"/>
        </w:rPr>
        <w:t>conditions</w:t>
      </w:r>
      <w:proofErr w:type="gramEnd"/>
      <w:r w:rsidRPr="001F2A32">
        <w:rPr>
          <w:rFonts w:ascii="Arial" w:hAnsi="Arial" w:cs="Arial"/>
          <w:iCs/>
          <w:color w:val="auto"/>
          <w:sz w:val="22"/>
          <w:szCs w:val="22"/>
        </w:rPr>
        <w:t xml:space="preserve"> and information necessary to enable the adult to understand their rights and obligations under the agreement.</w:t>
      </w:r>
    </w:p>
    <w:p w14:paraId="48C3B6BE" w14:textId="77777777" w:rsidR="00F1717A" w:rsidRPr="001F2A32" w:rsidRDefault="00F1717A" w:rsidP="00FA1E65">
      <w:pPr>
        <w:pStyle w:val="Default"/>
        <w:jc w:val="both"/>
        <w:rPr>
          <w:rFonts w:ascii="Arial" w:hAnsi="Arial" w:cs="Arial"/>
          <w:iCs/>
          <w:color w:val="auto"/>
          <w:sz w:val="22"/>
          <w:szCs w:val="22"/>
        </w:rPr>
      </w:pPr>
    </w:p>
    <w:p w14:paraId="415564F5" w14:textId="319F99A5" w:rsidR="00FA1E65" w:rsidRPr="001F2A32" w:rsidRDefault="00F1717A" w:rsidP="00F1717A">
      <w:pPr>
        <w:pStyle w:val="Heading4"/>
        <w:rPr>
          <w:color w:val="auto"/>
        </w:rPr>
      </w:pPr>
      <w:bookmarkStart w:id="30" w:name="_Toc146189067"/>
      <w:r w:rsidRPr="001F2A32">
        <w:rPr>
          <w:color w:val="auto"/>
        </w:rPr>
        <w:t>4.9</w:t>
      </w:r>
      <w:r w:rsidRPr="001F2A32">
        <w:rPr>
          <w:color w:val="auto"/>
        </w:rPr>
        <w:tab/>
        <w:t>Impact on financial assessment</w:t>
      </w:r>
      <w:bookmarkEnd w:id="30"/>
    </w:p>
    <w:p w14:paraId="38650E2F" w14:textId="77777777" w:rsidR="00F1717A" w:rsidRPr="001F2A32" w:rsidRDefault="00F1717A" w:rsidP="00F1717A">
      <w:pPr>
        <w:pStyle w:val="Default"/>
        <w:jc w:val="both"/>
        <w:rPr>
          <w:rFonts w:ascii="Arial" w:hAnsi="Arial" w:cs="Arial"/>
          <w:iCs/>
          <w:color w:val="auto"/>
          <w:sz w:val="22"/>
          <w:szCs w:val="22"/>
        </w:rPr>
      </w:pPr>
    </w:p>
    <w:p w14:paraId="66987EAB" w14:textId="63225D60" w:rsidR="00F1717A" w:rsidRPr="001F2A32" w:rsidRDefault="00F1717A" w:rsidP="00F1717A">
      <w:pPr>
        <w:pStyle w:val="Default"/>
        <w:jc w:val="both"/>
        <w:rPr>
          <w:rFonts w:ascii="Arial" w:hAnsi="Arial" w:cs="Arial"/>
          <w:iCs/>
          <w:color w:val="auto"/>
          <w:sz w:val="22"/>
          <w:szCs w:val="22"/>
        </w:rPr>
      </w:pPr>
      <w:r w:rsidRPr="001F2A32">
        <w:rPr>
          <w:rFonts w:ascii="Arial" w:hAnsi="Arial" w:cs="Arial"/>
          <w:iCs/>
          <w:color w:val="auto"/>
          <w:sz w:val="22"/>
          <w:szCs w:val="22"/>
        </w:rPr>
        <w:t>Six monthly written updates of the amount of fees deferred, of interest and administrative charges accrued to date, and of the total amount due and the equity remaining in the property (the “equity” limit) will be provided.  A statement on request will be provided within 28 days.</w:t>
      </w:r>
    </w:p>
    <w:p w14:paraId="244C505E" w14:textId="77777777" w:rsidR="00AA2BEF" w:rsidRPr="001F2A32" w:rsidRDefault="00AA2BEF" w:rsidP="00F1717A">
      <w:pPr>
        <w:pStyle w:val="Default"/>
        <w:jc w:val="both"/>
        <w:rPr>
          <w:rFonts w:ascii="Arial" w:hAnsi="Arial" w:cs="Arial"/>
          <w:iCs/>
          <w:color w:val="auto"/>
          <w:sz w:val="22"/>
          <w:szCs w:val="22"/>
        </w:rPr>
      </w:pPr>
    </w:p>
    <w:p w14:paraId="75E15316" w14:textId="77577869" w:rsidR="00AA2BEF" w:rsidRPr="001F2A32" w:rsidRDefault="00AA2BEF" w:rsidP="00AA2BEF">
      <w:pPr>
        <w:pStyle w:val="Heading3"/>
        <w:rPr>
          <w:color w:val="auto"/>
        </w:rPr>
      </w:pPr>
      <w:bookmarkStart w:id="31" w:name="_Toc146189068"/>
      <w:r w:rsidRPr="001F2A32">
        <w:rPr>
          <w:color w:val="auto"/>
        </w:rPr>
        <w:t>4.10</w:t>
      </w:r>
      <w:r w:rsidRPr="001F2A32">
        <w:rPr>
          <w:color w:val="auto"/>
        </w:rPr>
        <w:tab/>
        <w:t xml:space="preserve">Contractual responsibilities for adults, arising from the </w:t>
      </w:r>
      <w:proofErr w:type="gramStart"/>
      <w:r w:rsidRPr="001F2A32">
        <w:rPr>
          <w:color w:val="auto"/>
        </w:rPr>
        <w:t>DPA</w:t>
      </w:r>
      <w:bookmarkEnd w:id="31"/>
      <w:proofErr w:type="gramEnd"/>
    </w:p>
    <w:p w14:paraId="64430B86" w14:textId="045B0E9D" w:rsidR="00AA2BEF" w:rsidRPr="001F2A32" w:rsidRDefault="00AA2BEF" w:rsidP="00AA2BEF">
      <w:pPr>
        <w:pStyle w:val="Default"/>
        <w:jc w:val="both"/>
        <w:rPr>
          <w:rFonts w:ascii="Arial" w:hAnsi="Arial" w:cs="Arial"/>
          <w:iCs/>
          <w:color w:val="auto"/>
          <w:sz w:val="22"/>
          <w:szCs w:val="22"/>
        </w:rPr>
      </w:pPr>
      <w:r w:rsidRPr="001F2A32">
        <w:rPr>
          <w:rFonts w:ascii="Arial" w:hAnsi="Arial" w:cs="Arial"/>
          <w:iCs/>
          <w:color w:val="auto"/>
          <w:sz w:val="22"/>
          <w:szCs w:val="22"/>
        </w:rPr>
        <w:t>The DPA sets out the various contractual requirements o</w:t>
      </w:r>
      <w:r w:rsidR="00A83801" w:rsidRPr="001F2A32">
        <w:rPr>
          <w:rFonts w:ascii="Arial" w:hAnsi="Arial" w:cs="Arial"/>
          <w:iCs/>
          <w:color w:val="auto"/>
          <w:sz w:val="22"/>
          <w:szCs w:val="22"/>
        </w:rPr>
        <w:t>f</w:t>
      </w:r>
      <w:r w:rsidRPr="001F2A32">
        <w:rPr>
          <w:rFonts w:ascii="Arial" w:hAnsi="Arial" w:cs="Arial"/>
          <w:iCs/>
          <w:color w:val="auto"/>
          <w:sz w:val="22"/>
          <w:szCs w:val="22"/>
        </w:rPr>
        <w:t xml:space="preserve"> the adult as well as the Council.</w:t>
      </w:r>
    </w:p>
    <w:p w14:paraId="6F21A295" w14:textId="77777777" w:rsidR="00AA2BEF" w:rsidRPr="001F2A32" w:rsidRDefault="00AA2BEF" w:rsidP="00AA2BEF">
      <w:pPr>
        <w:pStyle w:val="Default"/>
        <w:jc w:val="both"/>
        <w:rPr>
          <w:rFonts w:ascii="Arial" w:hAnsi="Arial" w:cs="Arial"/>
          <w:iCs/>
          <w:color w:val="auto"/>
          <w:sz w:val="22"/>
          <w:szCs w:val="22"/>
        </w:rPr>
      </w:pPr>
    </w:p>
    <w:p w14:paraId="25AC1B28" w14:textId="0756C87D" w:rsidR="00AA2BEF" w:rsidRPr="001F2A32" w:rsidRDefault="00AA2BEF" w:rsidP="00AA2BEF">
      <w:pPr>
        <w:pStyle w:val="Heading3"/>
        <w:rPr>
          <w:color w:val="auto"/>
        </w:rPr>
      </w:pPr>
      <w:bookmarkStart w:id="32" w:name="_Toc146189069"/>
      <w:r w:rsidRPr="001F2A32">
        <w:rPr>
          <w:color w:val="auto"/>
        </w:rPr>
        <w:t>4.11</w:t>
      </w:r>
      <w:r w:rsidRPr="001F2A32">
        <w:rPr>
          <w:color w:val="auto"/>
        </w:rPr>
        <w:tab/>
        <w:t>Termination of the DPA</w:t>
      </w:r>
      <w:bookmarkEnd w:id="32"/>
    </w:p>
    <w:p w14:paraId="70F01073" w14:textId="41F1B210" w:rsidR="00AA2BEF" w:rsidRPr="001F2A32" w:rsidRDefault="00AA2BEF" w:rsidP="00AA2BEF">
      <w:pPr>
        <w:pStyle w:val="Default"/>
        <w:rPr>
          <w:rFonts w:ascii="Arial" w:hAnsi="Arial" w:cs="Arial"/>
          <w:b/>
          <w:iCs/>
          <w:color w:val="auto"/>
          <w:sz w:val="22"/>
          <w:szCs w:val="22"/>
        </w:rPr>
      </w:pPr>
      <w:r w:rsidRPr="001F2A32">
        <w:rPr>
          <w:rFonts w:ascii="Arial" w:hAnsi="Arial" w:cs="Arial"/>
          <w:iCs/>
          <w:color w:val="auto"/>
          <w:sz w:val="22"/>
          <w:szCs w:val="22"/>
        </w:rPr>
        <w:t>A DPA can be terminated in three ways:</w:t>
      </w:r>
    </w:p>
    <w:p w14:paraId="44B3F43A" w14:textId="43BB09CB" w:rsidR="00AA2BEF" w:rsidRPr="001F2A32" w:rsidRDefault="00AA2BEF" w:rsidP="00AA2BEF">
      <w:pPr>
        <w:pStyle w:val="ListParagraph"/>
        <w:numPr>
          <w:ilvl w:val="0"/>
          <w:numId w:val="36"/>
        </w:numPr>
        <w:spacing w:before="200" w:after="200" w:line="240" w:lineRule="auto"/>
        <w:ind w:left="1134" w:hanging="283"/>
        <w:jc w:val="both"/>
        <w:rPr>
          <w:rFonts w:cs="Arial"/>
          <w:iCs/>
          <w:sz w:val="22"/>
        </w:rPr>
      </w:pPr>
      <w:r w:rsidRPr="001F2A32">
        <w:rPr>
          <w:rFonts w:cs="Arial"/>
          <w:iCs/>
          <w:sz w:val="22"/>
        </w:rPr>
        <w:t>At any time by the adult, or someone with relevant legal authority acting on their behalf, by repaying the full amount due (this can happen during the adult’s lifetime or when the DPA is terminated through the adult’s death</w:t>
      </w:r>
      <w:proofErr w:type="gramStart"/>
      <w:r w:rsidRPr="001F2A32">
        <w:rPr>
          <w:rFonts w:cs="Arial"/>
          <w:iCs/>
          <w:sz w:val="22"/>
        </w:rPr>
        <w:t>);</w:t>
      </w:r>
      <w:proofErr w:type="gramEnd"/>
    </w:p>
    <w:p w14:paraId="46AD3700" w14:textId="6C2740E0" w:rsidR="00AA2BEF" w:rsidRPr="001F2A32" w:rsidRDefault="00AA2BEF" w:rsidP="00AA2BEF">
      <w:pPr>
        <w:pStyle w:val="ListParagraph"/>
        <w:numPr>
          <w:ilvl w:val="0"/>
          <w:numId w:val="36"/>
        </w:numPr>
        <w:spacing w:before="200" w:after="200" w:line="240" w:lineRule="auto"/>
        <w:ind w:left="1134" w:hanging="283"/>
        <w:jc w:val="both"/>
        <w:rPr>
          <w:rFonts w:cs="Arial"/>
          <w:iCs/>
          <w:sz w:val="22"/>
        </w:rPr>
      </w:pPr>
      <w:r w:rsidRPr="001F2A32">
        <w:rPr>
          <w:rFonts w:cs="Arial"/>
          <w:iCs/>
          <w:sz w:val="22"/>
        </w:rPr>
        <w:t>When the property (o</w:t>
      </w:r>
      <w:r w:rsidR="00A83801" w:rsidRPr="001F2A32">
        <w:rPr>
          <w:rFonts w:cs="Arial"/>
          <w:iCs/>
          <w:sz w:val="22"/>
        </w:rPr>
        <w:t>r</w:t>
      </w:r>
      <w:r w:rsidRPr="001F2A32">
        <w:rPr>
          <w:rFonts w:cs="Arial"/>
          <w:iCs/>
          <w:sz w:val="22"/>
        </w:rPr>
        <w:t xml:space="preserve"> form of security) is </w:t>
      </w:r>
      <w:proofErr w:type="gramStart"/>
      <w:r w:rsidRPr="001F2A32">
        <w:rPr>
          <w:rFonts w:cs="Arial"/>
          <w:iCs/>
          <w:sz w:val="22"/>
        </w:rPr>
        <w:t>sold</w:t>
      </w:r>
      <w:proofErr w:type="gramEnd"/>
      <w:r w:rsidRPr="001F2A32">
        <w:rPr>
          <w:rFonts w:cs="Arial"/>
          <w:iCs/>
          <w:sz w:val="22"/>
        </w:rPr>
        <w:t xml:space="preserve"> and the Council is repaid; or</w:t>
      </w:r>
    </w:p>
    <w:p w14:paraId="7E23E459" w14:textId="42FBFEA7" w:rsidR="00AA2BEF" w:rsidRPr="001F2A32" w:rsidRDefault="00AA2BEF" w:rsidP="00AA2BEF">
      <w:pPr>
        <w:pStyle w:val="ListParagraph"/>
        <w:numPr>
          <w:ilvl w:val="0"/>
          <w:numId w:val="36"/>
        </w:numPr>
        <w:spacing w:before="200" w:after="200" w:line="240" w:lineRule="auto"/>
        <w:ind w:left="1134" w:hanging="283"/>
        <w:jc w:val="both"/>
        <w:rPr>
          <w:rFonts w:cs="Arial"/>
          <w:iCs/>
          <w:sz w:val="22"/>
        </w:rPr>
      </w:pPr>
      <w:r w:rsidRPr="001F2A32">
        <w:rPr>
          <w:rFonts w:cs="Arial"/>
          <w:iCs/>
          <w:sz w:val="22"/>
        </w:rPr>
        <w:t>When the adult dies and the amount is repaid to the Council from their estate</w:t>
      </w:r>
      <w:r w:rsidR="00032EDB" w:rsidRPr="001F2A32">
        <w:rPr>
          <w:rFonts w:cs="Arial"/>
          <w:iCs/>
          <w:sz w:val="22"/>
        </w:rPr>
        <w:t>.</w:t>
      </w:r>
    </w:p>
    <w:p w14:paraId="45F7EE25" w14:textId="081A5824" w:rsidR="00032EDB" w:rsidRPr="001F2A32" w:rsidRDefault="00032EDB" w:rsidP="00AA2BEF">
      <w:pPr>
        <w:pStyle w:val="Default"/>
        <w:jc w:val="both"/>
        <w:rPr>
          <w:rFonts w:ascii="Arial" w:hAnsi="Arial" w:cs="Arial"/>
          <w:iCs/>
          <w:color w:val="auto"/>
          <w:sz w:val="22"/>
          <w:szCs w:val="22"/>
        </w:rPr>
      </w:pPr>
      <w:r w:rsidRPr="001F2A32">
        <w:rPr>
          <w:rFonts w:ascii="Arial" w:hAnsi="Arial" w:cs="Arial"/>
          <w:iCs/>
          <w:color w:val="auto"/>
          <w:sz w:val="22"/>
          <w:szCs w:val="22"/>
        </w:rPr>
        <w:t xml:space="preserve">Repayment includes paying the Council the deferred amount, and all interest and administration charges which arise from it. </w:t>
      </w:r>
    </w:p>
    <w:p w14:paraId="36FEF805" w14:textId="77777777" w:rsidR="00032EDB" w:rsidRPr="001F2A32" w:rsidRDefault="00032EDB" w:rsidP="00AA2BEF">
      <w:pPr>
        <w:pStyle w:val="Default"/>
        <w:jc w:val="both"/>
        <w:rPr>
          <w:rFonts w:ascii="Arial" w:hAnsi="Arial" w:cs="Arial"/>
          <w:iCs/>
          <w:color w:val="auto"/>
          <w:sz w:val="22"/>
          <w:szCs w:val="22"/>
        </w:rPr>
      </w:pPr>
    </w:p>
    <w:p w14:paraId="41FC1302" w14:textId="5377D3A3" w:rsidR="00AA2BEF" w:rsidRPr="001F2A32" w:rsidRDefault="00AA2BEF" w:rsidP="00AA2BEF">
      <w:pPr>
        <w:pStyle w:val="Default"/>
        <w:jc w:val="both"/>
        <w:rPr>
          <w:rFonts w:ascii="Arial" w:hAnsi="Arial" w:cs="Arial"/>
          <w:iCs/>
          <w:color w:val="auto"/>
          <w:sz w:val="22"/>
          <w:szCs w:val="22"/>
        </w:rPr>
      </w:pPr>
      <w:r w:rsidRPr="001F2A32">
        <w:rPr>
          <w:rFonts w:ascii="Arial" w:hAnsi="Arial" w:cs="Arial"/>
          <w:iCs/>
          <w:color w:val="auto"/>
          <w:sz w:val="22"/>
          <w:szCs w:val="22"/>
        </w:rPr>
        <w:t>Interest will continue to accrue on the amount owed to the Council after the adult’s death and</w:t>
      </w:r>
      <w:r w:rsidR="00032EDB" w:rsidRPr="001F2A32">
        <w:rPr>
          <w:rFonts w:ascii="Arial" w:hAnsi="Arial" w:cs="Arial"/>
          <w:iCs/>
          <w:color w:val="auto"/>
          <w:sz w:val="22"/>
          <w:szCs w:val="22"/>
        </w:rPr>
        <w:t xml:space="preserve"> in all other circumstances,</w:t>
      </w:r>
      <w:r w:rsidRPr="001F2A32">
        <w:rPr>
          <w:rFonts w:ascii="Arial" w:hAnsi="Arial" w:cs="Arial"/>
          <w:iCs/>
          <w:color w:val="auto"/>
          <w:sz w:val="22"/>
          <w:szCs w:val="22"/>
        </w:rPr>
        <w:t xml:space="preserve"> until the amount due to the Council is repaid in full.</w:t>
      </w:r>
    </w:p>
    <w:p w14:paraId="7E72041F" w14:textId="77777777" w:rsidR="00AA2BEF" w:rsidRPr="001F2A32" w:rsidRDefault="00AA2BEF" w:rsidP="00AA2BEF">
      <w:pPr>
        <w:pStyle w:val="Default"/>
        <w:ind w:left="720"/>
        <w:jc w:val="both"/>
        <w:rPr>
          <w:rFonts w:ascii="Arial" w:hAnsi="Arial" w:cs="Arial"/>
          <w:iCs/>
          <w:color w:val="auto"/>
          <w:sz w:val="22"/>
          <w:szCs w:val="22"/>
        </w:rPr>
      </w:pPr>
    </w:p>
    <w:p w14:paraId="771515A4" w14:textId="40CC3997" w:rsidR="00AA2BEF" w:rsidRPr="001F2A32" w:rsidRDefault="00AA2BEF" w:rsidP="00AA2BEF">
      <w:pPr>
        <w:pStyle w:val="Default"/>
        <w:jc w:val="both"/>
        <w:rPr>
          <w:rFonts w:ascii="Arial" w:hAnsi="Arial" w:cs="Arial"/>
          <w:iCs/>
          <w:color w:val="auto"/>
          <w:sz w:val="22"/>
          <w:szCs w:val="22"/>
        </w:rPr>
      </w:pPr>
      <w:r w:rsidRPr="001F2A32">
        <w:rPr>
          <w:rFonts w:ascii="Arial" w:hAnsi="Arial" w:cs="Arial"/>
          <w:iCs/>
          <w:color w:val="auto"/>
          <w:sz w:val="22"/>
          <w:szCs w:val="22"/>
        </w:rPr>
        <w:t xml:space="preserve">If terminated through an adult’s death, the amount owed to the Council under a DPA falls due 90 days after the adult has died. After this </w:t>
      </w:r>
      <w:proofErr w:type="gramStart"/>
      <w:r w:rsidRPr="001F2A32">
        <w:rPr>
          <w:rFonts w:ascii="Arial" w:hAnsi="Arial" w:cs="Arial"/>
          <w:iCs/>
          <w:color w:val="auto"/>
          <w:sz w:val="22"/>
          <w:szCs w:val="22"/>
        </w:rPr>
        <w:t>90 day</w:t>
      </w:r>
      <w:proofErr w:type="gramEnd"/>
      <w:r w:rsidRPr="001F2A32">
        <w:rPr>
          <w:rFonts w:ascii="Arial" w:hAnsi="Arial" w:cs="Arial"/>
          <w:iCs/>
          <w:color w:val="auto"/>
          <w:sz w:val="22"/>
          <w:szCs w:val="22"/>
        </w:rPr>
        <w:t xml:space="preserve"> period, if the Council concludes active steps to repay the debt are not being taken the Council may enter into legal proceedings to reclaim the amount due to it.</w:t>
      </w:r>
    </w:p>
    <w:p w14:paraId="2D820B16" w14:textId="77777777" w:rsidR="00AA2BEF" w:rsidRPr="001F2A32" w:rsidRDefault="00AA2BEF" w:rsidP="00AA2BEF">
      <w:pPr>
        <w:pStyle w:val="Default"/>
        <w:jc w:val="both"/>
        <w:rPr>
          <w:rFonts w:asciiTheme="minorHAnsi" w:hAnsiTheme="minorHAnsi"/>
          <w:iCs/>
          <w:color w:val="auto"/>
        </w:rPr>
      </w:pPr>
    </w:p>
    <w:p w14:paraId="36E0B423" w14:textId="45166526" w:rsidR="002C5DFA" w:rsidRPr="001F2A32" w:rsidRDefault="002C5DFA" w:rsidP="002C5DFA">
      <w:pPr>
        <w:pStyle w:val="Heading3"/>
        <w:rPr>
          <w:color w:val="auto"/>
          <w:lang w:val="en-US"/>
        </w:rPr>
      </w:pPr>
      <w:bookmarkStart w:id="33" w:name="_Toc146189070"/>
      <w:r w:rsidRPr="001F2A32">
        <w:rPr>
          <w:color w:val="auto"/>
          <w:lang w:val="en-US"/>
        </w:rPr>
        <w:t>4.1</w:t>
      </w:r>
      <w:r w:rsidR="00AA2BEF" w:rsidRPr="001F2A32">
        <w:rPr>
          <w:color w:val="auto"/>
          <w:lang w:val="en-US"/>
        </w:rPr>
        <w:t>2</w:t>
      </w:r>
      <w:r w:rsidRPr="001F2A32">
        <w:rPr>
          <w:color w:val="auto"/>
          <w:lang w:val="en-US"/>
        </w:rPr>
        <w:tab/>
        <w:t>The Appeal Panel</w:t>
      </w:r>
      <w:bookmarkEnd w:id="33"/>
      <w:r w:rsidRPr="001F2A32">
        <w:rPr>
          <w:color w:val="auto"/>
          <w:lang w:val="en-US"/>
        </w:rPr>
        <w:t xml:space="preserve"> </w:t>
      </w:r>
    </w:p>
    <w:p w14:paraId="656B7283" w14:textId="3CFF9B94" w:rsidR="002C5DFA" w:rsidRPr="00415BE0" w:rsidRDefault="002C5DFA" w:rsidP="002C5DFA">
      <w:pPr>
        <w:widowControl w:val="0"/>
        <w:tabs>
          <w:tab w:val="left" w:pos="1540"/>
        </w:tabs>
        <w:autoSpaceDE w:val="0"/>
        <w:autoSpaceDN w:val="0"/>
        <w:adjustRightInd w:val="0"/>
        <w:ind w:right="249"/>
        <w:jc w:val="both"/>
        <w:rPr>
          <w:rFonts w:cs="Arial"/>
          <w:b/>
          <w:bCs/>
          <w:color w:val="FF0000"/>
          <w:sz w:val="22"/>
          <w:lang w:val="en-US"/>
        </w:rPr>
      </w:pPr>
      <w:r w:rsidRPr="001F2A32">
        <w:rPr>
          <w:rFonts w:cs="Arial"/>
          <w:sz w:val="22"/>
        </w:rPr>
        <w:t xml:space="preserve">The Appeal Panel considers appeals from adults or their representatives against charges, formal complaints relating to charging, or regarding decisions of the </w:t>
      </w:r>
      <w:bookmarkStart w:id="34" w:name="_Hlk78485633"/>
      <w:r w:rsidR="001B0B39" w:rsidRPr="001F2A32">
        <w:rPr>
          <w:sz w:val="22"/>
        </w:rPr>
        <w:t xml:space="preserve">Individual Commissioning Approval and Advice Panel </w:t>
      </w:r>
      <w:bookmarkEnd w:id="34"/>
      <w:r w:rsidR="001B0B39" w:rsidRPr="001F2A32">
        <w:rPr>
          <w:sz w:val="22"/>
        </w:rPr>
        <w:t>(ICAAP)</w:t>
      </w:r>
      <w:r w:rsidRPr="001F2A32">
        <w:rPr>
          <w:rFonts w:cs="Arial"/>
          <w:sz w:val="22"/>
        </w:rPr>
        <w:t xml:space="preserve">.  The Appeal Panel comprises a </w:t>
      </w:r>
      <w:r w:rsidR="00A319BE" w:rsidRPr="001F2A32">
        <w:rPr>
          <w:rFonts w:cs="Arial"/>
          <w:sz w:val="22"/>
        </w:rPr>
        <w:t>Council</w:t>
      </w:r>
      <w:r w:rsidRPr="001F2A32">
        <w:rPr>
          <w:rFonts w:cs="Arial"/>
          <w:sz w:val="22"/>
        </w:rPr>
        <w:t xml:space="preserve"> representative, a charging policy expert, and representatives of both adult social care and customer care teams.  The Appeal Panel uses generic guidance from the Local Government Ombudsman and Parliamentary and Health Service Ombudsman when considering its responses to appeals, complaints and decisions.   The Appeal Panel’s Terms of Reference can be found towards the end of the list of documents on the CCG’s publications page: </w:t>
      </w:r>
      <w:r w:rsidRPr="00415BE0">
        <w:rPr>
          <w:rFonts w:cs="Arial"/>
          <w:sz w:val="22"/>
        </w:rPr>
        <w:t xml:space="preserve"> </w:t>
      </w:r>
      <w:hyperlink r:id="rId15" w:history="1">
        <w:r w:rsidRPr="00415BE0">
          <w:rPr>
            <w:rFonts w:cs="Arial"/>
            <w:color w:val="0000FF"/>
            <w:sz w:val="22"/>
            <w:u w:val="single"/>
          </w:rPr>
          <w:t>https://www.northeastlincolnshireccg.nhs.uk/publications/</w:t>
        </w:r>
      </w:hyperlink>
      <w:r w:rsidRPr="00415BE0">
        <w:rPr>
          <w:rFonts w:cs="Arial"/>
          <w:color w:val="FF0000"/>
          <w:sz w:val="22"/>
        </w:rPr>
        <w:t xml:space="preserve"> </w:t>
      </w:r>
    </w:p>
    <w:p w14:paraId="6614F696" w14:textId="77777777" w:rsidR="007C3FEC" w:rsidRPr="007C3FEC" w:rsidRDefault="007C3FEC" w:rsidP="007C3FEC"/>
    <w:p w14:paraId="4D44C104" w14:textId="77777777" w:rsidR="002C5DFA" w:rsidRPr="00415BE0" w:rsidRDefault="002C5DFA" w:rsidP="002C5DFA">
      <w:pPr>
        <w:pStyle w:val="Heading2"/>
        <w:rPr>
          <w:lang w:val="en-US"/>
        </w:rPr>
      </w:pPr>
      <w:bookmarkStart w:id="35" w:name="_Toc146189071"/>
      <w:r>
        <w:rPr>
          <w:lang w:val="en-US"/>
        </w:rPr>
        <w:t>5</w:t>
      </w:r>
      <w:r>
        <w:rPr>
          <w:lang w:val="en-US"/>
        </w:rPr>
        <w:tab/>
      </w:r>
      <w:r w:rsidRPr="00415BE0">
        <w:rPr>
          <w:lang w:val="en-US"/>
        </w:rPr>
        <w:t>S</w:t>
      </w:r>
      <w:r w:rsidRPr="00415BE0">
        <w:rPr>
          <w:spacing w:val="-1"/>
          <w:lang w:val="en-US"/>
        </w:rPr>
        <w:t>u</w:t>
      </w:r>
      <w:r w:rsidRPr="00415BE0">
        <w:rPr>
          <w:spacing w:val="-3"/>
          <w:lang w:val="en-US"/>
        </w:rPr>
        <w:t>m</w:t>
      </w:r>
      <w:r w:rsidRPr="00415BE0">
        <w:rPr>
          <w:lang w:val="en-US"/>
        </w:rPr>
        <w:t>ma</w:t>
      </w:r>
      <w:r w:rsidRPr="00415BE0">
        <w:rPr>
          <w:spacing w:val="3"/>
          <w:lang w:val="en-US"/>
        </w:rPr>
        <w:t>r</w:t>
      </w:r>
      <w:r w:rsidRPr="00415BE0">
        <w:rPr>
          <w:lang w:val="en-US"/>
        </w:rPr>
        <w:t>y</w:t>
      </w:r>
      <w:r w:rsidRPr="00415BE0">
        <w:rPr>
          <w:spacing w:val="-6"/>
          <w:lang w:val="en-US"/>
        </w:rPr>
        <w:t xml:space="preserve"> </w:t>
      </w:r>
      <w:r w:rsidRPr="00415BE0">
        <w:rPr>
          <w:spacing w:val="-1"/>
          <w:lang w:val="en-US"/>
        </w:rPr>
        <w:t>o</w:t>
      </w:r>
      <w:r w:rsidRPr="00415BE0">
        <w:rPr>
          <w:lang w:val="en-US"/>
        </w:rPr>
        <w:t>f</w:t>
      </w:r>
      <w:r w:rsidRPr="00415BE0">
        <w:rPr>
          <w:spacing w:val="1"/>
          <w:lang w:val="en-US"/>
        </w:rPr>
        <w:t xml:space="preserve"> </w:t>
      </w:r>
      <w:r w:rsidRPr="00415BE0">
        <w:rPr>
          <w:lang w:val="en-US"/>
        </w:rPr>
        <w:t>P</w:t>
      </w:r>
      <w:r w:rsidRPr="00415BE0">
        <w:rPr>
          <w:spacing w:val="-1"/>
          <w:lang w:val="en-US"/>
        </w:rPr>
        <w:t>ub</w:t>
      </w:r>
      <w:r w:rsidRPr="00415BE0">
        <w:rPr>
          <w:spacing w:val="1"/>
          <w:lang w:val="en-US"/>
        </w:rPr>
        <w:t>li</w:t>
      </w:r>
      <w:r w:rsidRPr="00415BE0">
        <w:rPr>
          <w:lang w:val="en-US"/>
        </w:rPr>
        <w:t>ca</w:t>
      </w:r>
      <w:r w:rsidRPr="00415BE0">
        <w:rPr>
          <w:spacing w:val="-3"/>
          <w:lang w:val="en-US"/>
        </w:rPr>
        <w:t>t</w:t>
      </w:r>
      <w:r w:rsidRPr="00415BE0">
        <w:rPr>
          <w:spacing w:val="1"/>
          <w:lang w:val="en-US"/>
        </w:rPr>
        <w:t>i</w:t>
      </w:r>
      <w:r w:rsidRPr="00415BE0">
        <w:rPr>
          <w:spacing w:val="-4"/>
          <w:lang w:val="en-US"/>
        </w:rPr>
        <w:t>o</w:t>
      </w:r>
      <w:r w:rsidRPr="00415BE0">
        <w:rPr>
          <w:spacing w:val="-1"/>
          <w:lang w:val="en-US"/>
        </w:rPr>
        <w:t>n</w:t>
      </w:r>
      <w:r w:rsidRPr="00415BE0">
        <w:rPr>
          <w:lang w:val="en-US"/>
        </w:rPr>
        <w:t>s</w:t>
      </w:r>
      <w:bookmarkEnd w:id="35"/>
    </w:p>
    <w:p w14:paraId="5CC1652E" w14:textId="77777777" w:rsidR="002C5DFA" w:rsidRPr="00415BE0" w:rsidRDefault="002C5DFA" w:rsidP="002C5DFA">
      <w:pPr>
        <w:widowControl w:val="0"/>
        <w:tabs>
          <w:tab w:val="left" w:pos="1180"/>
        </w:tabs>
        <w:autoSpaceDE w:val="0"/>
        <w:autoSpaceDN w:val="0"/>
        <w:adjustRightInd w:val="0"/>
        <w:spacing w:after="0" w:line="240" w:lineRule="auto"/>
        <w:ind w:right="1274"/>
        <w:jc w:val="both"/>
        <w:rPr>
          <w:rFonts w:cs="Arial"/>
          <w:color w:val="000000"/>
          <w:spacing w:val="-2"/>
          <w:sz w:val="22"/>
          <w:lang w:val="en-US"/>
        </w:rPr>
      </w:pPr>
      <w:r w:rsidRPr="00415BE0">
        <w:rPr>
          <w:rFonts w:cs="Arial"/>
          <w:color w:val="000000"/>
          <w:spacing w:val="-1"/>
          <w:sz w:val="22"/>
          <w:lang w:val="en-US"/>
        </w:rPr>
        <w:t>T</w:t>
      </w:r>
      <w:r w:rsidRPr="00415BE0">
        <w:rPr>
          <w:rFonts w:cs="Arial"/>
          <w:color w:val="000000"/>
          <w:sz w:val="22"/>
          <w:lang w:val="en-US"/>
        </w:rPr>
        <w:t>he</w:t>
      </w:r>
      <w:r w:rsidRPr="00415BE0">
        <w:rPr>
          <w:rFonts w:cs="Arial"/>
          <w:color w:val="000000"/>
          <w:spacing w:val="1"/>
          <w:sz w:val="22"/>
          <w:lang w:val="en-US"/>
        </w:rPr>
        <w:t xml:space="preserve"> f</w:t>
      </w:r>
      <w:r w:rsidRPr="00415BE0">
        <w:rPr>
          <w:rFonts w:cs="Arial"/>
          <w:color w:val="000000"/>
          <w:sz w:val="22"/>
          <w:lang w:val="en-US"/>
        </w:rPr>
        <w:t>ollo</w:t>
      </w:r>
      <w:r w:rsidRPr="00415BE0">
        <w:rPr>
          <w:rFonts w:cs="Arial"/>
          <w:color w:val="000000"/>
          <w:spacing w:val="-4"/>
          <w:sz w:val="22"/>
          <w:lang w:val="en-US"/>
        </w:rPr>
        <w:t>w</w:t>
      </w:r>
      <w:r w:rsidRPr="00415BE0">
        <w:rPr>
          <w:rFonts w:cs="Arial"/>
          <w:color w:val="000000"/>
          <w:sz w:val="22"/>
          <w:lang w:val="en-US"/>
        </w:rPr>
        <w:t>ing</w:t>
      </w:r>
      <w:r w:rsidRPr="00415BE0">
        <w:rPr>
          <w:rFonts w:cs="Arial"/>
          <w:color w:val="000000"/>
          <w:spacing w:val="2"/>
          <w:sz w:val="22"/>
          <w:lang w:val="en-US"/>
        </w:rPr>
        <w:t xml:space="preserve"> </w:t>
      </w:r>
      <w:r w:rsidRPr="00415BE0">
        <w:rPr>
          <w:rFonts w:cs="Arial"/>
          <w:color w:val="000000"/>
          <w:sz w:val="22"/>
          <w:lang w:val="en-US"/>
        </w:rPr>
        <w:t>pu</w:t>
      </w:r>
      <w:r w:rsidRPr="00415BE0">
        <w:rPr>
          <w:rFonts w:cs="Arial"/>
          <w:color w:val="000000"/>
          <w:spacing w:val="-3"/>
          <w:sz w:val="22"/>
          <w:lang w:val="en-US"/>
        </w:rPr>
        <w:t>b</w:t>
      </w:r>
      <w:r w:rsidRPr="00415BE0">
        <w:rPr>
          <w:rFonts w:cs="Arial"/>
          <w:color w:val="000000"/>
          <w:sz w:val="22"/>
          <w:lang w:val="en-US"/>
        </w:rPr>
        <w:t>l</w:t>
      </w:r>
      <w:r w:rsidRPr="00415BE0">
        <w:rPr>
          <w:rFonts w:cs="Arial"/>
          <w:color w:val="000000"/>
          <w:spacing w:val="-2"/>
          <w:sz w:val="22"/>
          <w:lang w:val="en-US"/>
        </w:rPr>
        <w:t>i</w:t>
      </w:r>
      <w:r w:rsidRPr="00415BE0">
        <w:rPr>
          <w:rFonts w:cs="Arial"/>
          <w:color w:val="000000"/>
          <w:spacing w:val="1"/>
          <w:sz w:val="22"/>
          <w:lang w:val="en-US"/>
        </w:rPr>
        <w:t>c</w:t>
      </w:r>
      <w:r w:rsidRPr="00415BE0">
        <w:rPr>
          <w:rFonts w:cs="Arial"/>
          <w:color w:val="000000"/>
          <w:sz w:val="22"/>
          <w:lang w:val="en-US"/>
        </w:rPr>
        <w:t>a</w:t>
      </w:r>
      <w:r w:rsidRPr="00415BE0">
        <w:rPr>
          <w:rFonts w:cs="Arial"/>
          <w:color w:val="000000"/>
          <w:spacing w:val="1"/>
          <w:sz w:val="22"/>
          <w:lang w:val="en-US"/>
        </w:rPr>
        <w:t>t</w:t>
      </w:r>
      <w:r w:rsidRPr="00415BE0">
        <w:rPr>
          <w:rFonts w:cs="Arial"/>
          <w:color w:val="000000"/>
          <w:spacing w:val="-2"/>
          <w:sz w:val="22"/>
          <w:lang w:val="en-US"/>
        </w:rPr>
        <w:t>i</w:t>
      </w:r>
      <w:r w:rsidRPr="00415BE0">
        <w:rPr>
          <w:rFonts w:cs="Arial"/>
          <w:color w:val="000000"/>
          <w:sz w:val="22"/>
          <w:lang w:val="en-US"/>
        </w:rPr>
        <w:t>ons ha</w:t>
      </w:r>
      <w:r w:rsidRPr="00415BE0">
        <w:rPr>
          <w:rFonts w:cs="Arial"/>
          <w:color w:val="000000"/>
          <w:spacing w:val="-4"/>
          <w:sz w:val="22"/>
          <w:lang w:val="en-US"/>
        </w:rPr>
        <w:t>v</w:t>
      </w:r>
      <w:r w:rsidRPr="00415BE0">
        <w:rPr>
          <w:rFonts w:cs="Arial"/>
          <w:color w:val="000000"/>
          <w:sz w:val="22"/>
          <w:lang w:val="en-US"/>
        </w:rPr>
        <w:t>e</w:t>
      </w:r>
      <w:r w:rsidRPr="00415BE0">
        <w:rPr>
          <w:rFonts w:cs="Arial"/>
          <w:color w:val="000000"/>
          <w:spacing w:val="1"/>
          <w:sz w:val="22"/>
          <w:lang w:val="en-US"/>
        </w:rPr>
        <w:t xml:space="preserve"> </w:t>
      </w:r>
      <w:r w:rsidRPr="00415BE0">
        <w:rPr>
          <w:rFonts w:cs="Arial"/>
          <w:color w:val="000000"/>
          <w:sz w:val="22"/>
          <w:lang w:val="en-US"/>
        </w:rPr>
        <w:t>been</w:t>
      </w:r>
      <w:r w:rsidRPr="00415BE0">
        <w:rPr>
          <w:rFonts w:cs="Arial"/>
          <w:color w:val="000000"/>
          <w:spacing w:val="-2"/>
          <w:sz w:val="22"/>
          <w:lang w:val="en-US"/>
        </w:rPr>
        <w:t xml:space="preserve"> r</w:t>
      </w:r>
      <w:r w:rsidRPr="00415BE0">
        <w:rPr>
          <w:rFonts w:cs="Arial"/>
          <w:color w:val="000000"/>
          <w:sz w:val="22"/>
          <w:lang w:val="en-US"/>
        </w:rPr>
        <w:t>e</w:t>
      </w:r>
      <w:r w:rsidRPr="00415BE0">
        <w:rPr>
          <w:rFonts w:cs="Arial"/>
          <w:color w:val="000000"/>
          <w:spacing w:val="1"/>
          <w:sz w:val="22"/>
          <w:lang w:val="en-US"/>
        </w:rPr>
        <w:t>f</w:t>
      </w:r>
      <w:r w:rsidRPr="00415BE0">
        <w:rPr>
          <w:rFonts w:cs="Arial"/>
          <w:color w:val="000000"/>
          <w:sz w:val="22"/>
          <w:lang w:val="en-US"/>
        </w:rPr>
        <w:t>erred</w:t>
      </w:r>
      <w:r w:rsidRPr="00415BE0">
        <w:rPr>
          <w:rFonts w:cs="Arial"/>
          <w:color w:val="000000"/>
          <w:spacing w:val="-1"/>
          <w:sz w:val="22"/>
          <w:lang w:val="en-US"/>
        </w:rPr>
        <w:t xml:space="preserve"> t</w:t>
      </w:r>
      <w:r w:rsidRPr="00415BE0">
        <w:rPr>
          <w:rFonts w:cs="Arial"/>
          <w:color w:val="000000"/>
          <w:sz w:val="22"/>
          <w:lang w:val="en-US"/>
        </w:rPr>
        <w:t>o</w:t>
      </w:r>
      <w:r w:rsidRPr="00415BE0">
        <w:rPr>
          <w:rFonts w:cs="Arial"/>
          <w:color w:val="000000"/>
          <w:spacing w:val="1"/>
          <w:sz w:val="22"/>
          <w:lang w:val="en-US"/>
        </w:rPr>
        <w:t xml:space="preserve"> </w:t>
      </w:r>
      <w:r w:rsidRPr="00415BE0">
        <w:rPr>
          <w:rFonts w:cs="Arial"/>
          <w:color w:val="000000"/>
          <w:sz w:val="22"/>
          <w:lang w:val="en-US"/>
        </w:rPr>
        <w:t>in</w:t>
      </w:r>
      <w:r w:rsidRPr="00415BE0">
        <w:rPr>
          <w:rFonts w:cs="Arial"/>
          <w:color w:val="000000"/>
          <w:spacing w:val="-3"/>
          <w:sz w:val="22"/>
          <w:lang w:val="en-US"/>
        </w:rPr>
        <w:t xml:space="preserve"> </w:t>
      </w:r>
      <w:r w:rsidRPr="00415BE0">
        <w:rPr>
          <w:rFonts w:cs="Arial"/>
          <w:color w:val="000000"/>
          <w:spacing w:val="1"/>
          <w:sz w:val="22"/>
          <w:lang w:val="en-US"/>
        </w:rPr>
        <w:t>t</w:t>
      </w:r>
      <w:r w:rsidRPr="00415BE0">
        <w:rPr>
          <w:rFonts w:cs="Arial"/>
          <w:color w:val="000000"/>
          <w:sz w:val="22"/>
          <w:lang w:val="en-US"/>
        </w:rPr>
        <w:t xml:space="preserve">he </w:t>
      </w:r>
      <w:r w:rsidRPr="00415BE0">
        <w:rPr>
          <w:rFonts w:cs="Arial"/>
          <w:color w:val="000000"/>
          <w:spacing w:val="1"/>
          <w:sz w:val="22"/>
          <w:lang w:val="en-US"/>
        </w:rPr>
        <w:t>c</w:t>
      </w:r>
      <w:r w:rsidRPr="00415BE0">
        <w:rPr>
          <w:rFonts w:cs="Arial"/>
          <w:color w:val="000000"/>
          <w:sz w:val="22"/>
          <w:lang w:val="en-US"/>
        </w:rPr>
        <w:t>o</w:t>
      </w:r>
      <w:r w:rsidRPr="00415BE0">
        <w:rPr>
          <w:rFonts w:cs="Arial"/>
          <w:color w:val="000000"/>
          <w:spacing w:val="-1"/>
          <w:sz w:val="22"/>
          <w:lang w:val="en-US"/>
        </w:rPr>
        <w:t>m</w:t>
      </w:r>
      <w:r w:rsidRPr="00415BE0">
        <w:rPr>
          <w:rFonts w:cs="Arial"/>
          <w:color w:val="000000"/>
          <w:sz w:val="22"/>
          <w:lang w:val="en-US"/>
        </w:rPr>
        <w:t>pil</w:t>
      </w:r>
      <w:r w:rsidRPr="00415BE0">
        <w:rPr>
          <w:rFonts w:cs="Arial"/>
          <w:color w:val="000000"/>
          <w:spacing w:val="-3"/>
          <w:sz w:val="22"/>
          <w:lang w:val="en-US"/>
        </w:rPr>
        <w:t>a</w:t>
      </w:r>
      <w:r w:rsidRPr="00415BE0">
        <w:rPr>
          <w:rFonts w:cs="Arial"/>
          <w:color w:val="000000"/>
          <w:spacing w:val="1"/>
          <w:sz w:val="22"/>
          <w:lang w:val="en-US"/>
        </w:rPr>
        <w:t>t</w:t>
      </w:r>
      <w:r w:rsidRPr="00415BE0">
        <w:rPr>
          <w:rFonts w:cs="Arial"/>
          <w:color w:val="000000"/>
          <w:sz w:val="22"/>
          <w:lang w:val="en-US"/>
        </w:rPr>
        <w:t>ion</w:t>
      </w:r>
      <w:r w:rsidRPr="00415BE0">
        <w:rPr>
          <w:rFonts w:cs="Arial"/>
          <w:color w:val="000000"/>
          <w:spacing w:val="-1"/>
          <w:sz w:val="22"/>
          <w:lang w:val="en-US"/>
        </w:rPr>
        <w:t xml:space="preserve"> </w:t>
      </w:r>
      <w:r w:rsidRPr="00415BE0">
        <w:rPr>
          <w:rFonts w:cs="Arial"/>
          <w:color w:val="000000"/>
          <w:sz w:val="22"/>
          <w:lang w:val="en-US"/>
        </w:rPr>
        <w:t xml:space="preserve">of </w:t>
      </w:r>
      <w:r w:rsidRPr="00415BE0">
        <w:rPr>
          <w:rFonts w:cs="Arial"/>
          <w:color w:val="000000"/>
          <w:spacing w:val="1"/>
          <w:sz w:val="22"/>
          <w:lang w:val="en-US"/>
        </w:rPr>
        <w:t>t</w:t>
      </w:r>
      <w:r w:rsidRPr="00415BE0">
        <w:rPr>
          <w:rFonts w:cs="Arial"/>
          <w:color w:val="000000"/>
          <w:sz w:val="22"/>
          <w:lang w:val="en-US"/>
        </w:rPr>
        <w:t>h</w:t>
      </w:r>
      <w:r w:rsidRPr="00415BE0">
        <w:rPr>
          <w:rFonts w:cs="Arial"/>
          <w:color w:val="000000"/>
          <w:spacing w:val="-3"/>
          <w:sz w:val="22"/>
          <w:lang w:val="en-US"/>
        </w:rPr>
        <w:t>i</w:t>
      </w:r>
      <w:r w:rsidRPr="00415BE0">
        <w:rPr>
          <w:rFonts w:cs="Arial"/>
          <w:color w:val="000000"/>
          <w:sz w:val="22"/>
          <w:lang w:val="en-US"/>
        </w:rPr>
        <w:t>s</w:t>
      </w:r>
      <w:r w:rsidRPr="00415BE0">
        <w:rPr>
          <w:rFonts w:cs="Arial"/>
          <w:color w:val="000000"/>
          <w:spacing w:val="-2"/>
          <w:sz w:val="22"/>
          <w:lang w:val="en-US"/>
        </w:rPr>
        <w:t xml:space="preserve"> policy:</w:t>
      </w:r>
    </w:p>
    <w:p w14:paraId="02538702" w14:textId="77777777" w:rsidR="002C5DFA" w:rsidRPr="002C5DFA" w:rsidRDefault="002C5DFA" w:rsidP="00801553">
      <w:pPr>
        <w:pStyle w:val="ListParagraph"/>
        <w:numPr>
          <w:ilvl w:val="0"/>
          <w:numId w:val="6"/>
        </w:numPr>
        <w:spacing w:after="0" w:line="240" w:lineRule="auto"/>
        <w:jc w:val="both"/>
        <w:rPr>
          <w:rFonts w:cs="Arial"/>
          <w:sz w:val="22"/>
        </w:rPr>
      </w:pPr>
      <w:r w:rsidRPr="002C5DFA">
        <w:rPr>
          <w:rFonts w:cs="Arial"/>
          <w:sz w:val="22"/>
        </w:rPr>
        <w:t>The Care Act 2014</w:t>
      </w:r>
    </w:p>
    <w:p w14:paraId="596EFD6A" w14:textId="77777777" w:rsidR="002C5DFA" w:rsidRPr="002C5DFA" w:rsidRDefault="002C5DFA" w:rsidP="00801553">
      <w:pPr>
        <w:pStyle w:val="ListParagraph"/>
        <w:numPr>
          <w:ilvl w:val="0"/>
          <w:numId w:val="6"/>
        </w:numPr>
        <w:spacing w:after="0" w:line="240" w:lineRule="auto"/>
        <w:jc w:val="both"/>
        <w:rPr>
          <w:rFonts w:cs="Arial"/>
          <w:sz w:val="22"/>
        </w:rPr>
      </w:pPr>
      <w:r w:rsidRPr="002C5DFA">
        <w:rPr>
          <w:rFonts w:cs="Arial"/>
          <w:sz w:val="22"/>
        </w:rPr>
        <w:t>The Care Act 2014 Regulations</w:t>
      </w:r>
    </w:p>
    <w:p w14:paraId="11FCB35D" w14:textId="77777777" w:rsidR="002C5DFA" w:rsidRPr="002C5DFA" w:rsidRDefault="002C5DFA" w:rsidP="00801553">
      <w:pPr>
        <w:pStyle w:val="ListParagraph"/>
        <w:numPr>
          <w:ilvl w:val="0"/>
          <w:numId w:val="6"/>
        </w:numPr>
        <w:spacing w:after="0" w:line="240" w:lineRule="auto"/>
        <w:jc w:val="both"/>
        <w:rPr>
          <w:rFonts w:cs="Arial"/>
          <w:sz w:val="22"/>
        </w:rPr>
      </w:pPr>
      <w:r w:rsidRPr="002C5DFA">
        <w:rPr>
          <w:rFonts w:cs="Arial"/>
          <w:sz w:val="22"/>
        </w:rPr>
        <w:t>The Care Act 2014 Care and Support Statutory Guidance</w:t>
      </w:r>
    </w:p>
    <w:p w14:paraId="74252C3D" w14:textId="4A74E8D2" w:rsidR="00CD2D43" w:rsidRPr="00512B12" w:rsidRDefault="00CD2D43" w:rsidP="00801553">
      <w:pPr>
        <w:pStyle w:val="ListParagraph"/>
        <w:numPr>
          <w:ilvl w:val="0"/>
          <w:numId w:val="6"/>
        </w:numPr>
        <w:spacing w:after="0" w:line="240" w:lineRule="auto"/>
        <w:jc w:val="both"/>
        <w:rPr>
          <w:rFonts w:cs="Arial"/>
          <w:bCs/>
          <w:sz w:val="22"/>
        </w:rPr>
      </w:pPr>
      <w:r w:rsidRPr="00512B12">
        <w:rPr>
          <w:rFonts w:cs="Arial"/>
          <w:sz w:val="22"/>
        </w:rPr>
        <w:t>The Equality Act 2010</w:t>
      </w:r>
    </w:p>
    <w:p w14:paraId="2679B7D3" w14:textId="568BE020" w:rsidR="002C5DFA" w:rsidRPr="002C5DFA" w:rsidRDefault="002C5DFA" w:rsidP="00801553">
      <w:pPr>
        <w:pStyle w:val="ListParagraph"/>
        <w:numPr>
          <w:ilvl w:val="0"/>
          <w:numId w:val="6"/>
        </w:numPr>
        <w:spacing w:after="0" w:line="240" w:lineRule="auto"/>
        <w:jc w:val="both"/>
        <w:rPr>
          <w:rFonts w:cs="Arial"/>
          <w:bCs/>
          <w:sz w:val="22"/>
        </w:rPr>
      </w:pPr>
      <w:r w:rsidRPr="002C5DFA">
        <w:rPr>
          <w:rFonts w:cs="Arial"/>
          <w:sz w:val="22"/>
        </w:rPr>
        <w:t>The Mental Capacity Act 2005</w:t>
      </w:r>
      <w:r w:rsidR="00A023F8">
        <w:rPr>
          <w:rFonts w:cs="Arial"/>
          <w:sz w:val="22"/>
        </w:rPr>
        <w:t xml:space="preserve"> </w:t>
      </w:r>
      <w:r w:rsidRPr="002C5DFA">
        <w:rPr>
          <w:rFonts w:cs="Arial"/>
          <w:bCs/>
          <w:sz w:val="22"/>
        </w:rPr>
        <w:t xml:space="preserve"> </w:t>
      </w:r>
    </w:p>
    <w:p w14:paraId="268DE69B" w14:textId="77777777" w:rsidR="002C5DFA" w:rsidRPr="002C5DFA" w:rsidRDefault="002C5DFA" w:rsidP="00801553">
      <w:pPr>
        <w:pStyle w:val="ListParagraph"/>
        <w:numPr>
          <w:ilvl w:val="0"/>
          <w:numId w:val="6"/>
        </w:numPr>
        <w:spacing w:after="0" w:line="240" w:lineRule="auto"/>
        <w:jc w:val="both"/>
        <w:rPr>
          <w:rFonts w:cs="Arial"/>
          <w:bCs/>
          <w:sz w:val="22"/>
        </w:rPr>
      </w:pPr>
      <w:r w:rsidRPr="002C5DFA">
        <w:rPr>
          <w:rFonts w:cs="Arial"/>
          <w:bCs/>
          <w:sz w:val="22"/>
        </w:rPr>
        <w:t>Micro-Commissioning in Adult Social Care, Continuing Healthcare</w:t>
      </w:r>
      <w:r w:rsidRPr="002C5DFA">
        <w:rPr>
          <w:rFonts w:cs="Arial"/>
          <w:bCs/>
          <w:color w:val="FF0000"/>
          <w:sz w:val="22"/>
        </w:rPr>
        <w:t xml:space="preserve"> </w:t>
      </w:r>
      <w:r w:rsidRPr="002C5DFA">
        <w:rPr>
          <w:rFonts w:cs="Arial"/>
          <w:bCs/>
          <w:sz w:val="22"/>
        </w:rPr>
        <w:t>and</w:t>
      </w:r>
      <w:r w:rsidRPr="002C5DFA">
        <w:rPr>
          <w:rFonts w:cs="Arial"/>
          <w:bCs/>
          <w:color w:val="FF0000"/>
          <w:sz w:val="22"/>
        </w:rPr>
        <w:t xml:space="preserve"> </w:t>
      </w:r>
      <w:r w:rsidRPr="002C5DFA">
        <w:rPr>
          <w:rFonts w:cs="Arial"/>
          <w:bCs/>
          <w:sz w:val="22"/>
        </w:rPr>
        <w:t xml:space="preserve">Funded Nursing Care: principles of consistent, pragmatic, and ethical decision making – local </w:t>
      </w:r>
      <w:proofErr w:type="gramStart"/>
      <w:r w:rsidRPr="002C5DFA">
        <w:rPr>
          <w:rFonts w:cs="Arial"/>
          <w:bCs/>
          <w:sz w:val="22"/>
        </w:rPr>
        <w:t>policy</w:t>
      </w:r>
      <w:proofErr w:type="gramEnd"/>
    </w:p>
    <w:p w14:paraId="2CD490B1" w14:textId="77777777" w:rsidR="00CF27A7" w:rsidRDefault="002C5DFA" w:rsidP="00801553">
      <w:pPr>
        <w:pStyle w:val="ListParagraph"/>
        <w:numPr>
          <w:ilvl w:val="0"/>
          <w:numId w:val="6"/>
        </w:numPr>
        <w:spacing w:after="0" w:line="240" w:lineRule="auto"/>
        <w:jc w:val="both"/>
        <w:rPr>
          <w:rFonts w:cs="Arial"/>
          <w:bCs/>
          <w:sz w:val="22"/>
        </w:rPr>
      </w:pPr>
      <w:r w:rsidRPr="002C5DFA">
        <w:rPr>
          <w:rFonts w:cs="Arial"/>
          <w:bCs/>
          <w:sz w:val="22"/>
        </w:rPr>
        <w:t>Mental Capacity Act 2005 and Deprivation of Liberty Policy – local policy</w:t>
      </w:r>
      <w:r w:rsidR="00CF27A7">
        <w:rPr>
          <w:rFonts w:cs="Arial"/>
          <w:bCs/>
          <w:sz w:val="22"/>
        </w:rPr>
        <w:t>.</w:t>
      </w:r>
    </w:p>
    <w:p w14:paraId="71BF9B9B" w14:textId="77777777" w:rsidR="00CF27A7" w:rsidRDefault="00CF27A7" w:rsidP="00CF27A7">
      <w:pPr>
        <w:pStyle w:val="ListParagraph"/>
        <w:spacing w:after="0" w:line="240" w:lineRule="auto"/>
        <w:jc w:val="both"/>
        <w:rPr>
          <w:rFonts w:cs="Arial"/>
          <w:bCs/>
          <w:sz w:val="22"/>
        </w:rPr>
      </w:pPr>
    </w:p>
    <w:p w14:paraId="5EC18A2F" w14:textId="77777777" w:rsidR="002C5DFA" w:rsidRPr="002C5DFA" w:rsidRDefault="002C5DFA" w:rsidP="00CF27A7">
      <w:pPr>
        <w:pStyle w:val="ListParagraph"/>
        <w:spacing w:after="0" w:line="240" w:lineRule="auto"/>
        <w:jc w:val="both"/>
        <w:rPr>
          <w:rFonts w:cs="Arial"/>
          <w:bCs/>
          <w:sz w:val="22"/>
        </w:rPr>
      </w:pPr>
      <w:r w:rsidRPr="002C5DFA">
        <w:rPr>
          <w:rFonts w:cs="Arial"/>
          <w:bCs/>
          <w:sz w:val="22"/>
        </w:rPr>
        <w:t xml:space="preserve"> </w:t>
      </w:r>
    </w:p>
    <w:p w14:paraId="41DF1719" w14:textId="77777777" w:rsidR="002C689F" w:rsidRPr="00BC236F" w:rsidRDefault="00CF27A7" w:rsidP="002C689F">
      <w:pPr>
        <w:pStyle w:val="Heading2"/>
      </w:pPr>
      <w:bookmarkStart w:id="36" w:name="_Toc146189072"/>
      <w:r>
        <w:t>6</w:t>
      </w:r>
      <w:r>
        <w:tab/>
      </w:r>
      <w:bookmarkStart w:id="37" w:name="_Toc68111003"/>
      <w:r w:rsidR="002C689F" w:rsidRPr="00BC236F">
        <w:t>T</w:t>
      </w:r>
      <w:r w:rsidR="002C689F">
        <w:t>raining</w:t>
      </w:r>
      <w:bookmarkEnd w:id="37"/>
      <w:bookmarkEnd w:id="36"/>
      <w:r w:rsidR="002C689F" w:rsidRPr="00BC236F">
        <w:t xml:space="preserve"> </w:t>
      </w:r>
    </w:p>
    <w:p w14:paraId="2685F4BF" w14:textId="767283C5" w:rsidR="002C689F" w:rsidRPr="001F2A32" w:rsidRDefault="002C689F" w:rsidP="002C689F">
      <w:pPr>
        <w:pStyle w:val="Default"/>
        <w:rPr>
          <w:rFonts w:ascii="Arial" w:hAnsi="Arial" w:cs="Arial"/>
          <w:color w:val="auto"/>
          <w:sz w:val="22"/>
          <w:szCs w:val="22"/>
        </w:rPr>
      </w:pPr>
      <w:r w:rsidRPr="000C1A58">
        <w:rPr>
          <w:rFonts w:ascii="Arial" w:hAnsi="Arial" w:cs="Arial"/>
          <w:iCs/>
          <w:color w:val="auto"/>
          <w:sz w:val="22"/>
          <w:szCs w:val="22"/>
        </w:rPr>
        <w:t xml:space="preserve">This policy will be drawn to the attention of all relevant individuals as part of the </w:t>
      </w:r>
      <w:r>
        <w:rPr>
          <w:rFonts w:ascii="Arial" w:hAnsi="Arial" w:cs="Arial"/>
          <w:iCs/>
          <w:color w:val="auto"/>
          <w:sz w:val="22"/>
          <w:szCs w:val="22"/>
        </w:rPr>
        <w:t>i</w:t>
      </w:r>
      <w:r w:rsidRPr="000C1A58">
        <w:rPr>
          <w:rFonts w:ascii="Arial" w:hAnsi="Arial" w:cs="Arial"/>
          <w:iCs/>
          <w:color w:val="auto"/>
          <w:sz w:val="22"/>
          <w:szCs w:val="22"/>
        </w:rPr>
        <w:t xml:space="preserve">mplementation </w:t>
      </w:r>
      <w:r w:rsidRPr="001F2A32">
        <w:rPr>
          <w:rFonts w:ascii="Arial" w:hAnsi="Arial" w:cs="Arial"/>
          <w:iCs/>
          <w:color w:val="auto"/>
          <w:sz w:val="22"/>
          <w:szCs w:val="22"/>
        </w:rPr>
        <w:t xml:space="preserve">process (see </w:t>
      </w:r>
      <w:r w:rsidR="002F4884" w:rsidRPr="001F2A32">
        <w:rPr>
          <w:rFonts w:ascii="Arial" w:hAnsi="Arial" w:cs="Arial"/>
          <w:iCs/>
          <w:color w:val="auto"/>
          <w:sz w:val="22"/>
          <w:szCs w:val="22"/>
        </w:rPr>
        <w:t>8</w:t>
      </w:r>
      <w:r w:rsidRPr="001F2A32">
        <w:rPr>
          <w:rFonts w:ascii="Arial" w:hAnsi="Arial" w:cs="Arial"/>
          <w:iCs/>
          <w:color w:val="auto"/>
          <w:sz w:val="22"/>
          <w:szCs w:val="22"/>
        </w:rPr>
        <w:t xml:space="preserve"> below).  </w:t>
      </w:r>
    </w:p>
    <w:p w14:paraId="7C0B14FB" w14:textId="77777777" w:rsidR="002C689F" w:rsidRDefault="002C689F" w:rsidP="002C689F">
      <w:pPr>
        <w:pStyle w:val="Default"/>
        <w:tabs>
          <w:tab w:val="left" w:pos="1669"/>
        </w:tabs>
        <w:ind w:left="720"/>
        <w:contextualSpacing/>
        <w:rPr>
          <w:b/>
          <w:sz w:val="22"/>
          <w:szCs w:val="22"/>
        </w:rPr>
      </w:pPr>
      <w:r w:rsidRPr="00BC236F">
        <w:rPr>
          <w:b/>
          <w:sz w:val="22"/>
          <w:szCs w:val="22"/>
        </w:rPr>
        <w:tab/>
      </w:r>
    </w:p>
    <w:p w14:paraId="7D26D170" w14:textId="77777777" w:rsidR="002C689F" w:rsidRPr="00154740" w:rsidRDefault="002C689F" w:rsidP="002C689F">
      <w:pPr>
        <w:pStyle w:val="Heading2"/>
        <w:rPr>
          <w:rFonts w:cs="Arial"/>
        </w:rPr>
      </w:pPr>
      <w:bookmarkStart w:id="38" w:name="_Toc68111004"/>
      <w:bookmarkStart w:id="39" w:name="_Toc146189073"/>
      <w:r>
        <w:rPr>
          <w:rFonts w:cs="Arial"/>
        </w:rPr>
        <w:t>7</w:t>
      </w:r>
      <w:r w:rsidRPr="00154740">
        <w:rPr>
          <w:rFonts w:cs="Arial"/>
        </w:rPr>
        <w:tab/>
        <w:t>Impact analysis</w:t>
      </w:r>
      <w:bookmarkEnd w:id="38"/>
      <w:bookmarkEnd w:id="39"/>
    </w:p>
    <w:p w14:paraId="553DA76D" w14:textId="77777777" w:rsidR="002C689F" w:rsidRPr="00154740" w:rsidRDefault="002C689F" w:rsidP="002C689F">
      <w:pPr>
        <w:pStyle w:val="Heading3"/>
        <w:rPr>
          <w:rFonts w:cs="Arial"/>
        </w:rPr>
      </w:pPr>
      <w:bookmarkStart w:id="40" w:name="_Toc68111005"/>
      <w:bookmarkStart w:id="41" w:name="_Toc146189074"/>
      <w:r>
        <w:rPr>
          <w:rFonts w:cs="Arial"/>
        </w:rPr>
        <w:t>7</w:t>
      </w:r>
      <w:r w:rsidRPr="00154740">
        <w:rPr>
          <w:rFonts w:cs="Arial"/>
        </w:rPr>
        <w:t>.1 Equality</w:t>
      </w:r>
      <w:bookmarkEnd w:id="40"/>
      <w:bookmarkEnd w:id="41"/>
    </w:p>
    <w:p w14:paraId="394CF69C" w14:textId="77777777" w:rsidR="002C689F" w:rsidRDefault="002C689F" w:rsidP="002C689F">
      <w:pPr>
        <w:pStyle w:val="Default"/>
        <w:contextualSpacing/>
        <w:rPr>
          <w:rFonts w:ascii="Arial" w:hAnsi="Arial" w:cs="Arial"/>
          <w:sz w:val="22"/>
          <w:szCs w:val="22"/>
          <w:shd w:val="clear" w:color="auto" w:fill="FFFFFF"/>
        </w:rPr>
      </w:pPr>
      <w:r w:rsidRPr="00154740">
        <w:rPr>
          <w:rFonts w:ascii="Arial" w:hAnsi="Arial" w:cs="Arial"/>
          <w:iCs/>
          <w:color w:val="auto"/>
          <w:sz w:val="22"/>
          <w:szCs w:val="22"/>
        </w:rPr>
        <w:t>This policy has been created with due regard for the C</w:t>
      </w:r>
      <w:r>
        <w:rPr>
          <w:rFonts w:ascii="Arial" w:hAnsi="Arial" w:cs="Arial"/>
          <w:iCs/>
          <w:color w:val="auto"/>
          <w:sz w:val="22"/>
          <w:szCs w:val="22"/>
        </w:rPr>
        <w:t>ouncil’</w:t>
      </w:r>
      <w:r w:rsidRPr="00154740">
        <w:rPr>
          <w:rFonts w:ascii="Arial" w:hAnsi="Arial" w:cs="Arial"/>
          <w:iCs/>
          <w:color w:val="auto"/>
          <w:sz w:val="22"/>
          <w:szCs w:val="22"/>
        </w:rPr>
        <w:t xml:space="preserve">s public sector equality duty under the Equality Act 2010, s149.  All staff connected with the implementation of this policy, </w:t>
      </w:r>
      <w:r w:rsidRPr="00154740">
        <w:rPr>
          <w:rFonts w:ascii="Arial" w:hAnsi="Arial" w:cs="Arial"/>
          <w:sz w:val="22"/>
          <w:szCs w:val="22"/>
          <w:shd w:val="clear" w:color="auto" w:fill="FFFFFF"/>
        </w:rPr>
        <w:t xml:space="preserve">in the exercise of their public functions, must also have due regard to the matters within s149(1). </w:t>
      </w:r>
    </w:p>
    <w:p w14:paraId="589D9BBB" w14:textId="77777777" w:rsidR="002C689F" w:rsidRDefault="002C689F" w:rsidP="002C689F">
      <w:pPr>
        <w:pStyle w:val="Default"/>
        <w:contextualSpacing/>
        <w:rPr>
          <w:rFonts w:ascii="Arial" w:hAnsi="Arial" w:cs="Arial"/>
          <w:sz w:val="22"/>
          <w:szCs w:val="22"/>
          <w:shd w:val="clear" w:color="auto" w:fill="FFFFFF"/>
        </w:rPr>
      </w:pPr>
    </w:p>
    <w:p w14:paraId="316C45B4" w14:textId="77777777" w:rsidR="00F971FE" w:rsidRDefault="002C689F" w:rsidP="002C689F">
      <w:pPr>
        <w:pStyle w:val="Default"/>
        <w:contextualSpacing/>
        <w:rPr>
          <w:rFonts w:ascii="Arial" w:hAnsi="Arial" w:cs="Arial"/>
          <w:sz w:val="22"/>
          <w:szCs w:val="22"/>
        </w:rPr>
      </w:pPr>
      <w:r w:rsidRPr="00423E7B">
        <w:rPr>
          <w:rFonts w:ascii="Arial" w:hAnsi="Arial" w:cs="Arial"/>
          <w:sz w:val="22"/>
          <w:szCs w:val="22"/>
        </w:rPr>
        <w:t xml:space="preserve">An Equality Impact Assessment (EIA) has been conducted with regard to this policy.  </w:t>
      </w:r>
    </w:p>
    <w:p w14:paraId="21BACC08" w14:textId="77777777" w:rsidR="002C689F" w:rsidRPr="00F96463" w:rsidRDefault="002C689F" w:rsidP="002C689F">
      <w:pPr>
        <w:pStyle w:val="Default"/>
        <w:contextualSpacing/>
        <w:rPr>
          <w:rFonts w:ascii="Arial" w:hAnsi="Arial" w:cs="Arial"/>
          <w:iCs/>
          <w:color w:val="auto"/>
          <w:sz w:val="22"/>
          <w:szCs w:val="22"/>
        </w:rPr>
      </w:pPr>
      <w:r w:rsidRPr="00154740">
        <w:rPr>
          <w:rFonts w:cs="Arial"/>
          <w:b/>
          <w:i/>
          <w:sz w:val="22"/>
        </w:rPr>
        <w:t xml:space="preserve">  </w:t>
      </w:r>
    </w:p>
    <w:p w14:paraId="163206E1" w14:textId="77777777" w:rsidR="002C689F" w:rsidRPr="00154740" w:rsidRDefault="002C689F" w:rsidP="002C689F">
      <w:pPr>
        <w:pStyle w:val="Heading3"/>
        <w:rPr>
          <w:rFonts w:cs="Arial"/>
        </w:rPr>
      </w:pPr>
      <w:bookmarkStart w:id="42" w:name="_Toc68111006"/>
      <w:bookmarkStart w:id="43" w:name="_Toc146189075"/>
      <w:r>
        <w:rPr>
          <w:rFonts w:cs="Arial"/>
        </w:rPr>
        <w:t>7</w:t>
      </w:r>
      <w:r w:rsidRPr="00154740">
        <w:rPr>
          <w:rFonts w:cs="Arial"/>
        </w:rPr>
        <w:t>.2 Bribery Act 2010</w:t>
      </w:r>
      <w:bookmarkEnd w:id="42"/>
      <w:bookmarkEnd w:id="43"/>
    </w:p>
    <w:p w14:paraId="183EB384" w14:textId="77777777" w:rsidR="002C689F" w:rsidRPr="00154740" w:rsidRDefault="002C689F" w:rsidP="002C689F">
      <w:pPr>
        <w:pStyle w:val="Default"/>
        <w:rPr>
          <w:rFonts w:ascii="Arial" w:hAnsi="Arial" w:cs="Arial"/>
          <w:sz w:val="22"/>
          <w:szCs w:val="22"/>
        </w:rPr>
      </w:pPr>
      <w:r w:rsidRPr="00154740">
        <w:rPr>
          <w:rFonts w:ascii="Arial" w:hAnsi="Arial" w:cs="Arial"/>
          <w:sz w:val="22"/>
          <w:szCs w:val="22"/>
        </w:rPr>
        <w:t>The Bribery Act 2010 is relevant to this policy.   Under that Act it is a criminal offence:</w:t>
      </w:r>
    </w:p>
    <w:p w14:paraId="38799742" w14:textId="77777777" w:rsidR="002C689F" w:rsidRPr="00154740" w:rsidRDefault="002C689F" w:rsidP="00801553">
      <w:pPr>
        <w:pStyle w:val="Default"/>
        <w:numPr>
          <w:ilvl w:val="0"/>
          <w:numId w:val="11"/>
        </w:numPr>
        <w:rPr>
          <w:rFonts w:ascii="Arial" w:hAnsi="Arial" w:cs="Arial"/>
          <w:sz w:val="22"/>
          <w:szCs w:val="22"/>
        </w:rPr>
      </w:pPr>
      <w:r w:rsidRPr="00154740">
        <w:rPr>
          <w:rFonts w:ascii="Arial" w:hAnsi="Arial" w:cs="Arial"/>
          <w:sz w:val="22"/>
          <w:szCs w:val="22"/>
        </w:rPr>
        <w:t xml:space="preserve">To bribe another person by offering, </w:t>
      </w:r>
      <w:proofErr w:type="gramStart"/>
      <w:r w:rsidRPr="00154740">
        <w:rPr>
          <w:rFonts w:ascii="Arial" w:hAnsi="Arial" w:cs="Arial"/>
          <w:sz w:val="22"/>
          <w:szCs w:val="22"/>
        </w:rPr>
        <w:t>promising</w:t>
      </w:r>
      <w:proofErr w:type="gramEnd"/>
      <w:r w:rsidRPr="00154740">
        <w:rPr>
          <w:rFonts w:ascii="Arial" w:hAnsi="Arial" w:cs="Arial"/>
          <w:sz w:val="22"/>
          <w:szCs w:val="22"/>
        </w:rPr>
        <w:t xml:space="preserve"> or giving a financial or other advantage to induce them to perform improperly a relevant function or activity, or as a reward for already having done so; and</w:t>
      </w:r>
    </w:p>
    <w:p w14:paraId="2BACA3AF" w14:textId="77777777" w:rsidR="002C689F" w:rsidRPr="00154740" w:rsidRDefault="002C689F" w:rsidP="00801553">
      <w:pPr>
        <w:pStyle w:val="Default"/>
        <w:numPr>
          <w:ilvl w:val="0"/>
          <w:numId w:val="11"/>
        </w:numPr>
        <w:rPr>
          <w:rFonts w:ascii="Arial" w:hAnsi="Arial" w:cs="Arial"/>
          <w:sz w:val="22"/>
          <w:szCs w:val="22"/>
        </w:rPr>
      </w:pPr>
      <w:r w:rsidRPr="00154740">
        <w:rPr>
          <w:rFonts w:ascii="Arial" w:hAnsi="Arial" w:cs="Arial"/>
          <w:sz w:val="22"/>
          <w:szCs w:val="22"/>
        </w:rPr>
        <w:t xml:space="preserve">To be bribed by another person by requesting, agreeing to receive or accepting a financial or other advantage with the intention that a relevant function or activity would then be performed improperly, or as a reward for having already done </w:t>
      </w:r>
      <w:proofErr w:type="gramStart"/>
      <w:r w:rsidRPr="00154740">
        <w:rPr>
          <w:rFonts w:ascii="Arial" w:hAnsi="Arial" w:cs="Arial"/>
          <w:sz w:val="22"/>
          <w:szCs w:val="22"/>
        </w:rPr>
        <w:t>so</w:t>
      </w:r>
      <w:proofErr w:type="gramEnd"/>
    </w:p>
    <w:p w14:paraId="191028D9" w14:textId="639BD85E" w:rsidR="002C689F" w:rsidRPr="00154740" w:rsidRDefault="002C689F" w:rsidP="00801553">
      <w:pPr>
        <w:pStyle w:val="Default"/>
        <w:numPr>
          <w:ilvl w:val="0"/>
          <w:numId w:val="10"/>
        </w:numPr>
        <w:rPr>
          <w:rFonts w:ascii="Arial" w:hAnsi="Arial" w:cs="Arial"/>
          <w:sz w:val="22"/>
          <w:szCs w:val="22"/>
        </w:rPr>
      </w:pPr>
      <w:r w:rsidRPr="00154740">
        <w:rPr>
          <w:rFonts w:ascii="Arial" w:hAnsi="Arial" w:cs="Arial"/>
          <w:sz w:val="22"/>
          <w:szCs w:val="22"/>
        </w:rPr>
        <w:t>To bribe a foreign public official</w:t>
      </w:r>
      <w:r w:rsidR="002F4884">
        <w:rPr>
          <w:rFonts w:ascii="Arial" w:hAnsi="Arial" w:cs="Arial"/>
          <w:sz w:val="22"/>
          <w:szCs w:val="22"/>
        </w:rPr>
        <w:t xml:space="preserve">.  </w:t>
      </w:r>
      <w:r w:rsidRPr="00154740">
        <w:rPr>
          <w:rFonts w:ascii="Arial" w:hAnsi="Arial" w:cs="Arial"/>
          <w:sz w:val="22"/>
          <w:szCs w:val="22"/>
          <w:lang w:val="en"/>
        </w:rPr>
        <w:t xml:space="preserve">A person will be guilty of this offence if they promise, offer or give a financial or other advantage to a foreign public official, either directly or through a third party, where such an advantage is not legitimately </w:t>
      </w:r>
      <w:proofErr w:type="gramStart"/>
      <w:r w:rsidRPr="00154740">
        <w:rPr>
          <w:rFonts w:ascii="Arial" w:hAnsi="Arial" w:cs="Arial"/>
          <w:sz w:val="22"/>
          <w:szCs w:val="22"/>
          <w:lang w:val="en"/>
        </w:rPr>
        <w:t>due</w:t>
      </w:r>
      <w:proofErr w:type="gramEnd"/>
    </w:p>
    <w:p w14:paraId="1BFBD01F" w14:textId="77777777" w:rsidR="002C689F" w:rsidRPr="00154740" w:rsidRDefault="002C689F" w:rsidP="00801553">
      <w:pPr>
        <w:pStyle w:val="Default"/>
        <w:numPr>
          <w:ilvl w:val="0"/>
          <w:numId w:val="10"/>
        </w:numPr>
        <w:rPr>
          <w:rFonts w:ascii="Arial" w:hAnsi="Arial" w:cs="Arial"/>
          <w:sz w:val="22"/>
          <w:szCs w:val="22"/>
        </w:rPr>
      </w:pPr>
      <w:r w:rsidRPr="00154740">
        <w:rPr>
          <w:rFonts w:ascii="Arial" w:hAnsi="Arial" w:cs="Arial"/>
          <w:sz w:val="22"/>
          <w:szCs w:val="22"/>
        </w:rPr>
        <w:t xml:space="preserve">For commercial organisations to fail to embed preventative bribery measures.  </w:t>
      </w:r>
      <w:r w:rsidRPr="00154740">
        <w:rPr>
          <w:rFonts w:ascii="Arial" w:hAnsi="Arial" w:cs="Arial"/>
          <w:sz w:val="22"/>
          <w:szCs w:val="22"/>
          <w:lang w:val="en"/>
        </w:rPr>
        <w:t xml:space="preserve">This applies to all commercial </w:t>
      </w:r>
      <w:proofErr w:type="spellStart"/>
      <w:r w:rsidRPr="00154740">
        <w:rPr>
          <w:rFonts w:ascii="Arial" w:hAnsi="Arial" w:cs="Arial"/>
          <w:sz w:val="22"/>
          <w:szCs w:val="22"/>
          <w:lang w:val="en"/>
        </w:rPr>
        <w:t>organisations</w:t>
      </w:r>
      <w:proofErr w:type="spellEnd"/>
      <w:r w:rsidRPr="00154740">
        <w:rPr>
          <w:rFonts w:ascii="Arial" w:hAnsi="Arial" w:cs="Arial"/>
          <w:sz w:val="22"/>
          <w:szCs w:val="22"/>
          <w:lang w:val="en"/>
        </w:rPr>
        <w:t xml:space="preserve"> which have business in the UK. Unlike corporate manslaughter this does not only apply to the </w:t>
      </w:r>
      <w:proofErr w:type="spellStart"/>
      <w:r w:rsidRPr="00154740">
        <w:rPr>
          <w:rFonts w:ascii="Arial" w:hAnsi="Arial" w:cs="Arial"/>
          <w:sz w:val="22"/>
          <w:szCs w:val="22"/>
          <w:lang w:val="en"/>
        </w:rPr>
        <w:t>organisation</w:t>
      </w:r>
      <w:proofErr w:type="spellEnd"/>
      <w:r w:rsidRPr="00154740">
        <w:rPr>
          <w:rFonts w:ascii="Arial" w:hAnsi="Arial" w:cs="Arial"/>
          <w:sz w:val="22"/>
          <w:szCs w:val="22"/>
          <w:lang w:val="en"/>
        </w:rPr>
        <w:t xml:space="preserve"> itself; individuals and employees may also be guilty.</w:t>
      </w:r>
    </w:p>
    <w:p w14:paraId="266BED16" w14:textId="77777777" w:rsidR="002C689F" w:rsidRPr="00154740" w:rsidRDefault="002C689F" w:rsidP="002C689F">
      <w:pPr>
        <w:pStyle w:val="Default"/>
        <w:ind w:left="720"/>
        <w:rPr>
          <w:rFonts w:ascii="Arial" w:hAnsi="Arial" w:cs="Arial"/>
          <w:sz w:val="22"/>
          <w:szCs w:val="22"/>
        </w:rPr>
      </w:pPr>
    </w:p>
    <w:p w14:paraId="157324D6" w14:textId="09FC3CFD" w:rsidR="002C689F" w:rsidRPr="00154740" w:rsidRDefault="002C689F" w:rsidP="002C689F">
      <w:pPr>
        <w:pStyle w:val="Default"/>
        <w:rPr>
          <w:rFonts w:ascii="Arial" w:hAnsi="Arial" w:cs="Arial"/>
          <w:sz w:val="22"/>
          <w:szCs w:val="22"/>
        </w:rPr>
      </w:pPr>
      <w:r w:rsidRPr="00154740">
        <w:rPr>
          <w:rFonts w:ascii="Arial" w:hAnsi="Arial" w:cs="Arial"/>
          <w:sz w:val="22"/>
          <w:szCs w:val="22"/>
        </w:rPr>
        <w:t>These offences can be committed directly or by and through a third person and other related policies and documentation when considering whether to offer or accept gifts and hospitality and/or other incentives.</w:t>
      </w:r>
    </w:p>
    <w:p w14:paraId="7D58CFEC" w14:textId="77777777" w:rsidR="002C689F" w:rsidRPr="00154740" w:rsidRDefault="002C689F" w:rsidP="002C689F">
      <w:pPr>
        <w:pStyle w:val="Default"/>
        <w:ind w:left="720"/>
        <w:rPr>
          <w:rFonts w:ascii="Arial" w:hAnsi="Arial" w:cs="Arial"/>
          <w:sz w:val="22"/>
          <w:szCs w:val="22"/>
        </w:rPr>
      </w:pPr>
    </w:p>
    <w:p w14:paraId="532D9B0D" w14:textId="77777777" w:rsidR="002C689F" w:rsidRPr="00154740" w:rsidRDefault="002C689F" w:rsidP="002C689F">
      <w:pPr>
        <w:pStyle w:val="Default"/>
        <w:rPr>
          <w:rFonts w:ascii="Arial" w:hAnsi="Arial" w:cs="Arial"/>
          <w:sz w:val="22"/>
          <w:szCs w:val="22"/>
        </w:rPr>
      </w:pPr>
      <w:r w:rsidRPr="00154740">
        <w:rPr>
          <w:rFonts w:ascii="Arial" w:hAnsi="Arial" w:cs="Arial"/>
          <w:sz w:val="22"/>
          <w:szCs w:val="22"/>
        </w:rPr>
        <w:t>Anyone with concerns or reasonably held suspicions about potentially fraudulent activity or practice should refer to the Local Anti-Fraud and Corruption Policy and contact the Local Counter Fraud Specialist.</w:t>
      </w:r>
    </w:p>
    <w:p w14:paraId="17A2278E" w14:textId="77777777" w:rsidR="002C689F" w:rsidRPr="00154740" w:rsidRDefault="002C689F" w:rsidP="002C689F">
      <w:pPr>
        <w:pStyle w:val="Default"/>
        <w:rPr>
          <w:rFonts w:ascii="Arial" w:hAnsi="Arial" w:cs="Arial"/>
          <w:sz w:val="22"/>
          <w:szCs w:val="22"/>
        </w:rPr>
      </w:pPr>
    </w:p>
    <w:p w14:paraId="42D4204B" w14:textId="77777777" w:rsidR="002C689F" w:rsidRPr="00154740" w:rsidRDefault="002C689F" w:rsidP="002C689F">
      <w:pPr>
        <w:pStyle w:val="Default"/>
        <w:rPr>
          <w:rFonts w:ascii="Arial" w:hAnsi="Arial" w:cs="Arial"/>
          <w:sz w:val="22"/>
          <w:szCs w:val="22"/>
        </w:rPr>
      </w:pPr>
    </w:p>
    <w:p w14:paraId="5EE7AF71" w14:textId="77777777" w:rsidR="002C689F" w:rsidRPr="00154740" w:rsidRDefault="001C326D" w:rsidP="002C689F">
      <w:pPr>
        <w:pStyle w:val="Heading2"/>
        <w:rPr>
          <w:rFonts w:cs="Arial"/>
        </w:rPr>
      </w:pPr>
      <w:bookmarkStart w:id="44" w:name="_Toc68111007"/>
      <w:bookmarkStart w:id="45" w:name="_Toc146189076"/>
      <w:r>
        <w:rPr>
          <w:rFonts w:cs="Arial"/>
        </w:rPr>
        <w:t>8</w:t>
      </w:r>
      <w:r w:rsidR="002C689F" w:rsidRPr="00154740">
        <w:rPr>
          <w:rFonts w:cs="Arial"/>
        </w:rPr>
        <w:tab/>
        <w:t>Implementation</w:t>
      </w:r>
      <w:bookmarkEnd w:id="44"/>
      <w:bookmarkEnd w:id="45"/>
      <w:r w:rsidR="002C689F" w:rsidRPr="00154740">
        <w:rPr>
          <w:rFonts w:cs="Arial"/>
        </w:rPr>
        <w:t xml:space="preserve"> </w:t>
      </w:r>
    </w:p>
    <w:p w14:paraId="794265DA" w14:textId="3894DA91" w:rsidR="002C689F" w:rsidRPr="001F2A32" w:rsidRDefault="002C689F" w:rsidP="002C689F">
      <w:pPr>
        <w:pStyle w:val="Default"/>
        <w:contextualSpacing/>
        <w:rPr>
          <w:rFonts w:ascii="Arial" w:hAnsi="Arial" w:cs="Arial"/>
          <w:color w:val="auto"/>
          <w:sz w:val="22"/>
          <w:szCs w:val="22"/>
        </w:rPr>
      </w:pPr>
      <w:r w:rsidRPr="00154740">
        <w:rPr>
          <w:rFonts w:ascii="Arial" w:hAnsi="Arial" w:cs="Arial"/>
          <w:sz w:val="22"/>
          <w:szCs w:val="22"/>
        </w:rPr>
        <w:t xml:space="preserve">This policy will be disseminated via key </w:t>
      </w:r>
      <w:r w:rsidRPr="00512B12">
        <w:rPr>
          <w:rFonts w:ascii="Arial" w:hAnsi="Arial" w:cs="Arial"/>
          <w:color w:val="auto"/>
          <w:sz w:val="22"/>
          <w:szCs w:val="22"/>
        </w:rPr>
        <w:t xml:space="preserve">individuals within the Council, the </w:t>
      </w:r>
      <w:r w:rsidR="00A319BE" w:rsidRPr="00512B12">
        <w:rPr>
          <w:rFonts w:ascii="Arial" w:hAnsi="Arial" w:cs="Arial"/>
          <w:color w:val="auto"/>
          <w:sz w:val="22"/>
          <w:szCs w:val="22"/>
        </w:rPr>
        <w:t>ICB</w:t>
      </w:r>
      <w:r w:rsidRPr="00512B12">
        <w:rPr>
          <w:rFonts w:ascii="Arial" w:hAnsi="Arial" w:cs="Arial"/>
          <w:color w:val="auto"/>
          <w:sz w:val="22"/>
          <w:szCs w:val="22"/>
        </w:rPr>
        <w:t xml:space="preserve">, and </w:t>
      </w:r>
      <w:r w:rsidR="00A319BE" w:rsidRPr="00512B12">
        <w:rPr>
          <w:rFonts w:ascii="Arial" w:hAnsi="Arial" w:cs="Arial"/>
          <w:color w:val="auto"/>
          <w:sz w:val="22"/>
          <w:szCs w:val="22"/>
        </w:rPr>
        <w:t>F</w:t>
      </w:r>
      <w:r w:rsidRPr="00512B12">
        <w:rPr>
          <w:rFonts w:ascii="Arial" w:hAnsi="Arial" w:cs="Arial"/>
          <w:color w:val="auto"/>
          <w:sz w:val="22"/>
          <w:szCs w:val="22"/>
        </w:rPr>
        <w:t xml:space="preserve">ocus with the expectation that each will cascade the information within it amongst their relevant teams.  The policy will be lodged on the </w:t>
      </w:r>
      <w:r w:rsidR="00E81B2F" w:rsidRPr="00512B12">
        <w:rPr>
          <w:rFonts w:ascii="Arial" w:hAnsi="Arial" w:cs="Arial"/>
          <w:color w:val="auto"/>
          <w:sz w:val="22"/>
          <w:szCs w:val="22"/>
        </w:rPr>
        <w:t>Council’s website</w:t>
      </w:r>
      <w:r w:rsidRPr="00512B12">
        <w:rPr>
          <w:rFonts w:ascii="Arial" w:hAnsi="Arial" w:cs="Arial"/>
          <w:color w:val="auto"/>
          <w:sz w:val="22"/>
          <w:szCs w:val="22"/>
        </w:rPr>
        <w:t xml:space="preserve">, and providers will be expected to ensure that it is available electronically to their staff.  The policy will be further communicated through team </w:t>
      </w:r>
      <w:r w:rsidRPr="001F2A32">
        <w:rPr>
          <w:rFonts w:ascii="Arial" w:hAnsi="Arial" w:cs="Arial"/>
          <w:color w:val="auto"/>
          <w:sz w:val="22"/>
          <w:szCs w:val="22"/>
        </w:rPr>
        <w:t xml:space="preserve">briefings, and training sessions, led by each </w:t>
      </w:r>
      <w:r w:rsidR="002F4884" w:rsidRPr="001F2A32">
        <w:rPr>
          <w:rFonts w:ascii="Arial" w:hAnsi="Arial" w:cs="Arial"/>
          <w:color w:val="auto"/>
          <w:sz w:val="22"/>
          <w:szCs w:val="22"/>
        </w:rPr>
        <w:t>organisation</w:t>
      </w:r>
      <w:r w:rsidRPr="001F2A32">
        <w:rPr>
          <w:rFonts w:ascii="Arial" w:hAnsi="Arial" w:cs="Arial"/>
          <w:color w:val="auto"/>
          <w:sz w:val="22"/>
          <w:szCs w:val="22"/>
        </w:rPr>
        <w:t xml:space="preserve">’s key individuals.  </w:t>
      </w:r>
    </w:p>
    <w:p w14:paraId="034A5A4E" w14:textId="77777777" w:rsidR="002C689F" w:rsidRPr="001F2A32" w:rsidRDefault="002C689F" w:rsidP="002C689F">
      <w:pPr>
        <w:pStyle w:val="Default"/>
        <w:ind w:left="720"/>
        <w:contextualSpacing/>
        <w:rPr>
          <w:rFonts w:ascii="Arial" w:hAnsi="Arial" w:cs="Arial"/>
          <w:color w:val="auto"/>
          <w:sz w:val="22"/>
          <w:szCs w:val="22"/>
        </w:rPr>
      </w:pPr>
    </w:p>
    <w:p w14:paraId="56770A6C" w14:textId="5D1A7CFD" w:rsidR="002C689F" w:rsidRPr="001F2A32" w:rsidRDefault="002C689F" w:rsidP="002C689F">
      <w:pPr>
        <w:pStyle w:val="Default"/>
        <w:contextualSpacing/>
        <w:rPr>
          <w:rFonts w:ascii="Arial" w:hAnsi="Arial" w:cs="Arial"/>
          <w:color w:val="auto"/>
          <w:sz w:val="22"/>
          <w:szCs w:val="22"/>
        </w:rPr>
      </w:pPr>
      <w:r w:rsidRPr="001F2A32">
        <w:rPr>
          <w:rFonts w:ascii="Arial" w:hAnsi="Arial" w:cs="Arial"/>
          <w:color w:val="auto"/>
          <w:sz w:val="22"/>
          <w:szCs w:val="22"/>
        </w:rPr>
        <w:t xml:space="preserve">Each organisation delivering </w:t>
      </w:r>
      <w:r w:rsidR="002F4884" w:rsidRPr="001F2A32">
        <w:rPr>
          <w:rFonts w:ascii="Arial" w:hAnsi="Arial" w:cs="Arial"/>
          <w:color w:val="auto"/>
          <w:sz w:val="22"/>
          <w:szCs w:val="22"/>
        </w:rPr>
        <w:t>DPA</w:t>
      </w:r>
      <w:r w:rsidRPr="001F2A32">
        <w:rPr>
          <w:rFonts w:ascii="Arial" w:hAnsi="Arial" w:cs="Arial"/>
          <w:color w:val="auto"/>
          <w:sz w:val="22"/>
          <w:szCs w:val="22"/>
        </w:rPr>
        <w:t xml:space="preserve"> functions will create operational procedures to support their staff in delivering on this policy.   </w:t>
      </w:r>
    </w:p>
    <w:p w14:paraId="2FD7B1E5" w14:textId="77777777" w:rsidR="002C689F" w:rsidRPr="001F2A32" w:rsidRDefault="002C689F" w:rsidP="002C689F">
      <w:pPr>
        <w:pStyle w:val="Default"/>
        <w:ind w:left="720"/>
        <w:contextualSpacing/>
        <w:rPr>
          <w:rFonts w:ascii="Arial" w:hAnsi="Arial" w:cs="Arial"/>
          <w:color w:val="auto"/>
          <w:sz w:val="22"/>
          <w:szCs w:val="22"/>
        </w:rPr>
      </w:pPr>
    </w:p>
    <w:p w14:paraId="00D074D0" w14:textId="6CB17C92" w:rsidR="002C689F" w:rsidRPr="00154740" w:rsidRDefault="002C689F" w:rsidP="002C689F">
      <w:pPr>
        <w:pStyle w:val="Default"/>
        <w:contextualSpacing/>
        <w:rPr>
          <w:rFonts w:ascii="Arial" w:hAnsi="Arial" w:cs="Arial"/>
          <w:color w:val="auto"/>
          <w:sz w:val="22"/>
          <w:szCs w:val="22"/>
        </w:rPr>
      </w:pPr>
      <w:r w:rsidRPr="00512B12">
        <w:rPr>
          <w:rFonts w:ascii="Arial" w:hAnsi="Arial" w:cs="Arial"/>
          <w:color w:val="auto"/>
          <w:sz w:val="22"/>
          <w:szCs w:val="22"/>
        </w:rPr>
        <w:t xml:space="preserve">Breaches of this policy may be investigated and may result in the matter being treated as a disciplinary offence under the </w:t>
      </w:r>
      <w:r w:rsidR="00CD2D43" w:rsidRPr="00512B12">
        <w:rPr>
          <w:rFonts w:ascii="Arial" w:hAnsi="Arial" w:cs="Arial"/>
          <w:color w:val="auto"/>
          <w:sz w:val="22"/>
          <w:szCs w:val="22"/>
        </w:rPr>
        <w:t xml:space="preserve">Council/ </w:t>
      </w:r>
      <w:r w:rsidR="00A319BE" w:rsidRPr="00512B12">
        <w:rPr>
          <w:rFonts w:ascii="Arial" w:hAnsi="Arial" w:cs="Arial"/>
          <w:color w:val="auto"/>
          <w:sz w:val="22"/>
          <w:szCs w:val="22"/>
        </w:rPr>
        <w:t>ICB</w:t>
      </w:r>
      <w:r w:rsidRPr="00512B12">
        <w:rPr>
          <w:rFonts w:ascii="Arial" w:hAnsi="Arial" w:cs="Arial"/>
          <w:color w:val="auto"/>
          <w:sz w:val="22"/>
          <w:szCs w:val="22"/>
        </w:rPr>
        <w:t>’s</w:t>
      </w:r>
      <w:r w:rsidR="00A319BE" w:rsidRPr="00512B12">
        <w:rPr>
          <w:rFonts w:ascii="Arial" w:hAnsi="Arial" w:cs="Arial"/>
          <w:color w:val="auto"/>
          <w:sz w:val="22"/>
          <w:szCs w:val="22"/>
        </w:rPr>
        <w:t xml:space="preserve"> </w:t>
      </w:r>
      <w:r w:rsidRPr="00512B12">
        <w:rPr>
          <w:rFonts w:ascii="Arial" w:hAnsi="Arial" w:cs="Arial"/>
          <w:color w:val="auto"/>
          <w:sz w:val="22"/>
          <w:szCs w:val="22"/>
        </w:rPr>
        <w:t xml:space="preserve">disciplinary </w:t>
      </w:r>
      <w:r w:rsidRPr="00154740">
        <w:rPr>
          <w:rFonts w:ascii="Arial" w:hAnsi="Arial" w:cs="Arial"/>
          <w:color w:val="auto"/>
          <w:sz w:val="22"/>
          <w:szCs w:val="22"/>
        </w:rPr>
        <w:t>procedure, or that of the organisation which employs the staff member in breach.</w:t>
      </w:r>
    </w:p>
    <w:p w14:paraId="581E0223" w14:textId="77777777" w:rsidR="002C689F" w:rsidRDefault="002C689F" w:rsidP="002C689F">
      <w:pPr>
        <w:pStyle w:val="Default"/>
        <w:contextualSpacing/>
        <w:rPr>
          <w:rFonts w:ascii="Arial" w:hAnsi="Arial" w:cs="Arial"/>
          <w:color w:val="auto"/>
          <w:sz w:val="22"/>
          <w:szCs w:val="22"/>
        </w:rPr>
      </w:pPr>
    </w:p>
    <w:p w14:paraId="1244E9DC" w14:textId="77777777" w:rsidR="002C689F" w:rsidRPr="00154740" w:rsidRDefault="002C689F" w:rsidP="002C689F">
      <w:pPr>
        <w:pStyle w:val="Default"/>
        <w:contextualSpacing/>
        <w:rPr>
          <w:rFonts w:ascii="Arial" w:hAnsi="Arial" w:cs="Arial"/>
          <w:color w:val="auto"/>
          <w:sz w:val="22"/>
          <w:szCs w:val="22"/>
        </w:rPr>
      </w:pPr>
    </w:p>
    <w:p w14:paraId="78CC6680" w14:textId="77777777" w:rsidR="002C689F" w:rsidRPr="00154740" w:rsidRDefault="001C326D" w:rsidP="002C689F">
      <w:pPr>
        <w:pStyle w:val="Heading2"/>
        <w:rPr>
          <w:rFonts w:cs="Arial"/>
        </w:rPr>
      </w:pPr>
      <w:bookmarkStart w:id="46" w:name="_Toc68111008"/>
      <w:bookmarkStart w:id="47" w:name="_Toc146189077"/>
      <w:r>
        <w:rPr>
          <w:rFonts w:cs="Arial"/>
        </w:rPr>
        <w:t>9</w:t>
      </w:r>
      <w:r w:rsidR="002C689F" w:rsidRPr="00154740">
        <w:rPr>
          <w:rFonts w:cs="Arial"/>
        </w:rPr>
        <w:tab/>
      </w:r>
      <w:r w:rsidR="002C689F" w:rsidRPr="002C689F">
        <w:rPr>
          <w:rFonts w:cs="Arial"/>
          <w:color w:val="auto"/>
        </w:rPr>
        <w:t>Policy m</w:t>
      </w:r>
      <w:r w:rsidR="002C689F" w:rsidRPr="00154740">
        <w:rPr>
          <w:rFonts w:cs="Arial"/>
        </w:rPr>
        <w:t xml:space="preserve">onitoring and </w:t>
      </w:r>
      <w:proofErr w:type="gramStart"/>
      <w:r w:rsidR="002C689F" w:rsidRPr="00154740">
        <w:rPr>
          <w:rFonts w:cs="Arial"/>
        </w:rPr>
        <w:t>review</w:t>
      </w:r>
      <w:bookmarkEnd w:id="46"/>
      <w:bookmarkEnd w:id="47"/>
      <w:proofErr w:type="gramEnd"/>
      <w:r w:rsidR="002C689F" w:rsidRPr="00154740">
        <w:rPr>
          <w:rFonts w:cs="Arial"/>
        </w:rPr>
        <w:t xml:space="preserve"> </w:t>
      </w:r>
    </w:p>
    <w:p w14:paraId="54852493" w14:textId="51C26635" w:rsidR="002C689F" w:rsidRPr="001F2A32" w:rsidRDefault="002C689F" w:rsidP="002C689F">
      <w:pPr>
        <w:pStyle w:val="Default"/>
        <w:rPr>
          <w:rFonts w:ascii="Arial" w:hAnsi="Arial" w:cs="Arial"/>
          <w:color w:val="auto"/>
          <w:sz w:val="22"/>
          <w:szCs w:val="22"/>
        </w:rPr>
      </w:pPr>
      <w:r w:rsidRPr="00154740">
        <w:rPr>
          <w:rFonts w:ascii="Arial" w:hAnsi="Arial" w:cs="Arial"/>
          <w:iCs/>
          <w:color w:val="auto"/>
          <w:sz w:val="22"/>
          <w:szCs w:val="22"/>
        </w:rPr>
        <w:t xml:space="preserve">This policy will be </w:t>
      </w:r>
      <w:r w:rsidRPr="001F2A32">
        <w:rPr>
          <w:rFonts w:ascii="Arial" w:hAnsi="Arial" w:cs="Arial"/>
          <w:iCs/>
          <w:color w:val="auto"/>
          <w:sz w:val="22"/>
          <w:szCs w:val="22"/>
        </w:rPr>
        <w:t xml:space="preserve">reviewed </w:t>
      </w:r>
      <w:r w:rsidR="00DF75FF" w:rsidRPr="001F2A32">
        <w:rPr>
          <w:rFonts w:ascii="Arial" w:hAnsi="Arial" w:cs="Arial"/>
          <w:iCs/>
          <w:color w:val="auto"/>
          <w:sz w:val="22"/>
          <w:szCs w:val="22"/>
        </w:rPr>
        <w:t>every three</w:t>
      </w:r>
      <w:r w:rsidRPr="001F2A32">
        <w:rPr>
          <w:rFonts w:ascii="Arial" w:hAnsi="Arial" w:cs="Arial"/>
          <w:iCs/>
          <w:color w:val="auto"/>
          <w:sz w:val="22"/>
          <w:szCs w:val="22"/>
        </w:rPr>
        <w:t xml:space="preserve"> year</w:t>
      </w:r>
      <w:r w:rsidR="00DF75FF" w:rsidRPr="001F2A32">
        <w:rPr>
          <w:rFonts w:ascii="Arial" w:hAnsi="Arial" w:cs="Arial"/>
          <w:iCs/>
          <w:color w:val="auto"/>
          <w:sz w:val="22"/>
          <w:szCs w:val="22"/>
        </w:rPr>
        <w:t>s</w:t>
      </w:r>
      <w:r w:rsidRPr="001F2A32">
        <w:rPr>
          <w:rFonts w:ascii="Arial" w:hAnsi="Arial" w:cs="Arial"/>
          <w:iCs/>
          <w:color w:val="auto"/>
          <w:sz w:val="22"/>
          <w:szCs w:val="22"/>
        </w:rPr>
        <w:t xml:space="preserve">.  Earlier review may be required in response to exceptional circumstances, organisational </w:t>
      </w:r>
      <w:proofErr w:type="gramStart"/>
      <w:r w:rsidRPr="001F2A32">
        <w:rPr>
          <w:rFonts w:ascii="Arial" w:hAnsi="Arial" w:cs="Arial"/>
          <w:iCs/>
          <w:color w:val="auto"/>
          <w:sz w:val="22"/>
          <w:szCs w:val="22"/>
        </w:rPr>
        <w:t>change</w:t>
      </w:r>
      <w:proofErr w:type="gramEnd"/>
      <w:r w:rsidRPr="001F2A32">
        <w:rPr>
          <w:rFonts w:ascii="Arial" w:hAnsi="Arial" w:cs="Arial"/>
          <w:iCs/>
          <w:color w:val="auto"/>
          <w:sz w:val="22"/>
          <w:szCs w:val="22"/>
        </w:rPr>
        <w:t xml:space="preserve"> or relevant changes in law/ guidance, as instructed by the senior manager responsible for this policy.</w:t>
      </w:r>
    </w:p>
    <w:p w14:paraId="12D900C9" w14:textId="77777777" w:rsidR="002C689F" w:rsidRPr="00154740" w:rsidRDefault="002C689F" w:rsidP="002C689F">
      <w:pPr>
        <w:pStyle w:val="Default"/>
        <w:ind w:left="1256"/>
        <w:rPr>
          <w:rFonts w:ascii="Arial" w:hAnsi="Arial" w:cs="Arial"/>
          <w:color w:val="auto"/>
          <w:sz w:val="22"/>
          <w:szCs w:val="22"/>
        </w:rPr>
      </w:pPr>
    </w:p>
    <w:p w14:paraId="25F6F317" w14:textId="34620C36" w:rsidR="00A77A9F" w:rsidRDefault="00A77A9F" w:rsidP="00A77A9F">
      <w:pPr>
        <w:pStyle w:val="Heading2"/>
      </w:pPr>
    </w:p>
    <w:sectPr w:rsidR="00A77A9F" w:rsidSect="00302DE2">
      <w:footerReference w:type="first" r:id="rId16"/>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FD81E" w14:textId="77777777" w:rsidR="001A36BF" w:rsidRDefault="001A36BF" w:rsidP="00D94765">
      <w:pPr>
        <w:spacing w:after="0" w:line="240" w:lineRule="auto"/>
      </w:pPr>
      <w:r>
        <w:separator/>
      </w:r>
    </w:p>
  </w:endnote>
  <w:endnote w:type="continuationSeparator" w:id="0">
    <w:p w14:paraId="5C33E0FD" w14:textId="77777777" w:rsidR="001A36BF" w:rsidRDefault="001A36BF" w:rsidP="00D94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434519"/>
      <w:docPartObj>
        <w:docPartGallery w:val="Page Numbers (Bottom of Page)"/>
        <w:docPartUnique/>
      </w:docPartObj>
    </w:sdtPr>
    <w:sdtEndPr>
      <w:rPr>
        <w:noProof/>
      </w:rPr>
    </w:sdtEndPr>
    <w:sdtContent>
      <w:p w14:paraId="77EF51E3" w14:textId="267103BD" w:rsidR="00D3647B" w:rsidRDefault="00D3647B">
        <w:pPr>
          <w:pStyle w:val="Footer"/>
          <w:jc w:val="center"/>
        </w:pPr>
        <w:r>
          <w:fldChar w:fldCharType="begin"/>
        </w:r>
        <w:r>
          <w:instrText xml:space="preserve"> PAGE   \* MERGEFORMAT </w:instrText>
        </w:r>
        <w:r>
          <w:fldChar w:fldCharType="separate"/>
        </w:r>
        <w:r w:rsidR="001A36BF">
          <w:rPr>
            <w:noProof/>
          </w:rPr>
          <w:t>1</w:t>
        </w:r>
        <w:r>
          <w:rPr>
            <w:noProof/>
          </w:rPr>
          <w:fldChar w:fldCharType="end"/>
        </w:r>
      </w:p>
    </w:sdtContent>
  </w:sdt>
  <w:p w14:paraId="3325787D" w14:textId="77777777" w:rsidR="00D3647B" w:rsidRDefault="00D364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030235"/>
      <w:docPartObj>
        <w:docPartGallery w:val="Page Numbers (Bottom of Page)"/>
        <w:docPartUnique/>
      </w:docPartObj>
    </w:sdtPr>
    <w:sdtEndPr>
      <w:rPr>
        <w:noProof/>
      </w:rPr>
    </w:sdtEndPr>
    <w:sdtContent>
      <w:p w14:paraId="7BC86EED" w14:textId="77777777" w:rsidR="00D3647B" w:rsidRDefault="00D364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54622C" w14:textId="77777777" w:rsidR="00D3647B" w:rsidRDefault="00D364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900492"/>
      <w:docPartObj>
        <w:docPartGallery w:val="Page Numbers (Bottom of Page)"/>
        <w:docPartUnique/>
      </w:docPartObj>
    </w:sdtPr>
    <w:sdtEndPr>
      <w:rPr>
        <w:noProof/>
      </w:rPr>
    </w:sdtEndPr>
    <w:sdtContent>
      <w:p w14:paraId="2D581B69" w14:textId="246EFE86" w:rsidR="00D3647B" w:rsidRDefault="00D3647B">
        <w:pPr>
          <w:pStyle w:val="Footer"/>
          <w:jc w:val="center"/>
        </w:pPr>
        <w:r>
          <w:fldChar w:fldCharType="begin"/>
        </w:r>
        <w:r>
          <w:instrText xml:space="preserve"> PAGE   \* MERGEFORMAT </w:instrText>
        </w:r>
        <w:r>
          <w:fldChar w:fldCharType="separate"/>
        </w:r>
        <w:r w:rsidR="00BA43CB">
          <w:rPr>
            <w:noProof/>
          </w:rPr>
          <w:t>1</w:t>
        </w:r>
        <w:r>
          <w:rPr>
            <w:noProof/>
          </w:rPr>
          <w:fldChar w:fldCharType="end"/>
        </w:r>
      </w:p>
    </w:sdtContent>
  </w:sdt>
  <w:p w14:paraId="28204FB5" w14:textId="77777777" w:rsidR="00D3647B" w:rsidRDefault="00D36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DFCD6" w14:textId="77777777" w:rsidR="001A36BF" w:rsidRDefault="001A36BF" w:rsidP="00D94765">
      <w:pPr>
        <w:spacing w:after="0" w:line="240" w:lineRule="auto"/>
      </w:pPr>
      <w:r>
        <w:separator/>
      </w:r>
    </w:p>
  </w:footnote>
  <w:footnote w:type="continuationSeparator" w:id="0">
    <w:p w14:paraId="48A8BF40" w14:textId="77777777" w:rsidR="001A36BF" w:rsidRDefault="001A36BF" w:rsidP="00D94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E19"/>
    <w:multiLevelType w:val="hybridMultilevel"/>
    <w:tmpl w:val="4596F7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C249E1"/>
    <w:multiLevelType w:val="hybridMultilevel"/>
    <w:tmpl w:val="1902BDC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F400BB"/>
    <w:multiLevelType w:val="hybridMultilevel"/>
    <w:tmpl w:val="58D0B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62DD1"/>
    <w:multiLevelType w:val="hybridMultilevel"/>
    <w:tmpl w:val="F370C92A"/>
    <w:lvl w:ilvl="0" w:tplc="2E166B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0878BF"/>
    <w:multiLevelType w:val="hybridMultilevel"/>
    <w:tmpl w:val="D0223AC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9746EF"/>
    <w:multiLevelType w:val="hybridMultilevel"/>
    <w:tmpl w:val="EF64601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0E494A96"/>
    <w:multiLevelType w:val="hybridMultilevel"/>
    <w:tmpl w:val="5570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E91C6D"/>
    <w:multiLevelType w:val="hybridMultilevel"/>
    <w:tmpl w:val="FEBCF98E"/>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8" w15:restartNumberingAfterBreak="0">
    <w:nsid w:val="10874FA2"/>
    <w:multiLevelType w:val="hybridMultilevel"/>
    <w:tmpl w:val="615EDFD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0AF3FCA"/>
    <w:multiLevelType w:val="hybridMultilevel"/>
    <w:tmpl w:val="C4A8F2E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130B4696"/>
    <w:multiLevelType w:val="hybridMultilevel"/>
    <w:tmpl w:val="6E6211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DE9399C"/>
    <w:multiLevelType w:val="hybridMultilevel"/>
    <w:tmpl w:val="A202A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A62CB9"/>
    <w:multiLevelType w:val="hybridMultilevel"/>
    <w:tmpl w:val="EFD09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BA1E5C"/>
    <w:multiLevelType w:val="hybridMultilevel"/>
    <w:tmpl w:val="A964F6C2"/>
    <w:lvl w:ilvl="0" w:tplc="08090017">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4" w15:restartNumberingAfterBreak="0">
    <w:nsid w:val="2A6A6011"/>
    <w:multiLevelType w:val="hybridMultilevel"/>
    <w:tmpl w:val="6FD6BC86"/>
    <w:lvl w:ilvl="0" w:tplc="08090017">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2C395186"/>
    <w:multiLevelType w:val="hybridMultilevel"/>
    <w:tmpl w:val="7F3EE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725536"/>
    <w:multiLevelType w:val="hybridMultilevel"/>
    <w:tmpl w:val="D0223AC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6093C97"/>
    <w:multiLevelType w:val="hybridMultilevel"/>
    <w:tmpl w:val="6FDCD404"/>
    <w:lvl w:ilvl="0" w:tplc="08090017">
      <w:start w:val="1"/>
      <w:numFmt w:val="lowerLetter"/>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8" w15:restartNumberingAfterBreak="0">
    <w:nsid w:val="390C3310"/>
    <w:multiLevelType w:val="hybridMultilevel"/>
    <w:tmpl w:val="670A587E"/>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9" w15:restartNumberingAfterBreak="0">
    <w:nsid w:val="3B847A24"/>
    <w:multiLevelType w:val="hybridMultilevel"/>
    <w:tmpl w:val="21ECD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5D5E91"/>
    <w:multiLevelType w:val="hybridMultilevel"/>
    <w:tmpl w:val="4F643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AA6A8D"/>
    <w:multiLevelType w:val="multilevel"/>
    <w:tmpl w:val="E6444F1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6A020C"/>
    <w:multiLevelType w:val="hybridMultilevel"/>
    <w:tmpl w:val="5D54C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DC09C0"/>
    <w:multiLevelType w:val="multilevel"/>
    <w:tmpl w:val="E2C2D5A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055DE2"/>
    <w:multiLevelType w:val="hybridMultilevel"/>
    <w:tmpl w:val="06A8D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A00CF8"/>
    <w:multiLevelType w:val="hybridMultilevel"/>
    <w:tmpl w:val="6F34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CA6A11"/>
    <w:multiLevelType w:val="hybridMultilevel"/>
    <w:tmpl w:val="9982B4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D451C2"/>
    <w:multiLevelType w:val="multilevel"/>
    <w:tmpl w:val="66D4282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28" w15:restartNumberingAfterBreak="0">
    <w:nsid w:val="62261619"/>
    <w:multiLevelType w:val="hybridMultilevel"/>
    <w:tmpl w:val="0236179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9" w15:restartNumberingAfterBreak="0">
    <w:nsid w:val="65872AD7"/>
    <w:multiLevelType w:val="hybridMultilevel"/>
    <w:tmpl w:val="4D5C316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6BE605C"/>
    <w:multiLevelType w:val="multilevel"/>
    <w:tmpl w:val="EF067AF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AC0099E"/>
    <w:multiLevelType w:val="hybridMultilevel"/>
    <w:tmpl w:val="3DF2F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636E01"/>
    <w:multiLevelType w:val="hybridMultilevel"/>
    <w:tmpl w:val="E9CE19B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3" w15:restartNumberingAfterBreak="0">
    <w:nsid w:val="6FCC42DA"/>
    <w:multiLevelType w:val="hybridMultilevel"/>
    <w:tmpl w:val="E6F4AC34"/>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34" w15:restartNumberingAfterBreak="0">
    <w:nsid w:val="73E97DC7"/>
    <w:multiLevelType w:val="hybridMultilevel"/>
    <w:tmpl w:val="418E5E70"/>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8040A92"/>
    <w:multiLevelType w:val="hybridMultilevel"/>
    <w:tmpl w:val="8ACAE0F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703872614">
    <w:abstractNumId w:val="11"/>
  </w:num>
  <w:num w:numId="2" w16cid:durableId="1645545448">
    <w:abstractNumId w:val="31"/>
  </w:num>
  <w:num w:numId="3" w16cid:durableId="1810707193">
    <w:abstractNumId w:val="14"/>
  </w:num>
  <w:num w:numId="4" w16cid:durableId="1979529872">
    <w:abstractNumId w:val="35"/>
  </w:num>
  <w:num w:numId="5" w16cid:durableId="1915971948">
    <w:abstractNumId w:val="32"/>
  </w:num>
  <w:num w:numId="6" w16cid:durableId="1195382922">
    <w:abstractNumId w:val="24"/>
  </w:num>
  <w:num w:numId="7" w16cid:durableId="1914117754">
    <w:abstractNumId w:val="10"/>
  </w:num>
  <w:num w:numId="8" w16cid:durableId="701978457">
    <w:abstractNumId w:val="26"/>
  </w:num>
  <w:num w:numId="9" w16cid:durableId="1010178107">
    <w:abstractNumId w:val="3"/>
  </w:num>
  <w:num w:numId="10" w16cid:durableId="409499814">
    <w:abstractNumId w:val="25"/>
  </w:num>
  <w:num w:numId="11" w16cid:durableId="1327514463">
    <w:abstractNumId w:val="6"/>
  </w:num>
  <w:num w:numId="12" w16cid:durableId="135880404">
    <w:abstractNumId w:val="19"/>
  </w:num>
  <w:num w:numId="13" w16cid:durableId="1759861761">
    <w:abstractNumId w:val="29"/>
  </w:num>
  <w:num w:numId="14" w16cid:durableId="1600328705">
    <w:abstractNumId w:val="15"/>
  </w:num>
  <w:num w:numId="15" w16cid:durableId="1660571204">
    <w:abstractNumId w:val="20"/>
  </w:num>
  <w:num w:numId="16" w16cid:durableId="1162352811">
    <w:abstractNumId w:val="34"/>
  </w:num>
  <w:num w:numId="17" w16cid:durableId="385186829">
    <w:abstractNumId w:val="0"/>
  </w:num>
  <w:num w:numId="18" w16cid:durableId="1813061809">
    <w:abstractNumId w:val="21"/>
  </w:num>
  <w:num w:numId="19" w16cid:durableId="22366998">
    <w:abstractNumId w:val="12"/>
  </w:num>
  <w:num w:numId="20" w16cid:durableId="1478649207">
    <w:abstractNumId w:val="1"/>
  </w:num>
  <w:num w:numId="21" w16cid:durableId="1358502516">
    <w:abstractNumId w:val="22"/>
  </w:num>
  <w:num w:numId="22" w16cid:durableId="534150711">
    <w:abstractNumId w:val="23"/>
  </w:num>
  <w:num w:numId="23" w16cid:durableId="1754474566">
    <w:abstractNumId w:val="30"/>
  </w:num>
  <w:num w:numId="24" w16cid:durableId="1466702937">
    <w:abstractNumId w:val="16"/>
  </w:num>
  <w:num w:numId="25" w16cid:durableId="76483361">
    <w:abstractNumId w:val="4"/>
  </w:num>
  <w:num w:numId="26" w16cid:durableId="285043816">
    <w:abstractNumId w:val="8"/>
  </w:num>
  <w:num w:numId="27" w16cid:durableId="170148944">
    <w:abstractNumId w:val="27"/>
  </w:num>
  <w:num w:numId="28" w16cid:durableId="621965029">
    <w:abstractNumId w:val="2"/>
  </w:num>
  <w:num w:numId="29" w16cid:durableId="2104522030">
    <w:abstractNumId w:val="9"/>
  </w:num>
  <w:num w:numId="30" w16cid:durableId="1620837336">
    <w:abstractNumId w:val="17"/>
  </w:num>
  <w:num w:numId="31" w16cid:durableId="1229457755">
    <w:abstractNumId w:val="33"/>
  </w:num>
  <w:num w:numId="32" w16cid:durableId="1520003196">
    <w:abstractNumId w:val="18"/>
  </w:num>
  <w:num w:numId="33" w16cid:durableId="655064586">
    <w:abstractNumId w:val="7"/>
  </w:num>
  <w:num w:numId="34" w16cid:durableId="1199977090">
    <w:abstractNumId w:val="28"/>
  </w:num>
  <w:num w:numId="35" w16cid:durableId="1933274271">
    <w:abstractNumId w:val="5"/>
  </w:num>
  <w:num w:numId="36" w16cid:durableId="116204276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savePreviewPicture/>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856"/>
    <w:rsid w:val="00002B3E"/>
    <w:rsid w:val="00005BA4"/>
    <w:rsid w:val="00010C3A"/>
    <w:rsid w:val="000171E8"/>
    <w:rsid w:val="00021272"/>
    <w:rsid w:val="00032EDB"/>
    <w:rsid w:val="0003545A"/>
    <w:rsid w:val="00055E62"/>
    <w:rsid w:val="000612A8"/>
    <w:rsid w:val="00063C63"/>
    <w:rsid w:val="00071A30"/>
    <w:rsid w:val="0007767B"/>
    <w:rsid w:val="000B294A"/>
    <w:rsid w:val="000C1A3D"/>
    <w:rsid w:val="000C3D97"/>
    <w:rsid w:val="000C7124"/>
    <w:rsid w:val="000D7A4E"/>
    <w:rsid w:val="000E343E"/>
    <w:rsid w:val="000F4B5C"/>
    <w:rsid w:val="000F79B0"/>
    <w:rsid w:val="00101DA7"/>
    <w:rsid w:val="00104390"/>
    <w:rsid w:val="001227A0"/>
    <w:rsid w:val="00126A6F"/>
    <w:rsid w:val="001355D4"/>
    <w:rsid w:val="001508FB"/>
    <w:rsid w:val="001859E2"/>
    <w:rsid w:val="001A36BF"/>
    <w:rsid w:val="001A5279"/>
    <w:rsid w:val="001A5F41"/>
    <w:rsid w:val="001B0B39"/>
    <w:rsid w:val="001C326D"/>
    <w:rsid w:val="001C5882"/>
    <w:rsid w:val="001C6649"/>
    <w:rsid w:val="001E0BFE"/>
    <w:rsid w:val="001F2A32"/>
    <w:rsid w:val="0020465B"/>
    <w:rsid w:val="002059EF"/>
    <w:rsid w:val="00213C41"/>
    <w:rsid w:val="00221422"/>
    <w:rsid w:val="002300F4"/>
    <w:rsid w:val="0024108B"/>
    <w:rsid w:val="00287AF4"/>
    <w:rsid w:val="002A306F"/>
    <w:rsid w:val="002A5BB5"/>
    <w:rsid w:val="002B2C5A"/>
    <w:rsid w:val="002C08F5"/>
    <w:rsid w:val="002C5DFA"/>
    <w:rsid w:val="002C63E3"/>
    <w:rsid w:val="002C689F"/>
    <w:rsid w:val="002E5F2C"/>
    <w:rsid w:val="002E6848"/>
    <w:rsid w:val="002F4884"/>
    <w:rsid w:val="0030007E"/>
    <w:rsid w:val="00301131"/>
    <w:rsid w:val="00302DE2"/>
    <w:rsid w:val="00305E1E"/>
    <w:rsid w:val="00314AC0"/>
    <w:rsid w:val="00346759"/>
    <w:rsid w:val="00362B64"/>
    <w:rsid w:val="00362D54"/>
    <w:rsid w:val="00363E20"/>
    <w:rsid w:val="0038404A"/>
    <w:rsid w:val="003853B3"/>
    <w:rsid w:val="003B7645"/>
    <w:rsid w:val="003D1546"/>
    <w:rsid w:val="003E1460"/>
    <w:rsid w:val="003E3683"/>
    <w:rsid w:val="003E79D3"/>
    <w:rsid w:val="004017A5"/>
    <w:rsid w:val="00407CCD"/>
    <w:rsid w:val="004203C6"/>
    <w:rsid w:val="00436D00"/>
    <w:rsid w:val="00440BDA"/>
    <w:rsid w:val="00453356"/>
    <w:rsid w:val="0046023A"/>
    <w:rsid w:val="00474047"/>
    <w:rsid w:val="004A7503"/>
    <w:rsid w:val="004C0FDD"/>
    <w:rsid w:val="004E17EE"/>
    <w:rsid w:val="004E788F"/>
    <w:rsid w:val="005034F1"/>
    <w:rsid w:val="00512B12"/>
    <w:rsid w:val="00515F2F"/>
    <w:rsid w:val="005248C8"/>
    <w:rsid w:val="00525665"/>
    <w:rsid w:val="00534A0A"/>
    <w:rsid w:val="00557AD7"/>
    <w:rsid w:val="00563FDF"/>
    <w:rsid w:val="00573942"/>
    <w:rsid w:val="00580A95"/>
    <w:rsid w:val="00581C9B"/>
    <w:rsid w:val="005B7CEE"/>
    <w:rsid w:val="005C2992"/>
    <w:rsid w:val="005C2C93"/>
    <w:rsid w:val="005C2F46"/>
    <w:rsid w:val="005C7112"/>
    <w:rsid w:val="005E2F2C"/>
    <w:rsid w:val="00612326"/>
    <w:rsid w:val="006428FE"/>
    <w:rsid w:val="006736F9"/>
    <w:rsid w:val="00695877"/>
    <w:rsid w:val="0069672E"/>
    <w:rsid w:val="006B6AC8"/>
    <w:rsid w:val="006B73B5"/>
    <w:rsid w:val="006C262C"/>
    <w:rsid w:val="006D13FC"/>
    <w:rsid w:val="006D2147"/>
    <w:rsid w:val="006D2C80"/>
    <w:rsid w:val="006D41AD"/>
    <w:rsid w:val="006D5ACC"/>
    <w:rsid w:val="006E395D"/>
    <w:rsid w:val="006F118D"/>
    <w:rsid w:val="006F1452"/>
    <w:rsid w:val="007118B8"/>
    <w:rsid w:val="0074389A"/>
    <w:rsid w:val="007518A7"/>
    <w:rsid w:val="00765EA0"/>
    <w:rsid w:val="00794538"/>
    <w:rsid w:val="007C28B8"/>
    <w:rsid w:val="007C3FEC"/>
    <w:rsid w:val="007D3159"/>
    <w:rsid w:val="007D3FE5"/>
    <w:rsid w:val="007E007E"/>
    <w:rsid w:val="00801553"/>
    <w:rsid w:val="00805491"/>
    <w:rsid w:val="008220F4"/>
    <w:rsid w:val="0082239A"/>
    <w:rsid w:val="00842C4F"/>
    <w:rsid w:val="00895B1A"/>
    <w:rsid w:val="008C2908"/>
    <w:rsid w:val="008C2934"/>
    <w:rsid w:val="008E720B"/>
    <w:rsid w:val="008F3CFE"/>
    <w:rsid w:val="00904847"/>
    <w:rsid w:val="00906763"/>
    <w:rsid w:val="00910B93"/>
    <w:rsid w:val="00911548"/>
    <w:rsid w:val="00911F70"/>
    <w:rsid w:val="009128D2"/>
    <w:rsid w:val="00913B3D"/>
    <w:rsid w:val="00920A56"/>
    <w:rsid w:val="00927293"/>
    <w:rsid w:val="0093411F"/>
    <w:rsid w:val="00946445"/>
    <w:rsid w:val="0098349B"/>
    <w:rsid w:val="00994C7C"/>
    <w:rsid w:val="009A3C75"/>
    <w:rsid w:val="009B5BE1"/>
    <w:rsid w:val="009B5E75"/>
    <w:rsid w:val="009C4209"/>
    <w:rsid w:val="009D097E"/>
    <w:rsid w:val="009E4129"/>
    <w:rsid w:val="009F3178"/>
    <w:rsid w:val="009F42C3"/>
    <w:rsid w:val="00A023F8"/>
    <w:rsid w:val="00A149B8"/>
    <w:rsid w:val="00A23925"/>
    <w:rsid w:val="00A25BB0"/>
    <w:rsid w:val="00A319BE"/>
    <w:rsid w:val="00A32CE1"/>
    <w:rsid w:val="00A41891"/>
    <w:rsid w:val="00A51352"/>
    <w:rsid w:val="00A71DB2"/>
    <w:rsid w:val="00A73C43"/>
    <w:rsid w:val="00A77A9F"/>
    <w:rsid w:val="00A83801"/>
    <w:rsid w:val="00A87B66"/>
    <w:rsid w:val="00A90BE3"/>
    <w:rsid w:val="00AA2BEF"/>
    <w:rsid w:val="00AB41F7"/>
    <w:rsid w:val="00AC38CB"/>
    <w:rsid w:val="00AC3BEC"/>
    <w:rsid w:val="00AC43B3"/>
    <w:rsid w:val="00AC56D6"/>
    <w:rsid w:val="00AD7354"/>
    <w:rsid w:val="00AE3F8E"/>
    <w:rsid w:val="00AE7557"/>
    <w:rsid w:val="00B3198D"/>
    <w:rsid w:val="00B364B1"/>
    <w:rsid w:val="00B43BC9"/>
    <w:rsid w:val="00B470A0"/>
    <w:rsid w:val="00B543C9"/>
    <w:rsid w:val="00B74845"/>
    <w:rsid w:val="00B9317A"/>
    <w:rsid w:val="00B9317D"/>
    <w:rsid w:val="00B93866"/>
    <w:rsid w:val="00BA43CB"/>
    <w:rsid w:val="00BA7FB8"/>
    <w:rsid w:val="00BC7FCF"/>
    <w:rsid w:val="00BF7022"/>
    <w:rsid w:val="00C01B20"/>
    <w:rsid w:val="00C07856"/>
    <w:rsid w:val="00C13430"/>
    <w:rsid w:val="00C25731"/>
    <w:rsid w:val="00C2742E"/>
    <w:rsid w:val="00C4027A"/>
    <w:rsid w:val="00C775F9"/>
    <w:rsid w:val="00C90D93"/>
    <w:rsid w:val="00C943F2"/>
    <w:rsid w:val="00C97A8A"/>
    <w:rsid w:val="00CA5002"/>
    <w:rsid w:val="00CA74C2"/>
    <w:rsid w:val="00CB057C"/>
    <w:rsid w:val="00CB2B19"/>
    <w:rsid w:val="00CC2A87"/>
    <w:rsid w:val="00CD1C1D"/>
    <w:rsid w:val="00CD2D43"/>
    <w:rsid w:val="00CD3215"/>
    <w:rsid w:val="00CE0B3E"/>
    <w:rsid w:val="00CF27A7"/>
    <w:rsid w:val="00CF70B9"/>
    <w:rsid w:val="00D04C39"/>
    <w:rsid w:val="00D10C17"/>
    <w:rsid w:val="00D16DC3"/>
    <w:rsid w:val="00D21794"/>
    <w:rsid w:val="00D3647B"/>
    <w:rsid w:val="00D54313"/>
    <w:rsid w:val="00D67234"/>
    <w:rsid w:val="00D75A24"/>
    <w:rsid w:val="00D80F16"/>
    <w:rsid w:val="00D817F8"/>
    <w:rsid w:val="00D94765"/>
    <w:rsid w:val="00DA16D8"/>
    <w:rsid w:val="00DA7746"/>
    <w:rsid w:val="00DB324E"/>
    <w:rsid w:val="00DE313F"/>
    <w:rsid w:val="00DF1F2C"/>
    <w:rsid w:val="00DF75FF"/>
    <w:rsid w:val="00E061EE"/>
    <w:rsid w:val="00E201F9"/>
    <w:rsid w:val="00E41E6C"/>
    <w:rsid w:val="00E6168D"/>
    <w:rsid w:val="00E67E7B"/>
    <w:rsid w:val="00E75EB6"/>
    <w:rsid w:val="00E81B2F"/>
    <w:rsid w:val="00E8260C"/>
    <w:rsid w:val="00EA4B88"/>
    <w:rsid w:val="00EB1C8B"/>
    <w:rsid w:val="00EB5A60"/>
    <w:rsid w:val="00EC1E09"/>
    <w:rsid w:val="00ED20FA"/>
    <w:rsid w:val="00EE3AC3"/>
    <w:rsid w:val="00EE73AA"/>
    <w:rsid w:val="00EE77C6"/>
    <w:rsid w:val="00F1717A"/>
    <w:rsid w:val="00F30657"/>
    <w:rsid w:val="00F42AE6"/>
    <w:rsid w:val="00F4561C"/>
    <w:rsid w:val="00F619FB"/>
    <w:rsid w:val="00F62F81"/>
    <w:rsid w:val="00F7674E"/>
    <w:rsid w:val="00F84565"/>
    <w:rsid w:val="00F87D0A"/>
    <w:rsid w:val="00F91D4C"/>
    <w:rsid w:val="00F971FE"/>
    <w:rsid w:val="00FA184E"/>
    <w:rsid w:val="00FA1E65"/>
    <w:rsid w:val="00FA3680"/>
    <w:rsid w:val="00FB333C"/>
    <w:rsid w:val="00FB4C3E"/>
    <w:rsid w:val="00FB717E"/>
    <w:rsid w:val="00FC6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E7C1782"/>
  <w15:chartTrackingRefBased/>
  <w15:docId w15:val="{FB566E0E-3BF6-441F-9C05-2209D462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124"/>
    <w:rPr>
      <w:rFonts w:ascii="Arial" w:hAnsi="Arial"/>
      <w:sz w:val="24"/>
    </w:rPr>
  </w:style>
  <w:style w:type="paragraph" w:styleId="Heading1">
    <w:name w:val="heading 1"/>
    <w:basedOn w:val="Normal"/>
    <w:next w:val="Normal"/>
    <w:link w:val="Heading1Char"/>
    <w:uiPriority w:val="9"/>
    <w:qFormat/>
    <w:rsid w:val="00D94765"/>
    <w:pPr>
      <w:keepNext/>
      <w:keepLines/>
      <w:spacing w:after="240" w:line="264" w:lineRule="auto"/>
      <w:jc w:val="center"/>
      <w:outlineLvl w:val="0"/>
    </w:pPr>
    <w:rPr>
      <w:rFonts w:eastAsiaTheme="majorEastAsia" w:cstheme="majorBidi"/>
      <w:b/>
      <w:sz w:val="52"/>
      <w:szCs w:val="30"/>
    </w:rPr>
  </w:style>
  <w:style w:type="paragraph" w:styleId="Heading2">
    <w:name w:val="heading 2"/>
    <w:basedOn w:val="Normal"/>
    <w:next w:val="Normal"/>
    <w:link w:val="Heading2Char"/>
    <w:uiPriority w:val="9"/>
    <w:unhideWhenUsed/>
    <w:qFormat/>
    <w:rsid w:val="000C7124"/>
    <w:pPr>
      <w:keepNext/>
      <w:keepLines/>
      <w:spacing w:after="180" w:line="264" w:lineRule="auto"/>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906763"/>
    <w:pPr>
      <w:keepNext/>
      <w:keepLines/>
      <w:spacing w:before="120" w:after="120"/>
      <w:outlineLvl w:val="2"/>
    </w:pPr>
    <w:rPr>
      <w:rFonts w:eastAsiaTheme="majorEastAsia" w:cstheme="majorBidi"/>
      <w:b/>
      <w:color w:val="0D0D0D" w:themeColor="text1" w:themeTint="F2"/>
      <w:szCs w:val="24"/>
    </w:rPr>
  </w:style>
  <w:style w:type="paragraph" w:styleId="Heading4">
    <w:name w:val="heading 4"/>
    <w:basedOn w:val="Normal"/>
    <w:next w:val="Normal"/>
    <w:link w:val="Heading4Char"/>
    <w:uiPriority w:val="9"/>
    <w:unhideWhenUsed/>
    <w:qFormat/>
    <w:rsid w:val="0069672E"/>
    <w:pPr>
      <w:keepNext/>
      <w:keepLines/>
      <w:spacing w:before="120" w:after="12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5"/>
    <w:qFormat/>
    <w:rsid w:val="001859E2"/>
    <w:pPr>
      <w:spacing w:after="400" w:line="264"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5"/>
    <w:rsid w:val="001859E2"/>
    <w:rPr>
      <w:rFonts w:asciiTheme="majorHAnsi" w:eastAsiaTheme="majorEastAsia" w:hAnsiTheme="majorHAnsi" w:cstheme="majorBidi"/>
      <w:kern w:val="28"/>
      <w:sz w:val="56"/>
      <w:szCs w:val="56"/>
    </w:rPr>
  </w:style>
  <w:style w:type="character" w:customStyle="1" w:styleId="Heading1Char">
    <w:name w:val="Heading 1 Char"/>
    <w:basedOn w:val="DefaultParagraphFont"/>
    <w:link w:val="Heading1"/>
    <w:uiPriority w:val="9"/>
    <w:rsid w:val="00D94765"/>
    <w:rPr>
      <w:rFonts w:ascii="Arial" w:eastAsiaTheme="majorEastAsia" w:hAnsi="Arial" w:cstheme="majorBidi"/>
      <w:b/>
      <w:sz w:val="52"/>
      <w:szCs w:val="30"/>
    </w:rPr>
  </w:style>
  <w:style w:type="character" w:customStyle="1" w:styleId="Heading2Char">
    <w:name w:val="Heading 2 Char"/>
    <w:basedOn w:val="DefaultParagraphFont"/>
    <w:link w:val="Heading2"/>
    <w:uiPriority w:val="9"/>
    <w:rsid w:val="000C7124"/>
    <w:rPr>
      <w:rFonts w:ascii="Arial" w:eastAsiaTheme="majorEastAsia" w:hAnsi="Arial" w:cstheme="majorBidi"/>
      <w:b/>
      <w:color w:val="000000" w:themeColor="text1"/>
      <w:sz w:val="28"/>
      <w:szCs w:val="26"/>
    </w:rPr>
  </w:style>
  <w:style w:type="paragraph" w:styleId="NoSpacing">
    <w:name w:val="No Spacing"/>
    <w:autoRedefine/>
    <w:uiPriority w:val="1"/>
    <w:qFormat/>
    <w:rsid w:val="001859E2"/>
    <w:pPr>
      <w:spacing w:after="0" w:line="240" w:lineRule="auto"/>
    </w:pPr>
    <w:rPr>
      <w:rFonts w:ascii="Arial" w:eastAsiaTheme="minorEastAsia" w:hAnsi="Arial"/>
      <w:color w:val="0D0D0D" w:themeColor="text1" w:themeTint="F2"/>
      <w:sz w:val="24"/>
      <w:szCs w:val="20"/>
      <w:lang w:val="en-US" w:eastAsia="ja-JP"/>
    </w:rPr>
  </w:style>
  <w:style w:type="character" w:customStyle="1" w:styleId="Heading3Char">
    <w:name w:val="Heading 3 Char"/>
    <w:basedOn w:val="DefaultParagraphFont"/>
    <w:link w:val="Heading3"/>
    <w:uiPriority w:val="9"/>
    <w:rsid w:val="00906763"/>
    <w:rPr>
      <w:rFonts w:ascii="Arial" w:eastAsiaTheme="majorEastAsia" w:hAnsi="Arial" w:cstheme="majorBidi"/>
      <w:b/>
      <w:color w:val="0D0D0D" w:themeColor="text1" w:themeTint="F2"/>
      <w:sz w:val="24"/>
      <w:szCs w:val="24"/>
    </w:rPr>
  </w:style>
  <w:style w:type="character" w:customStyle="1" w:styleId="Heading4Char">
    <w:name w:val="Heading 4 Char"/>
    <w:basedOn w:val="DefaultParagraphFont"/>
    <w:link w:val="Heading4"/>
    <w:uiPriority w:val="9"/>
    <w:rsid w:val="0069672E"/>
    <w:rPr>
      <w:rFonts w:ascii="Arial" w:eastAsiaTheme="majorEastAsia" w:hAnsi="Arial" w:cstheme="majorBidi"/>
      <w:b/>
      <w:iCs/>
      <w:color w:val="000000" w:themeColor="text1"/>
      <w:sz w:val="24"/>
    </w:rPr>
  </w:style>
  <w:style w:type="table" w:styleId="TableGrid">
    <w:name w:val="Table Grid"/>
    <w:basedOn w:val="TableNormal"/>
    <w:uiPriority w:val="59"/>
    <w:rsid w:val="009E4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rsid w:val="00126A6F"/>
    <w:pPr>
      <w:widowControl w:val="0"/>
      <w:autoSpaceDE w:val="0"/>
      <w:autoSpaceDN w:val="0"/>
      <w:adjustRightInd w:val="0"/>
      <w:spacing w:after="0" w:line="240" w:lineRule="auto"/>
      <w:ind w:left="898" w:right="-20"/>
      <w:jc w:val="center"/>
    </w:pPr>
    <w:rPr>
      <w:rFonts w:eastAsiaTheme="minorEastAsia" w:cs="Arial"/>
      <w:b/>
      <w:bCs/>
      <w:sz w:val="72"/>
      <w:szCs w:val="72"/>
      <w:lang w:val="en-US"/>
    </w:rPr>
  </w:style>
  <w:style w:type="paragraph" w:customStyle="1" w:styleId="Default">
    <w:name w:val="Default"/>
    <w:rsid w:val="00126A6F"/>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TOCHeading">
    <w:name w:val="TOC Heading"/>
    <w:basedOn w:val="Heading1"/>
    <w:next w:val="Normal"/>
    <w:uiPriority w:val="39"/>
    <w:unhideWhenUsed/>
    <w:qFormat/>
    <w:rsid w:val="00126A6F"/>
    <w:pPr>
      <w:spacing w:before="240" w:after="0" w:line="259" w:lineRule="auto"/>
      <w:jc w:val="left"/>
      <w:outlineLvl w:val="9"/>
    </w:pPr>
    <w:rPr>
      <w:rFonts w:asciiTheme="majorHAnsi" w:hAnsiTheme="majorHAnsi"/>
      <w:b w:val="0"/>
      <w:color w:val="2F5496" w:themeColor="accent1" w:themeShade="BF"/>
      <w:szCs w:val="32"/>
      <w:lang w:val="en-US"/>
    </w:rPr>
  </w:style>
  <w:style w:type="paragraph" w:styleId="TOC1">
    <w:name w:val="toc 1"/>
    <w:basedOn w:val="Normal"/>
    <w:next w:val="Normal"/>
    <w:autoRedefine/>
    <w:uiPriority w:val="39"/>
    <w:unhideWhenUsed/>
    <w:rsid w:val="00D94765"/>
    <w:pPr>
      <w:tabs>
        <w:tab w:val="right" w:leader="dot" w:pos="9016"/>
      </w:tabs>
      <w:spacing w:after="240"/>
    </w:pPr>
    <w:rPr>
      <w:b/>
      <w:bCs/>
    </w:rPr>
  </w:style>
  <w:style w:type="paragraph" w:styleId="TOC2">
    <w:name w:val="toc 2"/>
    <w:basedOn w:val="Normal"/>
    <w:next w:val="Normal"/>
    <w:autoRedefine/>
    <w:uiPriority w:val="39"/>
    <w:unhideWhenUsed/>
    <w:rsid w:val="00126A6F"/>
    <w:pPr>
      <w:spacing w:after="100"/>
      <w:ind w:left="240"/>
    </w:pPr>
  </w:style>
  <w:style w:type="character" w:styleId="Hyperlink">
    <w:name w:val="Hyperlink"/>
    <w:basedOn w:val="DefaultParagraphFont"/>
    <w:uiPriority w:val="99"/>
    <w:unhideWhenUsed/>
    <w:rsid w:val="00126A6F"/>
    <w:rPr>
      <w:color w:val="0563C1" w:themeColor="hyperlink"/>
      <w:u w:val="single"/>
    </w:rPr>
  </w:style>
  <w:style w:type="paragraph" w:styleId="ListParagraph">
    <w:name w:val="List Paragraph"/>
    <w:basedOn w:val="Normal"/>
    <w:uiPriority w:val="34"/>
    <w:qFormat/>
    <w:rsid w:val="00126A6F"/>
    <w:pPr>
      <w:ind w:left="720"/>
      <w:contextualSpacing/>
    </w:pPr>
  </w:style>
  <w:style w:type="character" w:styleId="PlaceholderText">
    <w:name w:val="Placeholder Text"/>
    <w:basedOn w:val="DefaultParagraphFont"/>
    <w:uiPriority w:val="99"/>
    <w:semiHidden/>
    <w:rsid w:val="00D94765"/>
    <w:rPr>
      <w:color w:val="808080"/>
    </w:rPr>
  </w:style>
  <w:style w:type="paragraph" w:styleId="Header">
    <w:name w:val="header"/>
    <w:basedOn w:val="Normal"/>
    <w:link w:val="HeaderChar"/>
    <w:uiPriority w:val="99"/>
    <w:unhideWhenUsed/>
    <w:rsid w:val="00D94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765"/>
    <w:rPr>
      <w:rFonts w:ascii="Arial" w:hAnsi="Arial"/>
      <w:sz w:val="24"/>
    </w:rPr>
  </w:style>
  <w:style w:type="paragraph" w:styleId="Footer">
    <w:name w:val="footer"/>
    <w:basedOn w:val="Normal"/>
    <w:link w:val="FooterChar"/>
    <w:uiPriority w:val="99"/>
    <w:unhideWhenUsed/>
    <w:rsid w:val="00D94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765"/>
    <w:rPr>
      <w:rFonts w:ascii="Arial" w:hAnsi="Arial"/>
      <w:sz w:val="24"/>
    </w:rPr>
  </w:style>
  <w:style w:type="paragraph" w:styleId="BodyText">
    <w:name w:val="Body Text"/>
    <w:basedOn w:val="Normal"/>
    <w:link w:val="BodyTextChar"/>
    <w:uiPriority w:val="99"/>
    <w:rsid w:val="005E2F2C"/>
    <w:pPr>
      <w:widowControl w:val="0"/>
      <w:autoSpaceDE w:val="0"/>
      <w:autoSpaceDN w:val="0"/>
      <w:adjustRightInd w:val="0"/>
      <w:spacing w:after="0" w:line="200" w:lineRule="exact"/>
      <w:jc w:val="center"/>
    </w:pPr>
    <w:rPr>
      <w:rFonts w:eastAsiaTheme="minorEastAsia" w:cs="Arial"/>
      <w:b/>
      <w:bCs/>
      <w:color w:val="000000"/>
      <w:szCs w:val="24"/>
      <w:lang w:val="en-US"/>
    </w:rPr>
  </w:style>
  <w:style w:type="character" w:customStyle="1" w:styleId="BodyTextChar">
    <w:name w:val="Body Text Char"/>
    <w:basedOn w:val="DefaultParagraphFont"/>
    <w:link w:val="BodyText"/>
    <w:uiPriority w:val="99"/>
    <w:rsid w:val="005E2F2C"/>
    <w:rPr>
      <w:rFonts w:ascii="Arial" w:eastAsiaTheme="minorEastAsia" w:hAnsi="Arial" w:cs="Arial"/>
      <w:b/>
      <w:bCs/>
      <w:color w:val="000000"/>
      <w:sz w:val="24"/>
      <w:szCs w:val="24"/>
      <w:lang w:val="en-US"/>
    </w:rPr>
  </w:style>
  <w:style w:type="paragraph" w:styleId="BalloonText">
    <w:name w:val="Balloon Text"/>
    <w:basedOn w:val="Normal"/>
    <w:link w:val="BalloonTextChar"/>
    <w:uiPriority w:val="99"/>
    <w:semiHidden/>
    <w:unhideWhenUsed/>
    <w:rsid w:val="005E2F2C"/>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5E2F2C"/>
    <w:rPr>
      <w:rFonts w:ascii="Tahoma" w:eastAsiaTheme="minorEastAsia" w:hAnsi="Tahoma" w:cs="Tahoma"/>
      <w:sz w:val="16"/>
      <w:szCs w:val="16"/>
    </w:rPr>
  </w:style>
  <w:style w:type="paragraph" w:styleId="BodyText2">
    <w:name w:val="Body Text 2"/>
    <w:basedOn w:val="Normal"/>
    <w:link w:val="BodyText2Char"/>
    <w:uiPriority w:val="99"/>
    <w:semiHidden/>
    <w:unhideWhenUsed/>
    <w:rsid w:val="005E2F2C"/>
    <w:pPr>
      <w:spacing w:after="120" w:line="480" w:lineRule="auto"/>
    </w:pPr>
    <w:rPr>
      <w:rFonts w:ascii="Times New Roman" w:eastAsiaTheme="minorEastAsia" w:hAnsi="Times New Roman" w:cs="Times New Roman"/>
      <w:szCs w:val="24"/>
    </w:rPr>
  </w:style>
  <w:style w:type="character" w:customStyle="1" w:styleId="BodyText2Char">
    <w:name w:val="Body Text 2 Char"/>
    <w:basedOn w:val="DefaultParagraphFont"/>
    <w:link w:val="BodyText2"/>
    <w:uiPriority w:val="99"/>
    <w:semiHidden/>
    <w:rsid w:val="005E2F2C"/>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5E2F2C"/>
    <w:rPr>
      <w:sz w:val="16"/>
      <w:szCs w:val="16"/>
    </w:rPr>
  </w:style>
  <w:style w:type="paragraph" w:styleId="CommentText">
    <w:name w:val="annotation text"/>
    <w:basedOn w:val="Normal"/>
    <w:link w:val="CommentTextChar"/>
    <w:uiPriority w:val="99"/>
    <w:unhideWhenUsed/>
    <w:rsid w:val="005E2F2C"/>
    <w:pPr>
      <w:spacing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5E2F2C"/>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E2F2C"/>
    <w:rPr>
      <w:b/>
      <w:bCs/>
    </w:rPr>
  </w:style>
  <w:style w:type="character" w:customStyle="1" w:styleId="CommentSubjectChar">
    <w:name w:val="Comment Subject Char"/>
    <w:basedOn w:val="CommentTextChar"/>
    <w:link w:val="CommentSubject"/>
    <w:uiPriority w:val="99"/>
    <w:semiHidden/>
    <w:rsid w:val="005E2F2C"/>
    <w:rPr>
      <w:rFonts w:ascii="Times New Roman" w:eastAsiaTheme="minorEastAsia" w:hAnsi="Times New Roman" w:cs="Times New Roman"/>
      <w:b/>
      <w:bCs/>
      <w:sz w:val="20"/>
      <w:szCs w:val="20"/>
    </w:rPr>
  </w:style>
  <w:style w:type="paragraph" w:customStyle="1" w:styleId="BodyText1">
    <w:name w:val="Body Text1"/>
    <w:rsid w:val="005E2F2C"/>
    <w:pPr>
      <w:spacing w:after="0" w:line="285" w:lineRule="auto"/>
    </w:pPr>
    <w:rPr>
      <w:rFonts w:ascii="Tahoma" w:eastAsia="Times New Roman" w:hAnsi="Tahoma" w:cs="Tahoma"/>
      <w:color w:val="000000"/>
      <w:kern w:val="28"/>
      <w:lang w:eastAsia="en-GB"/>
      <w14:ligatures w14:val="standard"/>
      <w14:cntxtAlts/>
    </w:rPr>
  </w:style>
  <w:style w:type="character" w:customStyle="1" w:styleId="UnresolvedMention1">
    <w:name w:val="Unresolved Mention1"/>
    <w:basedOn w:val="DefaultParagraphFont"/>
    <w:uiPriority w:val="99"/>
    <w:semiHidden/>
    <w:unhideWhenUsed/>
    <w:rsid w:val="005E2F2C"/>
    <w:rPr>
      <w:color w:val="605E5C"/>
      <w:shd w:val="clear" w:color="auto" w:fill="E1DFDD"/>
    </w:rPr>
  </w:style>
  <w:style w:type="paragraph" w:styleId="NormalWeb">
    <w:name w:val="Normal (Web)"/>
    <w:basedOn w:val="Normal"/>
    <w:uiPriority w:val="99"/>
    <w:unhideWhenUsed/>
    <w:rsid w:val="005E2F2C"/>
    <w:pPr>
      <w:spacing w:before="100" w:beforeAutospacing="1" w:after="100" w:afterAutospacing="1" w:line="240" w:lineRule="auto"/>
    </w:pPr>
    <w:rPr>
      <w:rFonts w:ascii="Times New Roman" w:eastAsia="Times New Roman" w:hAnsi="Times New Roman" w:cs="Times New Roman"/>
      <w:szCs w:val="24"/>
      <w:lang w:eastAsia="en-GB"/>
    </w:rPr>
  </w:style>
  <w:style w:type="table" w:customStyle="1" w:styleId="TableGrid1">
    <w:name w:val="Table Grid1"/>
    <w:basedOn w:val="TableNormal"/>
    <w:uiPriority w:val="59"/>
    <w:rsid w:val="007D3159"/>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B5E7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unhideWhenUsed/>
    <w:rsid w:val="003E1460"/>
    <w:pPr>
      <w:spacing w:after="100"/>
      <w:ind w:left="480"/>
    </w:pPr>
  </w:style>
  <w:style w:type="character" w:customStyle="1" w:styleId="cf01">
    <w:name w:val="cf01"/>
    <w:basedOn w:val="DefaultParagraphFont"/>
    <w:rsid w:val="00346759"/>
    <w:rPr>
      <w:rFonts w:ascii="Segoe UI" w:hAnsi="Segoe UI" w:cs="Segoe UI" w:hint="default"/>
      <w:sz w:val="18"/>
      <w:szCs w:val="18"/>
    </w:rPr>
  </w:style>
  <w:style w:type="character" w:customStyle="1" w:styleId="UnresolvedMention2">
    <w:name w:val="Unresolved Mention2"/>
    <w:basedOn w:val="DefaultParagraphFont"/>
    <w:uiPriority w:val="99"/>
    <w:semiHidden/>
    <w:unhideWhenUsed/>
    <w:rsid w:val="00D75A24"/>
    <w:rPr>
      <w:color w:val="605E5C"/>
      <w:shd w:val="clear" w:color="auto" w:fill="E1DFDD"/>
    </w:rPr>
  </w:style>
  <w:style w:type="paragraph" w:customStyle="1" w:styleId="Pa5">
    <w:name w:val="Pa5"/>
    <w:basedOn w:val="Default"/>
    <w:next w:val="Default"/>
    <w:uiPriority w:val="99"/>
    <w:rsid w:val="00CC2A87"/>
    <w:pPr>
      <w:spacing w:line="231" w:lineRule="atLeast"/>
    </w:pPr>
    <w:rPr>
      <w:rFonts w:ascii="Arial" w:hAnsi="Arial" w:cs="Arial"/>
      <w:color w:val="auto"/>
    </w:rPr>
  </w:style>
  <w:style w:type="paragraph" w:customStyle="1" w:styleId="Pa4">
    <w:name w:val="Pa4"/>
    <w:basedOn w:val="Default"/>
    <w:next w:val="Default"/>
    <w:uiPriority w:val="99"/>
    <w:rsid w:val="00CC2A87"/>
    <w:pPr>
      <w:spacing w:line="231" w:lineRule="atLeast"/>
    </w:pPr>
    <w:rPr>
      <w:rFonts w:ascii="Arial" w:hAnsi="Arial" w:cs="Arial"/>
      <w:color w:val="auto"/>
    </w:rPr>
  </w:style>
  <w:style w:type="character" w:customStyle="1" w:styleId="A6">
    <w:name w:val="A6"/>
    <w:uiPriority w:val="99"/>
    <w:rsid w:val="00CC2A87"/>
    <w:rPr>
      <w:color w:val="000000"/>
      <w:sz w:val="28"/>
      <w:szCs w:val="28"/>
    </w:rPr>
  </w:style>
  <w:style w:type="character" w:customStyle="1" w:styleId="UnresolvedMention3">
    <w:name w:val="Unresolved Mention3"/>
    <w:basedOn w:val="DefaultParagraphFont"/>
    <w:uiPriority w:val="99"/>
    <w:semiHidden/>
    <w:unhideWhenUsed/>
    <w:rsid w:val="002C63E3"/>
    <w:rPr>
      <w:color w:val="605E5C"/>
      <w:shd w:val="clear" w:color="auto" w:fill="E1DFDD"/>
    </w:rPr>
  </w:style>
  <w:style w:type="paragraph" w:customStyle="1" w:styleId="pf0">
    <w:name w:val="pf0"/>
    <w:basedOn w:val="Normal"/>
    <w:rsid w:val="00F1717A"/>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90988">
      <w:bodyDiv w:val="1"/>
      <w:marLeft w:val="0"/>
      <w:marRight w:val="0"/>
      <w:marTop w:val="0"/>
      <w:marBottom w:val="0"/>
      <w:divBdr>
        <w:top w:val="none" w:sz="0" w:space="0" w:color="auto"/>
        <w:left w:val="none" w:sz="0" w:space="0" w:color="auto"/>
        <w:bottom w:val="none" w:sz="0" w:space="0" w:color="auto"/>
        <w:right w:val="none" w:sz="0" w:space="0" w:color="auto"/>
      </w:divBdr>
    </w:div>
    <w:div w:id="622856022">
      <w:bodyDiv w:val="1"/>
      <w:marLeft w:val="0"/>
      <w:marRight w:val="0"/>
      <w:marTop w:val="0"/>
      <w:marBottom w:val="0"/>
      <w:divBdr>
        <w:top w:val="none" w:sz="0" w:space="0" w:color="auto"/>
        <w:left w:val="none" w:sz="0" w:space="0" w:color="auto"/>
        <w:bottom w:val="none" w:sz="0" w:space="0" w:color="auto"/>
        <w:right w:val="none" w:sz="0" w:space="0" w:color="auto"/>
      </w:divBdr>
    </w:div>
    <w:div w:id="660353532">
      <w:bodyDiv w:val="1"/>
      <w:marLeft w:val="0"/>
      <w:marRight w:val="0"/>
      <w:marTop w:val="0"/>
      <w:marBottom w:val="0"/>
      <w:divBdr>
        <w:top w:val="none" w:sz="0" w:space="0" w:color="auto"/>
        <w:left w:val="none" w:sz="0" w:space="0" w:color="auto"/>
        <w:bottom w:val="none" w:sz="0" w:space="0" w:color="auto"/>
        <w:right w:val="none" w:sz="0" w:space="0" w:color="auto"/>
      </w:divBdr>
    </w:div>
    <w:div w:id="695889876">
      <w:bodyDiv w:val="1"/>
      <w:marLeft w:val="0"/>
      <w:marRight w:val="0"/>
      <w:marTop w:val="0"/>
      <w:marBottom w:val="0"/>
      <w:divBdr>
        <w:top w:val="none" w:sz="0" w:space="0" w:color="auto"/>
        <w:left w:val="none" w:sz="0" w:space="0" w:color="auto"/>
        <w:bottom w:val="none" w:sz="0" w:space="0" w:color="auto"/>
        <w:right w:val="none" w:sz="0" w:space="0" w:color="auto"/>
      </w:divBdr>
    </w:div>
    <w:div w:id="704797880">
      <w:bodyDiv w:val="1"/>
      <w:marLeft w:val="0"/>
      <w:marRight w:val="0"/>
      <w:marTop w:val="0"/>
      <w:marBottom w:val="0"/>
      <w:divBdr>
        <w:top w:val="none" w:sz="0" w:space="0" w:color="auto"/>
        <w:left w:val="none" w:sz="0" w:space="0" w:color="auto"/>
        <w:bottom w:val="none" w:sz="0" w:space="0" w:color="auto"/>
        <w:right w:val="none" w:sz="0" w:space="0" w:color="auto"/>
      </w:divBdr>
    </w:div>
    <w:div w:id="1134055345">
      <w:bodyDiv w:val="1"/>
      <w:marLeft w:val="0"/>
      <w:marRight w:val="0"/>
      <w:marTop w:val="0"/>
      <w:marBottom w:val="0"/>
      <w:divBdr>
        <w:top w:val="none" w:sz="0" w:space="0" w:color="auto"/>
        <w:left w:val="none" w:sz="0" w:space="0" w:color="auto"/>
        <w:bottom w:val="none" w:sz="0" w:space="0" w:color="auto"/>
        <w:right w:val="none" w:sz="0" w:space="0" w:color="auto"/>
      </w:divBdr>
    </w:div>
    <w:div w:id="1523395934">
      <w:bodyDiv w:val="1"/>
      <w:marLeft w:val="0"/>
      <w:marRight w:val="0"/>
      <w:marTop w:val="0"/>
      <w:marBottom w:val="0"/>
      <w:divBdr>
        <w:top w:val="none" w:sz="0" w:space="0" w:color="auto"/>
        <w:left w:val="none" w:sz="0" w:space="0" w:color="auto"/>
        <w:bottom w:val="none" w:sz="0" w:space="0" w:color="auto"/>
        <w:right w:val="none" w:sz="0" w:space="0" w:color="auto"/>
      </w:divBdr>
    </w:div>
    <w:div w:id="1573588501">
      <w:bodyDiv w:val="1"/>
      <w:marLeft w:val="0"/>
      <w:marRight w:val="0"/>
      <w:marTop w:val="0"/>
      <w:marBottom w:val="0"/>
      <w:divBdr>
        <w:top w:val="none" w:sz="0" w:space="0" w:color="auto"/>
        <w:left w:val="none" w:sz="0" w:space="0" w:color="auto"/>
        <w:bottom w:val="none" w:sz="0" w:space="0" w:color="auto"/>
        <w:right w:val="none" w:sz="0" w:space="0" w:color="auto"/>
      </w:divBdr>
    </w:div>
    <w:div w:id="2001344639">
      <w:bodyDiv w:val="1"/>
      <w:marLeft w:val="0"/>
      <w:marRight w:val="0"/>
      <w:marTop w:val="0"/>
      <w:marBottom w:val="0"/>
      <w:divBdr>
        <w:top w:val="none" w:sz="0" w:space="0" w:color="auto"/>
        <w:left w:val="none" w:sz="0" w:space="0" w:color="auto"/>
        <w:bottom w:val="none" w:sz="0" w:space="0" w:color="auto"/>
        <w:right w:val="none" w:sz="0" w:space="0" w:color="auto"/>
      </w:divBdr>
    </w:div>
    <w:div w:id="210398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ortheastlincolnshireccg.nhs.uk/publicatio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lincs.gov.uk/health-wellbeing-and-social-care/adult-social-car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ortheastlincolnshireccg.nhs.uk/publication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go.org.uk/information-centre/information-for-organisations-we-investigate/guidance-notes/principles-of-good-administrative-practi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vertE\AppData\Local\Microsoft\Windows\INetCache\Content.Outlook\W864SBJF\Consultation%20-%20template%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CBFC5-3C4F-4FBA-B4FB-6C39E2F8B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Consultation - template (002)</Template>
  <TotalTime>12</TotalTime>
  <Pages>16</Pages>
  <Words>5346</Words>
  <Characters>30477</Characters>
  <Application>Microsoft Office Word</Application>
  <DocSecurity>0</DocSecurity>
  <Lines>253</Lines>
  <Paragraphs>71</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
      <vt:lpstr>    1	Introduction</vt:lpstr>
      <vt:lpstr>        1.1 Policy Purpose</vt:lpstr>
      <vt:lpstr>        1.2 Policy Application</vt:lpstr>
      <vt:lpstr>    2	Scope and definitions</vt:lpstr>
      <vt:lpstr>        2.1 Scope</vt:lpstr>
      <vt:lpstr>        Definitions</vt:lpstr>
      <vt:lpstr>    3	The Legal Context</vt:lpstr>
      <vt:lpstr>        3.1 The Care Act 2014 (‘the Care Act’) </vt:lpstr>
      <vt:lpstr>        3.2 The Mental Capacity Act 2005 (MCA) </vt:lpstr>
      <vt:lpstr>        3.3 Public law principles in decision making </vt:lpstr>
      <vt:lpstr>    4	Policy </vt:lpstr>
      <vt:lpstr>        4.1	When the Council will enter into a DPA </vt:lpstr>
      <vt:lpstr>        4.2	When the Council may enter into a DPA</vt:lpstr>
      <vt:lpstr>        4.3	Obtaining security</vt:lpstr>
      <vt:lpstr>        4.4	How much can be deferred</vt:lpstr>
      <vt:lpstr>        4.5	Contributing to the adult’s care cost from other sources </vt:lpstr>
      <vt:lpstr>        4.6	Renting out a property</vt:lpstr>
      <vt:lpstr>        4.7	Interest rate and administration charges</vt:lpstr>
      <vt:lpstr>        4.7.1	interest</vt:lpstr>
      <vt:lpstr>        4.7.2	administration charges</vt:lpstr>
      <vt:lpstr>        4.7.3	treatment of interest and administration charges</vt:lpstr>
      <vt:lpstr>        4.8	Making the DPA agreement</vt:lpstr>
      <vt:lpstr>        4.10	Contractual responsibilities for adults, arising from the DPA</vt:lpstr>
      <vt:lpstr>        4.11	Termination of the DPA</vt:lpstr>
      <vt:lpstr>        4.12	The Appeal Panel </vt:lpstr>
      <vt:lpstr>    5	Summary of Publications</vt:lpstr>
      <vt:lpstr>    6	Training </vt:lpstr>
      <vt:lpstr>    7	Impact analysis</vt:lpstr>
      <vt:lpstr>        7.1 Equality</vt:lpstr>
      <vt:lpstr>        7.2 Bribery Act 2010</vt:lpstr>
      <vt:lpstr>    8	Implementation </vt:lpstr>
      <vt:lpstr>    9	Policy monitoring and review </vt:lpstr>
      <vt:lpstr>    </vt:lpstr>
    </vt:vector>
  </TitlesOfParts>
  <Company/>
  <LinksUpToDate>false</LinksUpToDate>
  <CharactersWithSpaces>35752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2023-02-20T11:10:00Z</cp:lastPrinted>
  <dcterms:created xsi:type="dcterms:W3CDTF">2023-09-20T11:18:00Z</dcterms:created>
  <dcterms:modified xsi:type="dcterms:W3CDTF">2023-09-21T10:45:00Z</dcterms:modified>
</cp:coreProperties>
</file>