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C507" w14:textId="1BA3BABE" w:rsidR="00E749D8" w:rsidRPr="00E749D8" w:rsidRDefault="00E4036D" w:rsidP="00407264">
      <w:pPr>
        <w:spacing w:line="1200" w:lineRule="auto"/>
        <w:jc w:val="center"/>
        <w:rPr>
          <w:rFonts w:ascii="Arial" w:hAnsi="Arial" w:cs="Arial"/>
          <w:sz w:val="24"/>
          <w:szCs w:val="24"/>
        </w:rPr>
      </w:pPr>
      <w:r>
        <w:rPr>
          <w:noProof/>
        </w:rPr>
        <w:drawing>
          <wp:inline distT="0" distB="0" distL="0" distR="0" wp14:anchorId="733FCEFB" wp14:editId="1690811A">
            <wp:extent cx="1266825" cy="1381125"/>
            <wp:effectExtent l="0" t="0" r="9525" b="9525"/>
            <wp:docPr id="4" name="Picture 4"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pic:spPr>
                </pic:pic>
              </a:graphicData>
            </a:graphic>
          </wp:inline>
        </w:drawing>
      </w:r>
    </w:p>
    <w:p w14:paraId="1CBE90EF" w14:textId="77777777" w:rsidR="00E749D8" w:rsidRPr="00E749D8" w:rsidRDefault="00E749D8" w:rsidP="00407264">
      <w:pPr>
        <w:keepNext/>
        <w:spacing w:before="240" w:after="60"/>
        <w:jc w:val="center"/>
        <w:outlineLvl w:val="0"/>
        <w:rPr>
          <w:rFonts w:ascii="Arial" w:hAnsi="Arial" w:cs="Arial"/>
          <w:b/>
          <w:bCs/>
          <w:kern w:val="32"/>
          <w:sz w:val="48"/>
          <w:szCs w:val="32"/>
        </w:rPr>
      </w:pPr>
      <w:r w:rsidRPr="00E749D8">
        <w:rPr>
          <w:rFonts w:ascii="Arial" w:hAnsi="Arial" w:cs="Arial"/>
          <w:b/>
          <w:bCs/>
          <w:kern w:val="32"/>
          <w:sz w:val="48"/>
          <w:szCs w:val="32"/>
        </w:rPr>
        <w:t xml:space="preserve">North </w:t>
      </w:r>
      <w:r>
        <w:rPr>
          <w:rFonts w:ascii="Arial" w:hAnsi="Arial" w:cs="Arial"/>
          <w:b/>
          <w:bCs/>
          <w:kern w:val="32"/>
          <w:sz w:val="48"/>
          <w:szCs w:val="32"/>
        </w:rPr>
        <w:t xml:space="preserve">East </w:t>
      </w:r>
      <w:r w:rsidRPr="00E749D8">
        <w:rPr>
          <w:rFonts w:ascii="Arial" w:hAnsi="Arial" w:cs="Arial"/>
          <w:b/>
          <w:bCs/>
          <w:kern w:val="32"/>
          <w:sz w:val="48"/>
          <w:szCs w:val="32"/>
        </w:rPr>
        <w:t>Lincolnshire Council</w:t>
      </w:r>
    </w:p>
    <w:p w14:paraId="55CAF02C" w14:textId="77777777" w:rsidR="00E749D8" w:rsidRPr="00E749D8" w:rsidRDefault="00E749D8" w:rsidP="00E749D8">
      <w:pPr>
        <w:keepNext/>
        <w:spacing w:before="240" w:after="60"/>
        <w:jc w:val="center"/>
        <w:outlineLvl w:val="0"/>
        <w:rPr>
          <w:rFonts w:ascii="Arial" w:hAnsi="Arial" w:cs="Arial"/>
          <w:b/>
          <w:bCs/>
          <w:kern w:val="32"/>
          <w:sz w:val="48"/>
          <w:szCs w:val="32"/>
        </w:rPr>
      </w:pPr>
    </w:p>
    <w:p w14:paraId="656CAF89" w14:textId="77777777" w:rsidR="00E749D8" w:rsidRPr="00E749D8" w:rsidRDefault="00E749D8" w:rsidP="00E749D8">
      <w:pPr>
        <w:keepNext/>
        <w:spacing w:before="240" w:after="60"/>
        <w:jc w:val="center"/>
        <w:outlineLvl w:val="0"/>
        <w:rPr>
          <w:rFonts w:ascii="Arial" w:hAnsi="Arial" w:cs="Arial"/>
          <w:b/>
          <w:bCs/>
          <w:kern w:val="32"/>
          <w:sz w:val="48"/>
          <w:szCs w:val="32"/>
        </w:rPr>
      </w:pPr>
      <w:r w:rsidRPr="00E749D8">
        <w:rPr>
          <w:rFonts w:ascii="Arial" w:hAnsi="Arial" w:cs="Arial"/>
          <w:b/>
          <w:bCs/>
          <w:kern w:val="32"/>
          <w:sz w:val="48"/>
          <w:szCs w:val="32"/>
        </w:rPr>
        <w:t>Annual Fraud Report</w:t>
      </w:r>
    </w:p>
    <w:p w14:paraId="1596F5A9" w14:textId="77777777" w:rsidR="00E749D8" w:rsidRPr="00E749D8" w:rsidRDefault="00E749D8" w:rsidP="00E749D8">
      <w:pPr>
        <w:keepNext/>
        <w:spacing w:before="240" w:after="60"/>
        <w:jc w:val="center"/>
        <w:outlineLvl w:val="0"/>
        <w:rPr>
          <w:rFonts w:ascii="Arial" w:hAnsi="Arial" w:cs="Arial"/>
          <w:b/>
          <w:bCs/>
          <w:kern w:val="32"/>
          <w:sz w:val="48"/>
          <w:szCs w:val="32"/>
        </w:rPr>
      </w:pPr>
    </w:p>
    <w:p w14:paraId="5B5B1488" w14:textId="3B4F2FCD" w:rsidR="00E749D8" w:rsidRPr="00E749D8" w:rsidRDefault="00686BE4" w:rsidP="00E749D8">
      <w:pPr>
        <w:keepNext/>
        <w:spacing w:before="240" w:after="60"/>
        <w:jc w:val="center"/>
        <w:outlineLvl w:val="0"/>
        <w:rPr>
          <w:rFonts w:ascii="Arial" w:hAnsi="Arial" w:cs="Arial"/>
          <w:b/>
          <w:bCs/>
          <w:kern w:val="32"/>
          <w:sz w:val="48"/>
          <w:szCs w:val="32"/>
        </w:rPr>
      </w:pPr>
      <w:r>
        <w:rPr>
          <w:rFonts w:ascii="Arial" w:hAnsi="Arial" w:cs="Arial"/>
          <w:b/>
          <w:bCs/>
          <w:kern w:val="32"/>
          <w:sz w:val="48"/>
          <w:szCs w:val="32"/>
        </w:rPr>
        <w:t>20</w:t>
      </w:r>
      <w:r w:rsidR="00D34626">
        <w:rPr>
          <w:rFonts w:ascii="Arial" w:hAnsi="Arial" w:cs="Arial"/>
          <w:b/>
          <w:bCs/>
          <w:kern w:val="32"/>
          <w:sz w:val="48"/>
          <w:szCs w:val="32"/>
        </w:rPr>
        <w:t>2</w:t>
      </w:r>
      <w:r w:rsidR="00EE44D1">
        <w:rPr>
          <w:rFonts w:ascii="Arial" w:hAnsi="Arial" w:cs="Arial"/>
          <w:b/>
          <w:bCs/>
          <w:kern w:val="32"/>
          <w:sz w:val="48"/>
          <w:szCs w:val="32"/>
        </w:rPr>
        <w:t>4/25</w:t>
      </w:r>
    </w:p>
    <w:p w14:paraId="502F91D4" w14:textId="77777777" w:rsidR="00E749D8" w:rsidRPr="007F16DD" w:rsidRDefault="00E749D8" w:rsidP="0035294D">
      <w:pPr>
        <w:pStyle w:val="Heading1"/>
        <w:rPr>
          <w:rFonts w:ascii="Arial" w:hAnsi="Arial" w:cs="Arial"/>
          <w:b/>
          <w:sz w:val="28"/>
          <w:szCs w:val="28"/>
        </w:rPr>
      </w:pPr>
      <w:r w:rsidRPr="0035294D">
        <w:br w:type="page"/>
      </w:r>
      <w:r w:rsidRPr="007F16DD">
        <w:rPr>
          <w:rFonts w:ascii="Arial" w:hAnsi="Arial" w:cs="Arial"/>
          <w:b/>
          <w:color w:val="auto"/>
          <w:sz w:val="28"/>
          <w:szCs w:val="28"/>
        </w:rPr>
        <w:lastRenderedPageBreak/>
        <w:t>Introduction</w:t>
      </w:r>
    </w:p>
    <w:p w14:paraId="4BFA457C" w14:textId="77777777" w:rsidR="0035294D" w:rsidRDefault="0035294D" w:rsidP="0035294D">
      <w:pPr>
        <w:rPr>
          <w:rFonts w:ascii="Arial" w:hAnsi="Arial" w:cs="Arial"/>
          <w:sz w:val="24"/>
          <w:szCs w:val="24"/>
        </w:rPr>
      </w:pPr>
    </w:p>
    <w:p w14:paraId="2AFBF2C1" w14:textId="4DCF4899" w:rsidR="004860D4" w:rsidRDefault="00C32B80" w:rsidP="00A330CC">
      <w:pPr>
        <w:jc w:val="both"/>
      </w:pPr>
      <w:r w:rsidRPr="00C32B80">
        <w:rPr>
          <w:rFonts w:ascii="Arial" w:hAnsi="Arial" w:cs="Arial"/>
          <w:sz w:val="24"/>
          <w:szCs w:val="24"/>
        </w:rPr>
        <w:t xml:space="preserve">The North </w:t>
      </w:r>
      <w:r>
        <w:rPr>
          <w:rFonts w:ascii="Arial" w:hAnsi="Arial" w:cs="Arial"/>
          <w:sz w:val="24"/>
          <w:szCs w:val="24"/>
        </w:rPr>
        <w:t xml:space="preserve">East </w:t>
      </w:r>
      <w:r w:rsidRPr="00C32B80">
        <w:rPr>
          <w:rFonts w:ascii="Arial" w:hAnsi="Arial" w:cs="Arial"/>
          <w:sz w:val="24"/>
          <w:szCs w:val="24"/>
        </w:rPr>
        <w:t>Lincolnshire Council Anti-</w:t>
      </w:r>
      <w:r w:rsidR="00C27855">
        <w:rPr>
          <w:rFonts w:ascii="Arial" w:hAnsi="Arial" w:cs="Arial"/>
          <w:sz w:val="24"/>
          <w:szCs w:val="24"/>
        </w:rPr>
        <w:t>F</w:t>
      </w:r>
      <w:r w:rsidRPr="00C32B80">
        <w:rPr>
          <w:rFonts w:ascii="Arial" w:hAnsi="Arial" w:cs="Arial"/>
          <w:sz w:val="24"/>
          <w:szCs w:val="24"/>
        </w:rPr>
        <w:t xml:space="preserve">raud and </w:t>
      </w:r>
      <w:r w:rsidR="00C27855">
        <w:rPr>
          <w:rFonts w:ascii="Arial" w:hAnsi="Arial" w:cs="Arial"/>
          <w:sz w:val="24"/>
          <w:szCs w:val="24"/>
        </w:rPr>
        <w:t>C</w:t>
      </w:r>
      <w:r w:rsidRPr="00C32B80">
        <w:rPr>
          <w:rFonts w:ascii="Arial" w:hAnsi="Arial" w:cs="Arial"/>
          <w:sz w:val="24"/>
          <w:szCs w:val="24"/>
        </w:rPr>
        <w:t xml:space="preserve">orruption </w:t>
      </w:r>
      <w:r w:rsidR="00C27855">
        <w:rPr>
          <w:rFonts w:ascii="Arial" w:hAnsi="Arial" w:cs="Arial"/>
          <w:sz w:val="24"/>
          <w:szCs w:val="24"/>
        </w:rPr>
        <w:t>S</w:t>
      </w:r>
      <w:r w:rsidRPr="00C32B80">
        <w:rPr>
          <w:rFonts w:ascii="Arial" w:hAnsi="Arial" w:cs="Arial"/>
          <w:sz w:val="24"/>
          <w:szCs w:val="24"/>
        </w:rPr>
        <w:t xml:space="preserve">trategy sets out </w:t>
      </w:r>
      <w:r w:rsidR="00C27855">
        <w:rPr>
          <w:rFonts w:ascii="Arial" w:hAnsi="Arial" w:cs="Arial"/>
          <w:sz w:val="24"/>
          <w:szCs w:val="24"/>
        </w:rPr>
        <w:t xml:space="preserve">the </w:t>
      </w:r>
      <w:r w:rsidRPr="00C32B80">
        <w:rPr>
          <w:rFonts w:ascii="Arial" w:hAnsi="Arial" w:cs="Arial"/>
          <w:sz w:val="24"/>
          <w:szCs w:val="24"/>
        </w:rPr>
        <w:t xml:space="preserve">approach to </w:t>
      </w:r>
      <w:r w:rsidR="00EE0418">
        <w:rPr>
          <w:rFonts w:ascii="Arial" w:hAnsi="Arial" w:cs="Arial"/>
          <w:sz w:val="24"/>
          <w:szCs w:val="24"/>
        </w:rPr>
        <w:t>reduce</w:t>
      </w:r>
      <w:r w:rsidRPr="00C32B80">
        <w:rPr>
          <w:rFonts w:ascii="Arial" w:hAnsi="Arial" w:cs="Arial"/>
          <w:sz w:val="24"/>
          <w:szCs w:val="24"/>
        </w:rPr>
        <w:t xml:space="preserve"> the risk of fraud and corruption, detecting </w:t>
      </w:r>
      <w:r w:rsidR="00F91E1D">
        <w:rPr>
          <w:rFonts w:ascii="Arial" w:hAnsi="Arial" w:cs="Arial"/>
          <w:sz w:val="24"/>
          <w:szCs w:val="24"/>
        </w:rPr>
        <w:t xml:space="preserve">offences, </w:t>
      </w:r>
      <w:r w:rsidRPr="00C32B80">
        <w:rPr>
          <w:rFonts w:ascii="Arial" w:hAnsi="Arial" w:cs="Arial"/>
          <w:sz w:val="24"/>
          <w:szCs w:val="24"/>
        </w:rPr>
        <w:t>and the actions take</w:t>
      </w:r>
      <w:r w:rsidR="00F91E1D">
        <w:rPr>
          <w:rFonts w:ascii="Arial" w:hAnsi="Arial" w:cs="Arial"/>
          <w:sz w:val="24"/>
          <w:szCs w:val="24"/>
        </w:rPr>
        <w:t>n</w:t>
      </w:r>
      <w:r w:rsidRPr="00C32B80">
        <w:rPr>
          <w:rFonts w:ascii="Arial" w:hAnsi="Arial" w:cs="Arial"/>
          <w:sz w:val="24"/>
          <w:szCs w:val="24"/>
        </w:rPr>
        <w:t xml:space="preserve"> when fraudulent activi</w:t>
      </w:r>
      <w:r w:rsidR="00F91E1D">
        <w:rPr>
          <w:rFonts w:ascii="Arial" w:hAnsi="Arial" w:cs="Arial"/>
          <w:sz w:val="24"/>
          <w:szCs w:val="24"/>
        </w:rPr>
        <w:t>ty is detected.</w:t>
      </w:r>
    </w:p>
    <w:p w14:paraId="777F4A34" w14:textId="77777777" w:rsidR="004860D4" w:rsidRDefault="004860D4" w:rsidP="00A330CC">
      <w:pPr>
        <w:jc w:val="both"/>
      </w:pPr>
    </w:p>
    <w:p w14:paraId="20499736" w14:textId="781EC3C4" w:rsidR="00931F68" w:rsidRDefault="0063508F" w:rsidP="00A330CC">
      <w:pPr>
        <w:jc w:val="both"/>
        <w:rPr>
          <w:rFonts w:ascii="Arial" w:hAnsi="Arial" w:cs="Arial"/>
          <w:sz w:val="24"/>
          <w:szCs w:val="24"/>
        </w:rPr>
      </w:pPr>
      <w:r>
        <w:rPr>
          <w:rFonts w:ascii="Arial" w:hAnsi="Arial" w:cs="Arial"/>
          <w:sz w:val="24"/>
          <w:szCs w:val="24"/>
        </w:rPr>
        <w:t>The</w:t>
      </w:r>
      <w:r w:rsidR="004860D4" w:rsidRPr="004860D4">
        <w:rPr>
          <w:rFonts w:ascii="Arial" w:hAnsi="Arial" w:cs="Arial"/>
          <w:sz w:val="24"/>
          <w:szCs w:val="24"/>
        </w:rPr>
        <w:t xml:space="preserve"> approach to delivering the strategy is led by the Audit &amp; Assurance team</w:t>
      </w:r>
      <w:r w:rsidR="00931F68">
        <w:rPr>
          <w:rFonts w:ascii="Arial" w:hAnsi="Arial" w:cs="Arial"/>
          <w:sz w:val="24"/>
          <w:szCs w:val="24"/>
        </w:rPr>
        <w:t>; the Fraud Team working in partnership with the Audit Team to ensure resilience in processes aimed at preventing fraud and error.</w:t>
      </w:r>
    </w:p>
    <w:p w14:paraId="62665784" w14:textId="77777777" w:rsidR="00C32B80" w:rsidRDefault="00C32B80" w:rsidP="00A330CC">
      <w:pPr>
        <w:jc w:val="both"/>
        <w:rPr>
          <w:rFonts w:ascii="Arial" w:hAnsi="Arial" w:cs="Arial"/>
          <w:sz w:val="24"/>
          <w:szCs w:val="24"/>
        </w:rPr>
      </w:pPr>
    </w:p>
    <w:p w14:paraId="5B488D39" w14:textId="409273DB" w:rsidR="00E749D8" w:rsidRPr="0035294D" w:rsidRDefault="00E749D8" w:rsidP="00A330CC">
      <w:pPr>
        <w:jc w:val="both"/>
        <w:rPr>
          <w:rFonts w:ascii="Arial" w:hAnsi="Arial" w:cs="Arial"/>
          <w:sz w:val="24"/>
          <w:szCs w:val="24"/>
        </w:rPr>
      </w:pPr>
      <w:r w:rsidRPr="0035294D">
        <w:rPr>
          <w:rFonts w:ascii="Arial" w:hAnsi="Arial" w:cs="Arial"/>
          <w:sz w:val="24"/>
          <w:szCs w:val="24"/>
        </w:rPr>
        <w:t xml:space="preserve">This report highlights the work which has been carried out </w:t>
      </w:r>
      <w:r w:rsidR="00D31882">
        <w:rPr>
          <w:rFonts w:ascii="Arial" w:hAnsi="Arial" w:cs="Arial"/>
          <w:sz w:val="24"/>
          <w:szCs w:val="24"/>
        </w:rPr>
        <w:t>across the council during 202</w:t>
      </w:r>
      <w:r w:rsidR="00D51630">
        <w:rPr>
          <w:rFonts w:ascii="Arial" w:hAnsi="Arial" w:cs="Arial"/>
          <w:sz w:val="24"/>
          <w:szCs w:val="24"/>
        </w:rPr>
        <w:t>4/25</w:t>
      </w:r>
      <w:r w:rsidR="005B474F">
        <w:rPr>
          <w:rFonts w:ascii="Arial" w:hAnsi="Arial" w:cs="Arial"/>
          <w:sz w:val="24"/>
          <w:szCs w:val="24"/>
        </w:rPr>
        <w:t xml:space="preserve"> </w:t>
      </w:r>
      <w:r w:rsidRPr="0035294D">
        <w:rPr>
          <w:rFonts w:ascii="Arial" w:hAnsi="Arial" w:cs="Arial"/>
          <w:sz w:val="24"/>
          <w:szCs w:val="24"/>
        </w:rPr>
        <w:t>under the key principles of:</w:t>
      </w:r>
    </w:p>
    <w:p w14:paraId="095EA21F" w14:textId="77777777" w:rsidR="00E749D8" w:rsidRPr="0035294D" w:rsidRDefault="00E749D8" w:rsidP="00A330CC">
      <w:pPr>
        <w:jc w:val="both"/>
        <w:rPr>
          <w:rFonts w:ascii="Arial" w:hAnsi="Arial" w:cs="Arial"/>
          <w:sz w:val="24"/>
          <w:szCs w:val="24"/>
        </w:rPr>
      </w:pPr>
    </w:p>
    <w:p w14:paraId="418DE42D"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 xml:space="preserve">Govern </w:t>
      </w:r>
    </w:p>
    <w:p w14:paraId="7B7778FF"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Acknowledge and understand</w:t>
      </w:r>
    </w:p>
    <w:p w14:paraId="3169C8FF"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Prevent and detect</w:t>
      </w:r>
    </w:p>
    <w:p w14:paraId="4250A9F1"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Pursue</w:t>
      </w:r>
    </w:p>
    <w:p w14:paraId="2B944B15"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Protect</w:t>
      </w:r>
    </w:p>
    <w:p w14:paraId="1C573F3D" w14:textId="0B2DF7A8" w:rsidR="00DA764B" w:rsidRPr="007F16DD" w:rsidRDefault="00DA764B" w:rsidP="00B05F77">
      <w:pPr>
        <w:pStyle w:val="Heading1"/>
        <w:rPr>
          <w:rFonts w:ascii="Arial" w:hAnsi="Arial" w:cs="Arial"/>
          <w:b/>
          <w:color w:val="auto"/>
          <w:sz w:val="28"/>
          <w:szCs w:val="28"/>
        </w:rPr>
      </w:pPr>
      <w:r w:rsidRPr="007F16DD">
        <w:rPr>
          <w:rFonts w:ascii="Arial" w:hAnsi="Arial" w:cs="Arial"/>
          <w:b/>
          <w:color w:val="auto"/>
          <w:sz w:val="28"/>
          <w:szCs w:val="28"/>
        </w:rPr>
        <w:t>Govern</w:t>
      </w:r>
    </w:p>
    <w:p w14:paraId="0A6279AC" w14:textId="319FEB22" w:rsidR="00DA764B" w:rsidRDefault="00DA764B" w:rsidP="00A330CC">
      <w:pPr>
        <w:jc w:val="both"/>
      </w:pPr>
    </w:p>
    <w:p w14:paraId="0C88D0A0" w14:textId="573A4499" w:rsidR="00D51630" w:rsidRPr="00D51630" w:rsidRDefault="00D51630" w:rsidP="00D51630">
      <w:pPr>
        <w:widowControl w:val="0"/>
        <w:autoSpaceDE w:val="0"/>
        <w:autoSpaceDN w:val="0"/>
        <w:jc w:val="both"/>
        <w:rPr>
          <w:rFonts w:ascii="Arial" w:eastAsia="Arial" w:hAnsi="Arial" w:cs="Arial"/>
          <w:color w:val="262626" w:themeColor="text1" w:themeTint="D9"/>
          <w:sz w:val="24"/>
          <w:szCs w:val="22"/>
          <w:lang w:bidi="en-GB"/>
        </w:rPr>
      </w:pPr>
      <w:r w:rsidRPr="00D51630">
        <w:rPr>
          <w:rFonts w:ascii="Arial" w:eastAsia="Arial" w:hAnsi="Arial" w:cs="Arial"/>
          <w:color w:val="262626" w:themeColor="text1" w:themeTint="D9"/>
          <w:sz w:val="24"/>
          <w:szCs w:val="22"/>
          <w:lang w:bidi="en-GB"/>
        </w:rPr>
        <w:t>The Council has a framework of procedures and controls to minimise the risk of loss</w:t>
      </w:r>
      <w:r>
        <w:rPr>
          <w:rFonts w:ascii="Arial" w:eastAsia="Arial" w:hAnsi="Arial" w:cs="Arial"/>
          <w:color w:val="262626" w:themeColor="text1" w:themeTint="D9"/>
          <w:sz w:val="24"/>
          <w:szCs w:val="22"/>
          <w:lang w:bidi="en-GB"/>
        </w:rPr>
        <w:t xml:space="preserve"> </w:t>
      </w:r>
      <w:r w:rsidRPr="00D51630">
        <w:rPr>
          <w:rFonts w:ascii="Arial" w:eastAsia="Arial" w:hAnsi="Arial" w:cs="Arial"/>
          <w:color w:val="262626" w:themeColor="text1" w:themeTint="D9"/>
          <w:sz w:val="24"/>
          <w:szCs w:val="22"/>
          <w:lang w:bidi="en-GB"/>
        </w:rPr>
        <w:t>due to fraud. The Anti-Fraud and Corruption Strategy makes it clear that fraud and corruption will not be tolerated. The strategy is due for review in November 2025</w:t>
      </w:r>
      <w:r w:rsidR="008E481F">
        <w:rPr>
          <w:rFonts w:ascii="Arial" w:eastAsia="Arial" w:hAnsi="Arial" w:cs="Arial"/>
          <w:color w:val="262626" w:themeColor="text1" w:themeTint="D9"/>
          <w:sz w:val="24"/>
          <w:szCs w:val="22"/>
          <w:lang w:bidi="en-GB"/>
        </w:rPr>
        <w:t>.</w:t>
      </w:r>
    </w:p>
    <w:p w14:paraId="77B84A56" w14:textId="77777777" w:rsidR="00D51630" w:rsidRPr="00D51630" w:rsidRDefault="00D51630" w:rsidP="00D51630">
      <w:pPr>
        <w:widowControl w:val="0"/>
        <w:autoSpaceDE w:val="0"/>
        <w:autoSpaceDN w:val="0"/>
        <w:ind w:left="719" w:hanging="435"/>
        <w:jc w:val="both"/>
        <w:rPr>
          <w:rFonts w:ascii="Arial" w:eastAsia="Arial" w:hAnsi="Arial" w:cs="Arial"/>
          <w:color w:val="262626" w:themeColor="text1" w:themeTint="D9"/>
          <w:sz w:val="24"/>
          <w:szCs w:val="22"/>
          <w:lang w:bidi="en-GB"/>
        </w:rPr>
      </w:pPr>
    </w:p>
    <w:p w14:paraId="06F416C0" w14:textId="3377AE01" w:rsidR="00D51630" w:rsidRDefault="00D51630" w:rsidP="00D87DBD">
      <w:pPr>
        <w:widowControl w:val="0"/>
        <w:autoSpaceDE w:val="0"/>
        <w:autoSpaceDN w:val="0"/>
        <w:jc w:val="both"/>
        <w:rPr>
          <w:rFonts w:ascii="Arial" w:eastAsia="Arial" w:hAnsi="Arial" w:cs="Arial"/>
          <w:color w:val="262626" w:themeColor="text1" w:themeTint="D9"/>
          <w:sz w:val="24"/>
          <w:szCs w:val="22"/>
          <w:lang w:bidi="en-GB"/>
        </w:rPr>
      </w:pPr>
      <w:r w:rsidRPr="00D51630">
        <w:rPr>
          <w:rFonts w:ascii="Arial" w:eastAsia="Arial" w:hAnsi="Arial" w:cs="Arial"/>
          <w:color w:val="262626" w:themeColor="text1" w:themeTint="D9"/>
          <w:sz w:val="24"/>
          <w:szCs w:val="22"/>
          <w:lang w:bidi="en-GB"/>
        </w:rPr>
        <w:t>Supporting policies and procedures are also reviewed on a regular basis to ensure they continue to provide clear guidance to protect the Council from fraud and corruption. The Fraud Response Plan is also due for review in November 2025; relevant processes in that plan are being promoted to ensure proactive steps are being taken to reduce fraud risk.</w:t>
      </w:r>
    </w:p>
    <w:p w14:paraId="7224671B" w14:textId="77777777" w:rsidR="00D87DBD" w:rsidRDefault="00D87DBD" w:rsidP="00D87DBD">
      <w:pPr>
        <w:widowControl w:val="0"/>
        <w:autoSpaceDE w:val="0"/>
        <w:autoSpaceDN w:val="0"/>
        <w:jc w:val="both"/>
        <w:rPr>
          <w:rFonts w:ascii="Arial" w:eastAsia="Arial" w:hAnsi="Arial" w:cs="Arial"/>
          <w:color w:val="262626" w:themeColor="text1" w:themeTint="D9"/>
          <w:sz w:val="24"/>
          <w:szCs w:val="22"/>
          <w:lang w:bidi="en-GB"/>
        </w:rPr>
      </w:pPr>
    </w:p>
    <w:p w14:paraId="75D061D8" w14:textId="3F76A79B" w:rsidR="00D51630" w:rsidRPr="00D51630" w:rsidRDefault="0057148F" w:rsidP="00D87DBD">
      <w:pPr>
        <w:widowControl w:val="0"/>
        <w:autoSpaceDE w:val="0"/>
        <w:autoSpaceDN w:val="0"/>
        <w:jc w:val="both"/>
        <w:rPr>
          <w:rFonts w:ascii="Arial" w:eastAsia="Arial" w:hAnsi="Arial" w:cs="Arial"/>
          <w:color w:val="262626" w:themeColor="text1" w:themeTint="D9"/>
          <w:sz w:val="24"/>
          <w:szCs w:val="22"/>
          <w:lang w:bidi="en-GB"/>
        </w:rPr>
      </w:pPr>
      <w:r>
        <w:rPr>
          <w:rFonts w:ascii="Arial" w:eastAsia="Arial" w:hAnsi="Arial" w:cs="Arial"/>
          <w:color w:val="262626" w:themeColor="text1" w:themeTint="D9"/>
          <w:sz w:val="24"/>
          <w:szCs w:val="22"/>
          <w:lang w:bidi="en-GB"/>
        </w:rPr>
        <w:t xml:space="preserve">In line with </w:t>
      </w:r>
      <w:r w:rsidR="00A26E5C">
        <w:rPr>
          <w:rFonts w:ascii="Arial" w:eastAsia="Arial" w:hAnsi="Arial" w:cs="Arial"/>
          <w:color w:val="262626" w:themeColor="text1" w:themeTint="D9"/>
          <w:sz w:val="24"/>
          <w:szCs w:val="22"/>
          <w:lang w:bidi="en-GB"/>
        </w:rPr>
        <w:t>guidance, a</w:t>
      </w:r>
      <w:r w:rsidR="00D87DBD">
        <w:rPr>
          <w:rFonts w:ascii="Arial" w:eastAsia="Arial" w:hAnsi="Arial" w:cs="Arial"/>
          <w:color w:val="262626" w:themeColor="text1" w:themeTint="D9"/>
          <w:sz w:val="24"/>
          <w:szCs w:val="22"/>
          <w:lang w:bidi="en-GB"/>
        </w:rPr>
        <w:t xml:space="preserve"> </w:t>
      </w:r>
      <w:r w:rsidR="00EA4CBD">
        <w:rPr>
          <w:rFonts w:ascii="Arial" w:eastAsia="Arial" w:hAnsi="Arial" w:cs="Arial"/>
          <w:color w:val="262626" w:themeColor="text1" w:themeTint="D9"/>
          <w:sz w:val="24"/>
          <w:szCs w:val="22"/>
          <w:lang w:bidi="en-GB"/>
        </w:rPr>
        <w:t>self-assessment</w:t>
      </w:r>
      <w:r w:rsidR="00D87DBD">
        <w:rPr>
          <w:rFonts w:ascii="Arial" w:eastAsia="Arial" w:hAnsi="Arial" w:cs="Arial"/>
          <w:color w:val="262626" w:themeColor="text1" w:themeTint="D9"/>
          <w:sz w:val="24"/>
          <w:szCs w:val="22"/>
          <w:lang w:bidi="en-GB"/>
        </w:rPr>
        <w:t xml:space="preserve"> </w:t>
      </w:r>
      <w:r w:rsidR="00EA4CBD">
        <w:rPr>
          <w:rFonts w:ascii="Arial" w:eastAsia="Arial" w:hAnsi="Arial" w:cs="Arial"/>
          <w:color w:val="262626" w:themeColor="text1" w:themeTint="D9"/>
          <w:sz w:val="24"/>
          <w:szCs w:val="22"/>
          <w:lang w:bidi="en-GB"/>
        </w:rPr>
        <w:t>of counter fraud arrangement</w:t>
      </w:r>
      <w:r w:rsidR="00DA71F6">
        <w:rPr>
          <w:rFonts w:ascii="Arial" w:eastAsia="Arial" w:hAnsi="Arial" w:cs="Arial"/>
          <w:color w:val="262626" w:themeColor="text1" w:themeTint="D9"/>
          <w:sz w:val="24"/>
          <w:szCs w:val="22"/>
          <w:lang w:bidi="en-GB"/>
        </w:rPr>
        <w:t>s</w:t>
      </w:r>
      <w:r w:rsidR="00EA4CBD">
        <w:rPr>
          <w:rFonts w:ascii="Arial" w:eastAsia="Arial" w:hAnsi="Arial" w:cs="Arial"/>
          <w:color w:val="262626" w:themeColor="text1" w:themeTint="D9"/>
          <w:sz w:val="24"/>
          <w:szCs w:val="22"/>
          <w:lang w:bidi="en-GB"/>
        </w:rPr>
        <w:t xml:space="preserve"> has been completed in accordance with The Chartered Institute for Public Finance and Accountancy (CIPFA) Code of Practice for Managing Risk of Fraud and Corruption.  The report is attached at Appendix 1 and findings are considered for work </w:t>
      </w:r>
      <w:r w:rsidR="00091B6E">
        <w:rPr>
          <w:rFonts w:ascii="Arial" w:eastAsia="Arial" w:hAnsi="Arial" w:cs="Arial"/>
          <w:color w:val="262626" w:themeColor="text1" w:themeTint="D9"/>
          <w:sz w:val="24"/>
          <w:szCs w:val="22"/>
          <w:lang w:bidi="en-GB"/>
        </w:rPr>
        <w:t>being</w:t>
      </w:r>
      <w:r w:rsidR="00EA4CBD">
        <w:rPr>
          <w:rFonts w:ascii="Arial" w:eastAsia="Arial" w:hAnsi="Arial" w:cs="Arial"/>
          <w:color w:val="262626" w:themeColor="text1" w:themeTint="D9"/>
          <w:sz w:val="24"/>
          <w:szCs w:val="22"/>
          <w:lang w:bidi="en-GB"/>
        </w:rPr>
        <w:t xml:space="preserve"> completed in 2025/26. </w:t>
      </w:r>
      <w:r w:rsidR="0061769A">
        <w:rPr>
          <w:rFonts w:ascii="Arial" w:eastAsia="Arial" w:hAnsi="Arial" w:cs="Arial"/>
          <w:color w:val="262626" w:themeColor="text1" w:themeTint="D9"/>
          <w:sz w:val="24"/>
          <w:szCs w:val="22"/>
          <w:lang w:bidi="en-GB"/>
        </w:rPr>
        <w:t xml:space="preserve">  The results demonstrate a clear framework based on a sound understanding of the fraud landscape but with acknowledged improvements to that service including increased resilience, enhanced and continuing use of risk assessment, increase in resources to meet investigative and preventative capacity, the recording and sharing of intelligence around fraudulent behaviour, and the engagement in national initiatives (e.g. National Fraud Initiative) to ensure full engagement in opportunities to identify fraud. </w:t>
      </w:r>
    </w:p>
    <w:p w14:paraId="38E58D7D" w14:textId="77777777" w:rsidR="00D51630" w:rsidRDefault="00D51630" w:rsidP="00A330CC">
      <w:pPr>
        <w:jc w:val="both"/>
      </w:pPr>
    </w:p>
    <w:p w14:paraId="2A146E00" w14:textId="02549F76" w:rsidR="009F022E" w:rsidRDefault="00E749D8" w:rsidP="007F16DD">
      <w:pPr>
        <w:pStyle w:val="Heading1"/>
        <w:jc w:val="both"/>
        <w:rPr>
          <w:rFonts w:ascii="Arial" w:hAnsi="Arial"/>
          <w:b/>
          <w:sz w:val="24"/>
        </w:rPr>
      </w:pPr>
      <w:r w:rsidRPr="007F16DD">
        <w:rPr>
          <w:rFonts w:ascii="Arial" w:hAnsi="Arial" w:cs="Arial"/>
          <w:b/>
          <w:color w:val="auto"/>
          <w:sz w:val="28"/>
          <w:szCs w:val="28"/>
        </w:rPr>
        <w:t>Acknowledg</w:t>
      </w:r>
      <w:r w:rsidR="00D64ECD" w:rsidRPr="007F16DD">
        <w:rPr>
          <w:rFonts w:ascii="Arial" w:hAnsi="Arial" w:cs="Arial"/>
          <w:b/>
          <w:color w:val="auto"/>
          <w:sz w:val="28"/>
          <w:szCs w:val="28"/>
        </w:rPr>
        <w:t xml:space="preserve">e and </w:t>
      </w:r>
      <w:r w:rsidR="007F16DD">
        <w:rPr>
          <w:rFonts w:ascii="Arial" w:hAnsi="Arial" w:cs="Arial"/>
          <w:b/>
          <w:color w:val="auto"/>
          <w:sz w:val="28"/>
          <w:szCs w:val="28"/>
        </w:rPr>
        <w:t>U</w:t>
      </w:r>
      <w:r w:rsidR="00D64ECD" w:rsidRPr="007F16DD">
        <w:rPr>
          <w:rFonts w:ascii="Arial" w:hAnsi="Arial" w:cs="Arial"/>
          <w:b/>
          <w:color w:val="auto"/>
          <w:sz w:val="28"/>
          <w:szCs w:val="28"/>
        </w:rPr>
        <w:t>nderstand</w:t>
      </w:r>
    </w:p>
    <w:p w14:paraId="71CCFA83" w14:textId="77777777" w:rsidR="009F022E" w:rsidRPr="009F022E" w:rsidRDefault="009F022E" w:rsidP="009F022E">
      <w:pPr>
        <w:widowControl w:val="0"/>
        <w:autoSpaceDE w:val="0"/>
        <w:autoSpaceDN w:val="0"/>
        <w:ind w:left="284"/>
        <w:jc w:val="both"/>
        <w:rPr>
          <w:rFonts w:ascii="Arial" w:eastAsia="Arial" w:hAnsi="Arial" w:cs="Arial"/>
          <w:color w:val="262626" w:themeColor="text1" w:themeTint="D9"/>
          <w:sz w:val="24"/>
          <w:szCs w:val="22"/>
          <w:lang w:bidi="en-GB"/>
        </w:rPr>
      </w:pPr>
    </w:p>
    <w:p w14:paraId="5F7BE701" w14:textId="77777777" w:rsidR="009F022E" w:rsidRPr="009F022E" w:rsidRDefault="009F022E" w:rsidP="009F022E">
      <w:pPr>
        <w:widowControl w:val="0"/>
        <w:autoSpaceDE w:val="0"/>
        <w:autoSpaceDN w:val="0"/>
        <w:jc w:val="both"/>
        <w:rPr>
          <w:rFonts w:ascii="Arial" w:eastAsia="Arial" w:hAnsi="Arial" w:cs="Arial"/>
          <w:color w:val="262626" w:themeColor="text1" w:themeTint="D9"/>
          <w:sz w:val="24"/>
          <w:szCs w:val="22"/>
          <w:lang w:bidi="en-GB"/>
        </w:rPr>
      </w:pPr>
      <w:r w:rsidRPr="009F022E">
        <w:rPr>
          <w:rFonts w:ascii="Arial" w:eastAsia="Arial" w:hAnsi="Arial" w:cs="Arial"/>
          <w:color w:val="262626" w:themeColor="text1" w:themeTint="D9"/>
          <w:sz w:val="24"/>
          <w:szCs w:val="22"/>
          <w:lang w:bidi="en-GB"/>
        </w:rPr>
        <w:t>Though fraud offences nationally are reducing, fraud is still considered the most prevalent crime</w:t>
      </w:r>
      <w:r w:rsidRPr="009F022E">
        <w:rPr>
          <w:rFonts w:ascii="Arial" w:eastAsia="Arial" w:hAnsi="Arial" w:cs="Arial"/>
          <w:color w:val="262626" w:themeColor="text1" w:themeTint="D9"/>
          <w:sz w:val="24"/>
          <w:szCs w:val="22"/>
          <w:vertAlign w:val="superscript"/>
          <w:lang w:bidi="en-GB"/>
        </w:rPr>
        <w:footnoteReference w:id="1"/>
      </w:r>
      <w:r w:rsidRPr="009F022E">
        <w:rPr>
          <w:rFonts w:ascii="Arial" w:eastAsia="Arial" w:hAnsi="Arial" w:cs="Arial"/>
          <w:color w:val="262626" w:themeColor="text1" w:themeTint="D9"/>
          <w:sz w:val="24"/>
          <w:szCs w:val="22"/>
          <w:lang w:bidi="en-GB"/>
        </w:rPr>
        <w:t xml:space="preserve">, and latest estimates of fraud losses within Local Government have </w:t>
      </w:r>
      <w:r w:rsidRPr="009F022E">
        <w:rPr>
          <w:rFonts w:ascii="Arial" w:eastAsia="Arial" w:hAnsi="Arial" w:cs="Arial"/>
          <w:color w:val="262626" w:themeColor="text1" w:themeTint="D9"/>
          <w:sz w:val="24"/>
          <w:szCs w:val="22"/>
          <w:lang w:bidi="en-GB"/>
        </w:rPr>
        <w:lastRenderedPageBreak/>
        <w:t>increased from £7.8bn in 2017 to £8.8bn in 2023</w:t>
      </w:r>
      <w:r w:rsidRPr="009F022E">
        <w:rPr>
          <w:rFonts w:ascii="Arial" w:eastAsia="Arial" w:hAnsi="Arial" w:cs="Arial"/>
          <w:color w:val="262626" w:themeColor="text1" w:themeTint="D9"/>
          <w:sz w:val="24"/>
          <w:szCs w:val="22"/>
          <w:vertAlign w:val="superscript"/>
          <w:lang w:bidi="en-GB"/>
        </w:rPr>
        <w:footnoteReference w:id="2"/>
      </w:r>
      <w:r w:rsidRPr="009F022E">
        <w:rPr>
          <w:rFonts w:ascii="Arial" w:eastAsia="Arial" w:hAnsi="Arial" w:cs="Arial"/>
          <w:color w:val="262626" w:themeColor="text1" w:themeTint="D9"/>
          <w:sz w:val="24"/>
          <w:szCs w:val="22"/>
          <w:lang w:bidi="en-GB"/>
        </w:rPr>
        <w:t xml:space="preserve">. It is clear that fraud is, and will remain, a significant risk. </w:t>
      </w:r>
    </w:p>
    <w:p w14:paraId="2F59FED6" w14:textId="77777777" w:rsidR="009F022E" w:rsidRPr="009F022E" w:rsidRDefault="009F022E" w:rsidP="009F022E">
      <w:pPr>
        <w:widowControl w:val="0"/>
        <w:autoSpaceDE w:val="0"/>
        <w:autoSpaceDN w:val="0"/>
        <w:ind w:left="1120" w:hanging="720"/>
        <w:rPr>
          <w:rFonts w:ascii="Arial" w:eastAsia="Arial" w:hAnsi="Arial" w:cs="Arial"/>
          <w:color w:val="262626" w:themeColor="text1" w:themeTint="D9"/>
          <w:sz w:val="24"/>
          <w:szCs w:val="22"/>
          <w:lang w:bidi="en-GB"/>
        </w:rPr>
      </w:pPr>
    </w:p>
    <w:p w14:paraId="2A9230AF" w14:textId="77777777" w:rsidR="009F022E" w:rsidRPr="009F022E" w:rsidRDefault="009F022E" w:rsidP="009F022E">
      <w:pPr>
        <w:widowControl w:val="0"/>
        <w:autoSpaceDE w:val="0"/>
        <w:autoSpaceDN w:val="0"/>
        <w:jc w:val="both"/>
        <w:rPr>
          <w:rFonts w:ascii="Arial" w:eastAsia="Arial" w:hAnsi="Arial" w:cs="Arial"/>
          <w:color w:val="262626" w:themeColor="text1" w:themeTint="D9"/>
          <w:sz w:val="24"/>
          <w:szCs w:val="22"/>
          <w:lang w:bidi="en-GB"/>
        </w:rPr>
      </w:pPr>
      <w:r w:rsidRPr="009F022E">
        <w:rPr>
          <w:rFonts w:ascii="Arial" w:eastAsia="Arial" w:hAnsi="Arial" w:cs="Arial"/>
          <w:color w:val="262626" w:themeColor="text1" w:themeTint="D9"/>
          <w:sz w:val="24"/>
          <w:szCs w:val="22"/>
          <w:lang w:bidi="en-GB"/>
        </w:rPr>
        <w:t xml:space="preserve">The Council must act to prevent and detect fraud (and error) where possible. All staff have a responsibility to understand what fraud looks like, what to do when it is suspected, and how to report it. Advice and guidance is available on the Council intranet pages and the fraud awareness e-learning module that was specifically developed to raise awareness of fraud became mandatory for all employees and elected members in March 2023. </w:t>
      </w:r>
    </w:p>
    <w:p w14:paraId="4562745A" w14:textId="77777777" w:rsidR="009F022E" w:rsidRPr="009F022E" w:rsidRDefault="009F022E" w:rsidP="009F022E">
      <w:pPr>
        <w:widowControl w:val="0"/>
        <w:autoSpaceDE w:val="0"/>
        <w:autoSpaceDN w:val="0"/>
        <w:ind w:left="1120" w:hanging="720"/>
        <w:rPr>
          <w:rFonts w:ascii="Arial" w:eastAsia="Arial" w:hAnsi="Arial" w:cs="Arial"/>
          <w:color w:val="262626" w:themeColor="text1" w:themeTint="D9"/>
          <w:sz w:val="24"/>
          <w:szCs w:val="22"/>
          <w:lang w:bidi="en-GB"/>
        </w:rPr>
      </w:pPr>
    </w:p>
    <w:p w14:paraId="6D16852C" w14:textId="5775EADD" w:rsidR="009F022E" w:rsidRPr="009F022E" w:rsidRDefault="009F022E" w:rsidP="009F022E">
      <w:pPr>
        <w:widowControl w:val="0"/>
        <w:autoSpaceDE w:val="0"/>
        <w:autoSpaceDN w:val="0"/>
        <w:jc w:val="both"/>
        <w:rPr>
          <w:rFonts w:ascii="Arial" w:eastAsia="Arial" w:hAnsi="Arial" w:cs="Arial"/>
          <w:color w:val="262626" w:themeColor="text1" w:themeTint="D9"/>
          <w:sz w:val="24"/>
          <w:szCs w:val="22"/>
          <w:lang w:bidi="en-GB"/>
        </w:rPr>
      </w:pPr>
      <w:r w:rsidRPr="009F022E">
        <w:rPr>
          <w:rFonts w:ascii="Arial" w:eastAsia="Arial" w:hAnsi="Arial" w:cs="Arial"/>
          <w:color w:val="262626" w:themeColor="text1" w:themeTint="D9"/>
          <w:sz w:val="24"/>
          <w:szCs w:val="22"/>
          <w:lang w:bidi="en-GB"/>
        </w:rPr>
        <w:t xml:space="preserve">As of </w:t>
      </w:r>
      <w:r>
        <w:rPr>
          <w:rFonts w:ascii="Arial" w:eastAsia="Arial" w:hAnsi="Arial" w:cs="Arial"/>
          <w:color w:val="262626" w:themeColor="text1" w:themeTint="D9"/>
          <w:sz w:val="24"/>
          <w:szCs w:val="22"/>
          <w:lang w:bidi="en-GB"/>
        </w:rPr>
        <w:t>November</w:t>
      </w:r>
      <w:r w:rsidRPr="009F022E">
        <w:rPr>
          <w:rFonts w:ascii="Arial" w:eastAsia="Arial" w:hAnsi="Arial" w:cs="Arial"/>
          <w:color w:val="262626" w:themeColor="text1" w:themeTint="D9"/>
          <w:sz w:val="24"/>
          <w:szCs w:val="22"/>
          <w:lang w:bidi="en-GB"/>
        </w:rPr>
        <w:t xml:space="preserve"> 2024, over 2000 employees and 38 elected members   have completed the e-learning. </w:t>
      </w:r>
      <w:r>
        <w:rPr>
          <w:rFonts w:ascii="Arial" w:eastAsia="Arial" w:hAnsi="Arial" w:cs="Arial"/>
          <w:color w:val="262626" w:themeColor="text1" w:themeTint="D9"/>
          <w:sz w:val="24"/>
          <w:szCs w:val="22"/>
          <w:lang w:bidi="en-GB"/>
        </w:rPr>
        <w:t>Academy NEL have processes in place to ensure new employees have to complete the course and refresher training is promoted on the same basis.</w:t>
      </w:r>
    </w:p>
    <w:p w14:paraId="13FFD915" w14:textId="77777777" w:rsidR="009F022E" w:rsidRPr="009F022E" w:rsidRDefault="009F022E" w:rsidP="009F022E">
      <w:pPr>
        <w:widowControl w:val="0"/>
        <w:autoSpaceDE w:val="0"/>
        <w:autoSpaceDN w:val="0"/>
        <w:ind w:left="1120" w:hanging="720"/>
        <w:rPr>
          <w:rFonts w:ascii="Arial" w:eastAsia="Arial" w:hAnsi="Arial" w:cs="Arial"/>
          <w:color w:val="262626" w:themeColor="text1" w:themeTint="D9"/>
          <w:sz w:val="24"/>
          <w:szCs w:val="22"/>
          <w:lang w:bidi="en-GB"/>
        </w:rPr>
      </w:pPr>
    </w:p>
    <w:p w14:paraId="5937A3EA" w14:textId="570C113C" w:rsidR="009F022E" w:rsidRPr="009F022E" w:rsidRDefault="009F022E" w:rsidP="009F022E">
      <w:pPr>
        <w:widowControl w:val="0"/>
        <w:autoSpaceDE w:val="0"/>
        <w:autoSpaceDN w:val="0"/>
        <w:jc w:val="both"/>
        <w:rPr>
          <w:rFonts w:ascii="Arial" w:eastAsia="Arial" w:hAnsi="Arial" w:cs="Arial"/>
          <w:color w:val="262626" w:themeColor="text1" w:themeTint="D9"/>
          <w:sz w:val="24"/>
          <w:szCs w:val="22"/>
          <w:lang w:bidi="en-GB"/>
        </w:rPr>
      </w:pPr>
      <w:r w:rsidRPr="009F022E">
        <w:rPr>
          <w:rFonts w:ascii="Arial" w:eastAsia="Arial" w:hAnsi="Arial" w:cs="Arial"/>
          <w:color w:val="262626" w:themeColor="text1" w:themeTint="D9"/>
          <w:sz w:val="24"/>
          <w:szCs w:val="22"/>
          <w:lang w:bidi="en-GB"/>
        </w:rPr>
        <w:t>Further e-learning modules covering Mandate Fraud</w:t>
      </w:r>
      <w:r w:rsidR="00431E8E">
        <w:rPr>
          <w:rFonts w:ascii="Arial" w:eastAsia="Arial" w:hAnsi="Arial" w:cs="Arial"/>
          <w:color w:val="262626" w:themeColor="text1" w:themeTint="D9"/>
          <w:sz w:val="24"/>
          <w:szCs w:val="22"/>
          <w:lang w:bidi="en-GB"/>
        </w:rPr>
        <w:t>,</w:t>
      </w:r>
      <w:r w:rsidRPr="009F022E">
        <w:rPr>
          <w:rFonts w:ascii="Arial" w:eastAsia="Arial" w:hAnsi="Arial" w:cs="Arial"/>
          <w:color w:val="262626" w:themeColor="text1" w:themeTint="D9"/>
          <w:sz w:val="24"/>
          <w:szCs w:val="22"/>
          <w:lang w:bidi="en-GB"/>
        </w:rPr>
        <w:t xml:space="preserve"> and Bribery and Corruption are also available on the Academy NEL platform.  It is essential that all employees consider fraud as part of their daily business.  The Fraud Team are unlikely to be the ones who discover fraud and rely on the eyes and ears of the workforce to tackle this area together. A proposal is being made to People and Culture to offer a short introduction to fraud for new employees on their induction day.</w:t>
      </w:r>
    </w:p>
    <w:p w14:paraId="46982512" w14:textId="77777777" w:rsidR="009F022E" w:rsidRPr="009F022E" w:rsidRDefault="009F022E" w:rsidP="009F022E">
      <w:pPr>
        <w:widowControl w:val="0"/>
        <w:autoSpaceDE w:val="0"/>
        <w:autoSpaceDN w:val="0"/>
        <w:ind w:left="1004"/>
        <w:jc w:val="both"/>
        <w:rPr>
          <w:rFonts w:ascii="Arial" w:eastAsia="Arial" w:hAnsi="Arial" w:cs="Arial"/>
          <w:color w:val="262626" w:themeColor="text1" w:themeTint="D9"/>
          <w:sz w:val="24"/>
          <w:szCs w:val="22"/>
          <w:lang w:bidi="en-GB"/>
        </w:rPr>
      </w:pPr>
    </w:p>
    <w:p w14:paraId="68DC492B" w14:textId="591E7398" w:rsidR="009053CF" w:rsidRDefault="009053CF" w:rsidP="009F022E">
      <w:pPr>
        <w:widowControl w:val="0"/>
        <w:autoSpaceDE w:val="0"/>
        <w:autoSpaceDN w:val="0"/>
        <w:jc w:val="both"/>
        <w:rPr>
          <w:rFonts w:ascii="Arial" w:eastAsia="Arial" w:hAnsi="Arial" w:cs="Arial"/>
          <w:color w:val="262626" w:themeColor="text1" w:themeTint="D9"/>
          <w:sz w:val="24"/>
          <w:szCs w:val="22"/>
          <w:lang w:bidi="en-GB"/>
        </w:rPr>
      </w:pPr>
      <w:r>
        <w:rPr>
          <w:rFonts w:ascii="Arial" w:eastAsia="Arial" w:hAnsi="Arial" w:cs="Arial"/>
          <w:color w:val="262626" w:themeColor="text1" w:themeTint="D9"/>
          <w:sz w:val="24"/>
          <w:szCs w:val="22"/>
          <w:lang w:bidi="en-GB"/>
        </w:rPr>
        <w:t xml:space="preserve">The Fraud Team utilises risk assessment procedures to consider areas of threat and </w:t>
      </w:r>
      <w:r w:rsidR="004F594A">
        <w:rPr>
          <w:rFonts w:ascii="Arial" w:eastAsia="Arial" w:hAnsi="Arial" w:cs="Arial"/>
          <w:color w:val="262626" w:themeColor="text1" w:themeTint="D9"/>
          <w:sz w:val="24"/>
          <w:szCs w:val="22"/>
          <w:lang w:bidi="en-GB"/>
        </w:rPr>
        <w:t>risk</w:t>
      </w:r>
      <w:r>
        <w:rPr>
          <w:rFonts w:ascii="Arial" w:eastAsia="Arial" w:hAnsi="Arial" w:cs="Arial"/>
          <w:color w:val="262626" w:themeColor="text1" w:themeTint="D9"/>
          <w:sz w:val="24"/>
          <w:szCs w:val="22"/>
          <w:lang w:bidi="en-GB"/>
        </w:rPr>
        <w:t xml:space="preserve">, and to ensure resources are allocated according to priority.  Judgements are made based on both local and national </w:t>
      </w:r>
      <w:r w:rsidR="00E25935">
        <w:rPr>
          <w:rFonts w:ascii="Arial" w:eastAsia="Arial" w:hAnsi="Arial" w:cs="Arial"/>
          <w:color w:val="262626" w:themeColor="text1" w:themeTint="D9"/>
          <w:sz w:val="24"/>
          <w:szCs w:val="22"/>
          <w:lang w:bidi="en-GB"/>
        </w:rPr>
        <w:t>trends.</w:t>
      </w:r>
      <w:r w:rsidR="002A4DD0">
        <w:rPr>
          <w:rFonts w:ascii="Arial" w:eastAsia="Arial" w:hAnsi="Arial" w:cs="Arial"/>
          <w:color w:val="262626" w:themeColor="text1" w:themeTint="D9"/>
          <w:sz w:val="24"/>
          <w:szCs w:val="22"/>
          <w:lang w:bidi="en-GB"/>
        </w:rPr>
        <w:t xml:space="preserve">  </w:t>
      </w:r>
      <w:r>
        <w:rPr>
          <w:rFonts w:ascii="Arial" w:eastAsia="Arial" w:hAnsi="Arial" w:cs="Arial"/>
          <w:color w:val="262626" w:themeColor="text1" w:themeTint="D9"/>
          <w:sz w:val="24"/>
          <w:szCs w:val="22"/>
          <w:lang w:bidi="en-GB"/>
        </w:rPr>
        <w:t>Working in conjunction with Audit and Assurance allows processes to be reviewed to ensure steps are taken to reduce the risk of fraudulent applications and acts.</w:t>
      </w:r>
    </w:p>
    <w:p w14:paraId="17FF1E8E" w14:textId="77777777" w:rsidR="009F022E" w:rsidRPr="009F022E" w:rsidRDefault="009F022E" w:rsidP="009F022E">
      <w:pPr>
        <w:widowControl w:val="0"/>
        <w:autoSpaceDE w:val="0"/>
        <w:autoSpaceDN w:val="0"/>
        <w:ind w:left="1120" w:hanging="720"/>
        <w:rPr>
          <w:rFonts w:ascii="Arial" w:eastAsia="Arial" w:hAnsi="Arial" w:cs="Arial"/>
          <w:i/>
          <w:iCs/>
          <w:color w:val="262626" w:themeColor="text1" w:themeTint="D9"/>
          <w:sz w:val="24"/>
          <w:szCs w:val="22"/>
          <w:lang w:bidi="en-GB"/>
        </w:rPr>
      </w:pPr>
    </w:p>
    <w:p w14:paraId="34B9E3E1" w14:textId="241FB472" w:rsidR="009F022E" w:rsidRPr="009F022E" w:rsidRDefault="009F022E" w:rsidP="009F022E">
      <w:pPr>
        <w:widowControl w:val="0"/>
        <w:autoSpaceDE w:val="0"/>
        <w:autoSpaceDN w:val="0"/>
        <w:jc w:val="both"/>
        <w:rPr>
          <w:rFonts w:ascii="Arial" w:eastAsia="Arial" w:hAnsi="Arial" w:cs="Arial"/>
          <w:color w:val="262626" w:themeColor="text1" w:themeTint="D9"/>
          <w:sz w:val="24"/>
          <w:szCs w:val="22"/>
          <w:lang w:bidi="en-GB"/>
        </w:rPr>
      </w:pPr>
      <w:r w:rsidRPr="009F022E">
        <w:rPr>
          <w:rFonts w:ascii="Arial" w:eastAsia="Arial" w:hAnsi="Arial" w:cs="Arial"/>
          <w:color w:val="262626" w:themeColor="text1" w:themeTint="D9"/>
          <w:sz w:val="24"/>
          <w:szCs w:val="22"/>
          <w:lang w:bidi="en-GB"/>
        </w:rPr>
        <w:t xml:space="preserve">Recent </w:t>
      </w:r>
      <w:r w:rsidR="00B54A70">
        <w:rPr>
          <w:rFonts w:ascii="Arial" w:eastAsia="Arial" w:hAnsi="Arial" w:cs="Arial"/>
          <w:color w:val="262626" w:themeColor="text1" w:themeTint="D9"/>
          <w:sz w:val="24"/>
          <w:szCs w:val="22"/>
          <w:lang w:bidi="en-GB"/>
        </w:rPr>
        <w:t xml:space="preserve">work </w:t>
      </w:r>
      <w:r w:rsidRPr="009F022E">
        <w:rPr>
          <w:rFonts w:ascii="Arial" w:eastAsia="Arial" w:hAnsi="Arial" w:cs="Arial"/>
          <w:color w:val="262626" w:themeColor="text1" w:themeTint="D9"/>
          <w:sz w:val="24"/>
          <w:szCs w:val="22"/>
          <w:lang w:bidi="en-GB"/>
        </w:rPr>
        <w:t>with the Audit Team has highlighted areas where the Fraud Team will complete workshops with staff from areas considered higher risk and include Council Tax, Business Rates, Procurement, and HR, which is also in accordance with the national fraud risks</w:t>
      </w:r>
      <w:r w:rsidRPr="009F022E">
        <w:rPr>
          <w:rFonts w:ascii="Arial" w:eastAsia="Arial" w:hAnsi="Arial" w:cs="Arial"/>
          <w:color w:val="262626" w:themeColor="text1" w:themeTint="D9"/>
          <w:sz w:val="24"/>
          <w:szCs w:val="22"/>
          <w:vertAlign w:val="superscript"/>
          <w:lang w:bidi="en-GB"/>
        </w:rPr>
        <w:footnoteReference w:id="3"/>
      </w:r>
      <w:r w:rsidRPr="009F022E">
        <w:rPr>
          <w:rFonts w:ascii="Arial" w:eastAsia="Arial" w:hAnsi="Arial" w:cs="Arial"/>
          <w:color w:val="262626" w:themeColor="text1" w:themeTint="D9"/>
          <w:sz w:val="24"/>
          <w:szCs w:val="22"/>
          <w:lang w:bidi="en-GB"/>
        </w:rPr>
        <w:t xml:space="preserve"> reported by Chartered Institute of Public Finance and Accountancy (CIPFA) 2020. </w:t>
      </w:r>
      <w:r w:rsidR="00723D9F">
        <w:rPr>
          <w:rFonts w:ascii="Arial" w:eastAsia="Arial" w:hAnsi="Arial" w:cs="Arial"/>
          <w:color w:val="262626" w:themeColor="text1" w:themeTint="D9"/>
          <w:sz w:val="24"/>
          <w:szCs w:val="22"/>
          <w:lang w:bidi="en-GB"/>
        </w:rPr>
        <w:t xml:space="preserve"> </w:t>
      </w:r>
      <w:r w:rsidR="009053CF">
        <w:rPr>
          <w:rFonts w:ascii="Arial" w:eastAsia="Arial" w:hAnsi="Arial" w:cs="Arial"/>
          <w:color w:val="262626" w:themeColor="text1" w:themeTint="D9"/>
          <w:sz w:val="24"/>
          <w:szCs w:val="22"/>
          <w:lang w:bidi="en-GB"/>
        </w:rPr>
        <w:t xml:space="preserve">Workshops are planned from February 2025 starting with the </w:t>
      </w:r>
      <w:r w:rsidR="00107B22">
        <w:rPr>
          <w:rFonts w:ascii="Arial" w:eastAsia="Arial" w:hAnsi="Arial" w:cs="Arial"/>
          <w:color w:val="262626" w:themeColor="text1" w:themeTint="D9"/>
          <w:sz w:val="24"/>
          <w:szCs w:val="22"/>
          <w:lang w:bidi="en-GB"/>
        </w:rPr>
        <w:t xml:space="preserve">key </w:t>
      </w:r>
      <w:r w:rsidR="002F7320">
        <w:rPr>
          <w:rFonts w:ascii="Arial" w:eastAsia="Arial" w:hAnsi="Arial" w:cs="Arial"/>
          <w:color w:val="262626" w:themeColor="text1" w:themeTint="D9"/>
          <w:sz w:val="24"/>
          <w:szCs w:val="22"/>
          <w:lang w:bidi="en-GB"/>
        </w:rPr>
        <w:t>r</w:t>
      </w:r>
      <w:r w:rsidR="009053CF">
        <w:rPr>
          <w:rFonts w:ascii="Arial" w:eastAsia="Arial" w:hAnsi="Arial" w:cs="Arial"/>
          <w:color w:val="262626" w:themeColor="text1" w:themeTint="D9"/>
          <w:sz w:val="24"/>
          <w:szCs w:val="22"/>
          <w:lang w:bidi="en-GB"/>
        </w:rPr>
        <w:t>isk area</w:t>
      </w:r>
      <w:r w:rsidR="00B020D9">
        <w:rPr>
          <w:rFonts w:ascii="Arial" w:eastAsia="Arial" w:hAnsi="Arial" w:cs="Arial"/>
          <w:color w:val="262626" w:themeColor="text1" w:themeTint="D9"/>
          <w:sz w:val="24"/>
          <w:szCs w:val="22"/>
          <w:lang w:bidi="en-GB"/>
        </w:rPr>
        <w:t xml:space="preserve"> of </w:t>
      </w:r>
      <w:r w:rsidR="009053CF">
        <w:rPr>
          <w:rFonts w:ascii="Arial" w:eastAsia="Arial" w:hAnsi="Arial" w:cs="Arial"/>
          <w:color w:val="262626" w:themeColor="text1" w:themeTint="D9"/>
          <w:sz w:val="24"/>
          <w:szCs w:val="22"/>
          <w:lang w:bidi="en-GB"/>
        </w:rPr>
        <w:t>Council Tax.</w:t>
      </w:r>
    </w:p>
    <w:p w14:paraId="4FA694B5" w14:textId="77777777" w:rsidR="009F022E" w:rsidRPr="00E749D8" w:rsidRDefault="009F022E" w:rsidP="009F022E">
      <w:pPr>
        <w:jc w:val="both"/>
        <w:rPr>
          <w:rFonts w:ascii="Arial" w:hAnsi="Arial"/>
          <w:b/>
          <w:sz w:val="24"/>
        </w:rPr>
      </w:pPr>
    </w:p>
    <w:p w14:paraId="4DC2DEC8" w14:textId="3DEDF297" w:rsidR="00E749D8" w:rsidRPr="007F16DD" w:rsidRDefault="00E749D8" w:rsidP="0035294D">
      <w:pPr>
        <w:pStyle w:val="Heading1"/>
        <w:rPr>
          <w:rFonts w:ascii="Arial" w:hAnsi="Arial" w:cs="Arial"/>
          <w:b/>
          <w:color w:val="auto"/>
          <w:sz w:val="28"/>
          <w:szCs w:val="28"/>
        </w:rPr>
      </w:pPr>
      <w:r w:rsidRPr="007F16DD">
        <w:rPr>
          <w:rFonts w:ascii="Arial" w:hAnsi="Arial" w:cs="Arial"/>
          <w:b/>
          <w:color w:val="auto"/>
          <w:sz w:val="28"/>
          <w:szCs w:val="28"/>
        </w:rPr>
        <w:t xml:space="preserve">Preventing and </w:t>
      </w:r>
      <w:r w:rsidR="001D73DB">
        <w:rPr>
          <w:rFonts w:ascii="Arial" w:hAnsi="Arial" w:cs="Arial"/>
          <w:b/>
          <w:color w:val="auto"/>
          <w:sz w:val="28"/>
          <w:szCs w:val="28"/>
        </w:rPr>
        <w:t>De</w:t>
      </w:r>
      <w:r w:rsidRPr="007F16DD">
        <w:rPr>
          <w:rFonts w:ascii="Arial" w:hAnsi="Arial" w:cs="Arial"/>
          <w:b/>
          <w:color w:val="auto"/>
          <w:sz w:val="28"/>
          <w:szCs w:val="28"/>
        </w:rPr>
        <w:t xml:space="preserve">tecting </w:t>
      </w:r>
      <w:r w:rsidR="001D73DB">
        <w:rPr>
          <w:rFonts w:ascii="Arial" w:hAnsi="Arial" w:cs="Arial"/>
          <w:b/>
          <w:color w:val="auto"/>
          <w:sz w:val="28"/>
          <w:szCs w:val="28"/>
        </w:rPr>
        <w:t>F</w:t>
      </w:r>
      <w:r w:rsidRPr="007F16DD">
        <w:rPr>
          <w:rFonts w:ascii="Arial" w:hAnsi="Arial" w:cs="Arial"/>
          <w:b/>
          <w:color w:val="auto"/>
          <w:sz w:val="28"/>
          <w:szCs w:val="28"/>
        </w:rPr>
        <w:t>raud</w:t>
      </w:r>
    </w:p>
    <w:p w14:paraId="47E983CF" w14:textId="77777777" w:rsidR="007A610B" w:rsidRDefault="007A610B" w:rsidP="00E749D8">
      <w:pPr>
        <w:jc w:val="both"/>
        <w:rPr>
          <w:rFonts w:ascii="Arial" w:hAnsi="Arial"/>
          <w:sz w:val="24"/>
        </w:rPr>
      </w:pPr>
    </w:p>
    <w:p w14:paraId="3575F4E7" w14:textId="5348A776" w:rsidR="00465BA3" w:rsidRDefault="00A069CE" w:rsidP="00465BA3">
      <w:pPr>
        <w:jc w:val="both"/>
        <w:rPr>
          <w:rFonts w:ascii="Arial" w:hAnsi="Arial"/>
          <w:sz w:val="24"/>
        </w:rPr>
      </w:pPr>
      <w:r>
        <w:rPr>
          <w:rFonts w:ascii="Arial" w:hAnsi="Arial"/>
          <w:sz w:val="24"/>
        </w:rPr>
        <w:t>The Council receives fraud reports from members of the public, other Council departments, and external partners.  All such referrals are assessed on the quality of evidence and likelihood of successful investigation</w:t>
      </w:r>
      <w:r w:rsidR="00EF5754">
        <w:rPr>
          <w:rFonts w:ascii="Arial" w:hAnsi="Arial"/>
          <w:sz w:val="24"/>
        </w:rPr>
        <w:t>, along with</w:t>
      </w:r>
      <w:r>
        <w:rPr>
          <w:rFonts w:ascii="Arial" w:hAnsi="Arial"/>
          <w:sz w:val="24"/>
        </w:rPr>
        <w:t xml:space="preserve"> recovery of Council funds.</w:t>
      </w:r>
    </w:p>
    <w:p w14:paraId="3C660E09" w14:textId="77777777" w:rsidR="00A069CE" w:rsidRDefault="00A069CE" w:rsidP="00465BA3">
      <w:pPr>
        <w:jc w:val="both"/>
        <w:rPr>
          <w:rFonts w:ascii="Arial" w:hAnsi="Arial"/>
          <w:sz w:val="24"/>
        </w:rPr>
      </w:pPr>
    </w:p>
    <w:p w14:paraId="3F03B9B6" w14:textId="4A9B47CA" w:rsidR="00A069CE" w:rsidRDefault="00A069CE" w:rsidP="00465BA3">
      <w:pPr>
        <w:jc w:val="both"/>
        <w:rPr>
          <w:rFonts w:ascii="Arial" w:hAnsi="Arial"/>
          <w:sz w:val="24"/>
        </w:rPr>
      </w:pPr>
      <w:r>
        <w:rPr>
          <w:rFonts w:ascii="Arial" w:hAnsi="Arial"/>
          <w:sz w:val="24"/>
        </w:rPr>
        <w:t xml:space="preserve">It is imperative that proactive steps are taken to identify fraud, and error, at the earliest opportunity, to ensure losses are reduced.  Work is currently underway to consider enhanced data matching opportunities, along with the use of technology to provide the team with an analytical capability.  The objective will be to </w:t>
      </w:r>
      <w:r w:rsidR="00C67B2B">
        <w:rPr>
          <w:rFonts w:ascii="Arial" w:hAnsi="Arial"/>
          <w:sz w:val="24"/>
        </w:rPr>
        <w:t>raise</w:t>
      </w:r>
      <w:r>
        <w:rPr>
          <w:rFonts w:ascii="Arial" w:hAnsi="Arial"/>
          <w:sz w:val="24"/>
        </w:rPr>
        <w:t xml:space="preserve"> efficiency around </w:t>
      </w:r>
      <w:r>
        <w:rPr>
          <w:rFonts w:ascii="Arial" w:hAnsi="Arial"/>
          <w:sz w:val="24"/>
        </w:rPr>
        <w:lastRenderedPageBreak/>
        <w:t>identification of fraud indicators and increase the revenue coming in to the Council by removing discounts and entitlements that have been obtained fraudulently.</w:t>
      </w:r>
    </w:p>
    <w:p w14:paraId="733B7FAD" w14:textId="77777777" w:rsidR="00A069CE" w:rsidRDefault="00A069CE" w:rsidP="00465BA3">
      <w:pPr>
        <w:jc w:val="both"/>
        <w:rPr>
          <w:rFonts w:ascii="Arial" w:hAnsi="Arial"/>
          <w:sz w:val="24"/>
        </w:rPr>
      </w:pPr>
    </w:p>
    <w:p w14:paraId="4B0917A9" w14:textId="77777777" w:rsidR="006160D4" w:rsidRDefault="006160D4" w:rsidP="008D500C">
      <w:pPr>
        <w:jc w:val="both"/>
        <w:rPr>
          <w:rFonts w:ascii="Arial" w:hAnsi="Arial"/>
          <w:sz w:val="24"/>
        </w:rPr>
      </w:pPr>
    </w:p>
    <w:p w14:paraId="09B41D06" w14:textId="7121DB72" w:rsidR="00EE44D1" w:rsidRPr="0061096C" w:rsidRDefault="00EE44D1" w:rsidP="00407264">
      <w:pPr>
        <w:pStyle w:val="Heading2"/>
        <w:rPr>
          <w:rFonts w:ascii="Arial" w:hAnsi="Arial" w:cs="Arial"/>
          <w:b/>
          <w:bCs/>
          <w:color w:val="0070C0"/>
          <w:u w:val="single"/>
        </w:rPr>
      </w:pPr>
      <w:bookmarkStart w:id="0" w:name="_Hlk189150538"/>
      <w:r w:rsidRPr="0061096C">
        <w:rPr>
          <w:rFonts w:ascii="Arial" w:hAnsi="Arial" w:cs="Arial"/>
          <w:b/>
          <w:bCs/>
          <w:color w:val="0070C0"/>
          <w:u w:val="single"/>
        </w:rPr>
        <w:t>Council Tax Fraud</w:t>
      </w:r>
    </w:p>
    <w:p w14:paraId="23C153B8" w14:textId="77777777" w:rsidR="00EE44D1" w:rsidRDefault="00EE44D1" w:rsidP="00EE44D1"/>
    <w:p w14:paraId="2F773A36" w14:textId="702BBD0C" w:rsidR="00EE44D1" w:rsidRPr="00EE44D1" w:rsidRDefault="00EE44D1" w:rsidP="00EE44D1">
      <w:pPr>
        <w:rPr>
          <w:rFonts w:ascii="Arial" w:hAnsi="Arial" w:cs="Arial"/>
          <w:sz w:val="24"/>
          <w:szCs w:val="24"/>
        </w:rPr>
      </w:pPr>
      <w:r>
        <w:rPr>
          <w:rFonts w:ascii="Arial" w:hAnsi="Arial" w:cs="Arial"/>
          <w:sz w:val="24"/>
          <w:szCs w:val="24"/>
        </w:rPr>
        <w:t xml:space="preserve">This is </w:t>
      </w:r>
      <w:r w:rsidR="002D010A">
        <w:rPr>
          <w:rFonts w:ascii="Arial" w:hAnsi="Arial" w:cs="Arial"/>
          <w:sz w:val="24"/>
          <w:szCs w:val="24"/>
        </w:rPr>
        <w:t xml:space="preserve">a </w:t>
      </w:r>
      <w:r w:rsidR="000F4CD2">
        <w:rPr>
          <w:rFonts w:ascii="Arial" w:hAnsi="Arial" w:cs="Arial"/>
          <w:sz w:val="24"/>
          <w:szCs w:val="24"/>
        </w:rPr>
        <w:t>high-risk</w:t>
      </w:r>
      <w:r w:rsidR="002D010A">
        <w:rPr>
          <w:rFonts w:ascii="Arial" w:hAnsi="Arial" w:cs="Arial"/>
          <w:sz w:val="24"/>
          <w:szCs w:val="24"/>
        </w:rPr>
        <w:t xml:space="preserve"> area </w:t>
      </w:r>
      <w:r w:rsidR="00810981">
        <w:rPr>
          <w:rFonts w:ascii="Arial" w:hAnsi="Arial" w:cs="Arial"/>
          <w:sz w:val="24"/>
          <w:szCs w:val="24"/>
        </w:rPr>
        <w:t xml:space="preserve">subject to bulk fraud cases </w:t>
      </w:r>
      <w:r w:rsidR="000F4CD2">
        <w:rPr>
          <w:rFonts w:ascii="Arial" w:hAnsi="Arial" w:cs="Arial"/>
          <w:sz w:val="24"/>
          <w:szCs w:val="24"/>
        </w:rPr>
        <w:t xml:space="preserve">and receives priority </w:t>
      </w:r>
      <w:r w:rsidR="00926F25">
        <w:rPr>
          <w:rFonts w:ascii="Arial" w:hAnsi="Arial" w:cs="Arial"/>
          <w:sz w:val="24"/>
          <w:szCs w:val="24"/>
        </w:rPr>
        <w:t xml:space="preserve">resourcing.  This also ensures revenue is protected as cases are allocated based </w:t>
      </w:r>
      <w:r w:rsidR="006D39E5">
        <w:rPr>
          <w:rFonts w:ascii="Arial" w:hAnsi="Arial" w:cs="Arial"/>
          <w:sz w:val="24"/>
          <w:szCs w:val="24"/>
        </w:rPr>
        <w:t xml:space="preserve">on factors including recovery of financial loss. </w:t>
      </w:r>
    </w:p>
    <w:p w14:paraId="2D168A6C" w14:textId="77777777" w:rsidR="00EE44D1" w:rsidRPr="00E5389B" w:rsidRDefault="00EE44D1" w:rsidP="00EE44D1"/>
    <w:p w14:paraId="373A3BD7" w14:textId="4A3923C7" w:rsidR="00D75B07" w:rsidRPr="005F4198" w:rsidRDefault="003331F8" w:rsidP="00CB60A7">
      <w:pPr>
        <w:pStyle w:val="Heading2"/>
        <w:rPr>
          <w:rFonts w:ascii="Arial" w:hAnsi="Arial" w:cs="Arial"/>
          <w:b/>
          <w:bCs/>
          <w:color w:val="0070C0"/>
          <w:u w:val="single"/>
        </w:rPr>
      </w:pPr>
      <w:r w:rsidRPr="005F4198">
        <w:rPr>
          <w:rFonts w:ascii="Arial" w:hAnsi="Arial" w:cs="Arial"/>
          <w:b/>
          <w:bCs/>
          <w:color w:val="0070C0"/>
          <w:u w:val="single"/>
        </w:rPr>
        <w:t xml:space="preserve">Council Tax </w:t>
      </w:r>
      <w:r w:rsidR="00D75B07" w:rsidRPr="005F4198">
        <w:rPr>
          <w:rFonts w:ascii="Arial" w:hAnsi="Arial" w:cs="Arial"/>
          <w:b/>
          <w:bCs/>
          <w:color w:val="0070C0"/>
          <w:u w:val="single"/>
        </w:rPr>
        <w:t>Si</w:t>
      </w:r>
      <w:r w:rsidRPr="005F4198">
        <w:rPr>
          <w:rFonts w:ascii="Arial" w:hAnsi="Arial" w:cs="Arial"/>
          <w:b/>
          <w:bCs/>
          <w:color w:val="0070C0"/>
          <w:u w:val="single"/>
        </w:rPr>
        <w:t xml:space="preserve">ngle </w:t>
      </w:r>
      <w:r w:rsidR="00D75B07" w:rsidRPr="005F4198">
        <w:rPr>
          <w:rFonts w:ascii="Arial" w:hAnsi="Arial" w:cs="Arial"/>
          <w:b/>
          <w:bCs/>
          <w:color w:val="0070C0"/>
          <w:u w:val="single"/>
        </w:rPr>
        <w:t>R</w:t>
      </w:r>
      <w:r w:rsidRPr="005F4198">
        <w:rPr>
          <w:rFonts w:ascii="Arial" w:hAnsi="Arial" w:cs="Arial"/>
          <w:b/>
          <w:bCs/>
          <w:color w:val="0070C0"/>
          <w:u w:val="single"/>
        </w:rPr>
        <w:t xml:space="preserve">esidency </w:t>
      </w:r>
      <w:r w:rsidR="00D75B07" w:rsidRPr="005F4198">
        <w:rPr>
          <w:rFonts w:ascii="Arial" w:hAnsi="Arial" w:cs="Arial"/>
          <w:b/>
          <w:bCs/>
          <w:color w:val="0070C0"/>
          <w:u w:val="single"/>
        </w:rPr>
        <w:t>R</w:t>
      </w:r>
      <w:r w:rsidRPr="005F4198">
        <w:rPr>
          <w:rFonts w:ascii="Arial" w:hAnsi="Arial" w:cs="Arial"/>
          <w:b/>
          <w:bCs/>
          <w:color w:val="0070C0"/>
          <w:u w:val="single"/>
        </w:rPr>
        <w:t>eview</w:t>
      </w:r>
      <w:bookmarkEnd w:id="0"/>
      <w:r w:rsidR="008C3F25" w:rsidRPr="005F4198">
        <w:rPr>
          <w:rFonts w:ascii="Arial" w:hAnsi="Arial" w:cs="Arial"/>
          <w:b/>
          <w:bCs/>
          <w:color w:val="0070C0"/>
          <w:u w:val="single"/>
        </w:rPr>
        <w:t xml:space="preserve"> (SRD)</w:t>
      </w:r>
    </w:p>
    <w:p w14:paraId="0B74690B" w14:textId="77777777" w:rsidR="00D75B07" w:rsidRPr="0061096C" w:rsidRDefault="00D75B07" w:rsidP="00E9459E">
      <w:pPr>
        <w:spacing w:line="276" w:lineRule="auto"/>
        <w:jc w:val="both"/>
        <w:rPr>
          <w:rFonts w:ascii="Arial" w:hAnsi="Arial"/>
          <w:color w:val="0070C0"/>
          <w:sz w:val="24"/>
        </w:rPr>
      </w:pPr>
    </w:p>
    <w:p w14:paraId="086F70C2" w14:textId="10AB352B" w:rsidR="00E9459E" w:rsidRDefault="00E9459E" w:rsidP="00D75B07">
      <w:pPr>
        <w:spacing w:line="276" w:lineRule="auto"/>
        <w:jc w:val="both"/>
        <w:rPr>
          <w:rFonts w:ascii="Arial" w:hAnsi="Arial"/>
          <w:sz w:val="24"/>
        </w:rPr>
      </w:pPr>
      <w:r w:rsidRPr="00E9459E">
        <w:rPr>
          <w:rFonts w:ascii="Arial" w:hAnsi="Arial"/>
          <w:sz w:val="24"/>
        </w:rPr>
        <w:t xml:space="preserve">The council has approximately </w:t>
      </w:r>
      <w:r w:rsidRPr="0061096C">
        <w:rPr>
          <w:rFonts w:ascii="Arial" w:hAnsi="Arial"/>
          <w:sz w:val="24"/>
        </w:rPr>
        <w:t>7</w:t>
      </w:r>
      <w:r w:rsidR="0061096C">
        <w:rPr>
          <w:rFonts w:ascii="Arial" w:hAnsi="Arial"/>
          <w:sz w:val="24"/>
        </w:rPr>
        <w:t>5,825</w:t>
      </w:r>
      <w:r w:rsidRPr="00E9459E">
        <w:rPr>
          <w:rFonts w:ascii="Arial" w:hAnsi="Arial"/>
          <w:sz w:val="24"/>
        </w:rPr>
        <w:t xml:space="preserve"> Council Tax payers, of which about</w:t>
      </w:r>
      <w:r w:rsidR="00C305C0">
        <w:rPr>
          <w:rFonts w:ascii="Arial" w:hAnsi="Arial"/>
          <w:sz w:val="24"/>
        </w:rPr>
        <w:t xml:space="preserve"> </w:t>
      </w:r>
      <w:r w:rsidR="0061096C">
        <w:rPr>
          <w:rFonts w:ascii="Arial" w:hAnsi="Arial"/>
          <w:sz w:val="24"/>
        </w:rPr>
        <w:t>26,183</w:t>
      </w:r>
      <w:r w:rsidR="00C305C0">
        <w:rPr>
          <w:rFonts w:ascii="Arial" w:hAnsi="Arial"/>
          <w:sz w:val="24"/>
        </w:rPr>
        <w:t xml:space="preserve"> </w:t>
      </w:r>
      <w:r w:rsidRPr="00E9459E">
        <w:rPr>
          <w:rFonts w:ascii="Arial" w:hAnsi="Arial"/>
          <w:sz w:val="24"/>
        </w:rPr>
        <w:t xml:space="preserve">receive a SRD entitling them to a 25% reduction in their Council Tax bill. </w:t>
      </w:r>
    </w:p>
    <w:p w14:paraId="5AC68D0F" w14:textId="54832CF4" w:rsidR="00D75B07" w:rsidRDefault="00D75B07" w:rsidP="00D75B07">
      <w:pPr>
        <w:spacing w:line="276" w:lineRule="auto"/>
        <w:jc w:val="both"/>
        <w:rPr>
          <w:rFonts w:ascii="Arial" w:hAnsi="Arial"/>
          <w:sz w:val="24"/>
        </w:rPr>
      </w:pPr>
      <w:r>
        <w:rPr>
          <w:rFonts w:ascii="Arial" w:hAnsi="Arial"/>
          <w:sz w:val="24"/>
        </w:rPr>
        <w:t>It is clear that continuing intervention is required in this area.  Failure to identify households where there is a second (adult) resident results in a significant lowering of Council revenue and impacts on the services available to those most in need in the community.</w:t>
      </w:r>
    </w:p>
    <w:p w14:paraId="56C43FD0" w14:textId="77777777" w:rsidR="00D75B07" w:rsidRDefault="00D75B07" w:rsidP="00D75B07">
      <w:pPr>
        <w:spacing w:line="276" w:lineRule="auto"/>
        <w:jc w:val="both"/>
        <w:rPr>
          <w:rFonts w:ascii="Arial" w:hAnsi="Arial"/>
          <w:sz w:val="24"/>
        </w:rPr>
      </w:pPr>
    </w:p>
    <w:p w14:paraId="094208A2" w14:textId="75C7EF87" w:rsidR="00D75B07" w:rsidRPr="00E9459E" w:rsidRDefault="00D75B07" w:rsidP="00D75B07">
      <w:pPr>
        <w:spacing w:line="276" w:lineRule="auto"/>
        <w:jc w:val="both"/>
        <w:rPr>
          <w:rFonts w:ascii="Arial" w:hAnsi="Arial"/>
          <w:sz w:val="24"/>
        </w:rPr>
      </w:pPr>
      <w:r>
        <w:rPr>
          <w:rFonts w:ascii="Arial" w:hAnsi="Arial"/>
          <w:sz w:val="24"/>
        </w:rPr>
        <w:t>Th</w:t>
      </w:r>
      <w:r w:rsidR="001D73DB">
        <w:rPr>
          <w:rFonts w:ascii="Arial" w:hAnsi="Arial"/>
          <w:sz w:val="24"/>
        </w:rPr>
        <w:t>e</w:t>
      </w:r>
      <w:r>
        <w:rPr>
          <w:rFonts w:ascii="Arial" w:hAnsi="Arial"/>
          <w:sz w:val="24"/>
        </w:rPr>
        <w:t xml:space="preserve"> monthly review process has been in place since 2021 and repeatedly demonstrates positive value for money.  The process involves the complex use of data matching technology to highlight cases where there is information to suggest the application for Single Person Discount was fraudulent, or where a failure to disclose information around a change of circumstances may have occurred.  </w:t>
      </w:r>
    </w:p>
    <w:p w14:paraId="23FB6A19" w14:textId="78F7A621" w:rsidR="00E9459E" w:rsidRDefault="00E9459E" w:rsidP="000B31B3">
      <w:pPr>
        <w:spacing w:line="276" w:lineRule="auto"/>
        <w:jc w:val="both"/>
        <w:rPr>
          <w:rFonts w:ascii="Arial" w:hAnsi="Arial"/>
          <w:sz w:val="24"/>
          <w:szCs w:val="24"/>
        </w:rPr>
      </w:pPr>
    </w:p>
    <w:p w14:paraId="7DF7E9F9" w14:textId="77777777" w:rsidR="00D26861" w:rsidRDefault="00D26861" w:rsidP="000B31B3">
      <w:pPr>
        <w:spacing w:line="276" w:lineRule="auto"/>
        <w:jc w:val="both"/>
        <w:rPr>
          <w:rFonts w:ascii="Arial" w:hAnsi="Arial"/>
          <w:sz w:val="24"/>
          <w:szCs w:val="24"/>
        </w:rPr>
      </w:pPr>
    </w:p>
    <w:tbl>
      <w:tblPr>
        <w:tblStyle w:val="TableGrid"/>
        <w:tblW w:w="0" w:type="auto"/>
        <w:tblLook w:val="04A0" w:firstRow="1" w:lastRow="0" w:firstColumn="1" w:lastColumn="0" w:noHBand="0" w:noVBand="1"/>
      </w:tblPr>
      <w:tblGrid>
        <w:gridCol w:w="2689"/>
        <w:gridCol w:w="2268"/>
        <w:gridCol w:w="2126"/>
        <w:gridCol w:w="1933"/>
      </w:tblGrid>
      <w:tr w:rsidR="0059570C" w14:paraId="71B5F87B" w14:textId="77777777" w:rsidTr="0059570C">
        <w:tc>
          <w:tcPr>
            <w:tcW w:w="2689" w:type="dxa"/>
          </w:tcPr>
          <w:p w14:paraId="2804E974" w14:textId="0AEF7AF3" w:rsidR="0059570C" w:rsidRPr="00D26861" w:rsidRDefault="0059570C" w:rsidP="000B31B3">
            <w:pPr>
              <w:spacing w:line="276" w:lineRule="auto"/>
              <w:jc w:val="both"/>
              <w:rPr>
                <w:rFonts w:ascii="Arial" w:hAnsi="Arial"/>
                <w:b/>
                <w:bCs/>
                <w:sz w:val="24"/>
                <w:szCs w:val="24"/>
              </w:rPr>
            </w:pPr>
            <w:bookmarkStart w:id="1" w:name="_Hlk189151122"/>
            <w:r w:rsidRPr="00D26861">
              <w:rPr>
                <w:rFonts w:ascii="Arial" w:hAnsi="Arial"/>
                <w:b/>
                <w:bCs/>
                <w:sz w:val="24"/>
                <w:szCs w:val="24"/>
              </w:rPr>
              <w:t>Measure</w:t>
            </w:r>
          </w:p>
        </w:tc>
        <w:tc>
          <w:tcPr>
            <w:tcW w:w="2268" w:type="dxa"/>
          </w:tcPr>
          <w:p w14:paraId="5F7CDB0F" w14:textId="54D2E362" w:rsidR="0059570C" w:rsidRPr="00D26861" w:rsidRDefault="0059570C" w:rsidP="00D26861">
            <w:pPr>
              <w:spacing w:line="276" w:lineRule="auto"/>
              <w:jc w:val="center"/>
              <w:rPr>
                <w:rFonts w:ascii="Arial" w:hAnsi="Arial"/>
                <w:b/>
                <w:bCs/>
                <w:sz w:val="24"/>
                <w:szCs w:val="24"/>
              </w:rPr>
            </w:pPr>
            <w:r w:rsidRPr="00D26861">
              <w:rPr>
                <w:rFonts w:ascii="Arial" w:hAnsi="Arial"/>
                <w:b/>
                <w:bCs/>
                <w:sz w:val="24"/>
                <w:szCs w:val="24"/>
              </w:rPr>
              <w:t>2022/23</w:t>
            </w:r>
          </w:p>
        </w:tc>
        <w:tc>
          <w:tcPr>
            <w:tcW w:w="2126" w:type="dxa"/>
          </w:tcPr>
          <w:p w14:paraId="53ECB912" w14:textId="229E3932" w:rsidR="0059570C" w:rsidRPr="00D26861" w:rsidRDefault="0059570C" w:rsidP="00D26861">
            <w:pPr>
              <w:spacing w:line="276" w:lineRule="auto"/>
              <w:jc w:val="center"/>
              <w:rPr>
                <w:rFonts w:ascii="Arial" w:hAnsi="Arial"/>
                <w:b/>
                <w:bCs/>
                <w:sz w:val="24"/>
                <w:szCs w:val="24"/>
              </w:rPr>
            </w:pPr>
            <w:r w:rsidRPr="00D26861">
              <w:rPr>
                <w:rFonts w:ascii="Arial" w:hAnsi="Arial"/>
                <w:b/>
                <w:bCs/>
                <w:sz w:val="24"/>
                <w:szCs w:val="24"/>
              </w:rPr>
              <w:t>2023/24</w:t>
            </w:r>
          </w:p>
        </w:tc>
        <w:tc>
          <w:tcPr>
            <w:tcW w:w="1933" w:type="dxa"/>
          </w:tcPr>
          <w:p w14:paraId="3B84D396" w14:textId="74CD52EC" w:rsidR="0059570C" w:rsidRPr="00D26861" w:rsidRDefault="0059570C" w:rsidP="00D26861">
            <w:pPr>
              <w:spacing w:line="276" w:lineRule="auto"/>
              <w:jc w:val="center"/>
              <w:rPr>
                <w:rFonts w:ascii="Arial" w:hAnsi="Arial"/>
                <w:b/>
                <w:bCs/>
                <w:sz w:val="24"/>
                <w:szCs w:val="24"/>
              </w:rPr>
            </w:pPr>
            <w:r w:rsidRPr="00D26861">
              <w:rPr>
                <w:rFonts w:ascii="Arial" w:hAnsi="Arial"/>
                <w:b/>
                <w:bCs/>
                <w:sz w:val="24"/>
                <w:szCs w:val="24"/>
              </w:rPr>
              <w:t>2024/25</w:t>
            </w:r>
            <w:r w:rsidR="00D26861">
              <w:rPr>
                <w:rFonts w:ascii="Arial" w:hAnsi="Arial"/>
                <w:b/>
                <w:bCs/>
                <w:sz w:val="24"/>
                <w:szCs w:val="24"/>
              </w:rPr>
              <w:t>*</w:t>
            </w:r>
          </w:p>
        </w:tc>
      </w:tr>
      <w:tr w:rsidR="0059570C" w14:paraId="5F468A24" w14:textId="77777777" w:rsidTr="0059570C">
        <w:tc>
          <w:tcPr>
            <w:tcW w:w="2689" w:type="dxa"/>
          </w:tcPr>
          <w:p w14:paraId="6D0A8276" w14:textId="29DA1A63"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Letters Sent</w:t>
            </w:r>
          </w:p>
        </w:tc>
        <w:tc>
          <w:tcPr>
            <w:tcW w:w="2268" w:type="dxa"/>
          </w:tcPr>
          <w:p w14:paraId="473BEBC4" w14:textId="1FA47194" w:rsidR="0059570C" w:rsidRDefault="00D26861" w:rsidP="00D26861">
            <w:pPr>
              <w:spacing w:line="276" w:lineRule="auto"/>
              <w:jc w:val="center"/>
              <w:rPr>
                <w:rFonts w:ascii="Arial" w:hAnsi="Arial"/>
                <w:sz w:val="24"/>
                <w:szCs w:val="24"/>
              </w:rPr>
            </w:pPr>
            <w:r>
              <w:rPr>
                <w:rFonts w:ascii="Arial" w:hAnsi="Arial"/>
                <w:sz w:val="24"/>
                <w:szCs w:val="24"/>
              </w:rPr>
              <w:t>632</w:t>
            </w:r>
          </w:p>
        </w:tc>
        <w:tc>
          <w:tcPr>
            <w:tcW w:w="2126" w:type="dxa"/>
          </w:tcPr>
          <w:p w14:paraId="60D0A4A1" w14:textId="0FD582A0" w:rsidR="0059570C" w:rsidRDefault="00D26861" w:rsidP="00D26861">
            <w:pPr>
              <w:spacing w:line="276" w:lineRule="auto"/>
              <w:jc w:val="center"/>
              <w:rPr>
                <w:rFonts w:ascii="Arial" w:hAnsi="Arial"/>
                <w:sz w:val="24"/>
                <w:szCs w:val="24"/>
              </w:rPr>
            </w:pPr>
            <w:r>
              <w:rPr>
                <w:rFonts w:ascii="Arial" w:hAnsi="Arial"/>
                <w:sz w:val="24"/>
                <w:szCs w:val="24"/>
              </w:rPr>
              <w:t>368</w:t>
            </w:r>
          </w:p>
        </w:tc>
        <w:tc>
          <w:tcPr>
            <w:tcW w:w="1933" w:type="dxa"/>
          </w:tcPr>
          <w:p w14:paraId="3F4899F1" w14:textId="4445E85A" w:rsidR="0059570C" w:rsidRDefault="0061096C" w:rsidP="00D26861">
            <w:pPr>
              <w:spacing w:line="276" w:lineRule="auto"/>
              <w:jc w:val="center"/>
              <w:rPr>
                <w:rFonts w:ascii="Arial" w:hAnsi="Arial"/>
                <w:sz w:val="24"/>
                <w:szCs w:val="24"/>
              </w:rPr>
            </w:pPr>
            <w:r>
              <w:rPr>
                <w:rFonts w:ascii="Arial" w:hAnsi="Arial"/>
                <w:sz w:val="24"/>
                <w:szCs w:val="24"/>
              </w:rPr>
              <w:t>99</w:t>
            </w:r>
          </w:p>
        </w:tc>
      </w:tr>
      <w:tr w:rsidR="0059570C" w14:paraId="34C194C7" w14:textId="77777777" w:rsidTr="0059570C">
        <w:tc>
          <w:tcPr>
            <w:tcW w:w="2689" w:type="dxa"/>
          </w:tcPr>
          <w:p w14:paraId="302E6DE2" w14:textId="73164528"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Responses</w:t>
            </w:r>
          </w:p>
        </w:tc>
        <w:tc>
          <w:tcPr>
            <w:tcW w:w="2268" w:type="dxa"/>
          </w:tcPr>
          <w:p w14:paraId="003A32AC" w14:textId="14E025A1" w:rsidR="0059570C" w:rsidRDefault="00D26861" w:rsidP="00D26861">
            <w:pPr>
              <w:spacing w:line="276" w:lineRule="auto"/>
              <w:jc w:val="center"/>
              <w:rPr>
                <w:rFonts w:ascii="Arial" w:hAnsi="Arial"/>
                <w:sz w:val="24"/>
                <w:szCs w:val="24"/>
              </w:rPr>
            </w:pPr>
            <w:r>
              <w:rPr>
                <w:rFonts w:ascii="Arial" w:hAnsi="Arial"/>
                <w:sz w:val="24"/>
                <w:szCs w:val="24"/>
              </w:rPr>
              <w:t>563</w:t>
            </w:r>
          </w:p>
        </w:tc>
        <w:tc>
          <w:tcPr>
            <w:tcW w:w="2126" w:type="dxa"/>
          </w:tcPr>
          <w:p w14:paraId="53B6B378" w14:textId="71F6FD78" w:rsidR="0059570C" w:rsidRDefault="00D26861" w:rsidP="00D26861">
            <w:pPr>
              <w:spacing w:line="276" w:lineRule="auto"/>
              <w:jc w:val="center"/>
              <w:rPr>
                <w:rFonts w:ascii="Arial" w:hAnsi="Arial"/>
                <w:sz w:val="24"/>
                <w:szCs w:val="24"/>
              </w:rPr>
            </w:pPr>
            <w:r>
              <w:rPr>
                <w:rFonts w:ascii="Arial" w:hAnsi="Arial"/>
                <w:sz w:val="24"/>
                <w:szCs w:val="24"/>
              </w:rPr>
              <w:t>325</w:t>
            </w:r>
          </w:p>
        </w:tc>
        <w:tc>
          <w:tcPr>
            <w:tcW w:w="1933" w:type="dxa"/>
          </w:tcPr>
          <w:p w14:paraId="230FEB46" w14:textId="40D34637" w:rsidR="0059570C" w:rsidRDefault="0061096C" w:rsidP="00D26861">
            <w:pPr>
              <w:spacing w:line="276" w:lineRule="auto"/>
              <w:jc w:val="center"/>
              <w:rPr>
                <w:rFonts w:ascii="Arial" w:hAnsi="Arial"/>
                <w:sz w:val="24"/>
                <w:szCs w:val="24"/>
              </w:rPr>
            </w:pPr>
            <w:r>
              <w:rPr>
                <w:rFonts w:ascii="Arial" w:hAnsi="Arial"/>
                <w:sz w:val="24"/>
                <w:szCs w:val="24"/>
              </w:rPr>
              <w:t>83</w:t>
            </w:r>
          </w:p>
        </w:tc>
      </w:tr>
      <w:tr w:rsidR="0059570C" w14:paraId="759CC7D0" w14:textId="77777777" w:rsidTr="0059570C">
        <w:tc>
          <w:tcPr>
            <w:tcW w:w="2689" w:type="dxa"/>
          </w:tcPr>
          <w:p w14:paraId="0175608D" w14:textId="5122B635"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Changes Reported</w:t>
            </w:r>
          </w:p>
        </w:tc>
        <w:tc>
          <w:tcPr>
            <w:tcW w:w="2268" w:type="dxa"/>
          </w:tcPr>
          <w:p w14:paraId="0F05B4ED" w14:textId="2C5ED9F0" w:rsidR="0059570C" w:rsidRDefault="00D26861" w:rsidP="00D26861">
            <w:pPr>
              <w:spacing w:line="276" w:lineRule="auto"/>
              <w:jc w:val="center"/>
              <w:rPr>
                <w:rFonts w:ascii="Arial" w:hAnsi="Arial"/>
                <w:sz w:val="24"/>
                <w:szCs w:val="24"/>
              </w:rPr>
            </w:pPr>
            <w:r>
              <w:rPr>
                <w:rFonts w:ascii="Arial" w:hAnsi="Arial"/>
                <w:sz w:val="24"/>
                <w:szCs w:val="24"/>
              </w:rPr>
              <w:t>160</w:t>
            </w:r>
          </w:p>
        </w:tc>
        <w:tc>
          <w:tcPr>
            <w:tcW w:w="2126" w:type="dxa"/>
          </w:tcPr>
          <w:p w14:paraId="68FAA84F" w14:textId="7FE1215D" w:rsidR="0059570C" w:rsidRDefault="00D26861" w:rsidP="00D26861">
            <w:pPr>
              <w:spacing w:line="276" w:lineRule="auto"/>
              <w:jc w:val="center"/>
              <w:rPr>
                <w:rFonts w:ascii="Arial" w:hAnsi="Arial"/>
                <w:sz w:val="24"/>
                <w:szCs w:val="24"/>
              </w:rPr>
            </w:pPr>
            <w:r>
              <w:rPr>
                <w:rFonts w:ascii="Arial" w:hAnsi="Arial"/>
                <w:sz w:val="24"/>
                <w:szCs w:val="24"/>
              </w:rPr>
              <w:t>111</w:t>
            </w:r>
          </w:p>
        </w:tc>
        <w:tc>
          <w:tcPr>
            <w:tcW w:w="1933" w:type="dxa"/>
          </w:tcPr>
          <w:p w14:paraId="7317DD96" w14:textId="062E0905" w:rsidR="0059570C" w:rsidRDefault="0061096C" w:rsidP="00D26861">
            <w:pPr>
              <w:spacing w:line="276" w:lineRule="auto"/>
              <w:jc w:val="center"/>
              <w:rPr>
                <w:rFonts w:ascii="Arial" w:hAnsi="Arial"/>
                <w:sz w:val="24"/>
                <w:szCs w:val="24"/>
              </w:rPr>
            </w:pPr>
            <w:r>
              <w:rPr>
                <w:rFonts w:ascii="Arial" w:hAnsi="Arial"/>
                <w:sz w:val="24"/>
                <w:szCs w:val="24"/>
              </w:rPr>
              <w:t>32</w:t>
            </w:r>
          </w:p>
        </w:tc>
      </w:tr>
      <w:tr w:rsidR="0059570C" w14:paraId="32B63797" w14:textId="77777777" w:rsidTr="0059570C">
        <w:tc>
          <w:tcPr>
            <w:tcW w:w="2689" w:type="dxa"/>
          </w:tcPr>
          <w:p w14:paraId="1AAA6E60" w14:textId="41B26FFF"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SRD Removed</w:t>
            </w:r>
          </w:p>
        </w:tc>
        <w:tc>
          <w:tcPr>
            <w:tcW w:w="2268" w:type="dxa"/>
          </w:tcPr>
          <w:p w14:paraId="17591D70" w14:textId="180E104A" w:rsidR="0059570C" w:rsidRDefault="00D26861" w:rsidP="00D26861">
            <w:pPr>
              <w:spacing w:line="276" w:lineRule="auto"/>
              <w:jc w:val="center"/>
              <w:rPr>
                <w:rFonts w:ascii="Arial" w:hAnsi="Arial"/>
                <w:sz w:val="24"/>
                <w:szCs w:val="24"/>
              </w:rPr>
            </w:pPr>
            <w:r>
              <w:rPr>
                <w:rFonts w:ascii="Arial" w:hAnsi="Arial"/>
                <w:sz w:val="24"/>
                <w:szCs w:val="24"/>
              </w:rPr>
              <w:t>141</w:t>
            </w:r>
          </w:p>
        </w:tc>
        <w:tc>
          <w:tcPr>
            <w:tcW w:w="2126" w:type="dxa"/>
          </w:tcPr>
          <w:p w14:paraId="50CB0CE1" w14:textId="429FA1F2" w:rsidR="0059570C" w:rsidRDefault="00D26861" w:rsidP="00D26861">
            <w:pPr>
              <w:spacing w:line="276" w:lineRule="auto"/>
              <w:jc w:val="center"/>
              <w:rPr>
                <w:rFonts w:ascii="Arial" w:hAnsi="Arial"/>
                <w:sz w:val="24"/>
                <w:szCs w:val="24"/>
              </w:rPr>
            </w:pPr>
            <w:r>
              <w:rPr>
                <w:rFonts w:ascii="Arial" w:hAnsi="Arial"/>
                <w:sz w:val="24"/>
                <w:szCs w:val="24"/>
              </w:rPr>
              <w:t>165</w:t>
            </w:r>
          </w:p>
        </w:tc>
        <w:tc>
          <w:tcPr>
            <w:tcW w:w="1933" w:type="dxa"/>
          </w:tcPr>
          <w:p w14:paraId="18BA009D" w14:textId="4C102F5E" w:rsidR="0059570C" w:rsidRDefault="0061096C" w:rsidP="00D26861">
            <w:pPr>
              <w:spacing w:line="276" w:lineRule="auto"/>
              <w:jc w:val="center"/>
              <w:rPr>
                <w:rFonts w:ascii="Arial" w:hAnsi="Arial"/>
                <w:sz w:val="24"/>
                <w:szCs w:val="24"/>
              </w:rPr>
            </w:pPr>
            <w:r>
              <w:rPr>
                <w:rFonts w:ascii="Arial" w:hAnsi="Arial"/>
                <w:sz w:val="24"/>
                <w:szCs w:val="24"/>
              </w:rPr>
              <w:t>47</w:t>
            </w:r>
          </w:p>
        </w:tc>
      </w:tr>
      <w:tr w:rsidR="0059570C" w14:paraId="237E22EF" w14:textId="77777777" w:rsidTr="0059570C">
        <w:tc>
          <w:tcPr>
            <w:tcW w:w="2689" w:type="dxa"/>
          </w:tcPr>
          <w:p w14:paraId="137F6A4F" w14:textId="7E59CCEF"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 xml:space="preserve">% Conversion </w:t>
            </w:r>
          </w:p>
        </w:tc>
        <w:tc>
          <w:tcPr>
            <w:tcW w:w="2268" w:type="dxa"/>
          </w:tcPr>
          <w:p w14:paraId="1A1E12FF" w14:textId="376166C8" w:rsidR="0059570C" w:rsidRDefault="00D26861" w:rsidP="00D26861">
            <w:pPr>
              <w:spacing w:line="276" w:lineRule="auto"/>
              <w:jc w:val="center"/>
              <w:rPr>
                <w:rFonts w:ascii="Arial" w:hAnsi="Arial"/>
                <w:sz w:val="24"/>
                <w:szCs w:val="24"/>
              </w:rPr>
            </w:pPr>
            <w:r>
              <w:rPr>
                <w:rFonts w:ascii="Arial" w:hAnsi="Arial"/>
                <w:sz w:val="24"/>
                <w:szCs w:val="24"/>
              </w:rPr>
              <w:t>22.3%</w:t>
            </w:r>
          </w:p>
        </w:tc>
        <w:tc>
          <w:tcPr>
            <w:tcW w:w="2126" w:type="dxa"/>
          </w:tcPr>
          <w:p w14:paraId="0ECB8041" w14:textId="123F95EF" w:rsidR="0059570C" w:rsidRDefault="00D26861" w:rsidP="00D26861">
            <w:pPr>
              <w:spacing w:line="276" w:lineRule="auto"/>
              <w:jc w:val="center"/>
              <w:rPr>
                <w:rFonts w:ascii="Arial" w:hAnsi="Arial"/>
                <w:sz w:val="24"/>
                <w:szCs w:val="24"/>
              </w:rPr>
            </w:pPr>
            <w:r>
              <w:rPr>
                <w:rFonts w:ascii="Arial" w:hAnsi="Arial"/>
                <w:sz w:val="24"/>
                <w:szCs w:val="24"/>
              </w:rPr>
              <w:t>44.8%</w:t>
            </w:r>
          </w:p>
        </w:tc>
        <w:tc>
          <w:tcPr>
            <w:tcW w:w="1933" w:type="dxa"/>
          </w:tcPr>
          <w:p w14:paraId="3003F942" w14:textId="27B28148" w:rsidR="0059570C" w:rsidRDefault="0061096C" w:rsidP="00D26861">
            <w:pPr>
              <w:spacing w:line="276" w:lineRule="auto"/>
              <w:jc w:val="center"/>
              <w:rPr>
                <w:rFonts w:ascii="Arial" w:hAnsi="Arial"/>
                <w:sz w:val="24"/>
                <w:szCs w:val="24"/>
              </w:rPr>
            </w:pPr>
            <w:r>
              <w:rPr>
                <w:rFonts w:ascii="Arial" w:hAnsi="Arial"/>
                <w:sz w:val="24"/>
                <w:szCs w:val="24"/>
              </w:rPr>
              <w:t>47.4%</w:t>
            </w:r>
          </w:p>
        </w:tc>
      </w:tr>
      <w:tr w:rsidR="0059570C" w14:paraId="0CE11455" w14:textId="77777777" w:rsidTr="0059570C">
        <w:tc>
          <w:tcPr>
            <w:tcW w:w="2689" w:type="dxa"/>
          </w:tcPr>
          <w:p w14:paraId="390EE904" w14:textId="052BAF22"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Charge Generated</w:t>
            </w:r>
          </w:p>
        </w:tc>
        <w:tc>
          <w:tcPr>
            <w:tcW w:w="2268" w:type="dxa"/>
          </w:tcPr>
          <w:p w14:paraId="0C0E0F28" w14:textId="2BB0071E" w:rsidR="0059570C" w:rsidRDefault="00D26861" w:rsidP="00D26861">
            <w:pPr>
              <w:spacing w:line="276" w:lineRule="auto"/>
              <w:jc w:val="center"/>
              <w:rPr>
                <w:rFonts w:ascii="Arial" w:hAnsi="Arial"/>
                <w:sz w:val="24"/>
                <w:szCs w:val="24"/>
              </w:rPr>
            </w:pPr>
            <w:r>
              <w:rPr>
                <w:rFonts w:ascii="Arial" w:hAnsi="Arial"/>
                <w:sz w:val="24"/>
                <w:szCs w:val="24"/>
              </w:rPr>
              <w:t>£54654</w:t>
            </w:r>
          </w:p>
        </w:tc>
        <w:tc>
          <w:tcPr>
            <w:tcW w:w="2126" w:type="dxa"/>
          </w:tcPr>
          <w:p w14:paraId="126816B3" w14:textId="5C0BEA88" w:rsidR="0059570C" w:rsidRDefault="00D26861" w:rsidP="00D26861">
            <w:pPr>
              <w:spacing w:line="276" w:lineRule="auto"/>
              <w:jc w:val="center"/>
              <w:rPr>
                <w:rFonts w:ascii="Arial" w:hAnsi="Arial"/>
                <w:sz w:val="24"/>
                <w:szCs w:val="24"/>
              </w:rPr>
            </w:pPr>
            <w:r>
              <w:rPr>
                <w:rFonts w:ascii="Arial" w:hAnsi="Arial"/>
                <w:sz w:val="24"/>
                <w:szCs w:val="24"/>
              </w:rPr>
              <w:t>£36884</w:t>
            </w:r>
          </w:p>
        </w:tc>
        <w:tc>
          <w:tcPr>
            <w:tcW w:w="1933" w:type="dxa"/>
          </w:tcPr>
          <w:p w14:paraId="3E3B881A" w14:textId="01AA40F7" w:rsidR="0059570C" w:rsidRDefault="0061096C" w:rsidP="00D26861">
            <w:pPr>
              <w:spacing w:line="276" w:lineRule="auto"/>
              <w:jc w:val="center"/>
              <w:rPr>
                <w:rFonts w:ascii="Arial" w:hAnsi="Arial"/>
                <w:sz w:val="24"/>
                <w:szCs w:val="24"/>
              </w:rPr>
            </w:pPr>
            <w:r>
              <w:rPr>
                <w:rFonts w:ascii="Arial" w:hAnsi="Arial"/>
                <w:sz w:val="24"/>
                <w:szCs w:val="24"/>
              </w:rPr>
              <w:t>£13761</w:t>
            </w:r>
          </w:p>
        </w:tc>
      </w:tr>
      <w:tr w:rsidR="0059570C" w14:paraId="5237B021" w14:textId="77777777" w:rsidTr="0059570C">
        <w:tc>
          <w:tcPr>
            <w:tcW w:w="2689" w:type="dxa"/>
          </w:tcPr>
          <w:p w14:paraId="31D5ADE9" w14:textId="395ACD61" w:rsidR="0059570C" w:rsidRPr="00D26861" w:rsidRDefault="0059570C" w:rsidP="000B31B3">
            <w:pPr>
              <w:spacing w:line="276" w:lineRule="auto"/>
              <w:jc w:val="both"/>
              <w:rPr>
                <w:rFonts w:ascii="Arial" w:hAnsi="Arial"/>
                <w:b/>
                <w:bCs/>
                <w:sz w:val="24"/>
                <w:szCs w:val="24"/>
              </w:rPr>
            </w:pPr>
            <w:r w:rsidRPr="00D26861">
              <w:rPr>
                <w:rFonts w:ascii="Arial" w:hAnsi="Arial"/>
                <w:b/>
                <w:bCs/>
                <w:sz w:val="24"/>
                <w:szCs w:val="24"/>
              </w:rPr>
              <w:t>Recovered Liability</w:t>
            </w:r>
          </w:p>
        </w:tc>
        <w:tc>
          <w:tcPr>
            <w:tcW w:w="2268" w:type="dxa"/>
          </w:tcPr>
          <w:p w14:paraId="6D7DA3DA" w14:textId="01769420" w:rsidR="0059570C" w:rsidRDefault="00D26861" w:rsidP="00D26861">
            <w:pPr>
              <w:spacing w:line="276" w:lineRule="auto"/>
              <w:jc w:val="center"/>
              <w:rPr>
                <w:rFonts w:ascii="Arial" w:hAnsi="Arial"/>
                <w:sz w:val="24"/>
                <w:szCs w:val="24"/>
              </w:rPr>
            </w:pPr>
            <w:r>
              <w:rPr>
                <w:rFonts w:ascii="Arial" w:hAnsi="Arial"/>
                <w:sz w:val="24"/>
                <w:szCs w:val="24"/>
              </w:rPr>
              <w:t>£3334</w:t>
            </w:r>
          </w:p>
        </w:tc>
        <w:tc>
          <w:tcPr>
            <w:tcW w:w="2126" w:type="dxa"/>
          </w:tcPr>
          <w:p w14:paraId="0803C4BB" w14:textId="146E6D14" w:rsidR="0059570C" w:rsidRDefault="00D26861" w:rsidP="00D26861">
            <w:pPr>
              <w:spacing w:line="276" w:lineRule="auto"/>
              <w:jc w:val="center"/>
              <w:rPr>
                <w:rFonts w:ascii="Arial" w:hAnsi="Arial"/>
                <w:sz w:val="24"/>
                <w:szCs w:val="24"/>
              </w:rPr>
            </w:pPr>
            <w:r>
              <w:rPr>
                <w:rFonts w:ascii="Arial" w:hAnsi="Arial"/>
                <w:sz w:val="24"/>
                <w:szCs w:val="24"/>
              </w:rPr>
              <w:t>£4262</w:t>
            </w:r>
          </w:p>
        </w:tc>
        <w:tc>
          <w:tcPr>
            <w:tcW w:w="1933" w:type="dxa"/>
          </w:tcPr>
          <w:p w14:paraId="139EE804" w14:textId="5D7409ED" w:rsidR="0059570C" w:rsidRDefault="0061096C" w:rsidP="00D26861">
            <w:pPr>
              <w:spacing w:line="276" w:lineRule="auto"/>
              <w:jc w:val="center"/>
              <w:rPr>
                <w:rFonts w:ascii="Arial" w:hAnsi="Arial"/>
                <w:sz w:val="24"/>
                <w:szCs w:val="24"/>
              </w:rPr>
            </w:pPr>
            <w:r>
              <w:rPr>
                <w:rFonts w:ascii="Arial" w:hAnsi="Arial"/>
                <w:sz w:val="24"/>
                <w:szCs w:val="24"/>
              </w:rPr>
              <w:t>£1123</w:t>
            </w:r>
          </w:p>
        </w:tc>
      </w:tr>
      <w:bookmarkEnd w:id="1"/>
    </w:tbl>
    <w:p w14:paraId="36F19D95" w14:textId="77777777" w:rsidR="0059570C" w:rsidRDefault="0059570C" w:rsidP="000B31B3">
      <w:pPr>
        <w:spacing w:line="276" w:lineRule="auto"/>
        <w:jc w:val="both"/>
        <w:rPr>
          <w:rFonts w:ascii="Arial" w:hAnsi="Arial"/>
          <w:sz w:val="24"/>
          <w:szCs w:val="24"/>
        </w:rPr>
      </w:pPr>
    </w:p>
    <w:p w14:paraId="75601756" w14:textId="017CCB71" w:rsidR="008C3F25" w:rsidRPr="008C3F25" w:rsidRDefault="008C3F25" w:rsidP="00E5389B">
      <w:pPr>
        <w:spacing w:line="276" w:lineRule="auto"/>
        <w:jc w:val="both"/>
        <w:rPr>
          <w:rFonts w:ascii="Arial" w:hAnsi="Arial"/>
          <w:sz w:val="24"/>
        </w:rPr>
      </w:pPr>
      <w:r w:rsidRPr="008C3F25">
        <w:rPr>
          <w:rFonts w:ascii="Arial" w:hAnsi="Arial"/>
          <w:sz w:val="24"/>
        </w:rPr>
        <w:t>*It should be noted that data for the current year under review is based on three month’s performance as the Fraud Team monthly review was paused whilst the Local Taxation and Benefits Team conducted a review of all Single Person Discount households.  The monthly review process has recommenced in February and data will be available in due course.  Extrapolation of the data would suggest an approximate charge of £</w:t>
      </w:r>
      <w:r w:rsidR="00740129">
        <w:rPr>
          <w:rFonts w:ascii="Arial" w:hAnsi="Arial"/>
          <w:sz w:val="24"/>
        </w:rPr>
        <w:t>35,000</w:t>
      </w:r>
      <w:r w:rsidRPr="008C3F25">
        <w:rPr>
          <w:rFonts w:ascii="Arial" w:hAnsi="Arial"/>
          <w:sz w:val="24"/>
        </w:rPr>
        <w:t xml:space="preserve"> being generated had the review process not been paused. </w:t>
      </w:r>
    </w:p>
    <w:p w14:paraId="2B2E9268" w14:textId="77777777" w:rsidR="00E9459E" w:rsidRPr="00E9459E" w:rsidRDefault="00E9459E" w:rsidP="00E9459E">
      <w:pPr>
        <w:spacing w:line="276" w:lineRule="auto"/>
        <w:rPr>
          <w:rFonts w:ascii="Arial" w:hAnsi="Arial"/>
          <w:sz w:val="24"/>
        </w:rPr>
      </w:pPr>
    </w:p>
    <w:p w14:paraId="35593144" w14:textId="0AF2508A" w:rsidR="003331F8" w:rsidRDefault="00E847B9" w:rsidP="00E5389B">
      <w:pPr>
        <w:pStyle w:val="Heading2"/>
        <w:jc w:val="both"/>
        <w:rPr>
          <w:rFonts w:ascii="Arial" w:eastAsia="Times New Roman" w:hAnsi="Arial" w:cs="Times New Roman"/>
          <w:color w:val="auto"/>
          <w:sz w:val="24"/>
          <w:szCs w:val="20"/>
        </w:rPr>
      </w:pPr>
      <w:r w:rsidRPr="00E847B9">
        <w:rPr>
          <w:rFonts w:ascii="Arial" w:eastAsia="Times New Roman" w:hAnsi="Arial" w:cs="Times New Roman"/>
          <w:color w:val="auto"/>
          <w:sz w:val="24"/>
          <w:szCs w:val="20"/>
        </w:rPr>
        <w:lastRenderedPageBreak/>
        <w:t xml:space="preserve">It is worth noting that </w:t>
      </w:r>
      <w:r w:rsidR="00221A8D">
        <w:rPr>
          <w:rFonts w:ascii="Arial" w:eastAsia="Times New Roman" w:hAnsi="Arial" w:cs="Times New Roman"/>
          <w:color w:val="auto"/>
          <w:sz w:val="24"/>
          <w:szCs w:val="20"/>
        </w:rPr>
        <w:t xml:space="preserve">some Single Person Discounts are replaced by </w:t>
      </w:r>
      <w:r w:rsidR="00E5389B">
        <w:rPr>
          <w:rFonts w:ascii="Arial" w:eastAsia="Times New Roman" w:hAnsi="Arial" w:cs="Times New Roman"/>
          <w:color w:val="auto"/>
          <w:sz w:val="24"/>
          <w:szCs w:val="20"/>
        </w:rPr>
        <w:t>s</w:t>
      </w:r>
      <w:r w:rsidR="00221A8D">
        <w:rPr>
          <w:rFonts w:ascii="Arial" w:eastAsia="Times New Roman" w:hAnsi="Arial" w:cs="Times New Roman"/>
          <w:color w:val="auto"/>
          <w:sz w:val="24"/>
          <w:szCs w:val="20"/>
        </w:rPr>
        <w:t xml:space="preserve">tudent </w:t>
      </w:r>
      <w:r w:rsidR="00E5389B">
        <w:rPr>
          <w:rFonts w:ascii="Arial" w:eastAsia="Times New Roman" w:hAnsi="Arial" w:cs="Times New Roman"/>
          <w:color w:val="auto"/>
          <w:sz w:val="24"/>
          <w:szCs w:val="20"/>
        </w:rPr>
        <w:t>d</w:t>
      </w:r>
      <w:r w:rsidR="00221A8D">
        <w:rPr>
          <w:rFonts w:ascii="Arial" w:eastAsia="Times New Roman" w:hAnsi="Arial" w:cs="Times New Roman"/>
          <w:color w:val="auto"/>
          <w:sz w:val="24"/>
          <w:szCs w:val="20"/>
        </w:rPr>
        <w:t>iscounts and this ensures the entitlement is only in place for a time-limited period and allows full liability to be charged at the earliest opportunity.</w:t>
      </w:r>
    </w:p>
    <w:p w14:paraId="306EAAAF" w14:textId="77777777" w:rsidR="00154172" w:rsidRDefault="00154172" w:rsidP="00154172"/>
    <w:p w14:paraId="79AE0584" w14:textId="65EC0C6B" w:rsidR="00154172" w:rsidRPr="00DE5881" w:rsidRDefault="00154172" w:rsidP="00154172">
      <w:pPr>
        <w:keepNext/>
        <w:keepLines/>
        <w:spacing w:before="40"/>
        <w:outlineLvl w:val="1"/>
        <w:rPr>
          <w:rFonts w:ascii="Arial" w:eastAsiaTheme="majorEastAsia" w:hAnsi="Arial" w:cs="Arial"/>
          <w:color w:val="0070C0"/>
          <w:sz w:val="26"/>
          <w:szCs w:val="26"/>
          <w:u w:val="single"/>
        </w:rPr>
      </w:pPr>
      <w:r w:rsidRPr="005F4198">
        <w:rPr>
          <w:rFonts w:ascii="Arial" w:eastAsiaTheme="majorEastAsia" w:hAnsi="Arial" w:cs="Arial"/>
          <w:b/>
          <w:bCs/>
          <w:color w:val="0070C0"/>
          <w:sz w:val="26"/>
          <w:szCs w:val="26"/>
          <w:u w:val="single"/>
        </w:rPr>
        <w:t xml:space="preserve">Council Tax Single Residency Review – </w:t>
      </w:r>
      <w:r w:rsidR="009E6AA1" w:rsidRPr="005F4198">
        <w:rPr>
          <w:rFonts w:ascii="Arial" w:eastAsiaTheme="majorEastAsia" w:hAnsi="Arial" w:cs="Arial"/>
          <w:b/>
          <w:bCs/>
          <w:color w:val="0070C0"/>
          <w:sz w:val="26"/>
          <w:szCs w:val="26"/>
          <w:u w:val="single"/>
        </w:rPr>
        <w:t>Data Matching</w:t>
      </w:r>
      <w:r w:rsidR="009E6AA1" w:rsidRPr="00DE5881">
        <w:rPr>
          <w:rFonts w:ascii="Arial" w:eastAsiaTheme="majorEastAsia" w:hAnsi="Arial" w:cs="Arial"/>
          <w:color w:val="0070C0"/>
          <w:sz w:val="26"/>
          <w:szCs w:val="26"/>
          <w:u w:val="single"/>
        </w:rPr>
        <w:t xml:space="preserve"> </w:t>
      </w:r>
      <w:r w:rsidR="007F16DD" w:rsidRPr="005F4198">
        <w:rPr>
          <w:rFonts w:ascii="Arial" w:eastAsiaTheme="majorEastAsia" w:hAnsi="Arial" w:cs="Arial"/>
          <w:b/>
          <w:bCs/>
          <w:color w:val="0070C0"/>
          <w:sz w:val="26"/>
          <w:szCs w:val="26"/>
          <w:u w:val="single"/>
        </w:rPr>
        <w:t xml:space="preserve">Pilot </w:t>
      </w:r>
    </w:p>
    <w:p w14:paraId="2DAD13BD" w14:textId="77777777" w:rsidR="00154172" w:rsidRDefault="00154172" w:rsidP="00154172">
      <w:pPr>
        <w:keepNext/>
        <w:keepLines/>
        <w:spacing w:before="40"/>
        <w:outlineLvl w:val="1"/>
        <w:rPr>
          <w:rFonts w:asciiTheme="majorHAnsi" w:eastAsiaTheme="majorEastAsia" w:hAnsiTheme="majorHAnsi" w:cstheme="majorBidi"/>
          <w:color w:val="2E74B5" w:themeColor="accent1" w:themeShade="BF"/>
          <w:sz w:val="26"/>
          <w:szCs w:val="26"/>
        </w:rPr>
      </w:pPr>
    </w:p>
    <w:p w14:paraId="373BCB86" w14:textId="123CF29A" w:rsidR="00D0569A" w:rsidRDefault="00154172" w:rsidP="00E5389B">
      <w:pPr>
        <w:keepNext/>
        <w:keepLines/>
        <w:spacing w:before="40"/>
        <w:jc w:val="both"/>
        <w:outlineLvl w:val="1"/>
        <w:rPr>
          <w:rFonts w:ascii="Arial" w:eastAsiaTheme="majorEastAsia" w:hAnsi="Arial" w:cs="Arial"/>
          <w:sz w:val="24"/>
          <w:szCs w:val="24"/>
        </w:rPr>
      </w:pPr>
      <w:r>
        <w:rPr>
          <w:rFonts w:ascii="Arial" w:eastAsiaTheme="majorEastAsia" w:hAnsi="Arial" w:cs="Arial"/>
          <w:sz w:val="24"/>
          <w:szCs w:val="24"/>
        </w:rPr>
        <w:t>During the time the monthly review process was on hold</w:t>
      </w:r>
      <w:r w:rsidR="001D73DB">
        <w:rPr>
          <w:rFonts w:ascii="Arial" w:eastAsiaTheme="majorEastAsia" w:hAnsi="Arial" w:cs="Arial"/>
          <w:sz w:val="24"/>
          <w:szCs w:val="24"/>
        </w:rPr>
        <w:t>,</w:t>
      </w:r>
      <w:r>
        <w:rPr>
          <w:rFonts w:ascii="Arial" w:eastAsiaTheme="majorEastAsia" w:hAnsi="Arial" w:cs="Arial"/>
          <w:sz w:val="24"/>
          <w:szCs w:val="24"/>
        </w:rPr>
        <w:t xml:space="preserve"> some testing of further data matching capability was conducted to explore the prospect of increasing the volume of case identification with a view to identifying cases which would generate additional revenue for the Council.  A sample of approximately 100 cases was reviewed which the data matching algorithm had scored as </w:t>
      </w:r>
      <w:r w:rsidR="00D0569A">
        <w:rPr>
          <w:rFonts w:ascii="Arial" w:eastAsiaTheme="majorEastAsia" w:hAnsi="Arial" w:cs="Arial"/>
          <w:sz w:val="24"/>
          <w:szCs w:val="24"/>
        </w:rPr>
        <w:t xml:space="preserve">medium risk as opposed to high. </w:t>
      </w:r>
    </w:p>
    <w:p w14:paraId="4EE6B3E3" w14:textId="77777777" w:rsidR="00D0569A" w:rsidRDefault="00D0569A" w:rsidP="00E5389B">
      <w:pPr>
        <w:keepNext/>
        <w:keepLines/>
        <w:spacing w:before="40"/>
        <w:jc w:val="both"/>
        <w:outlineLvl w:val="1"/>
        <w:rPr>
          <w:rFonts w:ascii="Arial" w:eastAsiaTheme="majorEastAsia" w:hAnsi="Arial" w:cs="Arial"/>
          <w:sz w:val="24"/>
          <w:szCs w:val="24"/>
        </w:rPr>
      </w:pPr>
    </w:p>
    <w:p w14:paraId="5F1D5791" w14:textId="7F1604BC" w:rsidR="00154172" w:rsidRPr="00154172" w:rsidRDefault="00D0569A" w:rsidP="00E5389B">
      <w:pPr>
        <w:keepNext/>
        <w:keepLines/>
        <w:spacing w:before="40"/>
        <w:jc w:val="both"/>
        <w:outlineLvl w:val="1"/>
        <w:rPr>
          <w:rFonts w:ascii="Arial" w:eastAsiaTheme="majorEastAsia" w:hAnsi="Arial" w:cs="Arial"/>
          <w:sz w:val="24"/>
          <w:szCs w:val="24"/>
        </w:rPr>
      </w:pPr>
      <w:r>
        <w:rPr>
          <w:rFonts w:ascii="Arial" w:eastAsiaTheme="majorEastAsia" w:hAnsi="Arial" w:cs="Arial"/>
          <w:sz w:val="24"/>
          <w:szCs w:val="24"/>
        </w:rPr>
        <w:t>The results demonstrate a significant removal of Single Person Discounts and the prospect of generating further Council revenue through increased Council Tax liabili</w:t>
      </w:r>
      <w:r w:rsidR="00E67388">
        <w:rPr>
          <w:rFonts w:ascii="Arial" w:eastAsiaTheme="majorEastAsia" w:hAnsi="Arial" w:cs="Arial"/>
          <w:sz w:val="24"/>
          <w:szCs w:val="24"/>
        </w:rPr>
        <w:t xml:space="preserve">ty in addition to the existing work carried out.  This additional fraud identification supports the overall objective of reducing the number of discounts that are not legitimately held and further protects the public purse.  Consideration is being given to the requirement for additional resourcing to facilitate this further crucial work as current capacity is not sufficient. </w:t>
      </w:r>
    </w:p>
    <w:p w14:paraId="5A280852" w14:textId="009DF9DB" w:rsidR="00154172" w:rsidRPr="00154172" w:rsidRDefault="00154172" w:rsidP="00154172">
      <w:pPr>
        <w:keepNext/>
        <w:keepLines/>
        <w:spacing w:before="40"/>
        <w:outlineLvl w:val="1"/>
        <w:rPr>
          <w:rFonts w:asciiTheme="majorHAnsi" w:eastAsiaTheme="majorEastAsia" w:hAnsiTheme="majorHAnsi" w:cstheme="majorBidi"/>
          <w:sz w:val="26"/>
          <w:szCs w:val="26"/>
        </w:rPr>
      </w:pPr>
    </w:p>
    <w:tbl>
      <w:tblPr>
        <w:tblStyle w:val="TableGrid"/>
        <w:tblW w:w="0" w:type="auto"/>
        <w:tblLook w:val="04A0" w:firstRow="1" w:lastRow="0" w:firstColumn="1" w:lastColumn="0" w:noHBand="0" w:noVBand="1"/>
      </w:tblPr>
      <w:tblGrid>
        <w:gridCol w:w="2689"/>
        <w:gridCol w:w="3260"/>
      </w:tblGrid>
      <w:tr w:rsidR="00154172" w:rsidRPr="00D26861" w14:paraId="1C2A408F" w14:textId="77777777" w:rsidTr="00D0569A">
        <w:tc>
          <w:tcPr>
            <w:tcW w:w="2689" w:type="dxa"/>
          </w:tcPr>
          <w:p w14:paraId="7FD2298C"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Measure</w:t>
            </w:r>
          </w:p>
        </w:tc>
        <w:tc>
          <w:tcPr>
            <w:tcW w:w="3260" w:type="dxa"/>
          </w:tcPr>
          <w:p w14:paraId="3C90DAE4" w14:textId="0B79D8D1" w:rsidR="00154172" w:rsidRPr="00D26861" w:rsidRDefault="00D0569A" w:rsidP="00B33E20">
            <w:pPr>
              <w:spacing w:line="276" w:lineRule="auto"/>
              <w:jc w:val="center"/>
              <w:rPr>
                <w:rFonts w:ascii="Arial" w:hAnsi="Arial"/>
                <w:b/>
                <w:bCs/>
                <w:sz w:val="24"/>
                <w:szCs w:val="24"/>
              </w:rPr>
            </w:pPr>
            <w:r>
              <w:rPr>
                <w:rFonts w:ascii="Arial" w:hAnsi="Arial"/>
                <w:b/>
                <w:bCs/>
                <w:sz w:val="24"/>
                <w:szCs w:val="24"/>
              </w:rPr>
              <w:t>Medium Risk Trial 2024</w:t>
            </w:r>
          </w:p>
        </w:tc>
      </w:tr>
      <w:tr w:rsidR="00154172" w14:paraId="24003FB5" w14:textId="77777777" w:rsidTr="00D0569A">
        <w:tc>
          <w:tcPr>
            <w:tcW w:w="2689" w:type="dxa"/>
          </w:tcPr>
          <w:p w14:paraId="1BFB7EB9"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Letters Sent</w:t>
            </w:r>
          </w:p>
        </w:tc>
        <w:tc>
          <w:tcPr>
            <w:tcW w:w="3260" w:type="dxa"/>
          </w:tcPr>
          <w:p w14:paraId="1A3951B5" w14:textId="12D0C3BE" w:rsidR="00154172" w:rsidRDefault="00D0569A" w:rsidP="00B33E20">
            <w:pPr>
              <w:spacing w:line="276" w:lineRule="auto"/>
              <w:jc w:val="center"/>
              <w:rPr>
                <w:rFonts w:ascii="Arial" w:hAnsi="Arial"/>
                <w:sz w:val="24"/>
                <w:szCs w:val="24"/>
              </w:rPr>
            </w:pPr>
            <w:r>
              <w:rPr>
                <w:rFonts w:ascii="Arial" w:hAnsi="Arial"/>
                <w:sz w:val="24"/>
                <w:szCs w:val="24"/>
              </w:rPr>
              <w:t>73</w:t>
            </w:r>
          </w:p>
        </w:tc>
      </w:tr>
      <w:tr w:rsidR="00154172" w14:paraId="59E76355" w14:textId="77777777" w:rsidTr="00D0569A">
        <w:tc>
          <w:tcPr>
            <w:tcW w:w="2689" w:type="dxa"/>
          </w:tcPr>
          <w:p w14:paraId="3898CA03"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Responses</w:t>
            </w:r>
          </w:p>
        </w:tc>
        <w:tc>
          <w:tcPr>
            <w:tcW w:w="3260" w:type="dxa"/>
          </w:tcPr>
          <w:p w14:paraId="588AA4F6" w14:textId="77C295BF" w:rsidR="00154172" w:rsidRDefault="00154172" w:rsidP="00B33E20">
            <w:pPr>
              <w:spacing w:line="276" w:lineRule="auto"/>
              <w:jc w:val="center"/>
              <w:rPr>
                <w:rFonts w:ascii="Arial" w:hAnsi="Arial"/>
                <w:sz w:val="24"/>
                <w:szCs w:val="24"/>
              </w:rPr>
            </w:pPr>
            <w:r>
              <w:rPr>
                <w:rFonts w:ascii="Arial" w:hAnsi="Arial"/>
                <w:sz w:val="24"/>
                <w:szCs w:val="24"/>
              </w:rPr>
              <w:t>5</w:t>
            </w:r>
            <w:r w:rsidR="00D0569A">
              <w:rPr>
                <w:rFonts w:ascii="Arial" w:hAnsi="Arial"/>
                <w:sz w:val="24"/>
                <w:szCs w:val="24"/>
              </w:rPr>
              <w:t>6</w:t>
            </w:r>
          </w:p>
        </w:tc>
      </w:tr>
      <w:tr w:rsidR="00154172" w14:paraId="7F272227" w14:textId="77777777" w:rsidTr="00D0569A">
        <w:tc>
          <w:tcPr>
            <w:tcW w:w="2689" w:type="dxa"/>
          </w:tcPr>
          <w:p w14:paraId="64D9ECC8"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SRD Removed</w:t>
            </w:r>
          </w:p>
        </w:tc>
        <w:tc>
          <w:tcPr>
            <w:tcW w:w="3260" w:type="dxa"/>
          </w:tcPr>
          <w:p w14:paraId="175DA8F3" w14:textId="2A1DB6D7" w:rsidR="00154172" w:rsidRDefault="00D0569A" w:rsidP="00B33E20">
            <w:pPr>
              <w:spacing w:line="276" w:lineRule="auto"/>
              <w:jc w:val="center"/>
              <w:rPr>
                <w:rFonts w:ascii="Arial" w:hAnsi="Arial"/>
                <w:sz w:val="24"/>
                <w:szCs w:val="24"/>
              </w:rPr>
            </w:pPr>
            <w:r>
              <w:rPr>
                <w:rFonts w:ascii="Arial" w:hAnsi="Arial"/>
                <w:sz w:val="24"/>
                <w:szCs w:val="24"/>
              </w:rPr>
              <w:t>24</w:t>
            </w:r>
          </w:p>
        </w:tc>
      </w:tr>
      <w:tr w:rsidR="00154172" w14:paraId="73397660" w14:textId="77777777" w:rsidTr="00D0569A">
        <w:tc>
          <w:tcPr>
            <w:tcW w:w="2689" w:type="dxa"/>
          </w:tcPr>
          <w:p w14:paraId="1B5634FF"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 xml:space="preserve">% Conversion </w:t>
            </w:r>
          </w:p>
        </w:tc>
        <w:tc>
          <w:tcPr>
            <w:tcW w:w="3260" w:type="dxa"/>
          </w:tcPr>
          <w:p w14:paraId="553BD3CE" w14:textId="0606C0B1" w:rsidR="00154172" w:rsidRDefault="00D0569A" w:rsidP="00B33E20">
            <w:pPr>
              <w:spacing w:line="276" w:lineRule="auto"/>
              <w:jc w:val="center"/>
              <w:rPr>
                <w:rFonts w:ascii="Arial" w:hAnsi="Arial"/>
                <w:sz w:val="24"/>
                <w:szCs w:val="24"/>
              </w:rPr>
            </w:pPr>
            <w:r>
              <w:rPr>
                <w:rFonts w:ascii="Arial" w:hAnsi="Arial"/>
                <w:sz w:val="24"/>
                <w:szCs w:val="24"/>
              </w:rPr>
              <w:t>32.8%</w:t>
            </w:r>
          </w:p>
        </w:tc>
      </w:tr>
      <w:tr w:rsidR="00154172" w14:paraId="47F80F5D" w14:textId="77777777" w:rsidTr="00D0569A">
        <w:tc>
          <w:tcPr>
            <w:tcW w:w="2689" w:type="dxa"/>
          </w:tcPr>
          <w:p w14:paraId="7E7F3A55" w14:textId="77777777" w:rsidR="00154172" w:rsidRPr="00D26861" w:rsidRDefault="00154172" w:rsidP="00B33E20">
            <w:pPr>
              <w:spacing w:line="276" w:lineRule="auto"/>
              <w:jc w:val="both"/>
              <w:rPr>
                <w:rFonts w:ascii="Arial" w:hAnsi="Arial"/>
                <w:b/>
                <w:bCs/>
                <w:sz w:val="24"/>
                <w:szCs w:val="24"/>
              </w:rPr>
            </w:pPr>
            <w:r w:rsidRPr="00D26861">
              <w:rPr>
                <w:rFonts w:ascii="Arial" w:hAnsi="Arial"/>
                <w:b/>
                <w:bCs/>
                <w:sz w:val="24"/>
                <w:szCs w:val="24"/>
              </w:rPr>
              <w:t>Charge Generated</w:t>
            </w:r>
          </w:p>
        </w:tc>
        <w:tc>
          <w:tcPr>
            <w:tcW w:w="3260" w:type="dxa"/>
          </w:tcPr>
          <w:p w14:paraId="71EDB9A6" w14:textId="7F2C1255" w:rsidR="00154172" w:rsidRDefault="00154172" w:rsidP="00B33E20">
            <w:pPr>
              <w:spacing w:line="276" w:lineRule="auto"/>
              <w:jc w:val="center"/>
              <w:rPr>
                <w:rFonts w:ascii="Arial" w:hAnsi="Arial"/>
                <w:sz w:val="24"/>
                <w:szCs w:val="24"/>
              </w:rPr>
            </w:pPr>
            <w:r>
              <w:rPr>
                <w:rFonts w:ascii="Arial" w:hAnsi="Arial"/>
                <w:sz w:val="24"/>
                <w:szCs w:val="24"/>
              </w:rPr>
              <w:t>£</w:t>
            </w:r>
            <w:r w:rsidR="00D0569A">
              <w:rPr>
                <w:rFonts w:ascii="Arial" w:hAnsi="Arial"/>
                <w:sz w:val="24"/>
                <w:szCs w:val="24"/>
              </w:rPr>
              <w:t>11024</w:t>
            </w:r>
          </w:p>
        </w:tc>
      </w:tr>
    </w:tbl>
    <w:p w14:paraId="511F47E0" w14:textId="77777777" w:rsidR="00154172" w:rsidRDefault="00154172" w:rsidP="00154172"/>
    <w:p w14:paraId="531D78CD" w14:textId="77777777" w:rsidR="00EE44D1" w:rsidRPr="00154172" w:rsidRDefault="00EE44D1" w:rsidP="00154172"/>
    <w:p w14:paraId="6CB0086D" w14:textId="77777777" w:rsidR="00E847B9" w:rsidRPr="00E847B9" w:rsidRDefault="00E847B9" w:rsidP="00E847B9"/>
    <w:p w14:paraId="7C31BDCB" w14:textId="60DF4384" w:rsidR="00EE44D1" w:rsidRPr="005F4198" w:rsidRDefault="00EE44D1" w:rsidP="00407264">
      <w:pPr>
        <w:pStyle w:val="Heading2"/>
        <w:rPr>
          <w:rFonts w:ascii="Arial" w:hAnsi="Arial" w:cs="Arial"/>
          <w:b/>
          <w:bCs/>
          <w:color w:val="0070C0"/>
          <w:u w:val="single"/>
        </w:rPr>
      </w:pPr>
      <w:r w:rsidRPr="005F4198">
        <w:rPr>
          <w:rFonts w:ascii="Arial" w:hAnsi="Arial" w:cs="Arial"/>
          <w:b/>
          <w:bCs/>
          <w:color w:val="0070C0"/>
          <w:u w:val="single"/>
        </w:rPr>
        <w:t>Council Tax Support</w:t>
      </w:r>
    </w:p>
    <w:p w14:paraId="2ED3B3BD" w14:textId="77777777" w:rsidR="00EE44D1" w:rsidRDefault="00EE44D1" w:rsidP="00EE44D1"/>
    <w:p w14:paraId="2FA5A213" w14:textId="596AE543" w:rsidR="00EE44D1" w:rsidRDefault="00EE44D1" w:rsidP="00E5389B">
      <w:pPr>
        <w:jc w:val="both"/>
        <w:rPr>
          <w:rFonts w:ascii="Arial" w:hAnsi="Arial" w:cs="Arial"/>
          <w:sz w:val="24"/>
          <w:szCs w:val="24"/>
        </w:rPr>
      </w:pPr>
      <w:r>
        <w:rPr>
          <w:rFonts w:ascii="Arial" w:hAnsi="Arial" w:cs="Arial"/>
          <w:sz w:val="24"/>
          <w:szCs w:val="24"/>
        </w:rPr>
        <w:t xml:space="preserve">Investigations are conducted under the Council Tax Regulations where claimants are suspected, for example, to have undeclared assets, or property, that would affect their claims.  Changes to the administration of this claim type over recent years have seen a reduction in reports.  The Council is currently investigating one case where the loss exceeds the current threshold of £2000.  </w:t>
      </w:r>
    </w:p>
    <w:p w14:paraId="742578EF" w14:textId="77777777" w:rsidR="00EE44D1" w:rsidRDefault="00EE44D1" w:rsidP="00E5389B">
      <w:pPr>
        <w:jc w:val="both"/>
        <w:rPr>
          <w:rFonts w:ascii="Arial" w:hAnsi="Arial" w:cs="Arial"/>
          <w:sz w:val="24"/>
          <w:szCs w:val="24"/>
        </w:rPr>
      </w:pPr>
    </w:p>
    <w:p w14:paraId="39A79F46" w14:textId="2734FC54" w:rsidR="00EE44D1" w:rsidRPr="005F4198" w:rsidRDefault="00EE44D1" w:rsidP="00407264">
      <w:pPr>
        <w:pStyle w:val="Heading2"/>
        <w:rPr>
          <w:rFonts w:ascii="Arial" w:hAnsi="Arial" w:cs="Arial"/>
          <w:b/>
          <w:bCs/>
          <w:color w:val="auto"/>
          <w:u w:val="single"/>
        </w:rPr>
      </w:pPr>
      <w:r w:rsidRPr="005F4198">
        <w:rPr>
          <w:rFonts w:ascii="Arial" w:hAnsi="Arial" w:cs="Arial"/>
          <w:b/>
          <w:bCs/>
          <w:color w:val="0070C0"/>
          <w:u w:val="single"/>
        </w:rPr>
        <w:t>Council Tax – General Offences</w:t>
      </w:r>
    </w:p>
    <w:p w14:paraId="22D7D52B" w14:textId="77777777" w:rsidR="00EE44D1" w:rsidRDefault="00EE44D1" w:rsidP="00EE44D1"/>
    <w:p w14:paraId="6700C157" w14:textId="074C06D2" w:rsidR="00EE44D1" w:rsidRDefault="00EE44D1" w:rsidP="00E5389B">
      <w:pPr>
        <w:jc w:val="both"/>
        <w:rPr>
          <w:rFonts w:ascii="Arial" w:hAnsi="Arial" w:cs="Arial"/>
          <w:sz w:val="24"/>
          <w:szCs w:val="24"/>
        </w:rPr>
      </w:pPr>
      <w:r>
        <w:rPr>
          <w:rFonts w:ascii="Arial" w:hAnsi="Arial" w:cs="Arial"/>
          <w:sz w:val="24"/>
          <w:szCs w:val="24"/>
        </w:rPr>
        <w:t>In addition to the proactive Single Person Discount data matching work, the Council also investigates reports of fraud that affect Council Tax liability and reduce valuable revenue intended for the benefit of the community.  The Council</w:t>
      </w:r>
      <w:r w:rsidR="00CB60A7">
        <w:rPr>
          <w:rFonts w:ascii="Arial" w:hAnsi="Arial" w:cs="Arial"/>
          <w:sz w:val="24"/>
          <w:szCs w:val="24"/>
        </w:rPr>
        <w:t xml:space="preserve"> has investigations ongoing likely to reach the threshold for prosecution in court and in </w:t>
      </w:r>
      <w:r w:rsidR="00340E1E">
        <w:rPr>
          <w:rFonts w:ascii="Arial" w:hAnsi="Arial" w:cs="Arial"/>
          <w:sz w:val="24"/>
          <w:szCs w:val="24"/>
        </w:rPr>
        <w:t xml:space="preserve">particular investigations in </w:t>
      </w:r>
      <w:r w:rsidR="00CB60A7">
        <w:rPr>
          <w:rFonts w:ascii="Arial" w:hAnsi="Arial" w:cs="Arial"/>
          <w:sz w:val="24"/>
          <w:szCs w:val="24"/>
        </w:rPr>
        <w:t xml:space="preserve">respect of empty properties, generating an increased liability, are seen as an area to deter future offending and raise awareness around reporting. </w:t>
      </w:r>
    </w:p>
    <w:p w14:paraId="5FE9EC87" w14:textId="77777777" w:rsidR="00340E1E" w:rsidRDefault="00340E1E" w:rsidP="00E5389B">
      <w:pPr>
        <w:jc w:val="both"/>
        <w:rPr>
          <w:rFonts w:ascii="Arial" w:hAnsi="Arial" w:cs="Arial"/>
          <w:sz w:val="24"/>
          <w:szCs w:val="24"/>
        </w:rPr>
      </w:pPr>
    </w:p>
    <w:p w14:paraId="74AF842B" w14:textId="4A29464D" w:rsidR="00340E1E" w:rsidRPr="00EE44D1" w:rsidRDefault="00340E1E" w:rsidP="00E5389B">
      <w:pPr>
        <w:jc w:val="both"/>
        <w:rPr>
          <w:rFonts w:ascii="Arial" w:hAnsi="Arial" w:cs="Arial"/>
          <w:sz w:val="24"/>
          <w:szCs w:val="24"/>
        </w:rPr>
      </w:pPr>
      <w:r>
        <w:rPr>
          <w:rFonts w:ascii="Arial" w:hAnsi="Arial" w:cs="Arial"/>
          <w:sz w:val="24"/>
          <w:szCs w:val="24"/>
        </w:rPr>
        <w:t xml:space="preserve">There have been four new investigations, and 20 cases closed during the year.  The loss recovered from these cases was lower than the previous year at £1884.  The </w:t>
      </w:r>
      <w:r>
        <w:rPr>
          <w:rFonts w:ascii="Arial" w:hAnsi="Arial" w:cs="Arial"/>
          <w:sz w:val="24"/>
          <w:szCs w:val="24"/>
        </w:rPr>
        <w:lastRenderedPageBreak/>
        <w:t xml:space="preserve">main reason for the change is seen as the </w:t>
      </w:r>
      <w:r w:rsidR="006A5AE4">
        <w:rPr>
          <w:rFonts w:ascii="Arial" w:hAnsi="Arial" w:cs="Arial"/>
          <w:sz w:val="24"/>
          <w:szCs w:val="24"/>
        </w:rPr>
        <w:t xml:space="preserve">temporary </w:t>
      </w:r>
      <w:r>
        <w:rPr>
          <w:rFonts w:ascii="Arial" w:hAnsi="Arial" w:cs="Arial"/>
          <w:sz w:val="24"/>
          <w:szCs w:val="24"/>
        </w:rPr>
        <w:t>reduced team staffing</w:t>
      </w:r>
      <w:r w:rsidR="00AC6B09">
        <w:rPr>
          <w:rFonts w:ascii="Arial" w:hAnsi="Arial" w:cs="Arial"/>
          <w:sz w:val="24"/>
          <w:szCs w:val="24"/>
        </w:rPr>
        <w:t xml:space="preserve"> which has impacted on capacity</w:t>
      </w:r>
      <w:r w:rsidR="00DE5881">
        <w:rPr>
          <w:rFonts w:ascii="Arial" w:hAnsi="Arial" w:cs="Arial"/>
          <w:sz w:val="24"/>
          <w:szCs w:val="24"/>
        </w:rPr>
        <w:t xml:space="preserve">.  </w:t>
      </w:r>
      <w:r w:rsidR="00AC6B09">
        <w:rPr>
          <w:rFonts w:ascii="Arial" w:hAnsi="Arial" w:cs="Arial"/>
          <w:sz w:val="24"/>
          <w:szCs w:val="24"/>
        </w:rPr>
        <w:t xml:space="preserve"> </w:t>
      </w:r>
    </w:p>
    <w:p w14:paraId="0E3B8919" w14:textId="77777777" w:rsidR="00EE44D1" w:rsidRDefault="00EE44D1" w:rsidP="00407264">
      <w:pPr>
        <w:pStyle w:val="Heading2"/>
      </w:pPr>
    </w:p>
    <w:p w14:paraId="2D697553" w14:textId="6E9611F3" w:rsidR="00F402FD" w:rsidRPr="00DE5881" w:rsidRDefault="00F402FD" w:rsidP="00407264">
      <w:pPr>
        <w:pStyle w:val="Heading2"/>
        <w:rPr>
          <w:rFonts w:ascii="Arial" w:hAnsi="Arial" w:cs="Arial"/>
          <w:b/>
          <w:bCs/>
          <w:color w:val="0070C0"/>
          <w:u w:val="single"/>
        </w:rPr>
      </w:pPr>
      <w:r w:rsidRPr="00DE5881">
        <w:rPr>
          <w:rFonts w:ascii="Arial" w:hAnsi="Arial" w:cs="Arial"/>
          <w:b/>
          <w:bCs/>
          <w:color w:val="0070C0"/>
          <w:u w:val="single"/>
        </w:rPr>
        <w:t xml:space="preserve">Participation in the National Fraud Initiative (NFI) </w:t>
      </w:r>
    </w:p>
    <w:p w14:paraId="41C6B410" w14:textId="77777777" w:rsidR="00F402FD" w:rsidRPr="00F402FD" w:rsidRDefault="00F402FD" w:rsidP="00F402FD">
      <w:pPr>
        <w:shd w:val="clear" w:color="auto" w:fill="FFFFFF"/>
        <w:jc w:val="both"/>
        <w:rPr>
          <w:rFonts w:ascii="Arial" w:hAnsi="Arial" w:cs="Arial"/>
          <w:b/>
          <w:sz w:val="24"/>
          <w:szCs w:val="24"/>
        </w:rPr>
      </w:pPr>
    </w:p>
    <w:p w14:paraId="32313515" w14:textId="1D87CD47" w:rsidR="00137340" w:rsidRDefault="00137340" w:rsidP="00137340">
      <w:pPr>
        <w:pStyle w:val="ListParagraph"/>
        <w:ind w:left="0"/>
        <w:jc w:val="both"/>
        <w:rPr>
          <w:rFonts w:ascii="Arial" w:hAnsi="Arial" w:cs="Arial"/>
          <w:sz w:val="24"/>
          <w:szCs w:val="24"/>
        </w:rPr>
      </w:pPr>
      <w:r w:rsidRPr="00137340">
        <w:rPr>
          <w:rFonts w:ascii="Arial" w:hAnsi="Arial" w:cs="Arial"/>
          <w:sz w:val="24"/>
          <w:szCs w:val="24"/>
        </w:rPr>
        <w:t>The NFI is a Cabinet Office</w:t>
      </w:r>
      <w:r w:rsidR="00F73FCA">
        <w:rPr>
          <w:rFonts w:ascii="Arial" w:hAnsi="Arial" w:cs="Arial"/>
          <w:sz w:val="24"/>
          <w:szCs w:val="24"/>
        </w:rPr>
        <w:t xml:space="preserve"> data matching</w:t>
      </w:r>
      <w:r w:rsidRPr="00137340">
        <w:rPr>
          <w:rFonts w:ascii="Arial" w:hAnsi="Arial" w:cs="Arial"/>
          <w:sz w:val="24"/>
          <w:szCs w:val="24"/>
        </w:rPr>
        <w:t xml:space="preserve"> initiative from a number of public and private organisations to identify potential fraud</w:t>
      </w:r>
      <w:r w:rsidR="00F73FCA">
        <w:rPr>
          <w:rFonts w:ascii="Arial" w:hAnsi="Arial" w:cs="Arial"/>
          <w:sz w:val="24"/>
          <w:szCs w:val="24"/>
        </w:rPr>
        <w:t>.  The national exercise takes place every two years and the 2024/25 exercise is now underway.</w:t>
      </w:r>
    </w:p>
    <w:p w14:paraId="2CF94E1B" w14:textId="77777777" w:rsidR="00F73FCA" w:rsidRPr="00137340" w:rsidRDefault="00F73FCA" w:rsidP="00137340">
      <w:pPr>
        <w:pStyle w:val="ListParagraph"/>
        <w:ind w:left="0"/>
        <w:jc w:val="both"/>
        <w:rPr>
          <w:rFonts w:ascii="Arial" w:hAnsi="Arial" w:cs="Arial"/>
          <w:sz w:val="24"/>
          <w:szCs w:val="24"/>
        </w:rPr>
      </w:pPr>
    </w:p>
    <w:p w14:paraId="42504760" w14:textId="63CEAA32" w:rsidR="00FE24BD" w:rsidRDefault="00F73FCA" w:rsidP="00137340">
      <w:pPr>
        <w:pStyle w:val="ListParagraph"/>
        <w:ind w:left="0"/>
        <w:jc w:val="both"/>
        <w:rPr>
          <w:rFonts w:ascii="Arial" w:hAnsi="Arial" w:cs="Arial"/>
          <w:sz w:val="24"/>
          <w:szCs w:val="24"/>
        </w:rPr>
      </w:pPr>
      <w:r>
        <w:rPr>
          <w:rFonts w:ascii="Arial" w:hAnsi="Arial" w:cs="Arial"/>
          <w:sz w:val="24"/>
          <w:szCs w:val="24"/>
        </w:rPr>
        <w:t>The exercise is given significant support by the Audit and Assurance Team who are in the early stages of cleansing the bulk data returned.  The Fraud Team have committed a resource to relevant data matches that indicate a requirement for fraud investigation.</w:t>
      </w:r>
    </w:p>
    <w:p w14:paraId="462E7A8B" w14:textId="18941997" w:rsidR="00F73FCA" w:rsidRDefault="00F73FCA" w:rsidP="00137340">
      <w:pPr>
        <w:pStyle w:val="ListParagraph"/>
        <w:ind w:left="0"/>
        <w:jc w:val="both"/>
        <w:rPr>
          <w:rFonts w:ascii="Arial" w:hAnsi="Arial" w:cs="Arial"/>
          <w:sz w:val="24"/>
          <w:szCs w:val="24"/>
        </w:rPr>
      </w:pPr>
      <w:r>
        <w:rPr>
          <w:rFonts w:ascii="Arial" w:hAnsi="Arial" w:cs="Arial"/>
          <w:sz w:val="24"/>
          <w:szCs w:val="24"/>
        </w:rPr>
        <w:t xml:space="preserve">On completion of the exercise the team will assess the effectiveness of the NFI in producing fraud indicators and that assessment will inform the use of other data matching resources </w:t>
      </w:r>
      <w:r w:rsidR="00BD3A79">
        <w:rPr>
          <w:rFonts w:ascii="Arial" w:hAnsi="Arial" w:cs="Arial"/>
          <w:sz w:val="24"/>
          <w:szCs w:val="24"/>
        </w:rPr>
        <w:t>going forward.</w:t>
      </w:r>
    </w:p>
    <w:p w14:paraId="55DAB836" w14:textId="77777777" w:rsidR="00F73FCA" w:rsidRDefault="00F73FCA" w:rsidP="00137340">
      <w:pPr>
        <w:pStyle w:val="ListParagraph"/>
        <w:ind w:left="0"/>
        <w:jc w:val="both"/>
        <w:rPr>
          <w:rFonts w:ascii="Arial" w:hAnsi="Arial" w:cs="Arial"/>
          <w:sz w:val="24"/>
          <w:szCs w:val="24"/>
        </w:rPr>
      </w:pPr>
    </w:p>
    <w:p w14:paraId="3013494C" w14:textId="47BB857B" w:rsidR="00A91C18" w:rsidRPr="00DE5881" w:rsidRDefault="00D37338" w:rsidP="00407264">
      <w:pPr>
        <w:pStyle w:val="Heading2"/>
        <w:rPr>
          <w:rFonts w:ascii="Arial" w:hAnsi="Arial" w:cs="Arial"/>
          <w:b/>
          <w:bCs/>
          <w:color w:val="0070C0"/>
          <w:u w:val="single"/>
          <w:lang w:val="en-US" w:eastAsia="en-US"/>
        </w:rPr>
      </w:pPr>
      <w:r w:rsidRPr="00DE5881">
        <w:rPr>
          <w:rFonts w:ascii="Arial" w:hAnsi="Arial" w:cs="Arial"/>
          <w:b/>
          <w:bCs/>
          <w:color w:val="0070C0"/>
          <w:u w:val="single"/>
          <w:lang w:val="en-US" w:eastAsia="en-US"/>
        </w:rPr>
        <w:t xml:space="preserve">Fraud </w:t>
      </w:r>
      <w:r w:rsidR="007F16DD" w:rsidRPr="00DE5881">
        <w:rPr>
          <w:rFonts w:ascii="Arial" w:hAnsi="Arial" w:cs="Arial"/>
          <w:b/>
          <w:bCs/>
          <w:color w:val="0070C0"/>
          <w:u w:val="single"/>
          <w:lang w:val="en-US" w:eastAsia="en-US"/>
        </w:rPr>
        <w:t>R</w:t>
      </w:r>
      <w:r w:rsidRPr="00DE5881">
        <w:rPr>
          <w:rFonts w:ascii="Arial" w:hAnsi="Arial" w:cs="Arial"/>
          <w:b/>
          <w:bCs/>
          <w:color w:val="0070C0"/>
          <w:u w:val="single"/>
          <w:lang w:val="en-US" w:eastAsia="en-US"/>
        </w:rPr>
        <w:t>eferrals</w:t>
      </w:r>
    </w:p>
    <w:p w14:paraId="3A199D5D" w14:textId="77777777" w:rsidR="008211E6" w:rsidRPr="00DE5881" w:rsidRDefault="008211E6" w:rsidP="008211E6">
      <w:pPr>
        <w:rPr>
          <w:b/>
          <w:bCs/>
          <w:color w:val="0070C0"/>
          <w:lang w:val="en-US" w:eastAsia="en-US"/>
        </w:rPr>
      </w:pPr>
    </w:p>
    <w:p w14:paraId="1C337D45" w14:textId="297B7C86" w:rsidR="008211E6" w:rsidRDefault="008211E6" w:rsidP="00E749D8">
      <w:pPr>
        <w:jc w:val="both"/>
        <w:rPr>
          <w:rFonts w:ascii="Arial" w:hAnsi="Arial" w:cs="Arial"/>
          <w:sz w:val="24"/>
          <w:szCs w:val="24"/>
          <w:lang w:val="en-US" w:eastAsia="en-US"/>
        </w:rPr>
      </w:pPr>
      <w:r>
        <w:rPr>
          <w:rFonts w:ascii="Arial" w:hAnsi="Arial" w:cs="Arial"/>
          <w:sz w:val="24"/>
          <w:szCs w:val="24"/>
          <w:lang w:val="en-US" w:eastAsia="en-US"/>
        </w:rPr>
        <w:t xml:space="preserve">Fraud reports are assessed against information held by the Council, </w:t>
      </w:r>
      <w:r w:rsidR="001D73DB">
        <w:rPr>
          <w:rFonts w:ascii="Arial" w:hAnsi="Arial" w:cs="Arial"/>
          <w:sz w:val="24"/>
          <w:szCs w:val="24"/>
          <w:lang w:val="en-US" w:eastAsia="en-US"/>
        </w:rPr>
        <w:t>including financial</w:t>
      </w:r>
      <w:r>
        <w:rPr>
          <w:rFonts w:ascii="Arial" w:hAnsi="Arial" w:cs="Arial"/>
          <w:sz w:val="24"/>
          <w:szCs w:val="24"/>
          <w:lang w:val="en-US" w:eastAsia="en-US"/>
        </w:rPr>
        <w:t xml:space="preserve"> loss to the Council, to ensure appropriate allocation for proportionate investigation.  </w:t>
      </w:r>
    </w:p>
    <w:p w14:paraId="6D6BC34D" w14:textId="7CC7E89B" w:rsidR="009753B8" w:rsidRDefault="008211E6" w:rsidP="00E749D8">
      <w:pPr>
        <w:jc w:val="both"/>
        <w:rPr>
          <w:rFonts w:ascii="Arial" w:hAnsi="Arial" w:cs="Arial"/>
          <w:sz w:val="24"/>
          <w:szCs w:val="24"/>
          <w:lang w:val="en-US" w:eastAsia="en-US"/>
        </w:rPr>
      </w:pPr>
      <w:r>
        <w:rPr>
          <w:rFonts w:ascii="Arial" w:hAnsi="Arial" w:cs="Arial"/>
          <w:sz w:val="24"/>
          <w:szCs w:val="24"/>
          <w:lang w:val="en-US" w:eastAsia="en-US"/>
        </w:rPr>
        <w:t xml:space="preserve"> </w:t>
      </w:r>
    </w:p>
    <w:p w14:paraId="3AAD1AAC" w14:textId="359FA6D2" w:rsidR="008211E6" w:rsidRDefault="00D75A11" w:rsidP="00D75A11">
      <w:pPr>
        <w:spacing w:after="200" w:line="276" w:lineRule="auto"/>
        <w:jc w:val="both"/>
        <w:rPr>
          <w:rFonts w:ascii="Arial" w:hAnsi="Arial" w:cs="Arial"/>
          <w:sz w:val="24"/>
          <w:szCs w:val="24"/>
          <w:lang w:val="en-US" w:eastAsia="en-US"/>
        </w:rPr>
      </w:pPr>
      <w:r w:rsidRPr="00D75A11">
        <w:rPr>
          <w:rFonts w:ascii="Arial" w:hAnsi="Arial" w:cs="Arial"/>
          <w:sz w:val="24"/>
          <w:szCs w:val="24"/>
          <w:lang w:val="en-US" w:eastAsia="en-US"/>
        </w:rPr>
        <w:t xml:space="preserve">In </w:t>
      </w:r>
      <w:r w:rsidR="00A47466">
        <w:rPr>
          <w:rFonts w:ascii="Arial" w:hAnsi="Arial" w:cs="Arial"/>
          <w:sz w:val="24"/>
          <w:szCs w:val="24"/>
          <w:lang w:val="en-US" w:eastAsia="en-US"/>
        </w:rPr>
        <w:t>2</w:t>
      </w:r>
      <w:r w:rsidR="00AB7E88">
        <w:rPr>
          <w:rFonts w:ascii="Arial" w:hAnsi="Arial" w:cs="Arial"/>
          <w:sz w:val="24"/>
          <w:szCs w:val="24"/>
          <w:lang w:val="en-US" w:eastAsia="en-US"/>
        </w:rPr>
        <w:t>0</w:t>
      </w:r>
      <w:r w:rsidR="00F95211">
        <w:rPr>
          <w:rFonts w:ascii="Arial" w:hAnsi="Arial" w:cs="Arial"/>
          <w:sz w:val="24"/>
          <w:szCs w:val="24"/>
          <w:lang w:val="en-US" w:eastAsia="en-US"/>
        </w:rPr>
        <w:t>2</w:t>
      </w:r>
      <w:r w:rsidR="005C563E">
        <w:rPr>
          <w:rFonts w:ascii="Arial" w:hAnsi="Arial" w:cs="Arial"/>
          <w:sz w:val="24"/>
          <w:szCs w:val="24"/>
          <w:lang w:val="en-US" w:eastAsia="en-US"/>
        </w:rPr>
        <w:t>4/25</w:t>
      </w:r>
      <w:r w:rsidR="00AB7E88">
        <w:rPr>
          <w:rFonts w:ascii="Arial" w:hAnsi="Arial" w:cs="Arial"/>
          <w:sz w:val="24"/>
          <w:szCs w:val="24"/>
          <w:lang w:val="en-US" w:eastAsia="en-US"/>
        </w:rPr>
        <w:t xml:space="preserve">, </w:t>
      </w:r>
      <w:r w:rsidR="008211E6">
        <w:rPr>
          <w:rFonts w:ascii="Arial" w:hAnsi="Arial" w:cs="Arial"/>
          <w:sz w:val="24"/>
          <w:szCs w:val="24"/>
          <w:lang w:val="en-US" w:eastAsia="en-US"/>
        </w:rPr>
        <w:t xml:space="preserve">the approximate number of reports received totals 120.  This exceeds the previous year.  Positive changes to the recording of reports will allow 2025/26 to present a more precise breakdown of referrals and outcomes.  </w:t>
      </w:r>
    </w:p>
    <w:p w14:paraId="4B7CD0C9" w14:textId="27B98C16" w:rsidR="00390D1F" w:rsidRDefault="008211E6" w:rsidP="00DE5881">
      <w:pPr>
        <w:spacing w:after="200" w:line="276" w:lineRule="auto"/>
        <w:jc w:val="both"/>
        <w:rPr>
          <w:rFonts w:ascii="Arial" w:hAnsi="Arial" w:cs="Arial"/>
          <w:sz w:val="24"/>
          <w:szCs w:val="24"/>
        </w:rPr>
      </w:pPr>
      <w:r>
        <w:rPr>
          <w:rFonts w:ascii="Arial" w:hAnsi="Arial" w:cs="Arial"/>
          <w:sz w:val="24"/>
          <w:szCs w:val="24"/>
          <w:lang w:val="en-US" w:eastAsia="en-US"/>
        </w:rPr>
        <w:t xml:space="preserve">There is a close working relationship with the Department for Work and Pensions as many referrals are made to them for investigation, where passported benefits such as Universal Credit is in payment.  The number of Housing Benefit allegations continues to drop </w:t>
      </w:r>
      <w:r w:rsidR="00340E1E">
        <w:rPr>
          <w:rFonts w:ascii="Arial" w:hAnsi="Arial" w:cs="Arial"/>
          <w:sz w:val="24"/>
          <w:szCs w:val="24"/>
          <w:lang w:val="en-US" w:eastAsia="en-US"/>
        </w:rPr>
        <w:t xml:space="preserve">due to DWP changes to the benefit process.    </w:t>
      </w:r>
    </w:p>
    <w:p w14:paraId="56621475" w14:textId="77777777" w:rsidR="00D37338" w:rsidRPr="00DE5881" w:rsidRDefault="00D37338" w:rsidP="00D37338">
      <w:pPr>
        <w:pStyle w:val="Heading2"/>
        <w:rPr>
          <w:rFonts w:ascii="Arial" w:hAnsi="Arial" w:cs="Arial"/>
          <w:b/>
          <w:bCs/>
          <w:color w:val="auto"/>
          <w:u w:val="single"/>
        </w:rPr>
      </w:pPr>
      <w:r w:rsidRPr="00DE5881">
        <w:rPr>
          <w:rFonts w:ascii="Arial" w:hAnsi="Arial" w:cs="Arial"/>
          <w:b/>
          <w:bCs/>
          <w:color w:val="0070C0"/>
          <w:u w:val="single"/>
        </w:rPr>
        <w:t>Disabled Persons Blue Badge Scheme</w:t>
      </w:r>
    </w:p>
    <w:p w14:paraId="0BB7ABF7" w14:textId="77777777" w:rsidR="00D37338" w:rsidRDefault="00D37338" w:rsidP="00D37338">
      <w:pPr>
        <w:jc w:val="both"/>
        <w:rPr>
          <w:rFonts w:ascii="Arial" w:hAnsi="Arial" w:cs="Arial"/>
          <w:sz w:val="24"/>
          <w:szCs w:val="24"/>
        </w:rPr>
      </w:pPr>
    </w:p>
    <w:p w14:paraId="204CE5F2" w14:textId="77777777" w:rsidR="00D37338" w:rsidRPr="006D0A1E" w:rsidRDefault="00D37338" w:rsidP="00D37338">
      <w:pPr>
        <w:jc w:val="both"/>
        <w:rPr>
          <w:rFonts w:ascii="Arial" w:hAnsi="Arial" w:cs="Arial"/>
          <w:sz w:val="24"/>
          <w:szCs w:val="24"/>
        </w:rPr>
      </w:pPr>
      <w:r w:rsidRPr="006D0A1E">
        <w:rPr>
          <w:rFonts w:ascii="Arial" w:hAnsi="Arial" w:cs="Arial"/>
          <w:sz w:val="24"/>
          <w:szCs w:val="24"/>
        </w:rPr>
        <w:t>The Blue Badge (Disabled Parking) Scheme provides a national arrangement of parking concessions for those people who have a permanent or substantial disability</w:t>
      </w:r>
      <w:r>
        <w:rPr>
          <w:rFonts w:ascii="Arial" w:hAnsi="Arial" w:cs="Arial"/>
          <w:sz w:val="24"/>
          <w:szCs w:val="24"/>
        </w:rPr>
        <w:t>.</w:t>
      </w:r>
      <w:r w:rsidRPr="006D0A1E">
        <w:t xml:space="preserve"> </w:t>
      </w:r>
      <w:r w:rsidRPr="006D0A1E">
        <w:rPr>
          <w:rFonts w:ascii="Arial" w:hAnsi="Arial" w:cs="Arial"/>
          <w:sz w:val="24"/>
          <w:szCs w:val="24"/>
        </w:rPr>
        <w:t>The misuse of the Blue Badge scheme undermines the benefits of the scheme, impacts upon local traffic management and creates hostility amongst other badge holders and members of the public. It can result in a genuinely disabled person being unable to access designated parking spaces.</w:t>
      </w:r>
    </w:p>
    <w:p w14:paraId="411E25C4" w14:textId="77777777" w:rsidR="00D37338" w:rsidRDefault="00D37338" w:rsidP="00D37338">
      <w:pPr>
        <w:shd w:val="clear" w:color="auto" w:fill="FFFFFF"/>
        <w:spacing w:after="200"/>
        <w:jc w:val="both"/>
        <w:rPr>
          <w:rFonts w:ascii="Arial" w:hAnsi="Arial" w:cs="Arial"/>
          <w:sz w:val="24"/>
          <w:szCs w:val="24"/>
        </w:rPr>
      </w:pPr>
    </w:p>
    <w:p w14:paraId="3C9BBA87" w14:textId="49993DB6" w:rsidR="00D37338" w:rsidRDefault="00D37338" w:rsidP="00D37338">
      <w:pPr>
        <w:shd w:val="clear" w:color="auto" w:fill="FFFFFF"/>
        <w:spacing w:after="200"/>
        <w:jc w:val="both"/>
        <w:rPr>
          <w:rFonts w:ascii="Arial" w:hAnsi="Arial" w:cs="Arial"/>
          <w:sz w:val="24"/>
          <w:szCs w:val="24"/>
        </w:rPr>
      </w:pPr>
      <w:r>
        <w:rPr>
          <w:rFonts w:ascii="Arial" w:hAnsi="Arial" w:cs="Arial"/>
          <w:sz w:val="24"/>
          <w:szCs w:val="24"/>
        </w:rPr>
        <w:t>The following action has been taken in relation to misuse of the blue badge scheme</w:t>
      </w:r>
      <w:r w:rsidR="00AC6B09">
        <w:rPr>
          <w:rFonts w:ascii="Arial" w:hAnsi="Arial" w:cs="Arial"/>
          <w:sz w:val="24"/>
          <w:szCs w:val="24"/>
        </w:rPr>
        <w:t>.</w:t>
      </w:r>
    </w:p>
    <w:p w14:paraId="1522DFAE" w14:textId="77777777" w:rsidR="00D37338" w:rsidRDefault="00D37338" w:rsidP="00D37338">
      <w:pPr>
        <w:shd w:val="clear" w:color="auto" w:fill="FFFFFF"/>
        <w:jc w:val="both"/>
        <w:rPr>
          <w:rFonts w:ascii="Arial" w:hAnsi="Arial" w:cs="Arial"/>
          <w:b/>
          <w:sz w:val="24"/>
          <w:szCs w:val="24"/>
        </w:rPr>
      </w:pPr>
    </w:p>
    <w:tbl>
      <w:tblPr>
        <w:tblStyle w:val="TableGrid"/>
        <w:tblW w:w="0" w:type="auto"/>
        <w:tblLook w:val="04A0" w:firstRow="1" w:lastRow="0" w:firstColumn="1" w:lastColumn="0" w:noHBand="0" w:noVBand="1"/>
      </w:tblPr>
      <w:tblGrid>
        <w:gridCol w:w="5240"/>
        <w:gridCol w:w="3776"/>
      </w:tblGrid>
      <w:tr w:rsidR="00AC6B09" w14:paraId="42D98F7F" w14:textId="77777777" w:rsidTr="00AC6B09">
        <w:tc>
          <w:tcPr>
            <w:tcW w:w="5240" w:type="dxa"/>
          </w:tcPr>
          <w:p w14:paraId="0AFC4E3C" w14:textId="3DA342FA" w:rsidR="00AC6B09" w:rsidRPr="00AC6B09" w:rsidRDefault="00AC6B09" w:rsidP="00E749D8">
            <w:pPr>
              <w:jc w:val="both"/>
              <w:rPr>
                <w:rFonts w:ascii="Arial" w:hAnsi="Arial" w:cs="Arial"/>
                <w:b/>
                <w:bCs/>
                <w:sz w:val="24"/>
                <w:szCs w:val="24"/>
                <w:lang w:val="en-US" w:eastAsia="en-US"/>
              </w:rPr>
            </w:pPr>
            <w:r w:rsidRPr="00AC6B09">
              <w:rPr>
                <w:rFonts w:ascii="Arial" w:hAnsi="Arial" w:cs="Arial"/>
                <w:b/>
                <w:bCs/>
                <w:sz w:val="24"/>
                <w:szCs w:val="24"/>
                <w:lang w:val="en-US" w:eastAsia="en-US"/>
              </w:rPr>
              <w:t>Measure</w:t>
            </w:r>
          </w:p>
        </w:tc>
        <w:tc>
          <w:tcPr>
            <w:tcW w:w="3776" w:type="dxa"/>
          </w:tcPr>
          <w:p w14:paraId="0C520D6C" w14:textId="101F0C32" w:rsidR="00AC6B09" w:rsidRPr="00AC6B09" w:rsidRDefault="00AC6B09" w:rsidP="00E749D8">
            <w:pPr>
              <w:jc w:val="both"/>
              <w:rPr>
                <w:rFonts w:ascii="Arial" w:hAnsi="Arial" w:cs="Arial"/>
                <w:b/>
                <w:bCs/>
                <w:sz w:val="24"/>
                <w:szCs w:val="24"/>
                <w:lang w:val="en-US" w:eastAsia="en-US"/>
              </w:rPr>
            </w:pPr>
            <w:r w:rsidRPr="00AC6B09">
              <w:rPr>
                <w:rFonts w:ascii="Arial" w:hAnsi="Arial" w:cs="Arial"/>
                <w:b/>
                <w:bCs/>
                <w:sz w:val="24"/>
                <w:szCs w:val="24"/>
                <w:lang w:val="en-US" w:eastAsia="en-US"/>
              </w:rPr>
              <w:t>Number</w:t>
            </w:r>
          </w:p>
        </w:tc>
      </w:tr>
      <w:tr w:rsidR="00AC6B09" w14:paraId="6B7E651A" w14:textId="77777777" w:rsidTr="00AC6B09">
        <w:tc>
          <w:tcPr>
            <w:tcW w:w="5240" w:type="dxa"/>
          </w:tcPr>
          <w:p w14:paraId="2F62DBDF" w14:textId="47514B32"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Reports Received</w:t>
            </w:r>
          </w:p>
        </w:tc>
        <w:tc>
          <w:tcPr>
            <w:tcW w:w="3776" w:type="dxa"/>
          </w:tcPr>
          <w:p w14:paraId="7E99C097" w14:textId="14BE9D4D"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8</w:t>
            </w:r>
          </w:p>
        </w:tc>
      </w:tr>
      <w:tr w:rsidR="00AC6B09" w14:paraId="7F380DAD" w14:textId="77777777" w:rsidTr="00AC6B09">
        <w:tc>
          <w:tcPr>
            <w:tcW w:w="5240" w:type="dxa"/>
          </w:tcPr>
          <w:p w14:paraId="6AF98736" w14:textId="7A14880E"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Investigations Completed</w:t>
            </w:r>
          </w:p>
        </w:tc>
        <w:tc>
          <w:tcPr>
            <w:tcW w:w="3776" w:type="dxa"/>
          </w:tcPr>
          <w:p w14:paraId="01C50AB2" w14:textId="022ADADD" w:rsidR="00AC6B09" w:rsidRDefault="00DE5881" w:rsidP="00E749D8">
            <w:pPr>
              <w:jc w:val="both"/>
              <w:rPr>
                <w:rFonts w:ascii="Arial" w:hAnsi="Arial" w:cs="Arial"/>
                <w:sz w:val="24"/>
                <w:szCs w:val="24"/>
                <w:lang w:val="en-US" w:eastAsia="en-US"/>
              </w:rPr>
            </w:pPr>
            <w:r>
              <w:rPr>
                <w:rFonts w:ascii="Arial" w:hAnsi="Arial" w:cs="Arial"/>
                <w:sz w:val="24"/>
                <w:szCs w:val="24"/>
                <w:lang w:val="en-US" w:eastAsia="en-US"/>
              </w:rPr>
              <w:t>8</w:t>
            </w:r>
          </w:p>
        </w:tc>
      </w:tr>
      <w:tr w:rsidR="00AC6B09" w14:paraId="06FAFDB3" w14:textId="77777777" w:rsidTr="00AC6B09">
        <w:tc>
          <w:tcPr>
            <w:tcW w:w="5240" w:type="dxa"/>
          </w:tcPr>
          <w:p w14:paraId="24719CD7" w14:textId="0363E0D4"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Prosecutions</w:t>
            </w:r>
          </w:p>
        </w:tc>
        <w:tc>
          <w:tcPr>
            <w:tcW w:w="3776" w:type="dxa"/>
          </w:tcPr>
          <w:p w14:paraId="359A9961" w14:textId="29B4CB4E"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0</w:t>
            </w:r>
          </w:p>
        </w:tc>
      </w:tr>
      <w:tr w:rsidR="00AC6B09" w14:paraId="6ABB3332" w14:textId="77777777" w:rsidTr="00AC6B09">
        <w:tc>
          <w:tcPr>
            <w:tcW w:w="5240" w:type="dxa"/>
          </w:tcPr>
          <w:p w14:paraId="65E37F3C" w14:textId="690DE15C"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No Further Action (Public Interest not Met)</w:t>
            </w:r>
          </w:p>
        </w:tc>
        <w:tc>
          <w:tcPr>
            <w:tcW w:w="3776" w:type="dxa"/>
          </w:tcPr>
          <w:p w14:paraId="63951E60" w14:textId="548B752A"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3</w:t>
            </w:r>
          </w:p>
        </w:tc>
      </w:tr>
      <w:tr w:rsidR="00AC6B09" w14:paraId="255DCDC9" w14:textId="77777777" w:rsidTr="00AC6B09">
        <w:tc>
          <w:tcPr>
            <w:tcW w:w="5240" w:type="dxa"/>
          </w:tcPr>
          <w:p w14:paraId="2AA7FBB4" w14:textId="2253DC33"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Formal Warning Sanction Letter</w:t>
            </w:r>
          </w:p>
        </w:tc>
        <w:tc>
          <w:tcPr>
            <w:tcW w:w="3776" w:type="dxa"/>
          </w:tcPr>
          <w:p w14:paraId="096FE982" w14:textId="063359BC" w:rsidR="00AC6B09" w:rsidRDefault="00AC6B09" w:rsidP="00E749D8">
            <w:pPr>
              <w:jc w:val="both"/>
              <w:rPr>
                <w:rFonts w:ascii="Arial" w:hAnsi="Arial" w:cs="Arial"/>
                <w:sz w:val="24"/>
                <w:szCs w:val="24"/>
                <w:lang w:val="en-US" w:eastAsia="en-US"/>
              </w:rPr>
            </w:pPr>
            <w:r>
              <w:rPr>
                <w:rFonts w:ascii="Arial" w:hAnsi="Arial" w:cs="Arial"/>
                <w:sz w:val="24"/>
                <w:szCs w:val="24"/>
                <w:lang w:val="en-US" w:eastAsia="en-US"/>
              </w:rPr>
              <w:t>5</w:t>
            </w:r>
          </w:p>
        </w:tc>
      </w:tr>
    </w:tbl>
    <w:p w14:paraId="4E1A6F2F" w14:textId="08C9F4E7" w:rsidR="00E749D8" w:rsidRPr="00DE5881" w:rsidRDefault="0090045E" w:rsidP="00407264">
      <w:pPr>
        <w:pStyle w:val="Heading2"/>
        <w:rPr>
          <w:rFonts w:ascii="Arial" w:hAnsi="Arial" w:cs="Arial"/>
          <w:b/>
          <w:bCs/>
          <w:color w:val="0070C0"/>
          <w:u w:val="single"/>
          <w:lang w:val="en-US" w:eastAsia="en-US"/>
        </w:rPr>
      </w:pPr>
      <w:r w:rsidRPr="00DE5881">
        <w:rPr>
          <w:rFonts w:ascii="Arial" w:hAnsi="Arial" w:cs="Arial"/>
          <w:b/>
          <w:bCs/>
          <w:color w:val="0070C0"/>
          <w:u w:val="single"/>
          <w:lang w:val="en-US" w:eastAsia="en-US"/>
        </w:rPr>
        <w:lastRenderedPageBreak/>
        <w:t xml:space="preserve">Third </w:t>
      </w:r>
      <w:r w:rsidR="00DE5881" w:rsidRPr="00DE5881">
        <w:rPr>
          <w:rFonts w:ascii="Arial" w:hAnsi="Arial" w:cs="Arial"/>
          <w:b/>
          <w:bCs/>
          <w:color w:val="0070C0"/>
          <w:u w:val="single"/>
          <w:lang w:val="en-US" w:eastAsia="en-US"/>
        </w:rPr>
        <w:t>P</w:t>
      </w:r>
      <w:r w:rsidRPr="00DE5881">
        <w:rPr>
          <w:rFonts w:ascii="Arial" w:hAnsi="Arial" w:cs="Arial"/>
          <w:b/>
          <w:bCs/>
          <w:color w:val="0070C0"/>
          <w:u w:val="single"/>
          <w:lang w:val="en-US" w:eastAsia="en-US"/>
        </w:rPr>
        <w:t xml:space="preserve">arty </w:t>
      </w:r>
      <w:r w:rsidR="00DE5881" w:rsidRPr="00DE5881">
        <w:rPr>
          <w:rFonts w:ascii="Arial" w:hAnsi="Arial" w:cs="Arial"/>
          <w:b/>
          <w:bCs/>
          <w:color w:val="0070C0"/>
          <w:u w:val="single"/>
          <w:lang w:val="en-US" w:eastAsia="en-US"/>
        </w:rPr>
        <w:t>R</w:t>
      </w:r>
      <w:r w:rsidRPr="00DE5881">
        <w:rPr>
          <w:rFonts w:ascii="Arial" w:hAnsi="Arial" w:cs="Arial"/>
          <w:b/>
          <w:bCs/>
          <w:color w:val="0070C0"/>
          <w:u w:val="single"/>
          <w:lang w:val="en-US" w:eastAsia="en-US"/>
        </w:rPr>
        <w:t xml:space="preserve">equests for </w:t>
      </w:r>
      <w:r w:rsidR="00DE5881" w:rsidRPr="00DE5881">
        <w:rPr>
          <w:rFonts w:ascii="Arial" w:hAnsi="Arial" w:cs="Arial"/>
          <w:b/>
          <w:bCs/>
          <w:color w:val="0070C0"/>
          <w:u w:val="single"/>
          <w:lang w:val="en-US" w:eastAsia="en-US"/>
        </w:rPr>
        <w:t>I</w:t>
      </w:r>
      <w:r w:rsidRPr="00DE5881">
        <w:rPr>
          <w:rFonts w:ascii="Arial" w:hAnsi="Arial" w:cs="Arial"/>
          <w:b/>
          <w:bCs/>
          <w:color w:val="0070C0"/>
          <w:u w:val="single"/>
          <w:lang w:val="en-US" w:eastAsia="en-US"/>
        </w:rPr>
        <w:t>nformation</w:t>
      </w:r>
    </w:p>
    <w:p w14:paraId="67282E8C" w14:textId="77777777" w:rsidR="0090045E" w:rsidRPr="0090045E" w:rsidRDefault="0090045E" w:rsidP="00E749D8">
      <w:pPr>
        <w:jc w:val="both"/>
        <w:rPr>
          <w:rFonts w:ascii="Arial" w:hAnsi="Arial" w:cs="Arial"/>
          <w:b/>
          <w:sz w:val="24"/>
          <w:szCs w:val="24"/>
          <w:lang w:val="en-US" w:eastAsia="en-US"/>
        </w:rPr>
      </w:pPr>
    </w:p>
    <w:p w14:paraId="6D352B5D" w14:textId="0F527ECE" w:rsidR="005867B0" w:rsidRDefault="003C4822" w:rsidP="00E749D8">
      <w:pPr>
        <w:jc w:val="both"/>
        <w:rPr>
          <w:rFonts w:ascii="Arial" w:hAnsi="Arial" w:cs="Arial"/>
          <w:sz w:val="24"/>
          <w:szCs w:val="24"/>
          <w:lang w:val="en-US" w:eastAsia="en-US"/>
        </w:rPr>
      </w:pPr>
      <w:r>
        <w:rPr>
          <w:rFonts w:ascii="Arial" w:hAnsi="Arial" w:cs="Arial"/>
          <w:sz w:val="24"/>
          <w:szCs w:val="24"/>
          <w:lang w:val="en-US" w:eastAsia="en-US"/>
        </w:rPr>
        <w:t xml:space="preserve">The Fraud Team continue to support the crucial information sharing work facilitated by the Transparency Team.  This includes responding to Data Protection Act requests in the main, but also information provided to the DWP under the Local Authority Information Exchange Form process.  The information shared ensures investigations can progress, and in the case of Police requests supports the prevention and detection of crime in the community.  </w:t>
      </w:r>
    </w:p>
    <w:p w14:paraId="76E48144" w14:textId="77777777" w:rsidR="00FE2FBB" w:rsidRDefault="00FE2FBB" w:rsidP="00E749D8">
      <w:pPr>
        <w:jc w:val="both"/>
        <w:rPr>
          <w:rFonts w:ascii="Arial" w:hAnsi="Arial" w:cs="Arial"/>
          <w:sz w:val="24"/>
          <w:szCs w:val="24"/>
          <w:lang w:val="en-US" w:eastAsia="en-US"/>
        </w:rPr>
      </w:pPr>
    </w:p>
    <w:p w14:paraId="373FF9D3" w14:textId="77777777" w:rsidR="00BD6C81" w:rsidRPr="00E749D8" w:rsidRDefault="00BD6C81" w:rsidP="00E749D8">
      <w:pPr>
        <w:jc w:val="both"/>
        <w:rPr>
          <w:rFonts w:ascii="Arial" w:hAnsi="Arial" w:cs="Arial"/>
          <w:sz w:val="24"/>
          <w:szCs w:val="24"/>
          <w:lang w:val="en-US" w:eastAsia="en-US"/>
        </w:rPr>
      </w:pPr>
    </w:p>
    <w:tbl>
      <w:tblPr>
        <w:tblStyle w:val="TableGrid"/>
        <w:tblW w:w="0" w:type="auto"/>
        <w:tblLook w:val="04A0" w:firstRow="1" w:lastRow="0" w:firstColumn="1" w:lastColumn="0" w:noHBand="0" w:noVBand="1"/>
      </w:tblPr>
      <w:tblGrid>
        <w:gridCol w:w="5240"/>
        <w:gridCol w:w="3776"/>
      </w:tblGrid>
      <w:tr w:rsidR="00092D03" w14:paraId="40BD1A72" w14:textId="77777777" w:rsidTr="00092D03">
        <w:tc>
          <w:tcPr>
            <w:tcW w:w="5240" w:type="dxa"/>
          </w:tcPr>
          <w:p w14:paraId="486C7C83" w14:textId="1068C5BE" w:rsidR="00092D03" w:rsidRPr="00092D03" w:rsidRDefault="00092D03" w:rsidP="00E749D8">
            <w:pPr>
              <w:jc w:val="both"/>
              <w:rPr>
                <w:rFonts w:ascii="Arial" w:hAnsi="Arial" w:cs="Arial"/>
                <w:b/>
                <w:bCs/>
                <w:sz w:val="24"/>
                <w:szCs w:val="24"/>
                <w:lang w:val="en-US" w:eastAsia="en-US"/>
              </w:rPr>
            </w:pPr>
            <w:r w:rsidRPr="00092D03">
              <w:rPr>
                <w:rFonts w:ascii="Arial" w:hAnsi="Arial" w:cs="Arial"/>
                <w:b/>
                <w:bCs/>
                <w:sz w:val="24"/>
                <w:szCs w:val="24"/>
                <w:lang w:val="en-US" w:eastAsia="en-US"/>
              </w:rPr>
              <w:t>Request Type</w:t>
            </w:r>
          </w:p>
        </w:tc>
        <w:tc>
          <w:tcPr>
            <w:tcW w:w="3776" w:type="dxa"/>
          </w:tcPr>
          <w:p w14:paraId="04F18662" w14:textId="01D21FDD" w:rsidR="00092D03" w:rsidRPr="00092D03" w:rsidRDefault="00092D03" w:rsidP="00E749D8">
            <w:pPr>
              <w:jc w:val="both"/>
              <w:rPr>
                <w:rFonts w:ascii="Arial" w:hAnsi="Arial" w:cs="Arial"/>
                <w:b/>
                <w:bCs/>
                <w:sz w:val="24"/>
                <w:szCs w:val="24"/>
                <w:lang w:val="en-US" w:eastAsia="en-US"/>
              </w:rPr>
            </w:pPr>
            <w:r w:rsidRPr="00092D03">
              <w:rPr>
                <w:rFonts w:ascii="Arial" w:hAnsi="Arial" w:cs="Arial"/>
                <w:b/>
                <w:bCs/>
                <w:sz w:val="24"/>
                <w:szCs w:val="24"/>
                <w:lang w:val="en-US" w:eastAsia="en-US"/>
              </w:rPr>
              <w:t>Number</w:t>
            </w:r>
          </w:p>
        </w:tc>
      </w:tr>
      <w:tr w:rsidR="00092D03" w14:paraId="6EF55A56" w14:textId="77777777" w:rsidTr="00092D03">
        <w:tc>
          <w:tcPr>
            <w:tcW w:w="5240" w:type="dxa"/>
          </w:tcPr>
          <w:p w14:paraId="31AC4DC6" w14:textId="3E143432" w:rsidR="00092D03" w:rsidRDefault="00092D03" w:rsidP="00E749D8">
            <w:pPr>
              <w:jc w:val="both"/>
              <w:rPr>
                <w:rFonts w:ascii="Arial" w:hAnsi="Arial" w:cs="Arial"/>
                <w:sz w:val="24"/>
                <w:szCs w:val="24"/>
                <w:lang w:val="en-US" w:eastAsia="en-US"/>
              </w:rPr>
            </w:pPr>
            <w:r>
              <w:rPr>
                <w:rFonts w:ascii="Arial" w:hAnsi="Arial" w:cs="Arial"/>
                <w:sz w:val="24"/>
                <w:szCs w:val="24"/>
                <w:lang w:val="en-US" w:eastAsia="en-US"/>
              </w:rPr>
              <w:t xml:space="preserve">DWP </w:t>
            </w:r>
          </w:p>
        </w:tc>
        <w:tc>
          <w:tcPr>
            <w:tcW w:w="3776" w:type="dxa"/>
          </w:tcPr>
          <w:p w14:paraId="3A306DE9" w14:textId="5040B1CF" w:rsidR="00092D03" w:rsidRDefault="004668C7" w:rsidP="00E749D8">
            <w:pPr>
              <w:jc w:val="both"/>
              <w:rPr>
                <w:rFonts w:ascii="Arial" w:hAnsi="Arial" w:cs="Arial"/>
                <w:sz w:val="24"/>
                <w:szCs w:val="24"/>
                <w:lang w:val="en-US" w:eastAsia="en-US"/>
              </w:rPr>
            </w:pPr>
            <w:r>
              <w:rPr>
                <w:rFonts w:ascii="Arial" w:hAnsi="Arial" w:cs="Arial"/>
                <w:sz w:val="24"/>
                <w:szCs w:val="24"/>
                <w:lang w:val="en-US" w:eastAsia="en-US"/>
              </w:rPr>
              <w:t>36</w:t>
            </w:r>
          </w:p>
        </w:tc>
      </w:tr>
      <w:tr w:rsidR="00092D03" w14:paraId="04AFC683" w14:textId="77777777" w:rsidTr="00092D03">
        <w:tc>
          <w:tcPr>
            <w:tcW w:w="5240" w:type="dxa"/>
          </w:tcPr>
          <w:p w14:paraId="55977526" w14:textId="0AA420EB" w:rsidR="00092D03" w:rsidRDefault="00092D03" w:rsidP="00E749D8">
            <w:pPr>
              <w:jc w:val="both"/>
              <w:rPr>
                <w:rFonts w:ascii="Arial" w:hAnsi="Arial" w:cs="Arial"/>
                <w:sz w:val="24"/>
                <w:szCs w:val="24"/>
                <w:lang w:val="en-US" w:eastAsia="en-US"/>
              </w:rPr>
            </w:pPr>
            <w:r>
              <w:rPr>
                <w:rFonts w:ascii="Arial" w:hAnsi="Arial" w:cs="Arial"/>
                <w:sz w:val="24"/>
                <w:szCs w:val="24"/>
                <w:lang w:val="en-US" w:eastAsia="en-US"/>
              </w:rPr>
              <w:t>Police</w:t>
            </w:r>
          </w:p>
        </w:tc>
        <w:tc>
          <w:tcPr>
            <w:tcW w:w="3776" w:type="dxa"/>
          </w:tcPr>
          <w:p w14:paraId="2E761FD4" w14:textId="781D1544" w:rsidR="00092D03" w:rsidRDefault="004668C7" w:rsidP="00E749D8">
            <w:pPr>
              <w:jc w:val="both"/>
              <w:rPr>
                <w:rFonts w:ascii="Arial" w:hAnsi="Arial" w:cs="Arial"/>
                <w:sz w:val="24"/>
                <w:szCs w:val="24"/>
                <w:lang w:val="en-US" w:eastAsia="en-US"/>
              </w:rPr>
            </w:pPr>
            <w:r>
              <w:rPr>
                <w:rFonts w:ascii="Arial" w:hAnsi="Arial" w:cs="Arial"/>
                <w:sz w:val="24"/>
                <w:szCs w:val="24"/>
                <w:lang w:val="en-US" w:eastAsia="en-US"/>
              </w:rPr>
              <w:t>155</w:t>
            </w:r>
          </w:p>
        </w:tc>
      </w:tr>
      <w:tr w:rsidR="00092D03" w14:paraId="0DC262DF" w14:textId="77777777" w:rsidTr="00092D03">
        <w:tc>
          <w:tcPr>
            <w:tcW w:w="5240" w:type="dxa"/>
          </w:tcPr>
          <w:p w14:paraId="665F2F6F" w14:textId="7B038EDC" w:rsidR="00092D03" w:rsidRDefault="00092D03" w:rsidP="00E749D8">
            <w:pPr>
              <w:jc w:val="both"/>
              <w:rPr>
                <w:rFonts w:ascii="Arial" w:hAnsi="Arial" w:cs="Arial"/>
                <w:sz w:val="24"/>
                <w:szCs w:val="24"/>
                <w:lang w:val="en-US" w:eastAsia="en-US"/>
              </w:rPr>
            </w:pPr>
            <w:r>
              <w:rPr>
                <w:rFonts w:ascii="Arial" w:hAnsi="Arial" w:cs="Arial"/>
                <w:sz w:val="24"/>
                <w:szCs w:val="24"/>
                <w:lang w:val="en-US" w:eastAsia="en-US"/>
              </w:rPr>
              <w:t>Other Agency</w:t>
            </w:r>
          </w:p>
        </w:tc>
        <w:tc>
          <w:tcPr>
            <w:tcW w:w="3776" w:type="dxa"/>
          </w:tcPr>
          <w:p w14:paraId="6CAB96BB" w14:textId="455BD8EF" w:rsidR="00092D03" w:rsidRDefault="002124D6" w:rsidP="00E749D8">
            <w:pPr>
              <w:jc w:val="both"/>
              <w:rPr>
                <w:rFonts w:ascii="Arial" w:hAnsi="Arial" w:cs="Arial"/>
                <w:sz w:val="24"/>
                <w:szCs w:val="24"/>
                <w:lang w:val="en-US" w:eastAsia="en-US"/>
              </w:rPr>
            </w:pPr>
            <w:r>
              <w:rPr>
                <w:rFonts w:ascii="Arial" w:hAnsi="Arial" w:cs="Arial"/>
                <w:sz w:val="24"/>
                <w:szCs w:val="24"/>
                <w:lang w:val="en-US" w:eastAsia="en-US"/>
              </w:rPr>
              <w:t>270</w:t>
            </w:r>
          </w:p>
        </w:tc>
      </w:tr>
    </w:tbl>
    <w:p w14:paraId="020B95FB" w14:textId="77777777" w:rsidR="00612C46" w:rsidRDefault="00612C46" w:rsidP="00E749D8">
      <w:pPr>
        <w:jc w:val="both"/>
        <w:rPr>
          <w:rFonts w:ascii="Arial" w:hAnsi="Arial" w:cs="Arial"/>
          <w:sz w:val="24"/>
          <w:szCs w:val="24"/>
          <w:lang w:val="en-US" w:eastAsia="en-US"/>
        </w:rPr>
      </w:pPr>
    </w:p>
    <w:p w14:paraId="118572C9" w14:textId="069197B6" w:rsidR="00E749D8" w:rsidRPr="007F16DD" w:rsidRDefault="00E749D8" w:rsidP="00407264">
      <w:pPr>
        <w:pStyle w:val="Heading1"/>
        <w:rPr>
          <w:rFonts w:ascii="Arial" w:hAnsi="Arial" w:cs="Arial"/>
          <w:b/>
          <w:color w:val="auto"/>
          <w:sz w:val="28"/>
          <w:szCs w:val="28"/>
          <w:lang w:val="en-US" w:eastAsia="en-US"/>
        </w:rPr>
      </w:pPr>
      <w:r w:rsidRPr="007F16DD">
        <w:rPr>
          <w:rFonts w:ascii="Arial" w:hAnsi="Arial" w:cs="Arial"/>
          <w:b/>
          <w:color w:val="auto"/>
          <w:sz w:val="28"/>
          <w:szCs w:val="28"/>
        </w:rPr>
        <w:t>Pursue</w:t>
      </w:r>
    </w:p>
    <w:p w14:paraId="47915021" w14:textId="77777777" w:rsidR="00E749D8" w:rsidRPr="00E749D8" w:rsidRDefault="00E749D8" w:rsidP="00E749D8">
      <w:pPr>
        <w:jc w:val="both"/>
        <w:rPr>
          <w:rFonts w:ascii="Arial" w:hAnsi="Arial" w:cs="Arial"/>
          <w:b/>
          <w:bCs/>
          <w:iCs/>
          <w:sz w:val="24"/>
          <w:szCs w:val="24"/>
        </w:rPr>
      </w:pPr>
    </w:p>
    <w:p w14:paraId="2B7B14C9" w14:textId="62BF38F1" w:rsidR="00FA7CB7" w:rsidRPr="00FA7CB7" w:rsidRDefault="00FA7CB7" w:rsidP="00FA7CB7">
      <w:pPr>
        <w:jc w:val="both"/>
        <w:rPr>
          <w:rFonts w:ascii="Arial" w:hAnsi="Arial" w:cs="Arial"/>
          <w:bCs/>
          <w:iCs/>
          <w:sz w:val="24"/>
          <w:szCs w:val="24"/>
        </w:rPr>
      </w:pPr>
      <w:r w:rsidRPr="00FA7CB7">
        <w:rPr>
          <w:rFonts w:ascii="Arial" w:hAnsi="Arial" w:cs="Arial"/>
          <w:bCs/>
          <w:iCs/>
          <w:sz w:val="24"/>
          <w:szCs w:val="24"/>
        </w:rPr>
        <w:t xml:space="preserve">All losses identified (including those identified from reviews of single residency discounts) are pursued in line with the Council’s debt recovery strategy. </w:t>
      </w:r>
      <w:r w:rsidR="002C0CE8">
        <w:rPr>
          <w:rFonts w:ascii="Arial" w:hAnsi="Arial" w:cs="Arial"/>
          <w:bCs/>
          <w:iCs/>
          <w:sz w:val="24"/>
          <w:szCs w:val="24"/>
        </w:rPr>
        <w:t xml:space="preserve">The team work with colleagues in Local Taxation and Benefits to ensure cases are recalculated where fraud and error is identified to ensure revenue is maximised for local service delivery.  </w:t>
      </w:r>
    </w:p>
    <w:p w14:paraId="4576F2D2" w14:textId="477D560E" w:rsidR="00FA7CB7" w:rsidRDefault="00FA7CB7" w:rsidP="00FA7CB7">
      <w:pPr>
        <w:jc w:val="both"/>
        <w:rPr>
          <w:rFonts w:ascii="Arial" w:hAnsi="Arial" w:cs="Arial"/>
          <w:bCs/>
          <w:iCs/>
          <w:sz w:val="24"/>
          <w:szCs w:val="24"/>
        </w:rPr>
      </w:pPr>
    </w:p>
    <w:p w14:paraId="78F58259" w14:textId="5CA84309" w:rsidR="00092D03" w:rsidRPr="00FA7CB7" w:rsidRDefault="00092D03" w:rsidP="00FA7CB7">
      <w:pPr>
        <w:jc w:val="both"/>
        <w:rPr>
          <w:rFonts w:ascii="Arial" w:hAnsi="Arial" w:cs="Arial"/>
          <w:bCs/>
          <w:iCs/>
          <w:sz w:val="24"/>
          <w:szCs w:val="24"/>
        </w:rPr>
      </w:pPr>
      <w:r>
        <w:rPr>
          <w:rFonts w:ascii="Arial" w:hAnsi="Arial" w:cs="Arial"/>
          <w:bCs/>
          <w:iCs/>
          <w:sz w:val="24"/>
          <w:szCs w:val="24"/>
        </w:rPr>
        <w:t xml:space="preserve">Outcome decisions in respect of fraud investigations will be in accordance with the sanction policies to ensure proportionate and lawful disposals.  The Council reserves the right to seek prosecution in the Criminal Justice System to ensure the public are deterred from committing relevant offences. </w:t>
      </w:r>
    </w:p>
    <w:p w14:paraId="7F4E4651" w14:textId="77777777" w:rsidR="00FA7CB7" w:rsidRPr="00FA7CB7" w:rsidRDefault="00FA7CB7" w:rsidP="00FA7CB7">
      <w:pPr>
        <w:jc w:val="both"/>
        <w:rPr>
          <w:rFonts w:ascii="Arial" w:hAnsi="Arial" w:cs="Arial"/>
          <w:bCs/>
          <w:iCs/>
          <w:sz w:val="24"/>
          <w:szCs w:val="24"/>
        </w:rPr>
      </w:pPr>
    </w:p>
    <w:p w14:paraId="6269FD89" w14:textId="6CF177E6" w:rsidR="00FD6ABC" w:rsidRPr="007F16DD" w:rsidRDefault="00FD6ABC" w:rsidP="00FD6ABC">
      <w:pPr>
        <w:pStyle w:val="Heading1"/>
        <w:rPr>
          <w:rFonts w:ascii="Arial" w:hAnsi="Arial" w:cs="Arial"/>
          <w:b/>
          <w:bCs/>
          <w:color w:val="auto"/>
          <w:sz w:val="28"/>
          <w:szCs w:val="28"/>
        </w:rPr>
      </w:pPr>
      <w:r w:rsidRPr="007F16DD">
        <w:rPr>
          <w:rFonts w:ascii="Arial" w:hAnsi="Arial" w:cs="Arial"/>
          <w:b/>
          <w:bCs/>
          <w:color w:val="auto"/>
          <w:sz w:val="28"/>
          <w:szCs w:val="28"/>
        </w:rPr>
        <w:t xml:space="preserve">Protect </w:t>
      </w:r>
    </w:p>
    <w:p w14:paraId="753487A0" w14:textId="7B43FF8E" w:rsidR="00FD6ABC" w:rsidRDefault="00FD6ABC" w:rsidP="00FD6ABC"/>
    <w:p w14:paraId="4931C1A4" w14:textId="6F2D4930" w:rsidR="0073307D" w:rsidRPr="0073307D" w:rsidRDefault="0073307D" w:rsidP="00ED0A31">
      <w:pPr>
        <w:spacing w:after="160" w:line="259" w:lineRule="auto"/>
        <w:jc w:val="both"/>
        <w:rPr>
          <w:rFonts w:ascii="Arial" w:eastAsia="Arial" w:hAnsi="Arial"/>
          <w:sz w:val="24"/>
          <w:szCs w:val="24"/>
        </w:rPr>
      </w:pPr>
      <w:r w:rsidRPr="0073307D">
        <w:rPr>
          <w:rFonts w:ascii="Arial" w:eastAsia="Arial" w:hAnsi="Arial"/>
          <w:sz w:val="24"/>
          <w:szCs w:val="24"/>
        </w:rPr>
        <w:t xml:space="preserve">The actions outlined above provide a robust response to the risks of fraud occurring, its detection and investigation. They enable the council to protect itself from fraud and the harm fraud can cause, both to the council and to the residents of North </w:t>
      </w:r>
      <w:r w:rsidR="00647EB2">
        <w:rPr>
          <w:rFonts w:ascii="Arial" w:eastAsia="Arial" w:hAnsi="Arial"/>
          <w:sz w:val="24"/>
          <w:szCs w:val="24"/>
        </w:rPr>
        <w:t>East</w:t>
      </w:r>
      <w:r w:rsidR="00ED0A31">
        <w:rPr>
          <w:rFonts w:ascii="Arial" w:eastAsia="Arial" w:hAnsi="Arial"/>
          <w:sz w:val="24"/>
          <w:szCs w:val="24"/>
        </w:rPr>
        <w:t xml:space="preserve"> </w:t>
      </w:r>
      <w:r w:rsidRPr="0073307D">
        <w:rPr>
          <w:rFonts w:ascii="Arial" w:eastAsia="Arial" w:hAnsi="Arial"/>
          <w:sz w:val="24"/>
          <w:szCs w:val="24"/>
        </w:rPr>
        <w:t>Lincolnshire.</w:t>
      </w:r>
    </w:p>
    <w:p w14:paraId="14DE9330" w14:textId="3BAB0784" w:rsidR="0073307D" w:rsidRPr="007F16DD" w:rsidRDefault="0073307D" w:rsidP="00ED0A31">
      <w:pPr>
        <w:pStyle w:val="Heading1"/>
        <w:jc w:val="both"/>
        <w:rPr>
          <w:rFonts w:ascii="Arial" w:hAnsi="Arial" w:cs="Arial"/>
          <w:b/>
          <w:bCs/>
          <w:color w:val="auto"/>
          <w:sz w:val="28"/>
          <w:szCs w:val="28"/>
        </w:rPr>
      </w:pPr>
      <w:r w:rsidRPr="007F16DD">
        <w:rPr>
          <w:rFonts w:ascii="Arial" w:hAnsi="Arial" w:cs="Arial"/>
          <w:b/>
          <w:bCs/>
          <w:color w:val="auto"/>
          <w:sz w:val="28"/>
          <w:szCs w:val="28"/>
        </w:rPr>
        <w:t xml:space="preserve">Future </w:t>
      </w:r>
      <w:r w:rsidR="007F16DD">
        <w:rPr>
          <w:rFonts w:ascii="Arial" w:hAnsi="Arial" w:cs="Arial"/>
          <w:b/>
          <w:bCs/>
          <w:color w:val="auto"/>
          <w:sz w:val="28"/>
          <w:szCs w:val="28"/>
        </w:rPr>
        <w:t>D</w:t>
      </w:r>
      <w:r w:rsidRPr="007F16DD">
        <w:rPr>
          <w:rFonts w:ascii="Arial" w:hAnsi="Arial" w:cs="Arial"/>
          <w:b/>
          <w:bCs/>
          <w:color w:val="auto"/>
          <w:sz w:val="28"/>
          <w:szCs w:val="28"/>
        </w:rPr>
        <w:t>evelopments</w:t>
      </w:r>
    </w:p>
    <w:p w14:paraId="39C14D6A" w14:textId="77777777" w:rsidR="0073307D" w:rsidRPr="0073307D" w:rsidRDefault="0073307D" w:rsidP="00ED0A31">
      <w:pPr>
        <w:jc w:val="both"/>
        <w:rPr>
          <w:rFonts w:ascii="Arial" w:hAnsi="Arial" w:cs="Arial"/>
          <w:b/>
          <w:bCs/>
          <w:iCs/>
          <w:sz w:val="24"/>
          <w:szCs w:val="24"/>
        </w:rPr>
      </w:pPr>
    </w:p>
    <w:p w14:paraId="30CA80D1" w14:textId="46230818" w:rsidR="00E5389B" w:rsidRDefault="007A7BC6" w:rsidP="00C006D7">
      <w:pPr>
        <w:jc w:val="both"/>
        <w:rPr>
          <w:rFonts w:ascii="Arial" w:eastAsia="Arial" w:hAnsi="Arial"/>
          <w:sz w:val="24"/>
          <w:szCs w:val="24"/>
          <w:lang w:eastAsia="en-US"/>
        </w:rPr>
      </w:pPr>
      <w:r>
        <w:rPr>
          <w:rFonts w:ascii="Arial" w:eastAsia="Arial" w:hAnsi="Arial"/>
          <w:sz w:val="24"/>
          <w:szCs w:val="24"/>
          <w:lang w:eastAsia="en-US"/>
        </w:rPr>
        <w:t>The Fraud Plan</w:t>
      </w:r>
      <w:r w:rsidR="0057148F">
        <w:rPr>
          <w:rFonts w:ascii="Arial" w:eastAsia="Arial" w:hAnsi="Arial"/>
          <w:sz w:val="24"/>
          <w:szCs w:val="24"/>
          <w:lang w:eastAsia="en-US"/>
        </w:rPr>
        <w:t xml:space="preserve"> (as shown on Appendix2) </w:t>
      </w:r>
      <w:r>
        <w:rPr>
          <w:rFonts w:ascii="Arial" w:eastAsia="Arial" w:hAnsi="Arial"/>
          <w:sz w:val="24"/>
          <w:szCs w:val="24"/>
          <w:lang w:eastAsia="en-US"/>
        </w:rPr>
        <w:t xml:space="preserve"> details the Council's priorities for the coming year and includes improvements to the service by using technology to assess information and more effectively identify fraudulent activity.  </w:t>
      </w:r>
      <w:r w:rsidR="00934DE6">
        <w:rPr>
          <w:rFonts w:ascii="Arial" w:eastAsia="Arial" w:hAnsi="Arial"/>
          <w:sz w:val="24"/>
          <w:szCs w:val="24"/>
          <w:lang w:eastAsia="en-US"/>
        </w:rPr>
        <w:t>Working in</w:t>
      </w:r>
      <w:r>
        <w:rPr>
          <w:rFonts w:ascii="Arial" w:eastAsia="Arial" w:hAnsi="Arial"/>
          <w:sz w:val="24"/>
          <w:szCs w:val="24"/>
          <w:lang w:eastAsia="en-US"/>
        </w:rPr>
        <w:t xml:space="preserve"> closer partnership with staff involved in areas associated with a high risk of fraud, such an Council Tax, Business Rates, HR, and Procurement, will bring </w:t>
      </w:r>
      <w:r w:rsidR="00934DE6">
        <w:rPr>
          <w:rFonts w:ascii="Arial" w:eastAsia="Arial" w:hAnsi="Arial"/>
          <w:sz w:val="24"/>
          <w:szCs w:val="24"/>
          <w:lang w:eastAsia="en-US"/>
        </w:rPr>
        <w:t xml:space="preserve">a more robust response and consequently increase resilience in this important area of threat and harm.  </w:t>
      </w:r>
    </w:p>
    <w:p w14:paraId="71A812B1" w14:textId="77777777" w:rsidR="005F4198" w:rsidRDefault="005F4198" w:rsidP="00C006D7">
      <w:pPr>
        <w:jc w:val="both"/>
        <w:rPr>
          <w:rFonts w:ascii="Arial" w:eastAsia="Arial" w:hAnsi="Arial"/>
          <w:sz w:val="24"/>
          <w:szCs w:val="24"/>
          <w:lang w:eastAsia="en-US"/>
        </w:rPr>
      </w:pPr>
    </w:p>
    <w:p w14:paraId="16D97407" w14:textId="77777777" w:rsidR="005F4198" w:rsidRDefault="005F4198" w:rsidP="00C006D7">
      <w:pPr>
        <w:jc w:val="both"/>
        <w:rPr>
          <w:rFonts w:ascii="Arial" w:eastAsia="Arial" w:hAnsi="Arial"/>
          <w:sz w:val="24"/>
          <w:szCs w:val="24"/>
          <w:lang w:eastAsia="en-US"/>
        </w:rPr>
      </w:pPr>
    </w:p>
    <w:p w14:paraId="010C0412" w14:textId="77777777" w:rsidR="005F4198" w:rsidRDefault="005F4198" w:rsidP="00C006D7">
      <w:pPr>
        <w:jc w:val="both"/>
        <w:rPr>
          <w:rFonts w:ascii="Arial" w:eastAsia="Arial" w:hAnsi="Arial"/>
          <w:sz w:val="24"/>
          <w:szCs w:val="24"/>
          <w:lang w:eastAsia="en-US"/>
        </w:rPr>
      </w:pPr>
    </w:p>
    <w:p w14:paraId="651009ED" w14:textId="77777777" w:rsidR="005F4198" w:rsidRDefault="005F4198" w:rsidP="00C006D7">
      <w:pPr>
        <w:jc w:val="both"/>
        <w:rPr>
          <w:rFonts w:ascii="Arial" w:eastAsia="Arial" w:hAnsi="Arial"/>
          <w:sz w:val="24"/>
          <w:szCs w:val="24"/>
          <w:lang w:eastAsia="en-US"/>
        </w:rPr>
      </w:pPr>
    </w:p>
    <w:p w14:paraId="161965D2" w14:textId="77777777" w:rsidR="005F4198" w:rsidRDefault="005F4198" w:rsidP="00C006D7">
      <w:pPr>
        <w:jc w:val="both"/>
        <w:rPr>
          <w:rFonts w:ascii="Arial" w:eastAsia="Arial" w:hAnsi="Arial"/>
          <w:sz w:val="24"/>
          <w:szCs w:val="24"/>
          <w:lang w:eastAsia="en-US"/>
        </w:rPr>
      </w:pPr>
    </w:p>
    <w:p w14:paraId="69366477" w14:textId="5EB3BF9B" w:rsidR="007E7E02" w:rsidRPr="007E7E02" w:rsidRDefault="007E7E02" w:rsidP="00C006D7">
      <w:pPr>
        <w:jc w:val="both"/>
        <w:rPr>
          <w:rFonts w:ascii="Arial" w:hAnsi="Arial" w:cs="Arial"/>
          <w:b/>
          <w:bCs/>
          <w:iCs/>
          <w:sz w:val="24"/>
          <w:szCs w:val="24"/>
        </w:rPr>
      </w:pPr>
      <w:r>
        <w:rPr>
          <w:rFonts w:ascii="Arial" w:hAnsi="Arial" w:cs="Arial"/>
          <w:b/>
          <w:bCs/>
          <w:iCs/>
          <w:sz w:val="24"/>
          <w:szCs w:val="24"/>
        </w:rPr>
        <w:lastRenderedPageBreak/>
        <w:t>Appendix 1 – CIPFA Checklist (</w:t>
      </w:r>
      <w:r w:rsidR="00CF43BA">
        <w:rPr>
          <w:rFonts w:ascii="Arial" w:hAnsi="Arial" w:cs="Arial"/>
          <w:b/>
          <w:bCs/>
          <w:iCs/>
          <w:sz w:val="24"/>
          <w:szCs w:val="24"/>
        </w:rPr>
        <w:t>Self-Assessment</w:t>
      </w:r>
      <w:r>
        <w:rPr>
          <w:rFonts w:ascii="Arial" w:hAnsi="Arial" w:cs="Arial"/>
          <w:b/>
          <w:bCs/>
          <w:iCs/>
          <w:sz w:val="24"/>
          <w:szCs w:val="24"/>
        </w:rPr>
        <w:t>)</w:t>
      </w:r>
    </w:p>
    <w:p w14:paraId="4F8570B1" w14:textId="77777777" w:rsidR="007E7E02" w:rsidRDefault="007E7E02" w:rsidP="00C006D7">
      <w:pPr>
        <w:jc w:val="both"/>
        <w:rPr>
          <w:rFonts w:ascii="Arial" w:hAnsi="Arial" w:cs="Arial"/>
          <w:b/>
          <w:bCs/>
          <w:iCs/>
          <w:sz w:val="32"/>
          <w:szCs w:val="32"/>
        </w:rPr>
      </w:pPr>
    </w:p>
    <w:tbl>
      <w:tblPr>
        <w:tblStyle w:val="TableGrid2"/>
        <w:tblW w:w="0" w:type="auto"/>
        <w:tblInd w:w="0" w:type="dxa"/>
        <w:tblLook w:val="04A0" w:firstRow="1" w:lastRow="0" w:firstColumn="1" w:lastColumn="0" w:noHBand="0" w:noVBand="1"/>
      </w:tblPr>
      <w:tblGrid>
        <w:gridCol w:w="3715"/>
        <w:gridCol w:w="1534"/>
        <w:gridCol w:w="3767"/>
      </w:tblGrid>
      <w:tr w:rsidR="00356842" w:rsidRPr="00356842" w14:paraId="0469B02C"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1787E56E" w14:textId="77777777" w:rsidR="00356842" w:rsidRPr="00356842" w:rsidRDefault="00356842" w:rsidP="00356842">
            <w:pPr>
              <w:jc w:val="center"/>
              <w:rPr>
                <w:b/>
                <w:bCs/>
              </w:rPr>
            </w:pPr>
            <w:r w:rsidRPr="00356842">
              <w:rPr>
                <w:b/>
                <w:bCs/>
              </w:rPr>
              <w:t>Area</w:t>
            </w:r>
          </w:p>
        </w:tc>
        <w:tc>
          <w:tcPr>
            <w:tcW w:w="1984" w:type="dxa"/>
            <w:tcBorders>
              <w:top w:val="single" w:sz="4" w:space="0" w:color="auto"/>
              <w:left w:val="single" w:sz="4" w:space="0" w:color="auto"/>
              <w:bottom w:val="single" w:sz="4" w:space="0" w:color="auto"/>
              <w:right w:val="single" w:sz="4" w:space="0" w:color="auto"/>
            </w:tcBorders>
            <w:hideMark/>
          </w:tcPr>
          <w:p w14:paraId="53795CC4" w14:textId="77777777" w:rsidR="00356842" w:rsidRPr="00356842" w:rsidRDefault="00356842" w:rsidP="00356842">
            <w:pPr>
              <w:jc w:val="center"/>
              <w:rPr>
                <w:b/>
                <w:bCs/>
              </w:rPr>
            </w:pPr>
            <w:r w:rsidRPr="00356842">
              <w:rPr>
                <w:b/>
                <w:bCs/>
              </w:rPr>
              <w:t>Standard</w:t>
            </w:r>
          </w:p>
        </w:tc>
        <w:tc>
          <w:tcPr>
            <w:tcW w:w="6015" w:type="dxa"/>
            <w:tcBorders>
              <w:top w:val="single" w:sz="4" w:space="0" w:color="auto"/>
              <w:left w:val="single" w:sz="4" w:space="0" w:color="auto"/>
              <w:bottom w:val="single" w:sz="4" w:space="0" w:color="auto"/>
              <w:right w:val="single" w:sz="4" w:space="0" w:color="auto"/>
            </w:tcBorders>
            <w:hideMark/>
          </w:tcPr>
          <w:p w14:paraId="71E8A0B2" w14:textId="77777777" w:rsidR="00356842" w:rsidRPr="00356842" w:rsidRDefault="00356842" w:rsidP="00356842">
            <w:pPr>
              <w:jc w:val="center"/>
              <w:rPr>
                <w:b/>
                <w:bCs/>
              </w:rPr>
            </w:pPr>
            <w:r w:rsidRPr="00356842">
              <w:rPr>
                <w:b/>
                <w:bCs/>
              </w:rPr>
              <w:t>Evidence</w:t>
            </w:r>
          </w:p>
        </w:tc>
      </w:tr>
      <w:tr w:rsidR="00356842" w:rsidRPr="00356842" w14:paraId="3C3FAB9D" w14:textId="77777777" w:rsidTr="00356842">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659843DA" w14:textId="77777777" w:rsidR="00356842" w:rsidRPr="00356842" w:rsidRDefault="00356842" w:rsidP="00356842">
            <w:pPr>
              <w:rPr>
                <w:b/>
                <w:bCs/>
              </w:rPr>
            </w:pPr>
            <w:r w:rsidRPr="00356842">
              <w:rPr>
                <w:b/>
                <w:bCs/>
              </w:rPr>
              <w:t>Acknowledge Responsibility</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D6FE10F"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shd w:val="clear" w:color="auto" w:fill="D9D9D9"/>
          </w:tcPr>
          <w:p w14:paraId="6819AE46" w14:textId="77777777" w:rsidR="00356842" w:rsidRPr="00356842" w:rsidRDefault="00356842" w:rsidP="00356842"/>
        </w:tc>
      </w:tr>
      <w:tr w:rsidR="00356842" w:rsidRPr="00356842" w14:paraId="21A7DF37"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71A78D5C" w14:textId="77777777" w:rsidR="00356842" w:rsidRPr="00356842" w:rsidRDefault="00356842" w:rsidP="00356842">
            <w:r w:rsidRPr="00356842">
              <w:t>The organisation’s leadership team acknowledge the threats of fraud and corruption and the harm they can cause to the organisation, its aims and objectives and to its service users.</w:t>
            </w:r>
          </w:p>
        </w:tc>
        <w:tc>
          <w:tcPr>
            <w:tcW w:w="1984" w:type="dxa"/>
            <w:tcBorders>
              <w:top w:val="single" w:sz="4" w:space="0" w:color="auto"/>
              <w:left w:val="single" w:sz="4" w:space="0" w:color="auto"/>
              <w:bottom w:val="single" w:sz="4" w:space="0" w:color="auto"/>
              <w:right w:val="single" w:sz="4" w:space="0" w:color="auto"/>
            </w:tcBorders>
            <w:hideMark/>
          </w:tcPr>
          <w:p w14:paraId="43E6EEC5"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0D62C839" w14:textId="77777777" w:rsidR="00356842" w:rsidRPr="00356842" w:rsidRDefault="00356842" w:rsidP="00356842">
            <w:r w:rsidRPr="00356842">
              <w:t>Senior leaders fully acknowledge the risk to the organisation, both financially and reputationally, and understand the impacts on the community.</w:t>
            </w:r>
          </w:p>
        </w:tc>
      </w:tr>
      <w:tr w:rsidR="00356842" w:rsidRPr="00356842" w14:paraId="04F5E6C2"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402B16C6" w14:textId="77777777" w:rsidR="00356842" w:rsidRPr="00356842" w:rsidRDefault="00356842" w:rsidP="00356842">
            <w:r w:rsidRPr="00356842">
              <w:t>The organisation’s leadership team acknowledge the importance of a culture that is resilient to the threats of fraud and corruption and aligns to the principles of good governance.</w:t>
            </w:r>
          </w:p>
        </w:tc>
        <w:tc>
          <w:tcPr>
            <w:tcW w:w="1984" w:type="dxa"/>
            <w:tcBorders>
              <w:top w:val="single" w:sz="4" w:space="0" w:color="auto"/>
              <w:left w:val="single" w:sz="4" w:space="0" w:color="auto"/>
              <w:bottom w:val="single" w:sz="4" w:space="0" w:color="auto"/>
              <w:right w:val="single" w:sz="4" w:space="0" w:color="auto"/>
            </w:tcBorders>
            <w:hideMark/>
          </w:tcPr>
          <w:p w14:paraId="501582F2"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644D4FA9" w14:textId="5234487B" w:rsidR="00356842" w:rsidRPr="00356842" w:rsidRDefault="00356842" w:rsidP="00356842">
            <w:r w:rsidRPr="00356842">
              <w:t>The organisation supports a culture where the responsibility to tackle fraud is everyone’s and should be part of daily business.  The fact the Council now has to satisfy requirements of the Economic Crime and Corporate Transparency Act of 2023 highlights the need for this standard.</w:t>
            </w:r>
            <w:r w:rsidR="00A55171">
              <w:t xml:space="preserve">  Working in partnership is being refreshed as the team revisits preventative work during the year 2025/26.</w:t>
            </w:r>
          </w:p>
        </w:tc>
      </w:tr>
      <w:tr w:rsidR="00356842" w:rsidRPr="00356842" w14:paraId="2071B4C9"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68A24437" w14:textId="77777777" w:rsidR="00356842" w:rsidRPr="00356842" w:rsidRDefault="00356842" w:rsidP="00356842">
            <w:r w:rsidRPr="00356842">
              <w:t>The governing body acknowledges its responsibility for ensuring the management of its fraud and corruption risks and will be accountable for the actions it takes through its governance reports.</w:t>
            </w:r>
          </w:p>
        </w:tc>
        <w:tc>
          <w:tcPr>
            <w:tcW w:w="1984" w:type="dxa"/>
            <w:tcBorders>
              <w:top w:val="single" w:sz="4" w:space="0" w:color="auto"/>
              <w:left w:val="single" w:sz="4" w:space="0" w:color="auto"/>
              <w:bottom w:val="single" w:sz="4" w:space="0" w:color="auto"/>
              <w:right w:val="single" w:sz="4" w:space="0" w:color="auto"/>
            </w:tcBorders>
            <w:hideMark/>
          </w:tcPr>
          <w:p w14:paraId="341FE479"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468CBE6A" w14:textId="56B5C069" w:rsidR="00356842" w:rsidRPr="00356842" w:rsidRDefault="00356842" w:rsidP="00356842">
            <w:r w:rsidRPr="00356842">
              <w:t>The reporting process is well established and welcomes challenge and scrutiny of the counter-fraud arrangements. The production of an annual Fraud Plan (202</w:t>
            </w:r>
            <w:r w:rsidR="00514892">
              <w:t>5/26</w:t>
            </w:r>
            <w:r w:rsidRPr="00356842">
              <w:t xml:space="preserve">) demonstrates the commitment to manage the threat of harm. </w:t>
            </w:r>
            <w:r w:rsidR="00514892">
              <w:t xml:space="preserve">  The Audit Committe</w:t>
            </w:r>
            <w:r w:rsidR="00DE6CA9">
              <w:t xml:space="preserve">e is able to probe the annual reports and practice to ensure the service provision is what the public deserve. </w:t>
            </w:r>
          </w:p>
        </w:tc>
      </w:tr>
      <w:tr w:rsidR="00356842" w:rsidRPr="00356842" w14:paraId="024D8293"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45315969" w14:textId="77777777" w:rsidR="00356842" w:rsidRPr="00356842" w:rsidRDefault="00356842" w:rsidP="00356842">
            <w:r w:rsidRPr="00356842">
              <w:t>The governing body sets a specific goal of ensuring and maintaining its resilience to fraud and corruption and explores opportunities for financial savings from enhanced fraud detection and prevention.</w:t>
            </w:r>
          </w:p>
        </w:tc>
        <w:tc>
          <w:tcPr>
            <w:tcW w:w="1984" w:type="dxa"/>
            <w:tcBorders>
              <w:top w:val="single" w:sz="4" w:space="0" w:color="auto"/>
              <w:left w:val="single" w:sz="4" w:space="0" w:color="auto"/>
              <w:bottom w:val="single" w:sz="4" w:space="0" w:color="auto"/>
              <w:right w:val="single" w:sz="4" w:space="0" w:color="auto"/>
            </w:tcBorders>
            <w:hideMark/>
          </w:tcPr>
          <w:p w14:paraId="113FFB8C" w14:textId="77777777" w:rsidR="00356842" w:rsidRPr="00356842" w:rsidRDefault="00356842" w:rsidP="00356842">
            <w:r w:rsidRPr="00356842">
              <w:t>Partially Met</w:t>
            </w:r>
          </w:p>
        </w:tc>
        <w:tc>
          <w:tcPr>
            <w:tcW w:w="6015" w:type="dxa"/>
            <w:tcBorders>
              <w:top w:val="single" w:sz="4" w:space="0" w:color="auto"/>
              <w:left w:val="single" w:sz="4" w:space="0" w:color="auto"/>
              <w:bottom w:val="single" w:sz="4" w:space="0" w:color="auto"/>
              <w:right w:val="single" w:sz="4" w:space="0" w:color="auto"/>
            </w:tcBorders>
            <w:hideMark/>
          </w:tcPr>
          <w:p w14:paraId="662C832B" w14:textId="77777777" w:rsidR="00356842" w:rsidRDefault="00356842" w:rsidP="00356842">
            <w:r w:rsidRPr="00356842">
              <w:t>The review of fraud cases now includes an assessment of potential financial harm to the Council and this information is used, along with other formal assessment, to determine investigative and preventative work allocation. Capacity is assessed against both the risk of financial loss and reputational harm to the Council.  Assessed as partially met given the emergence of new practice.</w:t>
            </w:r>
          </w:p>
          <w:p w14:paraId="5EA1DAA3" w14:textId="66E17708" w:rsidR="00CE0B59" w:rsidRPr="00356842" w:rsidRDefault="00CE0B59" w:rsidP="00356842">
            <w:r>
              <w:t xml:space="preserve">This is also an area for further review as potential further </w:t>
            </w:r>
            <w:r w:rsidR="005C5C71">
              <w:t>work has been identified that may lead to an increase in revenue and will require consideration for a proportionate increase in staff capacity.</w:t>
            </w:r>
          </w:p>
        </w:tc>
      </w:tr>
      <w:tr w:rsidR="00356842" w:rsidRPr="00356842" w14:paraId="7348F528" w14:textId="77777777" w:rsidTr="00356842">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7296EF55" w14:textId="77777777" w:rsidR="00356842" w:rsidRPr="00356842" w:rsidRDefault="00356842" w:rsidP="00356842">
            <w:pPr>
              <w:rPr>
                <w:b/>
                <w:bCs/>
              </w:rPr>
            </w:pPr>
            <w:r w:rsidRPr="00356842">
              <w:rPr>
                <w:b/>
                <w:bCs/>
              </w:rPr>
              <w:t>Identify Risks</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36876FC"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shd w:val="clear" w:color="auto" w:fill="D9D9D9"/>
          </w:tcPr>
          <w:p w14:paraId="79A969B3" w14:textId="77777777" w:rsidR="00356842" w:rsidRPr="00356842" w:rsidRDefault="00356842" w:rsidP="00356842"/>
        </w:tc>
      </w:tr>
      <w:tr w:rsidR="00356842" w:rsidRPr="00356842" w14:paraId="2CC3402F"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50F1E68F" w14:textId="77777777" w:rsidR="00356842" w:rsidRPr="00356842" w:rsidRDefault="00356842" w:rsidP="00356842">
            <w:r w:rsidRPr="00356842">
              <w:lastRenderedPageBreak/>
              <w:t>Fraud risks are routinely considered as part of the organisation’s risk management arrangements.</w:t>
            </w:r>
          </w:p>
        </w:tc>
        <w:tc>
          <w:tcPr>
            <w:tcW w:w="1984" w:type="dxa"/>
            <w:tcBorders>
              <w:top w:val="single" w:sz="4" w:space="0" w:color="auto"/>
              <w:left w:val="single" w:sz="4" w:space="0" w:color="auto"/>
              <w:bottom w:val="single" w:sz="4" w:space="0" w:color="auto"/>
              <w:right w:val="single" w:sz="4" w:space="0" w:color="auto"/>
            </w:tcBorders>
            <w:hideMark/>
          </w:tcPr>
          <w:p w14:paraId="6B26CC7F"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4A800817" w14:textId="77777777" w:rsidR="00356842" w:rsidRPr="00356842" w:rsidRDefault="00356842" w:rsidP="00356842">
            <w:r w:rsidRPr="00356842">
              <w:t xml:space="preserve">The Council has a Fraud Risk Profile which documents key areas of risk to the Council (internal and external) and each area is risk-assessed to inform the allocation of resources and to allow due diligence around preventative measures.  This work is completed in conjunction with the Audit and Assurance Team to ensure processes can be reviewed, where possible, to reduce opportunities for fraudulent behaviour.  </w:t>
            </w:r>
          </w:p>
        </w:tc>
      </w:tr>
      <w:tr w:rsidR="00356842" w:rsidRPr="00356842" w14:paraId="144DD054"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59821F24" w14:textId="77777777" w:rsidR="00356842" w:rsidRPr="00356842" w:rsidRDefault="00356842" w:rsidP="00356842">
            <w:r w:rsidRPr="00356842">
              <w:t>The organisation identifies the risks of corruption and the importance of behaving with integrity in its governance framework.</w:t>
            </w:r>
          </w:p>
        </w:tc>
        <w:tc>
          <w:tcPr>
            <w:tcW w:w="1984" w:type="dxa"/>
            <w:tcBorders>
              <w:top w:val="single" w:sz="4" w:space="0" w:color="auto"/>
              <w:left w:val="single" w:sz="4" w:space="0" w:color="auto"/>
              <w:bottom w:val="single" w:sz="4" w:space="0" w:color="auto"/>
              <w:right w:val="single" w:sz="4" w:space="0" w:color="auto"/>
            </w:tcBorders>
          </w:tcPr>
          <w:p w14:paraId="6FF1A0A3" w14:textId="77777777" w:rsidR="00356842" w:rsidRPr="00356842" w:rsidRDefault="00356842" w:rsidP="00356842">
            <w:r w:rsidRPr="00356842">
              <w:t>Partially Met</w:t>
            </w:r>
          </w:p>
          <w:p w14:paraId="23AC7105"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hideMark/>
          </w:tcPr>
          <w:p w14:paraId="2978A48F" w14:textId="77777777" w:rsidR="00356842" w:rsidRPr="00356842" w:rsidRDefault="00356842" w:rsidP="00356842">
            <w:r w:rsidRPr="00356842">
              <w:t>Processes exist but over the course of time, and complicated by the pandemic, have become slightly less connected.  The processes still exist to ensure integrity but require some back to basics joint working to ensure consistency.  The Council’s plan is for networking workshops to refresh these processes and to align managers who own relevant policies and reporting arrangements.</w:t>
            </w:r>
          </w:p>
        </w:tc>
      </w:tr>
      <w:tr w:rsidR="00356842" w:rsidRPr="00356842" w14:paraId="5F724D27"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083DD9D8" w14:textId="77777777" w:rsidR="00356842" w:rsidRPr="00356842" w:rsidRDefault="00356842" w:rsidP="00356842">
            <w:r w:rsidRPr="00356842">
              <w:t>The organisation uses published estimates of fraud loss, and where appropriate its own measurement exercises, to aid its evaluation of fraud risk exposures.</w:t>
            </w:r>
          </w:p>
        </w:tc>
        <w:tc>
          <w:tcPr>
            <w:tcW w:w="1984" w:type="dxa"/>
            <w:tcBorders>
              <w:top w:val="single" w:sz="4" w:space="0" w:color="auto"/>
              <w:left w:val="single" w:sz="4" w:space="0" w:color="auto"/>
              <w:bottom w:val="single" w:sz="4" w:space="0" w:color="auto"/>
              <w:right w:val="single" w:sz="4" w:space="0" w:color="auto"/>
            </w:tcBorders>
            <w:hideMark/>
          </w:tcPr>
          <w:p w14:paraId="47DAF734"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364A6786" w14:textId="77777777" w:rsidR="00356842" w:rsidRPr="00356842" w:rsidRDefault="00356842" w:rsidP="00356842">
            <w:r w:rsidRPr="00356842">
              <w:t xml:space="preserve">The majority of Council fraud relies on risk indicators to alert staff to circumstances that justify further investigation.  National (CIPFA) and local data is utilised to determine bulk fraud risk areas to allow informed decisions around areas where resources and technology should be allocated, with a view to protecting the public funds.  </w:t>
            </w:r>
          </w:p>
        </w:tc>
      </w:tr>
      <w:tr w:rsidR="00356842" w:rsidRPr="00356842" w14:paraId="34291766"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3F06CA54" w14:textId="77777777" w:rsidR="00356842" w:rsidRPr="00356842" w:rsidRDefault="00356842" w:rsidP="00356842">
            <w:r w:rsidRPr="00356842">
              <w:t>The organisation evaluates the harm to its aims and objectives and service users that different fraud risks can cause.</w:t>
            </w:r>
          </w:p>
        </w:tc>
        <w:tc>
          <w:tcPr>
            <w:tcW w:w="1984" w:type="dxa"/>
            <w:tcBorders>
              <w:top w:val="single" w:sz="4" w:space="0" w:color="auto"/>
              <w:left w:val="single" w:sz="4" w:space="0" w:color="auto"/>
              <w:bottom w:val="single" w:sz="4" w:space="0" w:color="auto"/>
              <w:right w:val="single" w:sz="4" w:space="0" w:color="auto"/>
            </w:tcBorders>
            <w:hideMark/>
          </w:tcPr>
          <w:p w14:paraId="028CC758"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6DC831BD" w14:textId="77777777" w:rsidR="00356842" w:rsidRPr="00356842" w:rsidRDefault="00356842" w:rsidP="00356842">
            <w:r w:rsidRPr="00356842">
              <w:t xml:space="preserve">The Fraud Risk profile, a live document, records issues of threat, risk, and harm, and allows strategic decisions to be considered around the policies which hopefully reduce risk and keep the Council safe.  </w:t>
            </w:r>
          </w:p>
        </w:tc>
      </w:tr>
      <w:tr w:rsidR="00356842" w:rsidRPr="00356842" w14:paraId="6EAAAAE0" w14:textId="77777777" w:rsidTr="00356842">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277378A7" w14:textId="77777777" w:rsidR="00356842" w:rsidRPr="00356842" w:rsidRDefault="00356842" w:rsidP="00356842">
            <w:pPr>
              <w:rPr>
                <w:b/>
                <w:bCs/>
              </w:rPr>
            </w:pPr>
            <w:r w:rsidRPr="00356842">
              <w:rPr>
                <w:b/>
                <w:bCs/>
              </w:rPr>
              <w:t>Develop a Strategy</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3E854EB"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shd w:val="clear" w:color="auto" w:fill="D9D9D9"/>
          </w:tcPr>
          <w:p w14:paraId="530E8254" w14:textId="77777777" w:rsidR="00356842" w:rsidRPr="00356842" w:rsidRDefault="00356842" w:rsidP="00356842"/>
        </w:tc>
      </w:tr>
      <w:tr w:rsidR="00356842" w:rsidRPr="00356842" w14:paraId="41C04D77"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246A55D4" w14:textId="77777777" w:rsidR="00356842" w:rsidRPr="00356842" w:rsidRDefault="00356842" w:rsidP="00356842">
            <w:r w:rsidRPr="00356842">
              <w:t>The governing body formally adopts a counter fraud and corruption strategy to address the identified risks and align with the organisation’s acknowledged responsibilities and goals.</w:t>
            </w:r>
          </w:p>
        </w:tc>
        <w:tc>
          <w:tcPr>
            <w:tcW w:w="1984" w:type="dxa"/>
            <w:tcBorders>
              <w:top w:val="single" w:sz="4" w:space="0" w:color="auto"/>
              <w:left w:val="single" w:sz="4" w:space="0" w:color="auto"/>
              <w:bottom w:val="single" w:sz="4" w:space="0" w:color="auto"/>
              <w:right w:val="single" w:sz="4" w:space="0" w:color="auto"/>
            </w:tcBorders>
            <w:hideMark/>
          </w:tcPr>
          <w:p w14:paraId="1E6B62A3"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18B3B8AC" w14:textId="77777777" w:rsidR="00356842" w:rsidRPr="00356842" w:rsidRDefault="00356842" w:rsidP="00356842">
            <w:r w:rsidRPr="00356842">
              <w:t xml:space="preserve">The Council’s Counter Fraud Strategy has been in place for an extended period of time and is subject to proper review.  The strategy is reviewed by Senior Managers and is approved by elected members.  </w:t>
            </w:r>
          </w:p>
        </w:tc>
      </w:tr>
      <w:tr w:rsidR="00356842" w:rsidRPr="00356842" w14:paraId="6B5EB864"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0968A3CD" w14:textId="77777777" w:rsidR="00356842" w:rsidRPr="00356842" w:rsidRDefault="00356842" w:rsidP="00356842">
            <w:r w:rsidRPr="00356842">
              <w:t>The strategy includes the organisation’s use of joint working or partnership approaches to managing its risks, where appropriate.</w:t>
            </w:r>
          </w:p>
        </w:tc>
        <w:tc>
          <w:tcPr>
            <w:tcW w:w="1984" w:type="dxa"/>
            <w:tcBorders>
              <w:top w:val="single" w:sz="4" w:space="0" w:color="auto"/>
              <w:left w:val="single" w:sz="4" w:space="0" w:color="auto"/>
              <w:bottom w:val="single" w:sz="4" w:space="0" w:color="auto"/>
              <w:right w:val="single" w:sz="4" w:space="0" w:color="auto"/>
            </w:tcBorders>
            <w:hideMark/>
          </w:tcPr>
          <w:p w14:paraId="0E60B396"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2ED6393D" w14:textId="77777777" w:rsidR="00356842" w:rsidRPr="00356842" w:rsidRDefault="00356842" w:rsidP="00356842">
            <w:r w:rsidRPr="00356842">
              <w:t xml:space="preserve">Joint working exists across the Council, to ensure a robust response to those who seek to harm the Council across multiple areas, and with external partners to ensure </w:t>
            </w:r>
            <w:r w:rsidRPr="00356842">
              <w:lastRenderedPageBreak/>
              <w:t>appropriate sharing of information and reporting of alleged offending.  This includes Police, The Department for Work and Pensions (DWP), Health, Education, Social Care.</w:t>
            </w:r>
          </w:p>
        </w:tc>
      </w:tr>
      <w:tr w:rsidR="00356842" w:rsidRPr="00356842" w14:paraId="7C72D80B"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2BD4CF5D" w14:textId="77777777" w:rsidR="00356842" w:rsidRPr="00356842" w:rsidRDefault="00356842" w:rsidP="00356842">
            <w:r w:rsidRPr="00356842">
              <w:lastRenderedPageBreak/>
              <w:t xml:space="preserve">The strategy includes both proactive and responsive approaches that are best suited to the organisation’s fraud and corruption risks. </w:t>
            </w:r>
          </w:p>
        </w:tc>
        <w:tc>
          <w:tcPr>
            <w:tcW w:w="1984" w:type="dxa"/>
            <w:tcBorders>
              <w:top w:val="single" w:sz="4" w:space="0" w:color="auto"/>
              <w:left w:val="single" w:sz="4" w:space="0" w:color="auto"/>
              <w:bottom w:val="single" w:sz="4" w:space="0" w:color="auto"/>
              <w:right w:val="single" w:sz="4" w:space="0" w:color="auto"/>
            </w:tcBorders>
            <w:hideMark/>
          </w:tcPr>
          <w:p w14:paraId="1E23E027" w14:textId="77777777" w:rsidR="00356842" w:rsidRPr="00356842" w:rsidRDefault="00356842" w:rsidP="00356842">
            <w:r w:rsidRPr="00356842">
              <w:t>Partially Met</w:t>
            </w:r>
          </w:p>
        </w:tc>
        <w:tc>
          <w:tcPr>
            <w:tcW w:w="6015" w:type="dxa"/>
            <w:tcBorders>
              <w:top w:val="single" w:sz="4" w:space="0" w:color="auto"/>
              <w:left w:val="single" w:sz="4" w:space="0" w:color="auto"/>
              <w:bottom w:val="single" w:sz="4" w:space="0" w:color="auto"/>
              <w:right w:val="single" w:sz="4" w:space="0" w:color="auto"/>
            </w:tcBorders>
            <w:hideMark/>
          </w:tcPr>
          <w:p w14:paraId="615B08F0" w14:textId="77777777" w:rsidR="00356842" w:rsidRPr="00356842" w:rsidRDefault="00356842" w:rsidP="00356842">
            <w:r w:rsidRPr="00356842">
              <w:t xml:space="preserve">The Council are considering positive emerging use of data matching and analytical technology to support preventative and investigative work.  The use of technology is being advanced to ensure the earlier identification of fraud indicators and reduction in financial harm.  </w:t>
            </w:r>
          </w:p>
        </w:tc>
      </w:tr>
      <w:tr w:rsidR="00356842" w:rsidRPr="00356842" w14:paraId="66EB792D"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5CD71DAC" w14:textId="77777777" w:rsidR="00356842" w:rsidRPr="00356842" w:rsidRDefault="00356842" w:rsidP="00356842">
            <w:r w:rsidRPr="00356842">
              <w:t>The strategy includes clear identification of responsibility and accountability for delivery of the strategy and for providing oversight.</w:t>
            </w:r>
          </w:p>
        </w:tc>
        <w:tc>
          <w:tcPr>
            <w:tcW w:w="1984" w:type="dxa"/>
            <w:tcBorders>
              <w:top w:val="single" w:sz="4" w:space="0" w:color="auto"/>
              <w:left w:val="single" w:sz="4" w:space="0" w:color="auto"/>
              <w:bottom w:val="single" w:sz="4" w:space="0" w:color="auto"/>
              <w:right w:val="single" w:sz="4" w:space="0" w:color="auto"/>
            </w:tcBorders>
            <w:hideMark/>
          </w:tcPr>
          <w:p w14:paraId="439A3D1B"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0F2704AF" w14:textId="77777777" w:rsidR="00356842" w:rsidRPr="00356842" w:rsidRDefault="00356842" w:rsidP="00356842">
            <w:r w:rsidRPr="00356842">
              <w:t xml:space="preserve">The Counter Fraud strategy ensures accountability and the annual fraud reporting, along with resulting annual Fraud Plan, ensures actions are current and proportionate.  The levels of scrutiny provided by Senior Managers and Elected Members ensures scrutiny and appropriateness of those measures.  </w:t>
            </w:r>
          </w:p>
        </w:tc>
      </w:tr>
      <w:tr w:rsidR="00356842" w:rsidRPr="00356842" w14:paraId="10FC8A00" w14:textId="77777777" w:rsidTr="00356842">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729497C0" w14:textId="77777777" w:rsidR="00356842" w:rsidRPr="00356842" w:rsidRDefault="00356842" w:rsidP="00356842">
            <w:pPr>
              <w:rPr>
                <w:b/>
                <w:bCs/>
              </w:rPr>
            </w:pPr>
            <w:r w:rsidRPr="00356842">
              <w:rPr>
                <w:b/>
                <w:bCs/>
              </w:rPr>
              <w:t>Provide Resources</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98E89E0"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shd w:val="clear" w:color="auto" w:fill="D9D9D9"/>
          </w:tcPr>
          <w:p w14:paraId="7C4C2A37" w14:textId="77777777" w:rsidR="00356842" w:rsidRPr="00356842" w:rsidRDefault="00356842" w:rsidP="00356842"/>
        </w:tc>
      </w:tr>
      <w:tr w:rsidR="00356842" w:rsidRPr="00356842" w14:paraId="0652B3D1"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4346EBF4" w14:textId="77777777" w:rsidR="00356842" w:rsidRPr="00356842" w:rsidRDefault="00356842" w:rsidP="00356842">
            <w:r w:rsidRPr="00356842">
              <w:t>An annual assessment of whether the level of resource invested to counter fraud and corruption is proportionate for the level of risk.</w:t>
            </w:r>
          </w:p>
        </w:tc>
        <w:tc>
          <w:tcPr>
            <w:tcW w:w="1984" w:type="dxa"/>
            <w:tcBorders>
              <w:top w:val="single" w:sz="4" w:space="0" w:color="auto"/>
              <w:left w:val="single" w:sz="4" w:space="0" w:color="auto"/>
              <w:bottom w:val="single" w:sz="4" w:space="0" w:color="auto"/>
              <w:right w:val="single" w:sz="4" w:space="0" w:color="auto"/>
            </w:tcBorders>
            <w:hideMark/>
          </w:tcPr>
          <w:p w14:paraId="12D6D433" w14:textId="77777777" w:rsidR="00356842" w:rsidRPr="00356842" w:rsidRDefault="00356842" w:rsidP="00356842">
            <w:r w:rsidRPr="00356842">
              <w:t>Partially Met</w:t>
            </w:r>
          </w:p>
        </w:tc>
        <w:tc>
          <w:tcPr>
            <w:tcW w:w="6015" w:type="dxa"/>
            <w:tcBorders>
              <w:top w:val="single" w:sz="4" w:space="0" w:color="auto"/>
              <w:left w:val="single" w:sz="4" w:space="0" w:color="auto"/>
              <w:bottom w:val="single" w:sz="4" w:space="0" w:color="auto"/>
              <w:right w:val="single" w:sz="4" w:space="0" w:color="auto"/>
            </w:tcBorders>
            <w:hideMark/>
          </w:tcPr>
          <w:p w14:paraId="569752DC" w14:textId="77777777" w:rsidR="00356842" w:rsidRPr="00356842" w:rsidRDefault="00356842" w:rsidP="00356842">
            <w:r w:rsidRPr="00356842">
              <w:t xml:space="preserve">The Council’s Counter Fraud Team have undergone a recent review and restructure.  The identification of fraud indicators linked to bulk risk area (Council Tax Single Person Discount) has increased to the extent that additional work has been identified, with a clear prospect of increasing Council revenue (through increased liability), but consideration now needs to be given to resourcing capacity to meet demand.  </w:t>
            </w:r>
          </w:p>
        </w:tc>
      </w:tr>
      <w:tr w:rsidR="00356842" w:rsidRPr="00356842" w14:paraId="77FEFB57"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2DC91000" w14:textId="77777777" w:rsidR="00356842" w:rsidRPr="00356842" w:rsidRDefault="00356842" w:rsidP="00356842">
            <w:r w:rsidRPr="00356842">
              <w:t>The organisation utilises an appropriate mix of experienced and skilled staff, including access to counter fraud staff with professional accreditation.</w:t>
            </w:r>
          </w:p>
        </w:tc>
        <w:tc>
          <w:tcPr>
            <w:tcW w:w="1984" w:type="dxa"/>
            <w:tcBorders>
              <w:top w:val="single" w:sz="4" w:space="0" w:color="auto"/>
              <w:left w:val="single" w:sz="4" w:space="0" w:color="auto"/>
              <w:bottom w:val="single" w:sz="4" w:space="0" w:color="auto"/>
              <w:right w:val="single" w:sz="4" w:space="0" w:color="auto"/>
            </w:tcBorders>
            <w:hideMark/>
          </w:tcPr>
          <w:p w14:paraId="157796E3"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27E42F80" w14:textId="77777777" w:rsidR="00356842" w:rsidRPr="00356842" w:rsidRDefault="00356842" w:rsidP="00356842">
            <w:r w:rsidRPr="00356842">
              <w:t xml:space="preserve">The Council is committed to the continued professional development of staff and currently has a positive blend of experience and qualification to ensure a professional response to any type of fraud investigation.  Steps are currently being taken to enhance development and to learn from regional partners around best practice and learning opportunities.  </w:t>
            </w:r>
          </w:p>
        </w:tc>
      </w:tr>
      <w:tr w:rsidR="00356842" w:rsidRPr="00356842" w14:paraId="59F8D10E"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0BFD4181" w14:textId="77777777" w:rsidR="00356842" w:rsidRPr="00356842" w:rsidRDefault="00356842" w:rsidP="00356842">
            <w:r w:rsidRPr="00356842">
              <w:t>The organisation grants counter fraud staff unhindered access to its employees, information and other resources as required for investigation purposes.</w:t>
            </w:r>
          </w:p>
        </w:tc>
        <w:tc>
          <w:tcPr>
            <w:tcW w:w="1984" w:type="dxa"/>
            <w:tcBorders>
              <w:top w:val="single" w:sz="4" w:space="0" w:color="auto"/>
              <w:left w:val="single" w:sz="4" w:space="0" w:color="auto"/>
              <w:bottom w:val="single" w:sz="4" w:space="0" w:color="auto"/>
              <w:right w:val="single" w:sz="4" w:space="0" w:color="auto"/>
            </w:tcBorders>
            <w:hideMark/>
          </w:tcPr>
          <w:p w14:paraId="0DC69FF3"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17F2D597" w14:textId="77777777" w:rsidR="00356842" w:rsidRPr="00356842" w:rsidRDefault="00356842" w:rsidP="00356842">
            <w:r w:rsidRPr="00356842">
              <w:t xml:space="preserve">The Council is supportive of new and innovative ways of working to support the valuable resources.  Time will always be dedicated to ensuring methods are current and things are not simply done today because they </w:t>
            </w:r>
            <w:r w:rsidRPr="00356842">
              <w:lastRenderedPageBreak/>
              <w:t xml:space="preserve">were completed the same way yesterday.  Behaviours linked to Fraud always change and the Council is flexible in its approach. </w:t>
            </w:r>
          </w:p>
        </w:tc>
      </w:tr>
      <w:tr w:rsidR="00356842" w:rsidRPr="00356842" w14:paraId="465EB3D2"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3978DFB3" w14:textId="77777777" w:rsidR="00356842" w:rsidRPr="00356842" w:rsidRDefault="00356842" w:rsidP="00356842">
            <w:r w:rsidRPr="00356842">
              <w:lastRenderedPageBreak/>
              <w:t>The organisation has protocols in place to facilitate joint working and data and intelligence sharing to support counter fraud activity.</w:t>
            </w:r>
          </w:p>
        </w:tc>
        <w:tc>
          <w:tcPr>
            <w:tcW w:w="1984" w:type="dxa"/>
            <w:tcBorders>
              <w:top w:val="single" w:sz="4" w:space="0" w:color="auto"/>
              <w:left w:val="single" w:sz="4" w:space="0" w:color="auto"/>
              <w:bottom w:val="single" w:sz="4" w:space="0" w:color="auto"/>
              <w:right w:val="single" w:sz="4" w:space="0" w:color="auto"/>
            </w:tcBorders>
            <w:hideMark/>
          </w:tcPr>
          <w:p w14:paraId="6D2AB928" w14:textId="77777777" w:rsidR="00356842" w:rsidRPr="00356842" w:rsidRDefault="00356842" w:rsidP="00356842">
            <w:r w:rsidRPr="00356842">
              <w:t>Partially Met</w:t>
            </w:r>
          </w:p>
        </w:tc>
        <w:tc>
          <w:tcPr>
            <w:tcW w:w="6015" w:type="dxa"/>
            <w:tcBorders>
              <w:top w:val="single" w:sz="4" w:space="0" w:color="auto"/>
              <w:left w:val="single" w:sz="4" w:space="0" w:color="auto"/>
              <w:bottom w:val="single" w:sz="4" w:space="0" w:color="auto"/>
              <w:right w:val="single" w:sz="4" w:space="0" w:color="auto"/>
            </w:tcBorders>
            <w:hideMark/>
          </w:tcPr>
          <w:p w14:paraId="1B0E1949" w14:textId="77777777" w:rsidR="00356842" w:rsidRPr="00356842" w:rsidRDefault="00356842" w:rsidP="00356842">
            <w:r w:rsidRPr="00356842">
              <w:t>The Council has refreshed its information sharing arrangements around The Data Protection Act 2018 and work has been completed with relevant partners to ensure full cooperation and compliance.  The Council acknowledges its essential part in preventing and detecting crime with wider partners to make communities safer.</w:t>
            </w:r>
          </w:p>
          <w:p w14:paraId="06ECD2C6" w14:textId="77777777" w:rsidR="00356842" w:rsidRPr="00356842" w:rsidRDefault="00356842" w:rsidP="00356842">
            <w:r w:rsidRPr="00356842">
              <w:t xml:space="preserve">The Council is currently considering the recording of fraud intelligence to further strengthen procedures and to ensure those who cause repeated harm to this Council, and others, receive a robust and joined-up response.  </w:t>
            </w:r>
          </w:p>
        </w:tc>
      </w:tr>
      <w:tr w:rsidR="00356842" w:rsidRPr="00356842" w14:paraId="641A64E5" w14:textId="77777777" w:rsidTr="00356842">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3A255A7A" w14:textId="77777777" w:rsidR="00356842" w:rsidRPr="00356842" w:rsidRDefault="00356842" w:rsidP="00356842">
            <w:pPr>
              <w:rPr>
                <w:b/>
                <w:bCs/>
              </w:rPr>
            </w:pPr>
            <w:r w:rsidRPr="00356842">
              <w:rPr>
                <w:b/>
                <w:bCs/>
              </w:rPr>
              <w:t>Take Action</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60CD655" w14:textId="77777777" w:rsidR="00356842" w:rsidRPr="00356842" w:rsidRDefault="00356842" w:rsidP="00356842"/>
        </w:tc>
        <w:tc>
          <w:tcPr>
            <w:tcW w:w="6015" w:type="dxa"/>
            <w:tcBorders>
              <w:top w:val="single" w:sz="4" w:space="0" w:color="auto"/>
              <w:left w:val="single" w:sz="4" w:space="0" w:color="auto"/>
              <w:bottom w:val="single" w:sz="4" w:space="0" w:color="auto"/>
              <w:right w:val="single" w:sz="4" w:space="0" w:color="auto"/>
            </w:tcBorders>
            <w:shd w:val="clear" w:color="auto" w:fill="D9D9D9"/>
          </w:tcPr>
          <w:p w14:paraId="758756D0" w14:textId="77777777" w:rsidR="00356842" w:rsidRPr="00356842" w:rsidRDefault="00356842" w:rsidP="00356842"/>
        </w:tc>
      </w:tr>
      <w:tr w:rsidR="00356842" w:rsidRPr="00356842" w14:paraId="5A5EBCF8"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639D7E6E" w14:textId="77777777" w:rsidR="00356842" w:rsidRPr="00356842" w:rsidRDefault="00356842" w:rsidP="00356842">
            <w:r w:rsidRPr="00356842">
              <w:t>The organisation has put in place a policy framework which supports the implementation of the counter fraud strategy. As a minimum the framework includes:</w:t>
            </w:r>
          </w:p>
          <w:p w14:paraId="2C08289D" w14:textId="77777777" w:rsidR="00356842" w:rsidRPr="00356842" w:rsidRDefault="00356842" w:rsidP="00356842">
            <w:r w:rsidRPr="00356842">
              <w:t xml:space="preserve"> Counter fraud policy</w:t>
            </w:r>
          </w:p>
          <w:p w14:paraId="500AE307" w14:textId="77777777" w:rsidR="00356842" w:rsidRPr="00356842" w:rsidRDefault="00356842" w:rsidP="00356842">
            <w:r w:rsidRPr="00356842">
              <w:t xml:space="preserve"> Whistleblowing policy</w:t>
            </w:r>
          </w:p>
          <w:p w14:paraId="4CB47522" w14:textId="77777777" w:rsidR="00356842" w:rsidRPr="00356842" w:rsidRDefault="00356842" w:rsidP="00356842">
            <w:r w:rsidRPr="00356842">
              <w:t xml:space="preserve"> Anti-money laundering policy</w:t>
            </w:r>
          </w:p>
          <w:p w14:paraId="41FE8147" w14:textId="77777777" w:rsidR="00356842" w:rsidRPr="00356842" w:rsidRDefault="00356842" w:rsidP="00356842">
            <w:r w:rsidRPr="00356842">
              <w:t xml:space="preserve"> Anti-bribery policy</w:t>
            </w:r>
          </w:p>
          <w:p w14:paraId="5BB25828" w14:textId="77777777" w:rsidR="00356842" w:rsidRPr="00356842" w:rsidRDefault="00356842" w:rsidP="00356842">
            <w:r w:rsidRPr="00356842">
              <w:t xml:space="preserve"> Anti-corruption policy</w:t>
            </w:r>
          </w:p>
          <w:p w14:paraId="63ECEECA" w14:textId="77777777" w:rsidR="00356842" w:rsidRPr="00356842" w:rsidRDefault="00356842" w:rsidP="00356842">
            <w:r w:rsidRPr="00356842">
              <w:t xml:space="preserve"> Gifts and hospitality policy and register</w:t>
            </w:r>
          </w:p>
          <w:p w14:paraId="1391A9AE" w14:textId="77777777" w:rsidR="00356842" w:rsidRPr="00356842" w:rsidRDefault="00356842" w:rsidP="00356842">
            <w:r w:rsidRPr="00356842">
              <w:t xml:space="preserve"> Pecuniary interest and conflicts of interest policies and register</w:t>
            </w:r>
          </w:p>
          <w:p w14:paraId="56273A12" w14:textId="77777777" w:rsidR="00356842" w:rsidRPr="00356842" w:rsidRDefault="00356842" w:rsidP="00356842">
            <w:r w:rsidRPr="00356842">
              <w:t xml:space="preserve"> Codes of conduct and ethics Information security policy  Cyber security policy.</w:t>
            </w:r>
          </w:p>
        </w:tc>
        <w:tc>
          <w:tcPr>
            <w:tcW w:w="1984" w:type="dxa"/>
            <w:tcBorders>
              <w:top w:val="single" w:sz="4" w:space="0" w:color="auto"/>
              <w:left w:val="single" w:sz="4" w:space="0" w:color="auto"/>
              <w:bottom w:val="single" w:sz="4" w:space="0" w:color="auto"/>
              <w:right w:val="single" w:sz="4" w:space="0" w:color="auto"/>
            </w:tcBorders>
            <w:hideMark/>
          </w:tcPr>
          <w:p w14:paraId="39EBB7C8"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22F63512" w14:textId="77777777" w:rsidR="00356842" w:rsidRPr="00356842" w:rsidRDefault="00356842" w:rsidP="00356842">
            <w:r w:rsidRPr="00356842">
              <w:t xml:space="preserve">Though the policies are not all owned by this author, the Council does have relevant policies in place and are subject to regular formal review. </w:t>
            </w:r>
          </w:p>
        </w:tc>
      </w:tr>
      <w:tr w:rsidR="00356842" w:rsidRPr="00356842" w14:paraId="556983D2"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7F84503B" w14:textId="77777777" w:rsidR="00356842" w:rsidRPr="00356842" w:rsidRDefault="00356842" w:rsidP="00356842">
            <w:r w:rsidRPr="00356842">
              <w:t>Plans and operations are aligned to the strategy and contribute to the achievement of the organisation’s overall goal of maintaining resilience to fraud and corruption.</w:t>
            </w:r>
          </w:p>
        </w:tc>
        <w:tc>
          <w:tcPr>
            <w:tcW w:w="1984" w:type="dxa"/>
            <w:tcBorders>
              <w:top w:val="single" w:sz="4" w:space="0" w:color="auto"/>
              <w:left w:val="single" w:sz="4" w:space="0" w:color="auto"/>
              <w:bottom w:val="single" w:sz="4" w:space="0" w:color="auto"/>
              <w:right w:val="single" w:sz="4" w:space="0" w:color="auto"/>
            </w:tcBorders>
            <w:hideMark/>
          </w:tcPr>
          <w:p w14:paraId="1206D4FB"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2B256A3E" w14:textId="77777777" w:rsidR="00356842" w:rsidRPr="00356842" w:rsidRDefault="00356842" w:rsidP="00356842">
            <w:r w:rsidRPr="00356842">
              <w:t xml:space="preserve">The Counter Fraud resources are allocated in line with the Fraud Risk Profile to ensure the Council’s response is proportionate to its risk assessment.  Investigative actions are allocated based on the sliding scale of threat, risk, and harm.  </w:t>
            </w:r>
          </w:p>
        </w:tc>
      </w:tr>
      <w:tr w:rsidR="00356842" w:rsidRPr="00356842" w14:paraId="5666C93B"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4BF2EB13" w14:textId="77777777" w:rsidR="00356842" w:rsidRPr="00356842" w:rsidRDefault="00356842" w:rsidP="00356842">
            <w:r w:rsidRPr="00356842">
              <w:t>Making effective use of national or sectoral initiatives to detect fraud or prevent fraud, such as data matching or intelligence sharing.</w:t>
            </w:r>
          </w:p>
        </w:tc>
        <w:tc>
          <w:tcPr>
            <w:tcW w:w="1984" w:type="dxa"/>
            <w:tcBorders>
              <w:top w:val="single" w:sz="4" w:space="0" w:color="auto"/>
              <w:left w:val="single" w:sz="4" w:space="0" w:color="auto"/>
              <w:bottom w:val="single" w:sz="4" w:space="0" w:color="auto"/>
              <w:right w:val="single" w:sz="4" w:space="0" w:color="auto"/>
            </w:tcBorders>
            <w:hideMark/>
          </w:tcPr>
          <w:p w14:paraId="4131254C" w14:textId="77777777" w:rsidR="00356842" w:rsidRPr="00356842" w:rsidRDefault="00356842" w:rsidP="00356842">
            <w:r w:rsidRPr="00356842">
              <w:t>Partially Met</w:t>
            </w:r>
          </w:p>
        </w:tc>
        <w:tc>
          <w:tcPr>
            <w:tcW w:w="6015" w:type="dxa"/>
            <w:tcBorders>
              <w:top w:val="single" w:sz="4" w:space="0" w:color="auto"/>
              <w:left w:val="single" w:sz="4" w:space="0" w:color="auto"/>
              <w:bottom w:val="single" w:sz="4" w:space="0" w:color="auto"/>
              <w:right w:val="single" w:sz="4" w:space="0" w:color="auto"/>
            </w:tcBorders>
            <w:hideMark/>
          </w:tcPr>
          <w:p w14:paraId="1570B5F2" w14:textId="77777777" w:rsidR="00356842" w:rsidRPr="00356842" w:rsidRDefault="00356842" w:rsidP="00356842">
            <w:r w:rsidRPr="00356842">
              <w:t xml:space="preserve">The Council engages in complex data matching around its own investigation of Council Tax Single Person Discount, but also participates in the National Fraud </w:t>
            </w:r>
            <w:r w:rsidRPr="00356842">
              <w:lastRenderedPageBreak/>
              <w:t>Exercise (NFI).  An assessment is being made of these capabilities to ensure the Council maximises its protection of public funds.</w:t>
            </w:r>
          </w:p>
          <w:p w14:paraId="2000B685" w14:textId="77777777" w:rsidR="00356842" w:rsidRPr="00356842" w:rsidRDefault="00356842" w:rsidP="00356842">
            <w:r w:rsidRPr="00356842">
              <w:t xml:space="preserve">There is a great deal of investment in this area but identified further fraud loss that could be investigated if capacity were increased.  </w:t>
            </w:r>
          </w:p>
        </w:tc>
      </w:tr>
      <w:tr w:rsidR="00356842" w:rsidRPr="00356842" w14:paraId="2B6B90EC"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4042D020" w14:textId="77777777" w:rsidR="00356842" w:rsidRPr="00356842" w:rsidRDefault="00356842" w:rsidP="00356842">
            <w:r w:rsidRPr="00356842">
              <w:lastRenderedPageBreak/>
              <w:t>Providing for independent assurance over fraud risk management, strategy and activities.</w:t>
            </w:r>
          </w:p>
        </w:tc>
        <w:tc>
          <w:tcPr>
            <w:tcW w:w="1984" w:type="dxa"/>
            <w:tcBorders>
              <w:top w:val="single" w:sz="4" w:space="0" w:color="auto"/>
              <w:left w:val="single" w:sz="4" w:space="0" w:color="auto"/>
              <w:bottom w:val="single" w:sz="4" w:space="0" w:color="auto"/>
              <w:right w:val="single" w:sz="4" w:space="0" w:color="auto"/>
            </w:tcBorders>
            <w:hideMark/>
          </w:tcPr>
          <w:p w14:paraId="5E37207C"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03E60C1E" w14:textId="77777777" w:rsidR="00356842" w:rsidRPr="00356842" w:rsidRDefault="00356842" w:rsidP="00356842">
            <w:r w:rsidRPr="00356842">
              <w:t xml:space="preserve">The Council has a reciprocal arrangement with a neighbouring Council to assess Counter Fraud arrangements.  Such an assessment will be consider for 2025/26.  </w:t>
            </w:r>
          </w:p>
        </w:tc>
      </w:tr>
      <w:tr w:rsidR="00356842" w:rsidRPr="00356842" w14:paraId="36C8C59F" w14:textId="77777777" w:rsidTr="00356842">
        <w:tc>
          <w:tcPr>
            <w:tcW w:w="5949" w:type="dxa"/>
            <w:tcBorders>
              <w:top w:val="single" w:sz="4" w:space="0" w:color="auto"/>
              <w:left w:val="single" w:sz="4" w:space="0" w:color="auto"/>
              <w:bottom w:val="single" w:sz="4" w:space="0" w:color="auto"/>
              <w:right w:val="single" w:sz="4" w:space="0" w:color="auto"/>
            </w:tcBorders>
            <w:hideMark/>
          </w:tcPr>
          <w:p w14:paraId="58A38626" w14:textId="77777777" w:rsidR="00356842" w:rsidRPr="00356842" w:rsidRDefault="00356842" w:rsidP="00356842">
            <w:r w:rsidRPr="00356842">
              <w:t>There is a report to the governing body at least annually on performance against the counter fraud strategy and the effectiveness of the strategy from the lead person(s) designated in the strategy. Conclusions are featured in the annual governance report.</w:t>
            </w:r>
          </w:p>
        </w:tc>
        <w:tc>
          <w:tcPr>
            <w:tcW w:w="1984" w:type="dxa"/>
            <w:tcBorders>
              <w:top w:val="single" w:sz="4" w:space="0" w:color="auto"/>
              <w:left w:val="single" w:sz="4" w:space="0" w:color="auto"/>
              <w:bottom w:val="single" w:sz="4" w:space="0" w:color="auto"/>
              <w:right w:val="single" w:sz="4" w:space="0" w:color="auto"/>
            </w:tcBorders>
            <w:hideMark/>
          </w:tcPr>
          <w:p w14:paraId="145E4689" w14:textId="77777777" w:rsidR="00356842" w:rsidRPr="00356842" w:rsidRDefault="00356842" w:rsidP="00356842">
            <w:r w:rsidRPr="00356842">
              <w:t>Met</w:t>
            </w:r>
          </w:p>
        </w:tc>
        <w:tc>
          <w:tcPr>
            <w:tcW w:w="6015" w:type="dxa"/>
            <w:tcBorders>
              <w:top w:val="single" w:sz="4" w:space="0" w:color="auto"/>
              <w:left w:val="single" w:sz="4" w:space="0" w:color="auto"/>
              <w:bottom w:val="single" w:sz="4" w:space="0" w:color="auto"/>
              <w:right w:val="single" w:sz="4" w:space="0" w:color="auto"/>
            </w:tcBorders>
            <w:hideMark/>
          </w:tcPr>
          <w:p w14:paraId="7FC4AA5E" w14:textId="77777777" w:rsidR="00356842" w:rsidRPr="00356842" w:rsidRDefault="00356842" w:rsidP="00356842">
            <w:r w:rsidRPr="00356842">
              <w:t>The Annual Fraud Report comments on the delivery of Counter Fraud work for the preceding year and now makes proposals around that data informing the Fraud Plan for the following year.</w:t>
            </w:r>
          </w:p>
        </w:tc>
      </w:tr>
    </w:tbl>
    <w:p w14:paraId="4F5226C6" w14:textId="77777777" w:rsidR="00356842" w:rsidRPr="00356842" w:rsidRDefault="00356842" w:rsidP="00356842">
      <w:pPr>
        <w:spacing w:after="160" w:line="256" w:lineRule="auto"/>
        <w:rPr>
          <w:rFonts w:ascii="Aptos" w:eastAsia="Aptos" w:hAnsi="Aptos"/>
          <w:kern w:val="2"/>
          <w:sz w:val="22"/>
          <w:szCs w:val="22"/>
          <w:lang w:eastAsia="en-US"/>
          <w14:ligatures w14:val="standardContextual"/>
        </w:rPr>
      </w:pPr>
    </w:p>
    <w:p w14:paraId="2D43F0F8" w14:textId="77777777" w:rsidR="00356842" w:rsidRDefault="00356842" w:rsidP="00C006D7">
      <w:pPr>
        <w:jc w:val="both"/>
        <w:rPr>
          <w:rFonts w:ascii="Arial" w:hAnsi="Arial" w:cs="Arial"/>
          <w:b/>
          <w:bCs/>
          <w:iCs/>
          <w:sz w:val="32"/>
          <w:szCs w:val="32"/>
        </w:rPr>
      </w:pPr>
    </w:p>
    <w:p w14:paraId="033A5393" w14:textId="77777777" w:rsidR="007E7E02" w:rsidRDefault="007E7E02" w:rsidP="00C006D7">
      <w:pPr>
        <w:jc w:val="both"/>
        <w:rPr>
          <w:rFonts w:ascii="Arial" w:hAnsi="Arial" w:cs="Arial"/>
          <w:b/>
          <w:bCs/>
          <w:iCs/>
          <w:sz w:val="32"/>
          <w:szCs w:val="32"/>
        </w:rPr>
      </w:pPr>
    </w:p>
    <w:p w14:paraId="2077E913" w14:textId="77777777" w:rsidR="007E7E02" w:rsidRDefault="007E7E02" w:rsidP="00C006D7">
      <w:pPr>
        <w:jc w:val="both"/>
        <w:rPr>
          <w:rFonts w:ascii="Arial" w:hAnsi="Arial" w:cs="Arial"/>
          <w:b/>
          <w:bCs/>
          <w:iCs/>
          <w:sz w:val="32"/>
          <w:szCs w:val="32"/>
        </w:rPr>
      </w:pPr>
    </w:p>
    <w:p w14:paraId="1CE1CED3" w14:textId="77777777" w:rsidR="007E7E02" w:rsidRDefault="007E7E02" w:rsidP="00C006D7">
      <w:pPr>
        <w:jc w:val="both"/>
        <w:rPr>
          <w:rFonts w:ascii="Arial" w:hAnsi="Arial" w:cs="Arial"/>
          <w:b/>
          <w:bCs/>
          <w:iCs/>
          <w:sz w:val="32"/>
          <w:szCs w:val="32"/>
        </w:rPr>
      </w:pPr>
    </w:p>
    <w:p w14:paraId="2392C1D5" w14:textId="77777777" w:rsidR="007E7E02" w:rsidRDefault="007E7E02" w:rsidP="00C006D7">
      <w:pPr>
        <w:jc w:val="both"/>
        <w:rPr>
          <w:rFonts w:ascii="Arial" w:hAnsi="Arial" w:cs="Arial"/>
          <w:b/>
          <w:bCs/>
          <w:iCs/>
          <w:sz w:val="32"/>
          <w:szCs w:val="32"/>
        </w:rPr>
      </w:pPr>
    </w:p>
    <w:p w14:paraId="644A9BA7" w14:textId="77777777" w:rsidR="007E7E02" w:rsidRDefault="007E7E02" w:rsidP="00C006D7">
      <w:pPr>
        <w:jc w:val="both"/>
        <w:rPr>
          <w:rFonts w:ascii="Arial" w:hAnsi="Arial" w:cs="Arial"/>
          <w:b/>
          <w:bCs/>
          <w:iCs/>
          <w:sz w:val="32"/>
          <w:szCs w:val="32"/>
        </w:rPr>
      </w:pPr>
    </w:p>
    <w:p w14:paraId="12EB3473" w14:textId="77777777" w:rsidR="007E7E02" w:rsidRDefault="007E7E02" w:rsidP="00C006D7">
      <w:pPr>
        <w:jc w:val="both"/>
        <w:rPr>
          <w:rFonts w:ascii="Arial" w:hAnsi="Arial" w:cs="Arial"/>
          <w:b/>
          <w:bCs/>
          <w:iCs/>
          <w:sz w:val="32"/>
          <w:szCs w:val="32"/>
        </w:rPr>
      </w:pPr>
    </w:p>
    <w:p w14:paraId="31E4FD45" w14:textId="77777777" w:rsidR="007E7E02" w:rsidRDefault="007E7E02" w:rsidP="00C006D7">
      <w:pPr>
        <w:jc w:val="both"/>
        <w:rPr>
          <w:rFonts w:ascii="Arial" w:hAnsi="Arial" w:cs="Arial"/>
          <w:b/>
          <w:bCs/>
          <w:iCs/>
          <w:sz w:val="32"/>
          <w:szCs w:val="32"/>
        </w:rPr>
      </w:pPr>
    </w:p>
    <w:p w14:paraId="611938EB" w14:textId="77777777" w:rsidR="007E7E02" w:rsidRDefault="007E7E02" w:rsidP="00C006D7">
      <w:pPr>
        <w:jc w:val="both"/>
        <w:rPr>
          <w:rFonts w:ascii="Arial" w:hAnsi="Arial" w:cs="Arial"/>
          <w:b/>
          <w:bCs/>
          <w:iCs/>
          <w:sz w:val="32"/>
          <w:szCs w:val="32"/>
        </w:rPr>
      </w:pPr>
    </w:p>
    <w:p w14:paraId="449A273C" w14:textId="77777777" w:rsidR="007E7E02" w:rsidRDefault="007E7E02" w:rsidP="00C006D7">
      <w:pPr>
        <w:jc w:val="both"/>
        <w:rPr>
          <w:rFonts w:ascii="Arial" w:hAnsi="Arial" w:cs="Arial"/>
          <w:b/>
          <w:bCs/>
          <w:iCs/>
          <w:sz w:val="32"/>
          <w:szCs w:val="32"/>
        </w:rPr>
      </w:pPr>
    </w:p>
    <w:p w14:paraId="723716E3" w14:textId="77777777" w:rsidR="007E7E02" w:rsidRDefault="007E7E02" w:rsidP="00C006D7">
      <w:pPr>
        <w:jc w:val="both"/>
        <w:rPr>
          <w:rFonts w:ascii="Arial" w:hAnsi="Arial" w:cs="Arial"/>
          <w:b/>
          <w:bCs/>
          <w:iCs/>
          <w:sz w:val="32"/>
          <w:szCs w:val="32"/>
        </w:rPr>
      </w:pPr>
    </w:p>
    <w:p w14:paraId="37CCF1D1" w14:textId="77777777" w:rsidR="007E7E02" w:rsidRDefault="007E7E02" w:rsidP="00C006D7">
      <w:pPr>
        <w:jc w:val="both"/>
        <w:rPr>
          <w:rFonts w:ascii="Arial" w:hAnsi="Arial" w:cs="Arial"/>
          <w:b/>
          <w:bCs/>
          <w:iCs/>
          <w:sz w:val="32"/>
          <w:szCs w:val="32"/>
        </w:rPr>
      </w:pPr>
    </w:p>
    <w:p w14:paraId="7611E180" w14:textId="77777777" w:rsidR="007E7E02" w:rsidRDefault="007E7E02" w:rsidP="00C006D7">
      <w:pPr>
        <w:jc w:val="both"/>
        <w:rPr>
          <w:rFonts w:ascii="Arial" w:hAnsi="Arial" w:cs="Arial"/>
          <w:b/>
          <w:bCs/>
          <w:iCs/>
          <w:sz w:val="32"/>
          <w:szCs w:val="32"/>
        </w:rPr>
      </w:pPr>
    </w:p>
    <w:p w14:paraId="020CD324" w14:textId="77777777" w:rsidR="007E7E02" w:rsidRDefault="007E7E02" w:rsidP="00C006D7">
      <w:pPr>
        <w:jc w:val="both"/>
        <w:rPr>
          <w:rFonts w:ascii="Arial" w:hAnsi="Arial" w:cs="Arial"/>
          <w:b/>
          <w:bCs/>
          <w:iCs/>
          <w:sz w:val="32"/>
          <w:szCs w:val="32"/>
        </w:rPr>
      </w:pPr>
    </w:p>
    <w:p w14:paraId="1FC1ABE9" w14:textId="77777777" w:rsidR="007E7E02" w:rsidRDefault="007E7E02" w:rsidP="00C006D7">
      <w:pPr>
        <w:jc w:val="both"/>
        <w:rPr>
          <w:rFonts w:ascii="Arial" w:hAnsi="Arial" w:cs="Arial"/>
          <w:b/>
          <w:bCs/>
          <w:iCs/>
          <w:sz w:val="32"/>
          <w:szCs w:val="32"/>
        </w:rPr>
      </w:pPr>
    </w:p>
    <w:p w14:paraId="0F7E7924" w14:textId="77777777" w:rsidR="007E7E02" w:rsidRDefault="007E7E02" w:rsidP="00C006D7">
      <w:pPr>
        <w:jc w:val="both"/>
        <w:rPr>
          <w:rFonts w:ascii="Arial" w:hAnsi="Arial" w:cs="Arial"/>
          <w:b/>
          <w:bCs/>
          <w:iCs/>
          <w:sz w:val="32"/>
          <w:szCs w:val="32"/>
        </w:rPr>
      </w:pPr>
    </w:p>
    <w:p w14:paraId="58EBB0FC" w14:textId="77777777" w:rsidR="00CE0743" w:rsidRDefault="00CE0743" w:rsidP="00C006D7">
      <w:pPr>
        <w:jc w:val="both"/>
        <w:rPr>
          <w:rFonts w:ascii="Arial" w:hAnsi="Arial" w:cs="Arial"/>
          <w:b/>
          <w:bCs/>
          <w:iCs/>
          <w:sz w:val="32"/>
          <w:szCs w:val="32"/>
        </w:rPr>
      </w:pPr>
    </w:p>
    <w:p w14:paraId="2428655A" w14:textId="77777777" w:rsidR="00CE0743" w:rsidRDefault="00CE0743" w:rsidP="00C006D7">
      <w:pPr>
        <w:jc w:val="both"/>
        <w:rPr>
          <w:rFonts w:ascii="Arial" w:hAnsi="Arial" w:cs="Arial"/>
          <w:b/>
          <w:bCs/>
          <w:iCs/>
          <w:sz w:val="32"/>
          <w:szCs w:val="32"/>
        </w:rPr>
      </w:pPr>
    </w:p>
    <w:p w14:paraId="69D97151" w14:textId="77777777" w:rsidR="00CE0743" w:rsidRDefault="00CE0743" w:rsidP="00C006D7">
      <w:pPr>
        <w:jc w:val="both"/>
        <w:rPr>
          <w:rFonts w:ascii="Arial" w:hAnsi="Arial" w:cs="Arial"/>
          <w:b/>
          <w:bCs/>
          <w:iCs/>
          <w:sz w:val="32"/>
          <w:szCs w:val="32"/>
        </w:rPr>
      </w:pPr>
    </w:p>
    <w:p w14:paraId="1D63B2EB" w14:textId="77777777" w:rsidR="00CE0743" w:rsidRDefault="00CE0743" w:rsidP="00C006D7">
      <w:pPr>
        <w:jc w:val="both"/>
        <w:rPr>
          <w:rFonts w:ascii="Arial" w:hAnsi="Arial" w:cs="Arial"/>
          <w:b/>
          <w:bCs/>
          <w:iCs/>
          <w:sz w:val="32"/>
          <w:szCs w:val="32"/>
        </w:rPr>
      </w:pPr>
    </w:p>
    <w:p w14:paraId="16CDDA4E" w14:textId="77777777" w:rsidR="00CE0743" w:rsidRDefault="00CE0743" w:rsidP="00C006D7">
      <w:pPr>
        <w:jc w:val="both"/>
        <w:rPr>
          <w:rFonts w:ascii="Arial" w:hAnsi="Arial" w:cs="Arial"/>
          <w:b/>
          <w:bCs/>
          <w:iCs/>
          <w:sz w:val="32"/>
          <w:szCs w:val="32"/>
        </w:rPr>
      </w:pPr>
    </w:p>
    <w:p w14:paraId="6E3337C0" w14:textId="1C6E2587" w:rsidR="007E7E02" w:rsidRDefault="007E7E02" w:rsidP="00C006D7">
      <w:pPr>
        <w:jc w:val="both"/>
        <w:rPr>
          <w:rFonts w:ascii="Arial" w:hAnsi="Arial" w:cs="Arial"/>
          <w:b/>
          <w:bCs/>
          <w:iCs/>
          <w:sz w:val="24"/>
          <w:szCs w:val="24"/>
        </w:rPr>
      </w:pPr>
      <w:r>
        <w:rPr>
          <w:rFonts w:ascii="Arial" w:hAnsi="Arial" w:cs="Arial"/>
          <w:b/>
          <w:bCs/>
          <w:iCs/>
          <w:sz w:val="24"/>
          <w:szCs w:val="24"/>
        </w:rPr>
        <w:lastRenderedPageBreak/>
        <w:t>Appendix 2 – Annual Fraud Plan 2025/26</w:t>
      </w:r>
    </w:p>
    <w:p w14:paraId="1B5D8EB7" w14:textId="77777777" w:rsidR="007E7E02" w:rsidRDefault="007E7E02" w:rsidP="00C006D7">
      <w:pPr>
        <w:jc w:val="both"/>
        <w:rPr>
          <w:rFonts w:ascii="Arial" w:hAnsi="Arial" w:cs="Arial"/>
          <w:b/>
          <w:bCs/>
          <w:iCs/>
          <w:sz w:val="24"/>
          <w:szCs w:val="24"/>
        </w:rPr>
      </w:pPr>
    </w:p>
    <w:p w14:paraId="74BA4C21" w14:textId="77777777" w:rsidR="004058AC" w:rsidRDefault="004058AC" w:rsidP="00C006D7">
      <w:pPr>
        <w:jc w:val="both"/>
        <w:rPr>
          <w:rFonts w:ascii="Arial" w:hAnsi="Arial" w:cs="Arial"/>
          <w:b/>
          <w:bCs/>
          <w:iCs/>
          <w:sz w:val="24"/>
          <w:szCs w:val="24"/>
        </w:rPr>
      </w:pPr>
    </w:p>
    <w:tbl>
      <w:tblPr>
        <w:tblStyle w:val="TableGrid"/>
        <w:tblW w:w="0" w:type="auto"/>
        <w:tblLook w:val="04A0" w:firstRow="1" w:lastRow="0" w:firstColumn="1" w:lastColumn="0" w:noHBand="0" w:noVBand="1"/>
      </w:tblPr>
      <w:tblGrid>
        <w:gridCol w:w="9016"/>
      </w:tblGrid>
      <w:tr w:rsidR="004058AC" w14:paraId="60499D5E" w14:textId="77777777" w:rsidTr="004058AC">
        <w:tc>
          <w:tcPr>
            <w:tcW w:w="9016" w:type="dxa"/>
          </w:tcPr>
          <w:p w14:paraId="43AA36E9" w14:textId="77777777" w:rsidR="004058AC" w:rsidRDefault="004058AC" w:rsidP="004058AC">
            <w:pPr>
              <w:jc w:val="both"/>
              <w:rPr>
                <w:rFonts w:ascii="Arial" w:hAnsi="Arial" w:cs="Arial"/>
                <w:b/>
                <w:bCs/>
                <w:iCs/>
                <w:sz w:val="24"/>
                <w:szCs w:val="24"/>
              </w:rPr>
            </w:pPr>
          </w:p>
          <w:p w14:paraId="740969C0" w14:textId="7309D6BF" w:rsidR="004058AC" w:rsidRDefault="004058AC" w:rsidP="004058AC">
            <w:pPr>
              <w:rPr>
                <w:rFonts w:ascii="Arial" w:hAnsi="Arial" w:cs="Arial"/>
                <w:sz w:val="24"/>
                <w:szCs w:val="24"/>
              </w:rPr>
            </w:pPr>
            <w:r>
              <w:rPr>
                <w:rFonts w:ascii="Arial" w:hAnsi="Arial" w:cs="Arial"/>
                <w:sz w:val="24"/>
                <w:szCs w:val="24"/>
              </w:rPr>
              <w:t xml:space="preserve">The Fraud Plan is informed by local performance indicators along with trends reported both regionally and nationally.  The Fraud Risk Profile for North East Lincolnshire Council is used to risk assess different areas of threat and harm, and to inform the proportionate investigative and preventative measures in place.  The Fraud Team work in conjunction </w:t>
            </w:r>
            <w:r w:rsidR="00996CDF">
              <w:rPr>
                <w:rFonts w:ascii="Arial" w:hAnsi="Arial" w:cs="Arial"/>
                <w:sz w:val="24"/>
                <w:szCs w:val="24"/>
              </w:rPr>
              <w:t>with Audit</w:t>
            </w:r>
            <w:r>
              <w:rPr>
                <w:rFonts w:ascii="Arial" w:hAnsi="Arial" w:cs="Arial"/>
                <w:sz w:val="24"/>
                <w:szCs w:val="24"/>
              </w:rPr>
              <w:t xml:space="preserve"> and Assurance to evaluate current processes in areas of increased risk, with a view to completing preventative work to reduce the risk of loss and error.</w:t>
            </w:r>
          </w:p>
          <w:p w14:paraId="282AD42D" w14:textId="77777777" w:rsidR="004058AC" w:rsidRDefault="004058AC" w:rsidP="004058AC">
            <w:pPr>
              <w:rPr>
                <w:rFonts w:ascii="Arial" w:hAnsi="Arial" w:cs="Arial"/>
                <w:sz w:val="24"/>
                <w:szCs w:val="24"/>
              </w:rPr>
            </w:pPr>
          </w:p>
          <w:p w14:paraId="0E1A8BB5" w14:textId="77777777" w:rsidR="004058AC" w:rsidRDefault="004058AC" w:rsidP="004058AC">
            <w:pPr>
              <w:rPr>
                <w:rFonts w:ascii="Arial" w:hAnsi="Arial" w:cs="Arial"/>
                <w:sz w:val="24"/>
                <w:szCs w:val="24"/>
              </w:rPr>
            </w:pPr>
            <w:r>
              <w:rPr>
                <w:rFonts w:ascii="Arial" w:hAnsi="Arial" w:cs="Arial"/>
                <w:sz w:val="24"/>
                <w:szCs w:val="24"/>
              </w:rPr>
              <w:t>Details of identified priorities and delivery strategies are summarised below.</w:t>
            </w:r>
          </w:p>
          <w:p w14:paraId="56825026" w14:textId="77777777" w:rsidR="004058AC" w:rsidRDefault="004058AC" w:rsidP="00C006D7">
            <w:pPr>
              <w:jc w:val="both"/>
              <w:rPr>
                <w:rFonts w:ascii="Arial" w:hAnsi="Arial" w:cs="Arial"/>
                <w:b/>
                <w:bCs/>
                <w:iCs/>
                <w:sz w:val="24"/>
                <w:szCs w:val="24"/>
              </w:rPr>
            </w:pPr>
          </w:p>
        </w:tc>
      </w:tr>
    </w:tbl>
    <w:p w14:paraId="7FF21371" w14:textId="77777777" w:rsidR="004058AC" w:rsidRDefault="004058AC" w:rsidP="00C006D7">
      <w:pPr>
        <w:jc w:val="both"/>
        <w:rPr>
          <w:rFonts w:ascii="Arial" w:hAnsi="Arial" w:cs="Arial"/>
          <w:b/>
          <w:bCs/>
          <w:iCs/>
          <w:sz w:val="24"/>
          <w:szCs w:val="24"/>
        </w:rPr>
      </w:pPr>
    </w:p>
    <w:p w14:paraId="40856D91" w14:textId="77777777" w:rsidR="004058AC" w:rsidRDefault="004058AC" w:rsidP="00C006D7">
      <w:pPr>
        <w:jc w:val="both"/>
        <w:rPr>
          <w:rFonts w:ascii="Arial" w:hAnsi="Arial" w:cs="Arial"/>
          <w:b/>
          <w:bCs/>
          <w:iCs/>
          <w:sz w:val="24"/>
          <w:szCs w:val="24"/>
        </w:rPr>
      </w:pPr>
    </w:p>
    <w:tbl>
      <w:tblPr>
        <w:tblStyle w:val="TableGrid"/>
        <w:tblW w:w="0" w:type="auto"/>
        <w:tblLook w:val="04A0" w:firstRow="1" w:lastRow="0" w:firstColumn="1" w:lastColumn="0" w:noHBand="0" w:noVBand="1"/>
      </w:tblPr>
      <w:tblGrid>
        <w:gridCol w:w="2830"/>
        <w:gridCol w:w="6186"/>
      </w:tblGrid>
      <w:tr w:rsidR="00B70143" w14:paraId="4156EFCC" w14:textId="77777777" w:rsidTr="00B70143">
        <w:tc>
          <w:tcPr>
            <w:tcW w:w="2830" w:type="dxa"/>
          </w:tcPr>
          <w:p w14:paraId="59914369" w14:textId="5477E298" w:rsidR="00B70143" w:rsidRDefault="00B70143" w:rsidP="00C006D7">
            <w:pPr>
              <w:jc w:val="both"/>
              <w:rPr>
                <w:rFonts w:ascii="Arial" w:hAnsi="Arial" w:cs="Arial"/>
                <w:b/>
                <w:bCs/>
                <w:iCs/>
                <w:sz w:val="24"/>
                <w:szCs w:val="24"/>
              </w:rPr>
            </w:pPr>
            <w:r>
              <w:rPr>
                <w:rFonts w:ascii="Arial" w:hAnsi="Arial" w:cs="Arial"/>
                <w:b/>
                <w:bCs/>
                <w:iCs/>
                <w:sz w:val="24"/>
                <w:szCs w:val="24"/>
              </w:rPr>
              <w:t>Risk Area</w:t>
            </w:r>
          </w:p>
        </w:tc>
        <w:tc>
          <w:tcPr>
            <w:tcW w:w="6186" w:type="dxa"/>
          </w:tcPr>
          <w:p w14:paraId="34D3EDCF" w14:textId="57EBDA03" w:rsidR="00B70143" w:rsidRDefault="00B70143" w:rsidP="00C006D7">
            <w:pPr>
              <w:jc w:val="both"/>
              <w:rPr>
                <w:rFonts w:ascii="Arial" w:hAnsi="Arial" w:cs="Arial"/>
                <w:b/>
                <w:bCs/>
                <w:iCs/>
                <w:sz w:val="24"/>
                <w:szCs w:val="24"/>
              </w:rPr>
            </w:pPr>
            <w:r>
              <w:rPr>
                <w:rFonts w:ascii="Arial" w:hAnsi="Arial" w:cs="Arial"/>
                <w:b/>
                <w:bCs/>
                <w:iCs/>
                <w:sz w:val="24"/>
                <w:szCs w:val="24"/>
              </w:rPr>
              <w:t>Delivery Plan</w:t>
            </w:r>
          </w:p>
        </w:tc>
      </w:tr>
      <w:tr w:rsidR="00B70143" w14:paraId="0C1B6D7F" w14:textId="77777777" w:rsidTr="00B70143">
        <w:tc>
          <w:tcPr>
            <w:tcW w:w="2830" w:type="dxa"/>
          </w:tcPr>
          <w:p w14:paraId="3F3A3788" w14:textId="3637A13F" w:rsidR="00B70143" w:rsidRPr="00B70143" w:rsidRDefault="00B70143" w:rsidP="00C006D7">
            <w:pPr>
              <w:jc w:val="both"/>
              <w:rPr>
                <w:rFonts w:ascii="Arial" w:hAnsi="Arial" w:cs="Arial"/>
                <w:iCs/>
                <w:sz w:val="24"/>
                <w:szCs w:val="24"/>
              </w:rPr>
            </w:pPr>
            <w:r>
              <w:rPr>
                <w:rFonts w:ascii="Arial" w:hAnsi="Arial" w:cs="Arial"/>
                <w:iCs/>
                <w:sz w:val="24"/>
                <w:szCs w:val="24"/>
              </w:rPr>
              <w:t>Council Tax</w:t>
            </w:r>
          </w:p>
        </w:tc>
        <w:tc>
          <w:tcPr>
            <w:tcW w:w="6186" w:type="dxa"/>
          </w:tcPr>
          <w:p w14:paraId="700D85CF" w14:textId="77777777" w:rsidR="00A45C8B" w:rsidRPr="000C5824" w:rsidRDefault="00A45C8B" w:rsidP="000C5824">
            <w:pPr>
              <w:pStyle w:val="ListParagraph"/>
              <w:numPr>
                <w:ilvl w:val="0"/>
                <w:numId w:val="20"/>
              </w:numPr>
              <w:jc w:val="both"/>
              <w:rPr>
                <w:rFonts w:ascii="Arial" w:hAnsi="Arial" w:cs="Arial"/>
                <w:iCs/>
                <w:sz w:val="24"/>
                <w:szCs w:val="24"/>
              </w:rPr>
            </w:pPr>
            <w:r w:rsidRPr="000C5824">
              <w:rPr>
                <w:rFonts w:ascii="Arial" w:hAnsi="Arial" w:cs="Arial"/>
                <w:iCs/>
                <w:sz w:val="24"/>
                <w:szCs w:val="24"/>
              </w:rPr>
              <w:t xml:space="preserve">Strengthening of the data matching supporting the Single Person Discount (SPD) monthly review process.  </w:t>
            </w:r>
          </w:p>
          <w:p w14:paraId="51D3464B" w14:textId="77777777" w:rsidR="00A45C8B" w:rsidRPr="000C5824" w:rsidRDefault="00A45C8B" w:rsidP="000C5824">
            <w:pPr>
              <w:pStyle w:val="ListParagraph"/>
              <w:numPr>
                <w:ilvl w:val="0"/>
                <w:numId w:val="20"/>
              </w:numPr>
              <w:jc w:val="both"/>
              <w:rPr>
                <w:rFonts w:ascii="Arial" w:hAnsi="Arial" w:cs="Arial"/>
                <w:iCs/>
                <w:sz w:val="24"/>
                <w:szCs w:val="24"/>
              </w:rPr>
            </w:pPr>
            <w:r w:rsidRPr="000C5824">
              <w:rPr>
                <w:rFonts w:ascii="Arial" w:hAnsi="Arial" w:cs="Arial"/>
                <w:iCs/>
                <w:sz w:val="24"/>
                <w:szCs w:val="24"/>
              </w:rPr>
              <w:t>Use of analytical tools to identify fraudulent behaviour in application processes.   This will include the re-procurement of the provision of credit agency information.</w:t>
            </w:r>
          </w:p>
          <w:p w14:paraId="313C7AE5" w14:textId="77777777" w:rsidR="00A45C8B" w:rsidRPr="000C5824" w:rsidRDefault="00A45C8B" w:rsidP="000C5824">
            <w:pPr>
              <w:pStyle w:val="ListParagraph"/>
              <w:numPr>
                <w:ilvl w:val="0"/>
                <w:numId w:val="20"/>
              </w:numPr>
              <w:jc w:val="both"/>
              <w:rPr>
                <w:rFonts w:ascii="Arial" w:hAnsi="Arial" w:cs="Arial"/>
                <w:iCs/>
                <w:sz w:val="24"/>
                <w:szCs w:val="24"/>
              </w:rPr>
            </w:pPr>
            <w:r w:rsidRPr="000C5824">
              <w:rPr>
                <w:rFonts w:ascii="Arial" w:hAnsi="Arial" w:cs="Arial"/>
                <w:iCs/>
                <w:sz w:val="24"/>
                <w:szCs w:val="24"/>
              </w:rPr>
              <w:t>Investigations prioritised based on financial harm and enduring periods of fraud.</w:t>
            </w:r>
          </w:p>
          <w:p w14:paraId="78438040" w14:textId="77777777" w:rsidR="00A45C8B" w:rsidRPr="000C5824" w:rsidRDefault="00A45C8B" w:rsidP="000C5824">
            <w:pPr>
              <w:pStyle w:val="ListParagraph"/>
              <w:numPr>
                <w:ilvl w:val="0"/>
                <w:numId w:val="20"/>
              </w:numPr>
              <w:jc w:val="both"/>
              <w:rPr>
                <w:rFonts w:ascii="Arial" w:hAnsi="Arial" w:cs="Arial"/>
                <w:iCs/>
                <w:sz w:val="24"/>
                <w:szCs w:val="24"/>
              </w:rPr>
            </w:pPr>
            <w:r w:rsidRPr="000C5824">
              <w:rPr>
                <w:rFonts w:ascii="Arial" w:hAnsi="Arial" w:cs="Arial"/>
                <w:iCs/>
                <w:sz w:val="24"/>
                <w:szCs w:val="24"/>
              </w:rPr>
              <w:t>Networking workshop to be completed to consider how best to reduce and prevent fraudulent applications relating to Council Tax.  Identify ways to tighten processes to reduce the risk of fraud and error.</w:t>
            </w:r>
          </w:p>
          <w:p w14:paraId="37712EC1" w14:textId="77777777" w:rsidR="00B70143" w:rsidRPr="00A45C8B" w:rsidRDefault="00B70143" w:rsidP="00C006D7">
            <w:pPr>
              <w:jc w:val="both"/>
              <w:rPr>
                <w:rFonts w:ascii="Arial" w:hAnsi="Arial" w:cs="Arial"/>
                <w:iCs/>
                <w:sz w:val="24"/>
                <w:szCs w:val="24"/>
              </w:rPr>
            </w:pPr>
          </w:p>
        </w:tc>
      </w:tr>
      <w:tr w:rsidR="00B70143" w14:paraId="2920D03C" w14:textId="77777777" w:rsidTr="00B70143">
        <w:tc>
          <w:tcPr>
            <w:tcW w:w="2830" w:type="dxa"/>
          </w:tcPr>
          <w:p w14:paraId="13444A47" w14:textId="5CCB5C2D" w:rsidR="00B70143" w:rsidRPr="00A45C8B" w:rsidRDefault="00A45C8B" w:rsidP="00C006D7">
            <w:pPr>
              <w:jc w:val="both"/>
              <w:rPr>
                <w:rFonts w:ascii="Arial" w:hAnsi="Arial" w:cs="Arial"/>
                <w:iCs/>
                <w:sz w:val="24"/>
                <w:szCs w:val="24"/>
              </w:rPr>
            </w:pPr>
            <w:r w:rsidRPr="00A45C8B">
              <w:rPr>
                <w:rFonts w:ascii="Arial" w:hAnsi="Arial" w:cs="Arial"/>
                <w:iCs/>
                <w:sz w:val="24"/>
                <w:szCs w:val="24"/>
              </w:rPr>
              <w:t>Business Rates</w:t>
            </w:r>
          </w:p>
        </w:tc>
        <w:tc>
          <w:tcPr>
            <w:tcW w:w="6186" w:type="dxa"/>
          </w:tcPr>
          <w:p w14:paraId="6B4AACC6" w14:textId="77777777" w:rsidR="00A45C8B" w:rsidRPr="000C5824" w:rsidRDefault="00A45C8B" w:rsidP="000C5824">
            <w:pPr>
              <w:pStyle w:val="ListParagraph"/>
              <w:numPr>
                <w:ilvl w:val="0"/>
                <w:numId w:val="21"/>
              </w:numPr>
              <w:jc w:val="both"/>
              <w:rPr>
                <w:rFonts w:ascii="Arial" w:hAnsi="Arial" w:cs="Arial"/>
                <w:iCs/>
                <w:sz w:val="24"/>
                <w:szCs w:val="24"/>
              </w:rPr>
            </w:pPr>
            <w:r w:rsidRPr="000C5824">
              <w:rPr>
                <w:rFonts w:ascii="Arial" w:hAnsi="Arial" w:cs="Arial"/>
                <w:iCs/>
                <w:sz w:val="24"/>
                <w:szCs w:val="24"/>
              </w:rPr>
              <w:t>Increase the indicators of fraudulent applications for Business Rate relief.</w:t>
            </w:r>
          </w:p>
          <w:p w14:paraId="2AD31A1F" w14:textId="77777777" w:rsidR="00A45C8B" w:rsidRPr="000C5824" w:rsidRDefault="00A45C8B" w:rsidP="000C5824">
            <w:pPr>
              <w:pStyle w:val="ListParagraph"/>
              <w:numPr>
                <w:ilvl w:val="0"/>
                <w:numId w:val="21"/>
              </w:numPr>
              <w:jc w:val="both"/>
              <w:rPr>
                <w:rFonts w:ascii="Arial" w:hAnsi="Arial" w:cs="Arial"/>
                <w:iCs/>
                <w:sz w:val="24"/>
                <w:szCs w:val="24"/>
              </w:rPr>
            </w:pPr>
            <w:r w:rsidRPr="000C5824">
              <w:rPr>
                <w:rFonts w:ascii="Arial" w:hAnsi="Arial" w:cs="Arial"/>
                <w:iCs/>
                <w:sz w:val="24"/>
                <w:szCs w:val="24"/>
              </w:rPr>
              <w:t>Promote enforcement of fraud cases with the objective of deterring future offending.</w:t>
            </w:r>
          </w:p>
          <w:p w14:paraId="7F9DEA34" w14:textId="77777777" w:rsidR="00A45C8B" w:rsidRPr="000C5824" w:rsidRDefault="00A45C8B" w:rsidP="000C5824">
            <w:pPr>
              <w:pStyle w:val="ListParagraph"/>
              <w:numPr>
                <w:ilvl w:val="0"/>
                <w:numId w:val="21"/>
              </w:numPr>
              <w:jc w:val="both"/>
              <w:rPr>
                <w:rFonts w:ascii="Arial" w:hAnsi="Arial" w:cs="Arial"/>
                <w:iCs/>
                <w:sz w:val="24"/>
                <w:szCs w:val="24"/>
              </w:rPr>
            </w:pPr>
            <w:r w:rsidRPr="000C5824">
              <w:rPr>
                <w:rFonts w:ascii="Arial" w:hAnsi="Arial" w:cs="Arial"/>
                <w:iCs/>
                <w:sz w:val="24"/>
                <w:szCs w:val="24"/>
              </w:rPr>
              <w:t xml:space="preserve">Joint working with wider Council colleagues to ensure evidence gathering opportunities are maximised. </w:t>
            </w:r>
          </w:p>
          <w:p w14:paraId="682ED003" w14:textId="77777777" w:rsidR="00A45C8B" w:rsidRPr="000C5824" w:rsidRDefault="00A45C8B" w:rsidP="000C5824">
            <w:pPr>
              <w:pStyle w:val="ListParagraph"/>
              <w:numPr>
                <w:ilvl w:val="0"/>
                <w:numId w:val="21"/>
              </w:numPr>
              <w:jc w:val="both"/>
              <w:rPr>
                <w:rFonts w:ascii="Arial" w:hAnsi="Arial" w:cs="Arial"/>
                <w:iCs/>
                <w:sz w:val="24"/>
                <w:szCs w:val="24"/>
              </w:rPr>
            </w:pPr>
            <w:r w:rsidRPr="000C5824">
              <w:rPr>
                <w:rFonts w:ascii="Arial" w:hAnsi="Arial" w:cs="Arial"/>
                <w:iCs/>
                <w:sz w:val="24"/>
                <w:szCs w:val="24"/>
              </w:rPr>
              <w:t>Networking workshop to be completed to raise awareness of this area of fraud and improve data collection to support early identification of fraud and error.</w:t>
            </w:r>
          </w:p>
          <w:p w14:paraId="3DE22E8E" w14:textId="77777777" w:rsidR="00B70143" w:rsidRPr="00A45C8B" w:rsidRDefault="00B70143" w:rsidP="00C006D7">
            <w:pPr>
              <w:jc w:val="both"/>
              <w:rPr>
                <w:rFonts w:ascii="Arial" w:hAnsi="Arial" w:cs="Arial"/>
                <w:iCs/>
                <w:sz w:val="24"/>
                <w:szCs w:val="24"/>
              </w:rPr>
            </w:pPr>
          </w:p>
        </w:tc>
      </w:tr>
      <w:tr w:rsidR="00B70143" w14:paraId="3A578557" w14:textId="77777777" w:rsidTr="00B70143">
        <w:tc>
          <w:tcPr>
            <w:tcW w:w="2830" w:type="dxa"/>
          </w:tcPr>
          <w:p w14:paraId="6AE14EAF" w14:textId="74130509" w:rsidR="00B70143" w:rsidRPr="00216ED4" w:rsidRDefault="00216ED4" w:rsidP="00C006D7">
            <w:pPr>
              <w:jc w:val="both"/>
              <w:rPr>
                <w:rFonts w:ascii="Arial" w:hAnsi="Arial" w:cs="Arial"/>
                <w:iCs/>
                <w:sz w:val="24"/>
                <w:szCs w:val="24"/>
              </w:rPr>
            </w:pPr>
            <w:r w:rsidRPr="00216ED4">
              <w:rPr>
                <w:rFonts w:ascii="Arial" w:hAnsi="Arial" w:cs="Arial"/>
                <w:iCs/>
                <w:sz w:val="24"/>
                <w:szCs w:val="24"/>
              </w:rPr>
              <w:t>Staff Awareness</w:t>
            </w:r>
          </w:p>
        </w:tc>
        <w:tc>
          <w:tcPr>
            <w:tcW w:w="6186" w:type="dxa"/>
          </w:tcPr>
          <w:p w14:paraId="441D27B9" w14:textId="77777777" w:rsidR="00216ED4" w:rsidRPr="005F4198" w:rsidRDefault="00216ED4" w:rsidP="005F4198">
            <w:pPr>
              <w:pStyle w:val="ListParagraph"/>
              <w:numPr>
                <w:ilvl w:val="0"/>
                <w:numId w:val="23"/>
              </w:numPr>
              <w:jc w:val="both"/>
              <w:rPr>
                <w:rFonts w:ascii="Arial" w:hAnsi="Arial" w:cs="Arial"/>
                <w:iCs/>
                <w:sz w:val="24"/>
                <w:szCs w:val="24"/>
              </w:rPr>
            </w:pPr>
            <w:r w:rsidRPr="005F4198">
              <w:rPr>
                <w:rFonts w:ascii="Arial" w:hAnsi="Arial" w:cs="Arial"/>
                <w:iCs/>
                <w:sz w:val="24"/>
                <w:szCs w:val="24"/>
              </w:rPr>
              <w:t xml:space="preserve">Strengthening partnership work with People &amp; Culture, and Communications Team to promote the message that it is everyone’s responsibility to support the identification and reporting of potential fraud.  </w:t>
            </w:r>
          </w:p>
          <w:p w14:paraId="609474F3" w14:textId="77777777" w:rsidR="00B70143" w:rsidRDefault="00B70143" w:rsidP="00C006D7">
            <w:pPr>
              <w:jc w:val="both"/>
              <w:rPr>
                <w:rFonts w:ascii="Arial" w:hAnsi="Arial" w:cs="Arial"/>
                <w:b/>
                <w:bCs/>
                <w:iCs/>
                <w:sz w:val="24"/>
                <w:szCs w:val="24"/>
              </w:rPr>
            </w:pPr>
          </w:p>
        </w:tc>
      </w:tr>
      <w:tr w:rsidR="00B70143" w14:paraId="0235E345" w14:textId="77777777" w:rsidTr="00B70143">
        <w:tc>
          <w:tcPr>
            <w:tcW w:w="2830" w:type="dxa"/>
          </w:tcPr>
          <w:p w14:paraId="4AA32622" w14:textId="4A54B831" w:rsidR="00B70143" w:rsidRPr="00216ED4" w:rsidRDefault="00216ED4" w:rsidP="00C006D7">
            <w:pPr>
              <w:jc w:val="both"/>
              <w:rPr>
                <w:rFonts w:ascii="Arial" w:hAnsi="Arial" w:cs="Arial"/>
                <w:iCs/>
                <w:sz w:val="24"/>
                <w:szCs w:val="24"/>
              </w:rPr>
            </w:pPr>
            <w:r>
              <w:rPr>
                <w:rFonts w:ascii="Arial" w:hAnsi="Arial" w:cs="Arial"/>
                <w:iCs/>
                <w:sz w:val="24"/>
                <w:szCs w:val="24"/>
              </w:rPr>
              <w:lastRenderedPageBreak/>
              <w:t>National Fraud Initiative</w:t>
            </w:r>
          </w:p>
        </w:tc>
        <w:tc>
          <w:tcPr>
            <w:tcW w:w="6186" w:type="dxa"/>
          </w:tcPr>
          <w:p w14:paraId="63B0D29C" w14:textId="77777777" w:rsidR="00216ED4" w:rsidRPr="005F4198" w:rsidRDefault="00216ED4" w:rsidP="005F4198">
            <w:pPr>
              <w:pStyle w:val="ListParagraph"/>
              <w:numPr>
                <w:ilvl w:val="0"/>
                <w:numId w:val="23"/>
              </w:numPr>
              <w:jc w:val="both"/>
              <w:rPr>
                <w:rFonts w:ascii="Arial" w:hAnsi="Arial" w:cs="Arial"/>
                <w:iCs/>
                <w:sz w:val="24"/>
                <w:szCs w:val="24"/>
              </w:rPr>
            </w:pPr>
            <w:r w:rsidRPr="005F4198">
              <w:rPr>
                <w:rFonts w:ascii="Arial" w:hAnsi="Arial" w:cs="Arial"/>
                <w:iCs/>
                <w:sz w:val="24"/>
                <w:szCs w:val="24"/>
              </w:rPr>
              <w:t>Evaluate the participation in the NFI 2025 exercise in terms of effectiveness of identifying fraud indicators and the associated savings / increased revenue to the Council.</w:t>
            </w:r>
          </w:p>
          <w:p w14:paraId="6FFAC3C9" w14:textId="77777777" w:rsidR="00B70143" w:rsidRDefault="00B70143" w:rsidP="001C186C">
            <w:pPr>
              <w:jc w:val="both"/>
              <w:rPr>
                <w:rFonts w:ascii="Arial" w:hAnsi="Arial" w:cs="Arial"/>
                <w:b/>
                <w:bCs/>
                <w:iCs/>
                <w:sz w:val="24"/>
                <w:szCs w:val="24"/>
              </w:rPr>
            </w:pPr>
          </w:p>
        </w:tc>
      </w:tr>
      <w:tr w:rsidR="00B70143" w14:paraId="40B43A33" w14:textId="77777777" w:rsidTr="00B70143">
        <w:tc>
          <w:tcPr>
            <w:tcW w:w="2830" w:type="dxa"/>
          </w:tcPr>
          <w:p w14:paraId="685C7B3F" w14:textId="000D5FF6" w:rsidR="00B70143" w:rsidRPr="001C186C" w:rsidRDefault="001C186C" w:rsidP="00C006D7">
            <w:pPr>
              <w:jc w:val="both"/>
              <w:rPr>
                <w:rFonts w:ascii="Arial" w:hAnsi="Arial" w:cs="Arial"/>
                <w:iCs/>
                <w:sz w:val="24"/>
                <w:szCs w:val="24"/>
              </w:rPr>
            </w:pPr>
            <w:r w:rsidRPr="001C186C">
              <w:rPr>
                <w:rFonts w:ascii="Arial" w:hAnsi="Arial" w:cs="Arial"/>
                <w:iCs/>
                <w:sz w:val="24"/>
                <w:szCs w:val="24"/>
              </w:rPr>
              <w:t>Procurement</w:t>
            </w:r>
          </w:p>
        </w:tc>
        <w:tc>
          <w:tcPr>
            <w:tcW w:w="6186" w:type="dxa"/>
          </w:tcPr>
          <w:p w14:paraId="774ACAC9" w14:textId="77777777" w:rsidR="001C186C" w:rsidRPr="000C5824" w:rsidRDefault="001C186C" w:rsidP="000C5824">
            <w:pPr>
              <w:pStyle w:val="ListParagraph"/>
              <w:numPr>
                <w:ilvl w:val="0"/>
                <w:numId w:val="22"/>
              </w:numPr>
              <w:jc w:val="both"/>
              <w:rPr>
                <w:rFonts w:ascii="Arial" w:hAnsi="Arial" w:cs="Arial"/>
                <w:iCs/>
                <w:sz w:val="24"/>
                <w:szCs w:val="24"/>
              </w:rPr>
            </w:pPr>
            <w:r w:rsidRPr="000C5824">
              <w:rPr>
                <w:rFonts w:ascii="Arial" w:hAnsi="Arial" w:cs="Arial"/>
                <w:iCs/>
                <w:sz w:val="24"/>
                <w:szCs w:val="24"/>
              </w:rPr>
              <w:t xml:space="preserve">Complete networking workshop to explore vulnerabilities to offending and ensure early reporting mechanisms are in place.  </w:t>
            </w:r>
          </w:p>
          <w:p w14:paraId="0B526E45" w14:textId="77777777" w:rsidR="001C186C" w:rsidRPr="000C5824" w:rsidRDefault="001C186C" w:rsidP="000C5824">
            <w:pPr>
              <w:pStyle w:val="ListParagraph"/>
              <w:numPr>
                <w:ilvl w:val="0"/>
                <w:numId w:val="22"/>
              </w:numPr>
              <w:jc w:val="both"/>
              <w:rPr>
                <w:rFonts w:ascii="Arial" w:hAnsi="Arial" w:cs="Arial"/>
                <w:iCs/>
                <w:sz w:val="24"/>
                <w:szCs w:val="24"/>
              </w:rPr>
            </w:pPr>
            <w:r w:rsidRPr="000C5824">
              <w:rPr>
                <w:rFonts w:ascii="Arial" w:hAnsi="Arial" w:cs="Arial"/>
                <w:iCs/>
                <w:sz w:val="24"/>
                <w:szCs w:val="24"/>
              </w:rPr>
              <w:t>Ensure confidence in Whistleblowing reporting process to promote staff engagement.</w:t>
            </w:r>
          </w:p>
          <w:p w14:paraId="3EF10E09" w14:textId="77777777" w:rsidR="00B70143" w:rsidRDefault="00B70143" w:rsidP="00C006D7">
            <w:pPr>
              <w:jc w:val="both"/>
              <w:rPr>
                <w:rFonts w:ascii="Arial" w:hAnsi="Arial" w:cs="Arial"/>
                <w:b/>
                <w:bCs/>
                <w:iCs/>
                <w:sz w:val="24"/>
                <w:szCs w:val="24"/>
              </w:rPr>
            </w:pPr>
          </w:p>
        </w:tc>
      </w:tr>
    </w:tbl>
    <w:p w14:paraId="6B136BF7" w14:textId="77777777" w:rsidR="00B70143" w:rsidRDefault="00B70143" w:rsidP="00C006D7">
      <w:pPr>
        <w:jc w:val="both"/>
        <w:rPr>
          <w:rFonts w:ascii="Arial" w:hAnsi="Arial" w:cs="Arial"/>
          <w:b/>
          <w:bCs/>
          <w:iCs/>
          <w:sz w:val="24"/>
          <w:szCs w:val="24"/>
        </w:rPr>
      </w:pPr>
    </w:p>
    <w:p w14:paraId="6FB75202" w14:textId="77777777" w:rsidR="007E7E02" w:rsidRDefault="007E7E02" w:rsidP="00C006D7">
      <w:pPr>
        <w:jc w:val="both"/>
        <w:rPr>
          <w:rFonts w:ascii="Arial" w:hAnsi="Arial" w:cs="Arial"/>
          <w:b/>
          <w:bCs/>
          <w:iCs/>
          <w:sz w:val="24"/>
          <w:szCs w:val="24"/>
        </w:rPr>
      </w:pPr>
    </w:p>
    <w:p w14:paraId="67C1585B" w14:textId="77777777" w:rsidR="001950C5" w:rsidRDefault="001950C5" w:rsidP="007E7E02">
      <w:pPr>
        <w:rPr>
          <w:rFonts w:ascii="Arial" w:hAnsi="Arial" w:cs="Arial"/>
          <w:sz w:val="24"/>
          <w:szCs w:val="24"/>
        </w:rPr>
      </w:pPr>
    </w:p>
    <w:sectPr w:rsidR="001950C5" w:rsidSect="00F1358B">
      <w:headerReference w:type="even" r:id="rId9"/>
      <w:head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0C713" w14:textId="77777777" w:rsidR="00E80F0F" w:rsidRDefault="00E80F0F" w:rsidP="00D37338">
      <w:r>
        <w:separator/>
      </w:r>
    </w:p>
  </w:endnote>
  <w:endnote w:type="continuationSeparator" w:id="0">
    <w:p w14:paraId="0C49A275" w14:textId="77777777" w:rsidR="00E80F0F" w:rsidRDefault="00E80F0F" w:rsidP="00D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2AB23" w14:textId="77777777" w:rsidR="00E80F0F" w:rsidRDefault="00E80F0F" w:rsidP="00D37338">
      <w:r>
        <w:separator/>
      </w:r>
    </w:p>
  </w:footnote>
  <w:footnote w:type="continuationSeparator" w:id="0">
    <w:p w14:paraId="037FA66D" w14:textId="77777777" w:rsidR="00E80F0F" w:rsidRDefault="00E80F0F" w:rsidP="00D37338">
      <w:r>
        <w:continuationSeparator/>
      </w:r>
    </w:p>
  </w:footnote>
  <w:footnote w:id="1">
    <w:p w14:paraId="5A67ED14" w14:textId="77777777" w:rsidR="009F022E" w:rsidRDefault="009F022E" w:rsidP="009F022E">
      <w:pPr>
        <w:pStyle w:val="FootnoteText"/>
      </w:pPr>
      <w:r>
        <w:rPr>
          <w:rStyle w:val="FootnoteReference"/>
        </w:rPr>
        <w:footnoteRef/>
      </w:r>
      <w:hyperlink r:id="rId1" w:history="1">
        <w:r w:rsidRPr="008E3409">
          <w:rPr>
            <w:rStyle w:val="Hyperlink"/>
          </w:rPr>
          <w:t xml:space="preserve"> Crime in England and Wales: year ending March 2023</w:t>
        </w:r>
      </w:hyperlink>
    </w:p>
  </w:footnote>
  <w:footnote w:id="2">
    <w:p w14:paraId="5FFEF6E6" w14:textId="77777777" w:rsidR="009F022E" w:rsidRPr="00103C55" w:rsidRDefault="009F022E" w:rsidP="009F022E">
      <w:pPr>
        <w:pStyle w:val="FootnoteText"/>
      </w:pPr>
      <w:r>
        <w:rPr>
          <w:rStyle w:val="FootnoteReference"/>
        </w:rPr>
        <w:footnoteRef/>
      </w:r>
      <w:r>
        <w:t xml:space="preserve"> Annual Fraud Indicator 2023, </w:t>
      </w:r>
      <w:r w:rsidRPr="00103C55">
        <w:t>Crowe, Peters &amp; Peters and University of Portsmouth</w:t>
      </w:r>
    </w:p>
    <w:p w14:paraId="5352BF34" w14:textId="77777777" w:rsidR="009F022E" w:rsidRDefault="009F022E" w:rsidP="009F022E">
      <w:pPr>
        <w:pStyle w:val="FootnoteText"/>
      </w:pPr>
    </w:p>
  </w:footnote>
  <w:footnote w:id="3">
    <w:p w14:paraId="287E0C14" w14:textId="77777777" w:rsidR="009F022E" w:rsidRDefault="009F022E" w:rsidP="009F022E">
      <w:pPr>
        <w:pStyle w:val="FootnoteText"/>
      </w:pPr>
      <w:r>
        <w:rPr>
          <w:rStyle w:val="FootnoteReference"/>
        </w:rPr>
        <w:footnoteRef/>
      </w:r>
      <w:r>
        <w:t xml:space="preserve"> Chartered Institute of Public Finance &amp; Accountancy – Fraud and Corruption Tracker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CD29" w14:textId="0C7548C1" w:rsidR="00F75854" w:rsidRDefault="00F75854">
    <w:pPr>
      <w:pStyle w:val="Header"/>
    </w:pPr>
    <w:r>
      <w:rPr>
        <w:noProof/>
      </w:rPr>
      <mc:AlternateContent>
        <mc:Choice Requires="wps">
          <w:drawing>
            <wp:anchor distT="0" distB="0" distL="0" distR="0" simplePos="0" relativeHeight="251659264" behindDoc="0" locked="0" layoutInCell="1" allowOverlap="1" wp14:anchorId="0A74C379" wp14:editId="178FC62B">
              <wp:simplePos x="635" y="635"/>
              <wp:positionH relativeFrom="page">
                <wp:align>left</wp:align>
              </wp:positionH>
              <wp:positionV relativeFrom="page">
                <wp:align>top</wp:align>
              </wp:positionV>
              <wp:extent cx="713740" cy="345440"/>
              <wp:effectExtent l="0" t="0" r="10160" b="16510"/>
              <wp:wrapNone/>
              <wp:docPr id="84228588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6E67FD72" w14:textId="2672DE66"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74C379"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6E67FD72" w14:textId="2672DE66"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E943" w14:textId="2925F127" w:rsidR="00F75854" w:rsidRDefault="00F75854">
    <w:pPr>
      <w:pStyle w:val="Header"/>
    </w:pPr>
    <w:r>
      <w:rPr>
        <w:noProof/>
      </w:rPr>
      <mc:AlternateContent>
        <mc:Choice Requires="wps">
          <w:drawing>
            <wp:anchor distT="0" distB="0" distL="0" distR="0" simplePos="0" relativeHeight="251660288" behindDoc="0" locked="0" layoutInCell="1" allowOverlap="1" wp14:anchorId="2FA12559" wp14:editId="56256BAE">
              <wp:simplePos x="914400" y="450850"/>
              <wp:positionH relativeFrom="page">
                <wp:align>left</wp:align>
              </wp:positionH>
              <wp:positionV relativeFrom="page">
                <wp:align>top</wp:align>
              </wp:positionV>
              <wp:extent cx="713740" cy="345440"/>
              <wp:effectExtent l="0" t="0" r="10160" b="16510"/>
              <wp:wrapNone/>
              <wp:docPr id="145095823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4DAF4C30" w14:textId="590AB596"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A12559"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4DAF4C30" w14:textId="590AB596"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BF70" w14:textId="054014E7" w:rsidR="00F75854" w:rsidRDefault="00F75854">
    <w:pPr>
      <w:pStyle w:val="Header"/>
    </w:pPr>
    <w:r>
      <w:rPr>
        <w:noProof/>
      </w:rPr>
      <mc:AlternateContent>
        <mc:Choice Requires="wps">
          <w:drawing>
            <wp:anchor distT="0" distB="0" distL="0" distR="0" simplePos="0" relativeHeight="251658240" behindDoc="0" locked="0" layoutInCell="1" allowOverlap="1" wp14:anchorId="066EA668" wp14:editId="3ACE8F10">
              <wp:simplePos x="635" y="635"/>
              <wp:positionH relativeFrom="page">
                <wp:align>left</wp:align>
              </wp:positionH>
              <wp:positionV relativeFrom="page">
                <wp:align>top</wp:align>
              </wp:positionV>
              <wp:extent cx="713740" cy="345440"/>
              <wp:effectExtent l="0" t="0" r="10160" b="16510"/>
              <wp:wrapNone/>
              <wp:docPr id="107962304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EBE4F5B" w14:textId="25F72C9A"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6EA668"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EBE4F5B" w14:textId="25F72C9A" w:rsidR="00F75854" w:rsidRPr="00F75854" w:rsidRDefault="00F75854" w:rsidP="00F75854">
                    <w:pPr>
                      <w:rPr>
                        <w:rFonts w:ascii="Calibri" w:eastAsia="Calibri" w:hAnsi="Calibri" w:cs="Calibri"/>
                        <w:noProof/>
                        <w:color w:val="000000"/>
                      </w:rPr>
                    </w:pPr>
                    <w:r w:rsidRPr="00F75854">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5F0"/>
    <w:multiLevelType w:val="hybridMultilevel"/>
    <w:tmpl w:val="95C2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696BB8"/>
    <w:multiLevelType w:val="hybridMultilevel"/>
    <w:tmpl w:val="716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D108A"/>
    <w:multiLevelType w:val="hybridMultilevel"/>
    <w:tmpl w:val="851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12498"/>
    <w:multiLevelType w:val="hybridMultilevel"/>
    <w:tmpl w:val="385C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C3237"/>
    <w:multiLevelType w:val="hybridMultilevel"/>
    <w:tmpl w:val="C64E31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F28C3"/>
    <w:multiLevelType w:val="hybridMultilevel"/>
    <w:tmpl w:val="AADE7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01A77"/>
    <w:multiLevelType w:val="multilevel"/>
    <w:tmpl w:val="9652775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5B5E6A"/>
    <w:multiLevelType w:val="hybridMultilevel"/>
    <w:tmpl w:val="8CF4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57EE2"/>
    <w:multiLevelType w:val="hybridMultilevel"/>
    <w:tmpl w:val="2FEC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E658C"/>
    <w:multiLevelType w:val="hybridMultilevel"/>
    <w:tmpl w:val="94EA8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A48D2"/>
    <w:multiLevelType w:val="hybridMultilevel"/>
    <w:tmpl w:val="C698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A5430"/>
    <w:multiLevelType w:val="hybridMultilevel"/>
    <w:tmpl w:val="16F658AE"/>
    <w:lvl w:ilvl="0" w:tplc="0FA8F2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44C51"/>
    <w:multiLevelType w:val="hybridMultilevel"/>
    <w:tmpl w:val="0FCE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67E0B"/>
    <w:multiLevelType w:val="hybridMultilevel"/>
    <w:tmpl w:val="10A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D1EE9"/>
    <w:multiLevelType w:val="hybridMultilevel"/>
    <w:tmpl w:val="1244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3491E"/>
    <w:multiLevelType w:val="hybridMultilevel"/>
    <w:tmpl w:val="6B3E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B0675"/>
    <w:multiLevelType w:val="hybridMultilevel"/>
    <w:tmpl w:val="EF6A57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00951"/>
    <w:multiLevelType w:val="hybridMultilevel"/>
    <w:tmpl w:val="2C7A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171D6"/>
    <w:multiLevelType w:val="hybridMultilevel"/>
    <w:tmpl w:val="FF063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B114FB"/>
    <w:multiLevelType w:val="hybridMultilevel"/>
    <w:tmpl w:val="51B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967FB"/>
    <w:multiLevelType w:val="multilevel"/>
    <w:tmpl w:val="2BE414BA"/>
    <w:lvl w:ilvl="0">
      <w:start w:val="1"/>
      <w:numFmt w:val="decimal"/>
      <w:suff w:val="space"/>
      <w:lvlText w:val="%1."/>
      <w:lvlJc w:val="left"/>
      <w:pPr>
        <w:ind w:left="567" w:hanging="567"/>
      </w:pPr>
      <w:rPr>
        <w:rFonts w:hint="default"/>
      </w:rPr>
    </w:lvl>
    <w:lvl w:ilvl="1">
      <w:start w:val="3"/>
      <w:numFmt w:val="decimal"/>
      <w:isLgl/>
      <w:lvlText w:val="%1.%2."/>
      <w:lvlJc w:val="left"/>
      <w:pPr>
        <w:ind w:left="1004" w:hanging="720"/>
      </w:pPr>
      <w:rPr>
        <w:rFonts w:hint="default"/>
      </w:rPr>
    </w:lvl>
    <w:lvl w:ilvl="2">
      <w:start w:val="1"/>
      <w:numFmt w:val="bullet"/>
      <w:lvlText w:val=""/>
      <w:lvlJc w:val="left"/>
      <w:pPr>
        <w:ind w:left="928" w:hanging="360"/>
      </w:pPr>
      <w:rPr>
        <w:rFonts w:ascii="Symbol" w:hAnsi="Symbol"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1" w15:restartNumberingAfterBreak="0">
    <w:nsid w:val="78B34E67"/>
    <w:multiLevelType w:val="hybridMultilevel"/>
    <w:tmpl w:val="7D9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258B1"/>
    <w:multiLevelType w:val="hybridMultilevel"/>
    <w:tmpl w:val="4808A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6328">
    <w:abstractNumId w:val="6"/>
  </w:num>
  <w:num w:numId="2" w16cid:durableId="1747263894">
    <w:abstractNumId w:val="18"/>
  </w:num>
  <w:num w:numId="3" w16cid:durableId="1327896767">
    <w:abstractNumId w:val="2"/>
  </w:num>
  <w:num w:numId="4" w16cid:durableId="1411777975">
    <w:abstractNumId w:val="4"/>
  </w:num>
  <w:num w:numId="5" w16cid:durableId="1734349978">
    <w:abstractNumId w:val="17"/>
  </w:num>
  <w:num w:numId="6" w16cid:durableId="153305063">
    <w:abstractNumId w:val="1"/>
  </w:num>
  <w:num w:numId="7" w16cid:durableId="44766981">
    <w:abstractNumId w:val="21"/>
  </w:num>
  <w:num w:numId="8" w16cid:durableId="852063588">
    <w:abstractNumId w:val="3"/>
  </w:num>
  <w:num w:numId="9" w16cid:durableId="52849904">
    <w:abstractNumId w:val="16"/>
  </w:num>
  <w:num w:numId="10" w16cid:durableId="1571964268">
    <w:abstractNumId w:val="22"/>
  </w:num>
  <w:num w:numId="11" w16cid:durableId="1765762854">
    <w:abstractNumId w:val="13"/>
  </w:num>
  <w:num w:numId="12" w16cid:durableId="350649607">
    <w:abstractNumId w:val="11"/>
  </w:num>
  <w:num w:numId="13" w16cid:durableId="552431307">
    <w:abstractNumId w:val="9"/>
  </w:num>
  <w:num w:numId="14" w16cid:durableId="647905677">
    <w:abstractNumId w:val="0"/>
  </w:num>
  <w:num w:numId="15" w16cid:durableId="489096861">
    <w:abstractNumId w:val="15"/>
  </w:num>
  <w:num w:numId="16" w16cid:durableId="1495024552">
    <w:abstractNumId w:val="12"/>
  </w:num>
  <w:num w:numId="17" w16cid:durableId="378018479">
    <w:abstractNumId w:val="20"/>
  </w:num>
  <w:num w:numId="18" w16cid:durableId="560866785">
    <w:abstractNumId w:val="5"/>
  </w:num>
  <w:num w:numId="19" w16cid:durableId="2081975766">
    <w:abstractNumId w:val="19"/>
  </w:num>
  <w:num w:numId="20" w16cid:durableId="855848465">
    <w:abstractNumId w:val="14"/>
  </w:num>
  <w:num w:numId="21" w16cid:durableId="1624069126">
    <w:abstractNumId w:val="7"/>
  </w:num>
  <w:num w:numId="22" w16cid:durableId="689726508">
    <w:abstractNumId w:val="10"/>
  </w:num>
  <w:num w:numId="23" w16cid:durableId="1771465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9C"/>
    <w:rsid w:val="00000BD9"/>
    <w:rsid w:val="00004815"/>
    <w:rsid w:val="00005D68"/>
    <w:rsid w:val="000105DD"/>
    <w:rsid w:val="00011039"/>
    <w:rsid w:val="00015696"/>
    <w:rsid w:val="00016D0C"/>
    <w:rsid w:val="00024921"/>
    <w:rsid w:val="00024F34"/>
    <w:rsid w:val="000253B8"/>
    <w:rsid w:val="00026AA3"/>
    <w:rsid w:val="00030E6B"/>
    <w:rsid w:val="00031B4D"/>
    <w:rsid w:val="00033462"/>
    <w:rsid w:val="00036418"/>
    <w:rsid w:val="0004124A"/>
    <w:rsid w:val="00044164"/>
    <w:rsid w:val="00047D91"/>
    <w:rsid w:val="00052581"/>
    <w:rsid w:val="00053696"/>
    <w:rsid w:val="00054325"/>
    <w:rsid w:val="00062D55"/>
    <w:rsid w:val="00062DE5"/>
    <w:rsid w:val="00071041"/>
    <w:rsid w:val="0007199E"/>
    <w:rsid w:val="00072999"/>
    <w:rsid w:val="00073C5E"/>
    <w:rsid w:val="00074317"/>
    <w:rsid w:val="00080044"/>
    <w:rsid w:val="00083BF3"/>
    <w:rsid w:val="00083D40"/>
    <w:rsid w:val="00085831"/>
    <w:rsid w:val="00091180"/>
    <w:rsid w:val="000914C3"/>
    <w:rsid w:val="00091B6E"/>
    <w:rsid w:val="00092D03"/>
    <w:rsid w:val="00093934"/>
    <w:rsid w:val="000943EE"/>
    <w:rsid w:val="00097BD1"/>
    <w:rsid w:val="000A46A3"/>
    <w:rsid w:val="000A722C"/>
    <w:rsid w:val="000A742B"/>
    <w:rsid w:val="000B1A86"/>
    <w:rsid w:val="000B2B1C"/>
    <w:rsid w:val="000B31B3"/>
    <w:rsid w:val="000B4F9E"/>
    <w:rsid w:val="000C5581"/>
    <w:rsid w:val="000C5824"/>
    <w:rsid w:val="000C7B32"/>
    <w:rsid w:val="000C7BC8"/>
    <w:rsid w:val="000D0EE8"/>
    <w:rsid w:val="000D1DDE"/>
    <w:rsid w:val="000D20D1"/>
    <w:rsid w:val="000E0C17"/>
    <w:rsid w:val="000E4AE9"/>
    <w:rsid w:val="000E4B66"/>
    <w:rsid w:val="000E5B34"/>
    <w:rsid w:val="000E6D24"/>
    <w:rsid w:val="000F1B25"/>
    <w:rsid w:val="000F24A4"/>
    <w:rsid w:val="000F4CD2"/>
    <w:rsid w:val="00100346"/>
    <w:rsid w:val="001009D1"/>
    <w:rsid w:val="00103A52"/>
    <w:rsid w:val="001065D7"/>
    <w:rsid w:val="00107B22"/>
    <w:rsid w:val="00111482"/>
    <w:rsid w:val="00111910"/>
    <w:rsid w:val="00113D68"/>
    <w:rsid w:val="00120775"/>
    <w:rsid w:val="00120BDD"/>
    <w:rsid w:val="00120F32"/>
    <w:rsid w:val="00121F26"/>
    <w:rsid w:val="001266E4"/>
    <w:rsid w:val="001367D4"/>
    <w:rsid w:val="00136A6A"/>
    <w:rsid w:val="00137340"/>
    <w:rsid w:val="00137DF5"/>
    <w:rsid w:val="00142E8F"/>
    <w:rsid w:val="00145FA7"/>
    <w:rsid w:val="00146DF9"/>
    <w:rsid w:val="001478E4"/>
    <w:rsid w:val="00147AA6"/>
    <w:rsid w:val="00150970"/>
    <w:rsid w:val="001512DC"/>
    <w:rsid w:val="00154172"/>
    <w:rsid w:val="0015669D"/>
    <w:rsid w:val="00157D7F"/>
    <w:rsid w:val="001627B4"/>
    <w:rsid w:val="001635D0"/>
    <w:rsid w:val="001658FD"/>
    <w:rsid w:val="00166AE4"/>
    <w:rsid w:val="00170217"/>
    <w:rsid w:val="00170E80"/>
    <w:rsid w:val="00170FF6"/>
    <w:rsid w:val="00175A92"/>
    <w:rsid w:val="00177D71"/>
    <w:rsid w:val="0018136C"/>
    <w:rsid w:val="00182584"/>
    <w:rsid w:val="00182626"/>
    <w:rsid w:val="00184A5C"/>
    <w:rsid w:val="0018511E"/>
    <w:rsid w:val="0018645F"/>
    <w:rsid w:val="001875F2"/>
    <w:rsid w:val="00190571"/>
    <w:rsid w:val="00190F5C"/>
    <w:rsid w:val="001935B2"/>
    <w:rsid w:val="00194B5D"/>
    <w:rsid w:val="001950C5"/>
    <w:rsid w:val="00197059"/>
    <w:rsid w:val="001A14A5"/>
    <w:rsid w:val="001A4AC4"/>
    <w:rsid w:val="001A581B"/>
    <w:rsid w:val="001A7ACB"/>
    <w:rsid w:val="001A7BF4"/>
    <w:rsid w:val="001B2EDB"/>
    <w:rsid w:val="001C186C"/>
    <w:rsid w:val="001C71D9"/>
    <w:rsid w:val="001C78E3"/>
    <w:rsid w:val="001C7941"/>
    <w:rsid w:val="001D35BF"/>
    <w:rsid w:val="001D3F63"/>
    <w:rsid w:val="001D449E"/>
    <w:rsid w:val="001D50D2"/>
    <w:rsid w:val="001D5C14"/>
    <w:rsid w:val="001D6D82"/>
    <w:rsid w:val="001D73DB"/>
    <w:rsid w:val="001E13B7"/>
    <w:rsid w:val="001E54BD"/>
    <w:rsid w:val="001F0648"/>
    <w:rsid w:val="001F192D"/>
    <w:rsid w:val="001F21E9"/>
    <w:rsid w:val="001F3F64"/>
    <w:rsid w:val="001F4108"/>
    <w:rsid w:val="001F6AC1"/>
    <w:rsid w:val="0020032B"/>
    <w:rsid w:val="002015B8"/>
    <w:rsid w:val="00201738"/>
    <w:rsid w:val="00205CA4"/>
    <w:rsid w:val="00211A5A"/>
    <w:rsid w:val="002124D6"/>
    <w:rsid w:val="00213152"/>
    <w:rsid w:val="002131A4"/>
    <w:rsid w:val="0021340E"/>
    <w:rsid w:val="00216ED4"/>
    <w:rsid w:val="002210D5"/>
    <w:rsid w:val="00221A8D"/>
    <w:rsid w:val="002245A3"/>
    <w:rsid w:val="00226E6D"/>
    <w:rsid w:val="0023053C"/>
    <w:rsid w:val="0023777B"/>
    <w:rsid w:val="0024153F"/>
    <w:rsid w:val="002440FA"/>
    <w:rsid w:val="00255D20"/>
    <w:rsid w:val="002623F5"/>
    <w:rsid w:val="00266FC9"/>
    <w:rsid w:val="00267612"/>
    <w:rsid w:val="00272D80"/>
    <w:rsid w:val="00273171"/>
    <w:rsid w:val="00274365"/>
    <w:rsid w:val="00275F8B"/>
    <w:rsid w:val="00276FDB"/>
    <w:rsid w:val="00277B36"/>
    <w:rsid w:val="002855E1"/>
    <w:rsid w:val="00286379"/>
    <w:rsid w:val="00291220"/>
    <w:rsid w:val="00292517"/>
    <w:rsid w:val="0029383D"/>
    <w:rsid w:val="00297930"/>
    <w:rsid w:val="002A1A6E"/>
    <w:rsid w:val="002A2694"/>
    <w:rsid w:val="002A4DD0"/>
    <w:rsid w:val="002A6E20"/>
    <w:rsid w:val="002A7B09"/>
    <w:rsid w:val="002B1A8C"/>
    <w:rsid w:val="002B216E"/>
    <w:rsid w:val="002B6CED"/>
    <w:rsid w:val="002C0CE8"/>
    <w:rsid w:val="002C333A"/>
    <w:rsid w:val="002C3EE9"/>
    <w:rsid w:val="002C4EB4"/>
    <w:rsid w:val="002D010A"/>
    <w:rsid w:val="002D0A93"/>
    <w:rsid w:val="002E1654"/>
    <w:rsid w:val="002E3E78"/>
    <w:rsid w:val="002E60EF"/>
    <w:rsid w:val="002E7794"/>
    <w:rsid w:val="002F1F60"/>
    <w:rsid w:val="002F2064"/>
    <w:rsid w:val="002F5FBB"/>
    <w:rsid w:val="002F7320"/>
    <w:rsid w:val="00300725"/>
    <w:rsid w:val="00302AF9"/>
    <w:rsid w:val="0030315A"/>
    <w:rsid w:val="003072C8"/>
    <w:rsid w:val="00312825"/>
    <w:rsid w:val="00313F66"/>
    <w:rsid w:val="0031581E"/>
    <w:rsid w:val="003159E8"/>
    <w:rsid w:val="003174B5"/>
    <w:rsid w:val="00317F0D"/>
    <w:rsid w:val="003200EB"/>
    <w:rsid w:val="003201F4"/>
    <w:rsid w:val="0032211F"/>
    <w:rsid w:val="00325426"/>
    <w:rsid w:val="003257B8"/>
    <w:rsid w:val="00326F4B"/>
    <w:rsid w:val="003319BB"/>
    <w:rsid w:val="00332CB0"/>
    <w:rsid w:val="003331F8"/>
    <w:rsid w:val="00335E32"/>
    <w:rsid w:val="003403A8"/>
    <w:rsid w:val="0034050B"/>
    <w:rsid w:val="00340E1E"/>
    <w:rsid w:val="00341D77"/>
    <w:rsid w:val="00342B5C"/>
    <w:rsid w:val="00342F0F"/>
    <w:rsid w:val="003435B9"/>
    <w:rsid w:val="00345898"/>
    <w:rsid w:val="003470FB"/>
    <w:rsid w:val="0035294D"/>
    <w:rsid w:val="00356842"/>
    <w:rsid w:val="003609A9"/>
    <w:rsid w:val="0036207D"/>
    <w:rsid w:val="00366D38"/>
    <w:rsid w:val="00366F79"/>
    <w:rsid w:val="0036774F"/>
    <w:rsid w:val="00367B8B"/>
    <w:rsid w:val="00373485"/>
    <w:rsid w:val="00376195"/>
    <w:rsid w:val="00380593"/>
    <w:rsid w:val="00382994"/>
    <w:rsid w:val="00382A3A"/>
    <w:rsid w:val="00383709"/>
    <w:rsid w:val="00383A73"/>
    <w:rsid w:val="00385F0D"/>
    <w:rsid w:val="00390D1F"/>
    <w:rsid w:val="0039159C"/>
    <w:rsid w:val="003954C7"/>
    <w:rsid w:val="00395631"/>
    <w:rsid w:val="003A0BEB"/>
    <w:rsid w:val="003A3407"/>
    <w:rsid w:val="003B0068"/>
    <w:rsid w:val="003B2D67"/>
    <w:rsid w:val="003B2EA1"/>
    <w:rsid w:val="003B535F"/>
    <w:rsid w:val="003B72F5"/>
    <w:rsid w:val="003C066A"/>
    <w:rsid w:val="003C11C8"/>
    <w:rsid w:val="003C1747"/>
    <w:rsid w:val="003C2155"/>
    <w:rsid w:val="003C2EF8"/>
    <w:rsid w:val="003C4822"/>
    <w:rsid w:val="003C5B19"/>
    <w:rsid w:val="003D104C"/>
    <w:rsid w:val="003D1FC4"/>
    <w:rsid w:val="003D2A64"/>
    <w:rsid w:val="003D717E"/>
    <w:rsid w:val="003E0AAA"/>
    <w:rsid w:val="003E1F6B"/>
    <w:rsid w:val="003E3FC7"/>
    <w:rsid w:val="003E49FB"/>
    <w:rsid w:val="003E5E2D"/>
    <w:rsid w:val="003E6A3A"/>
    <w:rsid w:val="003F3452"/>
    <w:rsid w:val="003F352E"/>
    <w:rsid w:val="003F678F"/>
    <w:rsid w:val="003F7C24"/>
    <w:rsid w:val="00401F2F"/>
    <w:rsid w:val="00403994"/>
    <w:rsid w:val="00405027"/>
    <w:rsid w:val="004058AC"/>
    <w:rsid w:val="00407264"/>
    <w:rsid w:val="0040789C"/>
    <w:rsid w:val="00412ADA"/>
    <w:rsid w:val="004149EE"/>
    <w:rsid w:val="00415049"/>
    <w:rsid w:val="00415E7F"/>
    <w:rsid w:val="00415F3A"/>
    <w:rsid w:val="00416294"/>
    <w:rsid w:val="00417968"/>
    <w:rsid w:val="00417C08"/>
    <w:rsid w:val="00424100"/>
    <w:rsid w:val="0042704C"/>
    <w:rsid w:val="00431E8E"/>
    <w:rsid w:val="004410BA"/>
    <w:rsid w:val="0044229D"/>
    <w:rsid w:val="004444CC"/>
    <w:rsid w:val="00446363"/>
    <w:rsid w:val="00451C99"/>
    <w:rsid w:val="00451E21"/>
    <w:rsid w:val="00453CD4"/>
    <w:rsid w:val="0045423E"/>
    <w:rsid w:val="00455B1C"/>
    <w:rsid w:val="00455BD6"/>
    <w:rsid w:val="00457CC6"/>
    <w:rsid w:val="00460F68"/>
    <w:rsid w:val="00461463"/>
    <w:rsid w:val="00461FCB"/>
    <w:rsid w:val="00465BA3"/>
    <w:rsid w:val="004668C7"/>
    <w:rsid w:val="00467EC4"/>
    <w:rsid w:val="00470C3A"/>
    <w:rsid w:val="00471E16"/>
    <w:rsid w:val="00473313"/>
    <w:rsid w:val="00476BBC"/>
    <w:rsid w:val="004776C4"/>
    <w:rsid w:val="004824BE"/>
    <w:rsid w:val="004831FE"/>
    <w:rsid w:val="00483256"/>
    <w:rsid w:val="004860D4"/>
    <w:rsid w:val="00487819"/>
    <w:rsid w:val="004906B8"/>
    <w:rsid w:val="00490FCE"/>
    <w:rsid w:val="0049527B"/>
    <w:rsid w:val="004A3D2A"/>
    <w:rsid w:val="004A5174"/>
    <w:rsid w:val="004A51D2"/>
    <w:rsid w:val="004A564D"/>
    <w:rsid w:val="004A5FAE"/>
    <w:rsid w:val="004B1AD9"/>
    <w:rsid w:val="004B235D"/>
    <w:rsid w:val="004B2F5B"/>
    <w:rsid w:val="004B313B"/>
    <w:rsid w:val="004B3DDC"/>
    <w:rsid w:val="004B4423"/>
    <w:rsid w:val="004C0424"/>
    <w:rsid w:val="004C065F"/>
    <w:rsid w:val="004C19E3"/>
    <w:rsid w:val="004C5CB6"/>
    <w:rsid w:val="004C636D"/>
    <w:rsid w:val="004C6DBD"/>
    <w:rsid w:val="004D19B3"/>
    <w:rsid w:val="004D510D"/>
    <w:rsid w:val="004D527D"/>
    <w:rsid w:val="004E1161"/>
    <w:rsid w:val="004E3424"/>
    <w:rsid w:val="004E6475"/>
    <w:rsid w:val="004E6C50"/>
    <w:rsid w:val="004F1661"/>
    <w:rsid w:val="004F20EA"/>
    <w:rsid w:val="004F29DE"/>
    <w:rsid w:val="004F36DA"/>
    <w:rsid w:val="004F594A"/>
    <w:rsid w:val="00502410"/>
    <w:rsid w:val="00504B80"/>
    <w:rsid w:val="00504D62"/>
    <w:rsid w:val="00505AD2"/>
    <w:rsid w:val="00505C38"/>
    <w:rsid w:val="00511F65"/>
    <w:rsid w:val="00512240"/>
    <w:rsid w:val="00514178"/>
    <w:rsid w:val="0051474C"/>
    <w:rsid w:val="00514892"/>
    <w:rsid w:val="005218F3"/>
    <w:rsid w:val="00524B05"/>
    <w:rsid w:val="005276AA"/>
    <w:rsid w:val="005278FB"/>
    <w:rsid w:val="00530DFD"/>
    <w:rsid w:val="00530EE8"/>
    <w:rsid w:val="005369DF"/>
    <w:rsid w:val="0054143B"/>
    <w:rsid w:val="00542B5D"/>
    <w:rsid w:val="00543EDE"/>
    <w:rsid w:val="00545661"/>
    <w:rsid w:val="005460B3"/>
    <w:rsid w:val="00546297"/>
    <w:rsid w:val="00551E57"/>
    <w:rsid w:val="00554522"/>
    <w:rsid w:val="00555CB5"/>
    <w:rsid w:val="00556B78"/>
    <w:rsid w:val="00560886"/>
    <w:rsid w:val="00562061"/>
    <w:rsid w:val="00563DCE"/>
    <w:rsid w:val="005640D3"/>
    <w:rsid w:val="00565CCC"/>
    <w:rsid w:val="00565D5F"/>
    <w:rsid w:val="00565FBC"/>
    <w:rsid w:val="00566D28"/>
    <w:rsid w:val="0057148F"/>
    <w:rsid w:val="005733F4"/>
    <w:rsid w:val="005752BC"/>
    <w:rsid w:val="005762B3"/>
    <w:rsid w:val="0057753C"/>
    <w:rsid w:val="005813D9"/>
    <w:rsid w:val="005815CF"/>
    <w:rsid w:val="00582975"/>
    <w:rsid w:val="00582F47"/>
    <w:rsid w:val="00583E48"/>
    <w:rsid w:val="00584FAC"/>
    <w:rsid w:val="005867B0"/>
    <w:rsid w:val="0059570C"/>
    <w:rsid w:val="00596A13"/>
    <w:rsid w:val="005A02AB"/>
    <w:rsid w:val="005A2CED"/>
    <w:rsid w:val="005A566E"/>
    <w:rsid w:val="005A614D"/>
    <w:rsid w:val="005B1B80"/>
    <w:rsid w:val="005B474F"/>
    <w:rsid w:val="005B799D"/>
    <w:rsid w:val="005C2929"/>
    <w:rsid w:val="005C563E"/>
    <w:rsid w:val="005C5C71"/>
    <w:rsid w:val="005D0BB0"/>
    <w:rsid w:val="005E296A"/>
    <w:rsid w:val="005E2ABD"/>
    <w:rsid w:val="005E5C0B"/>
    <w:rsid w:val="005F36FD"/>
    <w:rsid w:val="005F4198"/>
    <w:rsid w:val="005F4958"/>
    <w:rsid w:val="00600328"/>
    <w:rsid w:val="00601BF4"/>
    <w:rsid w:val="0060349E"/>
    <w:rsid w:val="0061096C"/>
    <w:rsid w:val="0061163E"/>
    <w:rsid w:val="00611AC0"/>
    <w:rsid w:val="00611B82"/>
    <w:rsid w:val="00612098"/>
    <w:rsid w:val="00612C46"/>
    <w:rsid w:val="00613D5A"/>
    <w:rsid w:val="006143C0"/>
    <w:rsid w:val="0061521D"/>
    <w:rsid w:val="0061588D"/>
    <w:rsid w:val="006160D4"/>
    <w:rsid w:val="0061769A"/>
    <w:rsid w:val="0062101D"/>
    <w:rsid w:val="0062438B"/>
    <w:rsid w:val="00630D22"/>
    <w:rsid w:val="00631757"/>
    <w:rsid w:val="0063508F"/>
    <w:rsid w:val="00640F45"/>
    <w:rsid w:val="0064271B"/>
    <w:rsid w:val="0064392A"/>
    <w:rsid w:val="00647EB2"/>
    <w:rsid w:val="0065124F"/>
    <w:rsid w:val="00653975"/>
    <w:rsid w:val="00654AD3"/>
    <w:rsid w:val="0066122D"/>
    <w:rsid w:val="0067621A"/>
    <w:rsid w:val="00682550"/>
    <w:rsid w:val="0068642F"/>
    <w:rsid w:val="00686BE4"/>
    <w:rsid w:val="006900D9"/>
    <w:rsid w:val="006902CA"/>
    <w:rsid w:val="006925C4"/>
    <w:rsid w:val="006935A1"/>
    <w:rsid w:val="00693730"/>
    <w:rsid w:val="006937B8"/>
    <w:rsid w:val="006965F1"/>
    <w:rsid w:val="00697E40"/>
    <w:rsid w:val="006A5AE4"/>
    <w:rsid w:val="006A6B05"/>
    <w:rsid w:val="006A7FFD"/>
    <w:rsid w:val="006B1065"/>
    <w:rsid w:val="006B1924"/>
    <w:rsid w:val="006B321B"/>
    <w:rsid w:val="006B5797"/>
    <w:rsid w:val="006B7126"/>
    <w:rsid w:val="006C3814"/>
    <w:rsid w:val="006C521C"/>
    <w:rsid w:val="006C7F4E"/>
    <w:rsid w:val="006D0A1E"/>
    <w:rsid w:val="006D39E5"/>
    <w:rsid w:val="006D5115"/>
    <w:rsid w:val="006D6C0A"/>
    <w:rsid w:val="006E3ABD"/>
    <w:rsid w:val="006E3DD7"/>
    <w:rsid w:val="006F019D"/>
    <w:rsid w:val="006F1F7E"/>
    <w:rsid w:val="006F3677"/>
    <w:rsid w:val="006F77E3"/>
    <w:rsid w:val="00702A4E"/>
    <w:rsid w:val="00703E3E"/>
    <w:rsid w:val="00704444"/>
    <w:rsid w:val="00704CA3"/>
    <w:rsid w:val="00705D6B"/>
    <w:rsid w:val="00706203"/>
    <w:rsid w:val="00713608"/>
    <w:rsid w:val="0071505A"/>
    <w:rsid w:val="007217A9"/>
    <w:rsid w:val="00722131"/>
    <w:rsid w:val="00723D9F"/>
    <w:rsid w:val="00724C75"/>
    <w:rsid w:val="0073051F"/>
    <w:rsid w:val="0073307D"/>
    <w:rsid w:val="0073350F"/>
    <w:rsid w:val="00733D5A"/>
    <w:rsid w:val="00736970"/>
    <w:rsid w:val="00740129"/>
    <w:rsid w:val="0074085F"/>
    <w:rsid w:val="00742167"/>
    <w:rsid w:val="00743170"/>
    <w:rsid w:val="0074317D"/>
    <w:rsid w:val="00750DEB"/>
    <w:rsid w:val="00751DAF"/>
    <w:rsid w:val="00754F3D"/>
    <w:rsid w:val="00754FC6"/>
    <w:rsid w:val="00756104"/>
    <w:rsid w:val="00756B67"/>
    <w:rsid w:val="00756DFF"/>
    <w:rsid w:val="00761C28"/>
    <w:rsid w:val="00764F5C"/>
    <w:rsid w:val="0076500F"/>
    <w:rsid w:val="00765B9C"/>
    <w:rsid w:val="0076708A"/>
    <w:rsid w:val="00767A77"/>
    <w:rsid w:val="00767F61"/>
    <w:rsid w:val="0077162A"/>
    <w:rsid w:val="00772280"/>
    <w:rsid w:val="00775A98"/>
    <w:rsid w:val="00777250"/>
    <w:rsid w:val="0078136A"/>
    <w:rsid w:val="00783853"/>
    <w:rsid w:val="007865EB"/>
    <w:rsid w:val="00790759"/>
    <w:rsid w:val="00790C5E"/>
    <w:rsid w:val="0079211E"/>
    <w:rsid w:val="007A0719"/>
    <w:rsid w:val="007A220C"/>
    <w:rsid w:val="007A2D31"/>
    <w:rsid w:val="007A4C39"/>
    <w:rsid w:val="007A610B"/>
    <w:rsid w:val="007A7BC6"/>
    <w:rsid w:val="007B0B23"/>
    <w:rsid w:val="007B0F1F"/>
    <w:rsid w:val="007B1548"/>
    <w:rsid w:val="007B54D3"/>
    <w:rsid w:val="007B72F8"/>
    <w:rsid w:val="007C1695"/>
    <w:rsid w:val="007C1801"/>
    <w:rsid w:val="007C24FF"/>
    <w:rsid w:val="007C336F"/>
    <w:rsid w:val="007C3AA3"/>
    <w:rsid w:val="007C5E77"/>
    <w:rsid w:val="007D15C0"/>
    <w:rsid w:val="007D2BFF"/>
    <w:rsid w:val="007D516A"/>
    <w:rsid w:val="007E15A8"/>
    <w:rsid w:val="007E1B8C"/>
    <w:rsid w:val="007E236B"/>
    <w:rsid w:val="007E3581"/>
    <w:rsid w:val="007E36DB"/>
    <w:rsid w:val="007E3AAC"/>
    <w:rsid w:val="007E40B3"/>
    <w:rsid w:val="007E7DCF"/>
    <w:rsid w:val="007E7E02"/>
    <w:rsid w:val="007F071F"/>
    <w:rsid w:val="007F16DD"/>
    <w:rsid w:val="007F4810"/>
    <w:rsid w:val="007F558C"/>
    <w:rsid w:val="007F56CB"/>
    <w:rsid w:val="007F6F02"/>
    <w:rsid w:val="007F7D51"/>
    <w:rsid w:val="00800852"/>
    <w:rsid w:val="00802909"/>
    <w:rsid w:val="008037B2"/>
    <w:rsid w:val="00804D70"/>
    <w:rsid w:val="00810981"/>
    <w:rsid w:val="0081549B"/>
    <w:rsid w:val="00820952"/>
    <w:rsid w:val="008211E6"/>
    <w:rsid w:val="00822859"/>
    <w:rsid w:val="0082431A"/>
    <w:rsid w:val="00825284"/>
    <w:rsid w:val="00830C44"/>
    <w:rsid w:val="00831E9B"/>
    <w:rsid w:val="008323D0"/>
    <w:rsid w:val="00834647"/>
    <w:rsid w:val="00842450"/>
    <w:rsid w:val="0084299E"/>
    <w:rsid w:val="008463FD"/>
    <w:rsid w:val="00846A5C"/>
    <w:rsid w:val="008475AB"/>
    <w:rsid w:val="0085247E"/>
    <w:rsid w:val="00852D26"/>
    <w:rsid w:val="00861F87"/>
    <w:rsid w:val="00863095"/>
    <w:rsid w:val="00864791"/>
    <w:rsid w:val="00864D71"/>
    <w:rsid w:val="00865490"/>
    <w:rsid w:val="00865BD5"/>
    <w:rsid w:val="00867ACD"/>
    <w:rsid w:val="00873467"/>
    <w:rsid w:val="008739E0"/>
    <w:rsid w:val="00873BD3"/>
    <w:rsid w:val="00877EE1"/>
    <w:rsid w:val="00883A83"/>
    <w:rsid w:val="00883BA1"/>
    <w:rsid w:val="00891BEF"/>
    <w:rsid w:val="00893372"/>
    <w:rsid w:val="00897C59"/>
    <w:rsid w:val="008A605D"/>
    <w:rsid w:val="008A770B"/>
    <w:rsid w:val="008B63C9"/>
    <w:rsid w:val="008B7159"/>
    <w:rsid w:val="008C08C1"/>
    <w:rsid w:val="008C24F4"/>
    <w:rsid w:val="008C263D"/>
    <w:rsid w:val="008C3B8A"/>
    <w:rsid w:val="008C3F25"/>
    <w:rsid w:val="008C4655"/>
    <w:rsid w:val="008C46A4"/>
    <w:rsid w:val="008C556B"/>
    <w:rsid w:val="008C616D"/>
    <w:rsid w:val="008C7576"/>
    <w:rsid w:val="008D0CB1"/>
    <w:rsid w:val="008D500C"/>
    <w:rsid w:val="008E31F5"/>
    <w:rsid w:val="008E3B2E"/>
    <w:rsid w:val="008E481F"/>
    <w:rsid w:val="008E55A8"/>
    <w:rsid w:val="008E7290"/>
    <w:rsid w:val="008F015B"/>
    <w:rsid w:val="008F388D"/>
    <w:rsid w:val="008F3CB3"/>
    <w:rsid w:val="008F3FF7"/>
    <w:rsid w:val="008F541A"/>
    <w:rsid w:val="008F5AE9"/>
    <w:rsid w:val="008F5F81"/>
    <w:rsid w:val="009002B6"/>
    <w:rsid w:val="0090045E"/>
    <w:rsid w:val="00902B32"/>
    <w:rsid w:val="009053CF"/>
    <w:rsid w:val="00907323"/>
    <w:rsid w:val="00910AAC"/>
    <w:rsid w:val="00910EBB"/>
    <w:rsid w:val="00911045"/>
    <w:rsid w:val="00911FAC"/>
    <w:rsid w:val="00915C2E"/>
    <w:rsid w:val="00915FEB"/>
    <w:rsid w:val="00916FE5"/>
    <w:rsid w:val="00921DF1"/>
    <w:rsid w:val="00922A60"/>
    <w:rsid w:val="00922E3C"/>
    <w:rsid w:val="00926F25"/>
    <w:rsid w:val="009279DA"/>
    <w:rsid w:val="00927F78"/>
    <w:rsid w:val="00931F68"/>
    <w:rsid w:val="009322D3"/>
    <w:rsid w:val="00934DE6"/>
    <w:rsid w:val="009351FF"/>
    <w:rsid w:val="00935641"/>
    <w:rsid w:val="009413D1"/>
    <w:rsid w:val="009416E4"/>
    <w:rsid w:val="00942085"/>
    <w:rsid w:val="00944699"/>
    <w:rsid w:val="00951A22"/>
    <w:rsid w:val="00952DA0"/>
    <w:rsid w:val="009553D5"/>
    <w:rsid w:val="00955517"/>
    <w:rsid w:val="00961391"/>
    <w:rsid w:val="009632C9"/>
    <w:rsid w:val="00963B01"/>
    <w:rsid w:val="00964510"/>
    <w:rsid w:val="00964A60"/>
    <w:rsid w:val="009653B7"/>
    <w:rsid w:val="00970C00"/>
    <w:rsid w:val="009719EA"/>
    <w:rsid w:val="00972F64"/>
    <w:rsid w:val="009730B5"/>
    <w:rsid w:val="009745D0"/>
    <w:rsid w:val="00975334"/>
    <w:rsid w:val="009753B8"/>
    <w:rsid w:val="00977E28"/>
    <w:rsid w:val="009839E1"/>
    <w:rsid w:val="009841B4"/>
    <w:rsid w:val="00984F90"/>
    <w:rsid w:val="00986768"/>
    <w:rsid w:val="009870EA"/>
    <w:rsid w:val="00987B2F"/>
    <w:rsid w:val="009908B4"/>
    <w:rsid w:val="00996CDF"/>
    <w:rsid w:val="0099735D"/>
    <w:rsid w:val="00997F14"/>
    <w:rsid w:val="009A1AFE"/>
    <w:rsid w:val="009A2E46"/>
    <w:rsid w:val="009A3944"/>
    <w:rsid w:val="009B0B0B"/>
    <w:rsid w:val="009B0B54"/>
    <w:rsid w:val="009B195C"/>
    <w:rsid w:val="009B5A4E"/>
    <w:rsid w:val="009B5C92"/>
    <w:rsid w:val="009B5D23"/>
    <w:rsid w:val="009B65B5"/>
    <w:rsid w:val="009B6816"/>
    <w:rsid w:val="009C1260"/>
    <w:rsid w:val="009C1586"/>
    <w:rsid w:val="009C169F"/>
    <w:rsid w:val="009C37D1"/>
    <w:rsid w:val="009C42AF"/>
    <w:rsid w:val="009C61BC"/>
    <w:rsid w:val="009C6B1B"/>
    <w:rsid w:val="009D0568"/>
    <w:rsid w:val="009D23E6"/>
    <w:rsid w:val="009D4DEB"/>
    <w:rsid w:val="009D7634"/>
    <w:rsid w:val="009D7E5D"/>
    <w:rsid w:val="009E137F"/>
    <w:rsid w:val="009E2E85"/>
    <w:rsid w:val="009E3C42"/>
    <w:rsid w:val="009E48BA"/>
    <w:rsid w:val="009E6AA1"/>
    <w:rsid w:val="009F0097"/>
    <w:rsid w:val="009F022E"/>
    <w:rsid w:val="009F32B3"/>
    <w:rsid w:val="009F398B"/>
    <w:rsid w:val="009F4E62"/>
    <w:rsid w:val="009F5C46"/>
    <w:rsid w:val="00A00E6D"/>
    <w:rsid w:val="00A01692"/>
    <w:rsid w:val="00A030E5"/>
    <w:rsid w:val="00A03365"/>
    <w:rsid w:val="00A04DE4"/>
    <w:rsid w:val="00A057D9"/>
    <w:rsid w:val="00A069CE"/>
    <w:rsid w:val="00A07402"/>
    <w:rsid w:val="00A079A2"/>
    <w:rsid w:val="00A1004D"/>
    <w:rsid w:val="00A10276"/>
    <w:rsid w:val="00A134D3"/>
    <w:rsid w:val="00A1364E"/>
    <w:rsid w:val="00A140BE"/>
    <w:rsid w:val="00A16594"/>
    <w:rsid w:val="00A16BED"/>
    <w:rsid w:val="00A17F2A"/>
    <w:rsid w:val="00A225D8"/>
    <w:rsid w:val="00A24A71"/>
    <w:rsid w:val="00A25F26"/>
    <w:rsid w:val="00A2625F"/>
    <w:rsid w:val="00A26E5C"/>
    <w:rsid w:val="00A275DF"/>
    <w:rsid w:val="00A330CC"/>
    <w:rsid w:val="00A3481A"/>
    <w:rsid w:val="00A4048D"/>
    <w:rsid w:val="00A4056C"/>
    <w:rsid w:val="00A418CD"/>
    <w:rsid w:val="00A44F0E"/>
    <w:rsid w:val="00A45C8B"/>
    <w:rsid w:val="00A47466"/>
    <w:rsid w:val="00A50B2C"/>
    <w:rsid w:val="00A51441"/>
    <w:rsid w:val="00A541B1"/>
    <w:rsid w:val="00A545DF"/>
    <w:rsid w:val="00A55171"/>
    <w:rsid w:val="00A557AF"/>
    <w:rsid w:val="00A56429"/>
    <w:rsid w:val="00A579B7"/>
    <w:rsid w:val="00A60804"/>
    <w:rsid w:val="00A64B6D"/>
    <w:rsid w:val="00A66296"/>
    <w:rsid w:val="00A67795"/>
    <w:rsid w:val="00A67B70"/>
    <w:rsid w:val="00A700A1"/>
    <w:rsid w:val="00A72752"/>
    <w:rsid w:val="00A749DD"/>
    <w:rsid w:val="00A77E8D"/>
    <w:rsid w:val="00A80718"/>
    <w:rsid w:val="00A80A27"/>
    <w:rsid w:val="00A812C2"/>
    <w:rsid w:val="00A82F6C"/>
    <w:rsid w:val="00A83AC8"/>
    <w:rsid w:val="00A90A3B"/>
    <w:rsid w:val="00A91C18"/>
    <w:rsid w:val="00A92EA0"/>
    <w:rsid w:val="00A9441D"/>
    <w:rsid w:val="00A9682F"/>
    <w:rsid w:val="00AA11D6"/>
    <w:rsid w:val="00AA2E4D"/>
    <w:rsid w:val="00AA31DB"/>
    <w:rsid w:val="00AA33FD"/>
    <w:rsid w:val="00AA718E"/>
    <w:rsid w:val="00AA7FE1"/>
    <w:rsid w:val="00AB1139"/>
    <w:rsid w:val="00AB124E"/>
    <w:rsid w:val="00AB5320"/>
    <w:rsid w:val="00AB5FB8"/>
    <w:rsid w:val="00AB7E88"/>
    <w:rsid w:val="00AC2D62"/>
    <w:rsid w:val="00AC340D"/>
    <w:rsid w:val="00AC38C4"/>
    <w:rsid w:val="00AC3F22"/>
    <w:rsid w:val="00AC4DCA"/>
    <w:rsid w:val="00AC5D24"/>
    <w:rsid w:val="00AC6B09"/>
    <w:rsid w:val="00AC7B6C"/>
    <w:rsid w:val="00AD049E"/>
    <w:rsid w:val="00AD0C57"/>
    <w:rsid w:val="00AD2993"/>
    <w:rsid w:val="00AD3239"/>
    <w:rsid w:val="00AE2E16"/>
    <w:rsid w:val="00AE2F7D"/>
    <w:rsid w:val="00AE78D5"/>
    <w:rsid w:val="00AF0820"/>
    <w:rsid w:val="00AF14C8"/>
    <w:rsid w:val="00AF1C2C"/>
    <w:rsid w:val="00AF202F"/>
    <w:rsid w:val="00AF3994"/>
    <w:rsid w:val="00B014B3"/>
    <w:rsid w:val="00B01AE4"/>
    <w:rsid w:val="00B020D9"/>
    <w:rsid w:val="00B039E6"/>
    <w:rsid w:val="00B05F77"/>
    <w:rsid w:val="00B06FB7"/>
    <w:rsid w:val="00B074B6"/>
    <w:rsid w:val="00B20E20"/>
    <w:rsid w:val="00B21FED"/>
    <w:rsid w:val="00B22CEE"/>
    <w:rsid w:val="00B233BC"/>
    <w:rsid w:val="00B25787"/>
    <w:rsid w:val="00B276DF"/>
    <w:rsid w:val="00B34BCE"/>
    <w:rsid w:val="00B37538"/>
    <w:rsid w:val="00B4113B"/>
    <w:rsid w:val="00B441AC"/>
    <w:rsid w:val="00B45587"/>
    <w:rsid w:val="00B45AAB"/>
    <w:rsid w:val="00B50805"/>
    <w:rsid w:val="00B5081C"/>
    <w:rsid w:val="00B519E3"/>
    <w:rsid w:val="00B54A70"/>
    <w:rsid w:val="00B55675"/>
    <w:rsid w:val="00B55897"/>
    <w:rsid w:val="00B5776A"/>
    <w:rsid w:val="00B60DB1"/>
    <w:rsid w:val="00B65CD4"/>
    <w:rsid w:val="00B66698"/>
    <w:rsid w:val="00B675AF"/>
    <w:rsid w:val="00B70143"/>
    <w:rsid w:val="00B71086"/>
    <w:rsid w:val="00B7551E"/>
    <w:rsid w:val="00B77530"/>
    <w:rsid w:val="00B77B41"/>
    <w:rsid w:val="00B8174F"/>
    <w:rsid w:val="00B81B31"/>
    <w:rsid w:val="00B820F3"/>
    <w:rsid w:val="00B84054"/>
    <w:rsid w:val="00B84A2A"/>
    <w:rsid w:val="00B855E4"/>
    <w:rsid w:val="00B8697A"/>
    <w:rsid w:val="00B905EB"/>
    <w:rsid w:val="00B919F5"/>
    <w:rsid w:val="00B92EB6"/>
    <w:rsid w:val="00B952F4"/>
    <w:rsid w:val="00B96385"/>
    <w:rsid w:val="00B96F58"/>
    <w:rsid w:val="00BA2819"/>
    <w:rsid w:val="00BA33F1"/>
    <w:rsid w:val="00BA4574"/>
    <w:rsid w:val="00BB3B21"/>
    <w:rsid w:val="00BB5FB8"/>
    <w:rsid w:val="00BC16BF"/>
    <w:rsid w:val="00BC6731"/>
    <w:rsid w:val="00BC6A89"/>
    <w:rsid w:val="00BC7ED4"/>
    <w:rsid w:val="00BC7EF1"/>
    <w:rsid w:val="00BD251C"/>
    <w:rsid w:val="00BD290E"/>
    <w:rsid w:val="00BD3A79"/>
    <w:rsid w:val="00BD3EA8"/>
    <w:rsid w:val="00BD6C81"/>
    <w:rsid w:val="00BE084A"/>
    <w:rsid w:val="00BE2A34"/>
    <w:rsid w:val="00BE40CD"/>
    <w:rsid w:val="00BE55ED"/>
    <w:rsid w:val="00BE6A56"/>
    <w:rsid w:val="00BF480C"/>
    <w:rsid w:val="00BF4F22"/>
    <w:rsid w:val="00BF562F"/>
    <w:rsid w:val="00C002FC"/>
    <w:rsid w:val="00C006D7"/>
    <w:rsid w:val="00C015EC"/>
    <w:rsid w:val="00C038D2"/>
    <w:rsid w:val="00C04630"/>
    <w:rsid w:val="00C077B8"/>
    <w:rsid w:val="00C07824"/>
    <w:rsid w:val="00C11F3A"/>
    <w:rsid w:val="00C15B08"/>
    <w:rsid w:val="00C20D39"/>
    <w:rsid w:val="00C2209B"/>
    <w:rsid w:val="00C22D7E"/>
    <w:rsid w:val="00C26DF7"/>
    <w:rsid w:val="00C27855"/>
    <w:rsid w:val="00C305C0"/>
    <w:rsid w:val="00C31C66"/>
    <w:rsid w:val="00C32B80"/>
    <w:rsid w:val="00C32F25"/>
    <w:rsid w:val="00C361F4"/>
    <w:rsid w:val="00C375A4"/>
    <w:rsid w:val="00C422A1"/>
    <w:rsid w:val="00C427FD"/>
    <w:rsid w:val="00C42A9D"/>
    <w:rsid w:val="00C467D8"/>
    <w:rsid w:val="00C51672"/>
    <w:rsid w:val="00C543F7"/>
    <w:rsid w:val="00C55AD2"/>
    <w:rsid w:val="00C574E0"/>
    <w:rsid w:val="00C608D3"/>
    <w:rsid w:val="00C60BFD"/>
    <w:rsid w:val="00C61B6C"/>
    <w:rsid w:val="00C63A6C"/>
    <w:rsid w:val="00C66174"/>
    <w:rsid w:val="00C6760B"/>
    <w:rsid w:val="00C67B2B"/>
    <w:rsid w:val="00C7650A"/>
    <w:rsid w:val="00C7789D"/>
    <w:rsid w:val="00C8172E"/>
    <w:rsid w:val="00C8205C"/>
    <w:rsid w:val="00C8234D"/>
    <w:rsid w:val="00C83E68"/>
    <w:rsid w:val="00C8479D"/>
    <w:rsid w:val="00C906B2"/>
    <w:rsid w:val="00C93C04"/>
    <w:rsid w:val="00C95093"/>
    <w:rsid w:val="00C97471"/>
    <w:rsid w:val="00C979B7"/>
    <w:rsid w:val="00C97F60"/>
    <w:rsid w:val="00CA0459"/>
    <w:rsid w:val="00CA2F4B"/>
    <w:rsid w:val="00CA3A00"/>
    <w:rsid w:val="00CA4BD4"/>
    <w:rsid w:val="00CA55B4"/>
    <w:rsid w:val="00CA6253"/>
    <w:rsid w:val="00CB0A49"/>
    <w:rsid w:val="00CB375F"/>
    <w:rsid w:val="00CB60A7"/>
    <w:rsid w:val="00CC09EF"/>
    <w:rsid w:val="00CC2F91"/>
    <w:rsid w:val="00CD14DE"/>
    <w:rsid w:val="00CD1E3B"/>
    <w:rsid w:val="00CD25B8"/>
    <w:rsid w:val="00CD2672"/>
    <w:rsid w:val="00CD4E18"/>
    <w:rsid w:val="00CE0334"/>
    <w:rsid w:val="00CE0743"/>
    <w:rsid w:val="00CE0B59"/>
    <w:rsid w:val="00CE477E"/>
    <w:rsid w:val="00CE5C0F"/>
    <w:rsid w:val="00CE72BE"/>
    <w:rsid w:val="00CF43BA"/>
    <w:rsid w:val="00CF44B0"/>
    <w:rsid w:val="00CF6B57"/>
    <w:rsid w:val="00D00FFD"/>
    <w:rsid w:val="00D01B31"/>
    <w:rsid w:val="00D02BE1"/>
    <w:rsid w:val="00D04AF2"/>
    <w:rsid w:val="00D0518D"/>
    <w:rsid w:val="00D0569A"/>
    <w:rsid w:val="00D11798"/>
    <w:rsid w:val="00D131EC"/>
    <w:rsid w:val="00D21075"/>
    <w:rsid w:val="00D22E59"/>
    <w:rsid w:val="00D23640"/>
    <w:rsid w:val="00D26861"/>
    <w:rsid w:val="00D31882"/>
    <w:rsid w:val="00D34626"/>
    <w:rsid w:val="00D35829"/>
    <w:rsid w:val="00D37338"/>
    <w:rsid w:val="00D4119C"/>
    <w:rsid w:val="00D42FDD"/>
    <w:rsid w:val="00D440D5"/>
    <w:rsid w:val="00D474B9"/>
    <w:rsid w:val="00D51630"/>
    <w:rsid w:val="00D5214A"/>
    <w:rsid w:val="00D52280"/>
    <w:rsid w:val="00D538DA"/>
    <w:rsid w:val="00D56A86"/>
    <w:rsid w:val="00D571AE"/>
    <w:rsid w:val="00D6015A"/>
    <w:rsid w:val="00D62083"/>
    <w:rsid w:val="00D62B36"/>
    <w:rsid w:val="00D63C3A"/>
    <w:rsid w:val="00D63DB6"/>
    <w:rsid w:val="00D63E1A"/>
    <w:rsid w:val="00D6407B"/>
    <w:rsid w:val="00D64ECD"/>
    <w:rsid w:val="00D71447"/>
    <w:rsid w:val="00D715DB"/>
    <w:rsid w:val="00D74EC0"/>
    <w:rsid w:val="00D75A11"/>
    <w:rsid w:val="00D75B07"/>
    <w:rsid w:val="00D81E14"/>
    <w:rsid w:val="00D832CB"/>
    <w:rsid w:val="00D854C4"/>
    <w:rsid w:val="00D87DBD"/>
    <w:rsid w:val="00D91FB8"/>
    <w:rsid w:val="00D921F5"/>
    <w:rsid w:val="00D9312A"/>
    <w:rsid w:val="00D9415B"/>
    <w:rsid w:val="00D9709D"/>
    <w:rsid w:val="00D97F9B"/>
    <w:rsid w:val="00DA391A"/>
    <w:rsid w:val="00DA4AE6"/>
    <w:rsid w:val="00DA7060"/>
    <w:rsid w:val="00DA71F6"/>
    <w:rsid w:val="00DA764B"/>
    <w:rsid w:val="00DB3CF5"/>
    <w:rsid w:val="00DB4A65"/>
    <w:rsid w:val="00DB4F05"/>
    <w:rsid w:val="00DC0C4C"/>
    <w:rsid w:val="00DC36C4"/>
    <w:rsid w:val="00DC542C"/>
    <w:rsid w:val="00DC7297"/>
    <w:rsid w:val="00DD6555"/>
    <w:rsid w:val="00DD7A24"/>
    <w:rsid w:val="00DE038B"/>
    <w:rsid w:val="00DE32D2"/>
    <w:rsid w:val="00DE3C87"/>
    <w:rsid w:val="00DE57A0"/>
    <w:rsid w:val="00DE5881"/>
    <w:rsid w:val="00DE6011"/>
    <w:rsid w:val="00DE6CA9"/>
    <w:rsid w:val="00DF4CEC"/>
    <w:rsid w:val="00DF5203"/>
    <w:rsid w:val="00DF5B6B"/>
    <w:rsid w:val="00DF749B"/>
    <w:rsid w:val="00E01A69"/>
    <w:rsid w:val="00E02628"/>
    <w:rsid w:val="00E03F0F"/>
    <w:rsid w:val="00E06922"/>
    <w:rsid w:val="00E07BEC"/>
    <w:rsid w:val="00E07C7A"/>
    <w:rsid w:val="00E114FF"/>
    <w:rsid w:val="00E153CD"/>
    <w:rsid w:val="00E24B8B"/>
    <w:rsid w:val="00E25935"/>
    <w:rsid w:val="00E26496"/>
    <w:rsid w:val="00E26551"/>
    <w:rsid w:val="00E30382"/>
    <w:rsid w:val="00E3335A"/>
    <w:rsid w:val="00E3436D"/>
    <w:rsid w:val="00E35630"/>
    <w:rsid w:val="00E359DC"/>
    <w:rsid w:val="00E4036D"/>
    <w:rsid w:val="00E409CC"/>
    <w:rsid w:val="00E411A3"/>
    <w:rsid w:val="00E43C82"/>
    <w:rsid w:val="00E47C83"/>
    <w:rsid w:val="00E5042B"/>
    <w:rsid w:val="00E505B9"/>
    <w:rsid w:val="00E51F42"/>
    <w:rsid w:val="00E53839"/>
    <w:rsid w:val="00E5389B"/>
    <w:rsid w:val="00E547CC"/>
    <w:rsid w:val="00E55E1C"/>
    <w:rsid w:val="00E67388"/>
    <w:rsid w:val="00E725D6"/>
    <w:rsid w:val="00E7302F"/>
    <w:rsid w:val="00E741C0"/>
    <w:rsid w:val="00E749D8"/>
    <w:rsid w:val="00E75291"/>
    <w:rsid w:val="00E753B2"/>
    <w:rsid w:val="00E772E9"/>
    <w:rsid w:val="00E80F0F"/>
    <w:rsid w:val="00E81323"/>
    <w:rsid w:val="00E81DC4"/>
    <w:rsid w:val="00E8269A"/>
    <w:rsid w:val="00E84308"/>
    <w:rsid w:val="00E847B9"/>
    <w:rsid w:val="00E856F8"/>
    <w:rsid w:val="00E9005B"/>
    <w:rsid w:val="00E913B3"/>
    <w:rsid w:val="00E91503"/>
    <w:rsid w:val="00E91BD2"/>
    <w:rsid w:val="00E93B7E"/>
    <w:rsid w:val="00E9459E"/>
    <w:rsid w:val="00E957DA"/>
    <w:rsid w:val="00E95BE7"/>
    <w:rsid w:val="00E968C6"/>
    <w:rsid w:val="00EA2592"/>
    <w:rsid w:val="00EA3A8A"/>
    <w:rsid w:val="00EA4CBD"/>
    <w:rsid w:val="00EB1248"/>
    <w:rsid w:val="00EB3840"/>
    <w:rsid w:val="00EB3B8F"/>
    <w:rsid w:val="00EB5A2B"/>
    <w:rsid w:val="00EB71D9"/>
    <w:rsid w:val="00EC099E"/>
    <w:rsid w:val="00EC0E53"/>
    <w:rsid w:val="00EC1743"/>
    <w:rsid w:val="00EC26A5"/>
    <w:rsid w:val="00EC2F03"/>
    <w:rsid w:val="00EC3F30"/>
    <w:rsid w:val="00EC4055"/>
    <w:rsid w:val="00EC56C1"/>
    <w:rsid w:val="00EC5A3A"/>
    <w:rsid w:val="00EC684E"/>
    <w:rsid w:val="00EC7F1E"/>
    <w:rsid w:val="00ED036D"/>
    <w:rsid w:val="00ED0A31"/>
    <w:rsid w:val="00ED0EA0"/>
    <w:rsid w:val="00ED108C"/>
    <w:rsid w:val="00ED5499"/>
    <w:rsid w:val="00ED6062"/>
    <w:rsid w:val="00EE0418"/>
    <w:rsid w:val="00EE44D1"/>
    <w:rsid w:val="00EE5899"/>
    <w:rsid w:val="00EE5D1D"/>
    <w:rsid w:val="00EE6DD8"/>
    <w:rsid w:val="00EF035E"/>
    <w:rsid w:val="00EF05F7"/>
    <w:rsid w:val="00EF159C"/>
    <w:rsid w:val="00EF20BC"/>
    <w:rsid w:val="00EF50BB"/>
    <w:rsid w:val="00EF5754"/>
    <w:rsid w:val="00EF5B29"/>
    <w:rsid w:val="00EF715F"/>
    <w:rsid w:val="00F02B4B"/>
    <w:rsid w:val="00F03A1A"/>
    <w:rsid w:val="00F060F6"/>
    <w:rsid w:val="00F06A2C"/>
    <w:rsid w:val="00F10A5F"/>
    <w:rsid w:val="00F1358B"/>
    <w:rsid w:val="00F15E89"/>
    <w:rsid w:val="00F16D40"/>
    <w:rsid w:val="00F20255"/>
    <w:rsid w:val="00F21B44"/>
    <w:rsid w:val="00F247B0"/>
    <w:rsid w:val="00F2577B"/>
    <w:rsid w:val="00F26ABE"/>
    <w:rsid w:val="00F26E72"/>
    <w:rsid w:val="00F33564"/>
    <w:rsid w:val="00F34912"/>
    <w:rsid w:val="00F35992"/>
    <w:rsid w:val="00F36C7F"/>
    <w:rsid w:val="00F402FD"/>
    <w:rsid w:val="00F421B3"/>
    <w:rsid w:val="00F430E3"/>
    <w:rsid w:val="00F465B0"/>
    <w:rsid w:val="00F46FCC"/>
    <w:rsid w:val="00F47385"/>
    <w:rsid w:val="00F51B10"/>
    <w:rsid w:val="00F5412F"/>
    <w:rsid w:val="00F54170"/>
    <w:rsid w:val="00F601C9"/>
    <w:rsid w:val="00F60B5D"/>
    <w:rsid w:val="00F62FD2"/>
    <w:rsid w:val="00F631FC"/>
    <w:rsid w:val="00F63C38"/>
    <w:rsid w:val="00F64A63"/>
    <w:rsid w:val="00F73248"/>
    <w:rsid w:val="00F73456"/>
    <w:rsid w:val="00F73E17"/>
    <w:rsid w:val="00F73FCA"/>
    <w:rsid w:val="00F75286"/>
    <w:rsid w:val="00F75639"/>
    <w:rsid w:val="00F75854"/>
    <w:rsid w:val="00F770DB"/>
    <w:rsid w:val="00F84D91"/>
    <w:rsid w:val="00F85E9E"/>
    <w:rsid w:val="00F91919"/>
    <w:rsid w:val="00F91E1D"/>
    <w:rsid w:val="00F95211"/>
    <w:rsid w:val="00F95686"/>
    <w:rsid w:val="00F962D7"/>
    <w:rsid w:val="00FA0608"/>
    <w:rsid w:val="00FA35FA"/>
    <w:rsid w:val="00FA463A"/>
    <w:rsid w:val="00FA5303"/>
    <w:rsid w:val="00FA58C5"/>
    <w:rsid w:val="00FA799C"/>
    <w:rsid w:val="00FA7A8B"/>
    <w:rsid w:val="00FA7B75"/>
    <w:rsid w:val="00FA7CB7"/>
    <w:rsid w:val="00FA7EF3"/>
    <w:rsid w:val="00FB1EA5"/>
    <w:rsid w:val="00FB284F"/>
    <w:rsid w:val="00FB2B96"/>
    <w:rsid w:val="00FB413A"/>
    <w:rsid w:val="00FB4BD0"/>
    <w:rsid w:val="00FC1F89"/>
    <w:rsid w:val="00FC206D"/>
    <w:rsid w:val="00FC53F1"/>
    <w:rsid w:val="00FC6D87"/>
    <w:rsid w:val="00FC6EAA"/>
    <w:rsid w:val="00FD01FE"/>
    <w:rsid w:val="00FD020C"/>
    <w:rsid w:val="00FD0A03"/>
    <w:rsid w:val="00FD22F7"/>
    <w:rsid w:val="00FD3B13"/>
    <w:rsid w:val="00FD589E"/>
    <w:rsid w:val="00FD643E"/>
    <w:rsid w:val="00FD6ABC"/>
    <w:rsid w:val="00FD6F05"/>
    <w:rsid w:val="00FE24BD"/>
    <w:rsid w:val="00FE2FBB"/>
    <w:rsid w:val="00FE3145"/>
    <w:rsid w:val="00FE7AEB"/>
    <w:rsid w:val="00FF1CCB"/>
    <w:rsid w:val="00FF2B8D"/>
    <w:rsid w:val="00FF7638"/>
    <w:rsid w:val="00FF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22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86C"/>
  </w:style>
  <w:style w:type="paragraph" w:styleId="Heading1">
    <w:name w:val="heading 1"/>
    <w:basedOn w:val="Normal"/>
    <w:next w:val="Normal"/>
    <w:link w:val="Heading1Char"/>
    <w:qFormat/>
    <w:rsid w:val="003529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072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119C"/>
    <w:pPr>
      <w:jc w:val="both"/>
    </w:pPr>
    <w:rPr>
      <w:rFonts w:ascii="Arial" w:hAnsi="Arial"/>
      <w:snapToGrid w:val="0"/>
      <w:sz w:val="24"/>
      <w:lang w:eastAsia="en-US"/>
    </w:rPr>
  </w:style>
  <w:style w:type="paragraph" w:styleId="BodyTextIndent">
    <w:name w:val="Body Text Indent"/>
    <w:basedOn w:val="Normal"/>
    <w:rsid w:val="00D4119C"/>
    <w:pPr>
      <w:ind w:left="720" w:hanging="720"/>
    </w:pPr>
    <w:rPr>
      <w:rFonts w:ascii="Arial" w:hAnsi="Arial"/>
      <w:snapToGrid w:val="0"/>
      <w:sz w:val="24"/>
      <w:lang w:eastAsia="en-US"/>
    </w:rPr>
  </w:style>
  <w:style w:type="paragraph" w:styleId="Title">
    <w:name w:val="Title"/>
    <w:basedOn w:val="Normal"/>
    <w:link w:val="TitleChar"/>
    <w:qFormat/>
    <w:rsid w:val="00D4119C"/>
    <w:pPr>
      <w:jc w:val="center"/>
    </w:pPr>
    <w:rPr>
      <w:rFonts w:ascii="Arial" w:hAnsi="Arial"/>
      <w:b/>
      <w:sz w:val="24"/>
      <w:u w:val="single"/>
      <w:lang w:val="en-US"/>
    </w:rPr>
  </w:style>
  <w:style w:type="table" w:styleId="TableGrid">
    <w:name w:val="Table Grid"/>
    <w:basedOn w:val="TableNormal"/>
    <w:rsid w:val="00E8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512DC"/>
    <w:rPr>
      <w:rFonts w:ascii="Arial" w:hAnsi="Arial"/>
      <w:snapToGrid w:val="0"/>
      <w:sz w:val="24"/>
      <w:lang w:val="en-GB" w:eastAsia="en-US" w:bidi="ar-SA"/>
    </w:rPr>
  </w:style>
  <w:style w:type="character" w:styleId="CommentReference">
    <w:name w:val="annotation reference"/>
    <w:semiHidden/>
    <w:rsid w:val="009C61BC"/>
    <w:rPr>
      <w:sz w:val="16"/>
      <w:szCs w:val="16"/>
    </w:rPr>
  </w:style>
  <w:style w:type="paragraph" w:styleId="CommentText">
    <w:name w:val="annotation text"/>
    <w:basedOn w:val="Normal"/>
    <w:link w:val="CommentTextChar"/>
    <w:semiHidden/>
    <w:rsid w:val="009C61BC"/>
  </w:style>
  <w:style w:type="paragraph" w:styleId="CommentSubject">
    <w:name w:val="annotation subject"/>
    <w:basedOn w:val="CommentText"/>
    <w:next w:val="CommentText"/>
    <w:semiHidden/>
    <w:rsid w:val="009C61BC"/>
    <w:rPr>
      <w:b/>
      <w:bCs/>
    </w:rPr>
  </w:style>
  <w:style w:type="paragraph" w:styleId="BalloonText">
    <w:name w:val="Balloon Text"/>
    <w:basedOn w:val="Normal"/>
    <w:semiHidden/>
    <w:rsid w:val="009C61BC"/>
    <w:rPr>
      <w:rFonts w:ascii="Tahoma" w:hAnsi="Tahoma" w:cs="Tahoma"/>
      <w:sz w:val="16"/>
      <w:szCs w:val="16"/>
    </w:rPr>
  </w:style>
  <w:style w:type="paragraph" w:customStyle="1" w:styleId="Default">
    <w:name w:val="Default"/>
    <w:rsid w:val="007A0719"/>
    <w:pPr>
      <w:autoSpaceDE w:val="0"/>
      <w:autoSpaceDN w:val="0"/>
      <w:adjustRightInd w:val="0"/>
    </w:pPr>
    <w:rPr>
      <w:rFonts w:ascii="Arial" w:hAnsi="Arial" w:cs="Arial"/>
      <w:color w:val="000000"/>
      <w:sz w:val="24"/>
      <w:szCs w:val="24"/>
    </w:rPr>
  </w:style>
  <w:style w:type="paragraph" w:customStyle="1" w:styleId="CharChar3CharCharCharCharCharCharCharCharCharCharCharCharChar">
    <w:name w:val="Char Char3 Char Char Char Char Char Char Char Char Char Char Char Char Char"/>
    <w:basedOn w:val="Normal"/>
    <w:rsid w:val="00F34912"/>
    <w:pPr>
      <w:keepLines/>
      <w:spacing w:after="160" w:line="240" w:lineRule="exact"/>
      <w:ind w:left="2977"/>
    </w:pPr>
    <w:rPr>
      <w:rFonts w:ascii="Tahoma" w:hAnsi="Tahoma" w:cs="Tahoma"/>
      <w:lang w:val="en-US" w:eastAsia="en-US"/>
    </w:rPr>
  </w:style>
  <w:style w:type="character" w:customStyle="1" w:styleId="CommentTextChar">
    <w:name w:val="Comment Text Char"/>
    <w:link w:val="CommentText"/>
    <w:semiHidden/>
    <w:rsid w:val="00D21075"/>
  </w:style>
  <w:style w:type="paragraph" w:customStyle="1" w:styleId="HeaderData">
    <w:name w:val="HeaderData"/>
    <w:basedOn w:val="Normal"/>
    <w:rsid w:val="00DE6011"/>
    <w:pPr>
      <w:keepLines/>
      <w:tabs>
        <w:tab w:val="left" w:pos="227"/>
      </w:tabs>
      <w:spacing w:before="60" w:after="60"/>
    </w:pPr>
    <w:rPr>
      <w:rFonts w:ascii="Arial" w:hAnsi="Arial"/>
      <w:sz w:val="24"/>
    </w:rPr>
  </w:style>
  <w:style w:type="paragraph" w:styleId="ListParagraph">
    <w:name w:val="List Paragraph"/>
    <w:basedOn w:val="Normal"/>
    <w:uiPriority w:val="34"/>
    <w:qFormat/>
    <w:rsid w:val="00BC7EF1"/>
    <w:pPr>
      <w:ind w:left="720"/>
    </w:pPr>
  </w:style>
  <w:style w:type="character" w:customStyle="1" w:styleId="TitleChar">
    <w:name w:val="Title Char"/>
    <w:link w:val="Title"/>
    <w:rsid w:val="00F06A2C"/>
    <w:rPr>
      <w:rFonts w:ascii="Arial" w:hAnsi="Arial"/>
      <w:b/>
      <w:sz w:val="24"/>
      <w:u w:val="single"/>
      <w:lang w:val="en-US"/>
    </w:rPr>
  </w:style>
  <w:style w:type="character" w:customStyle="1" w:styleId="Heading1Char">
    <w:name w:val="Heading 1 Char"/>
    <w:basedOn w:val="DefaultParagraphFont"/>
    <w:link w:val="Heading1"/>
    <w:rsid w:val="003529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07264"/>
    <w:rPr>
      <w:rFonts w:asciiTheme="majorHAnsi" w:eastAsiaTheme="majorEastAsia" w:hAnsiTheme="majorHAnsi" w:cstheme="majorBidi"/>
      <w:color w:val="2E74B5" w:themeColor="accent1" w:themeShade="BF"/>
      <w:sz w:val="26"/>
      <w:szCs w:val="26"/>
    </w:rPr>
  </w:style>
  <w:style w:type="table" w:styleId="Table3Deffects1">
    <w:name w:val="Table 3D effects 1"/>
    <w:basedOn w:val="TableNormal"/>
    <w:rsid w:val="00407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stTable1Light-Accent5">
    <w:name w:val="List Table 1 Light Accent 5"/>
    <w:basedOn w:val="TableNormal"/>
    <w:uiPriority w:val="46"/>
    <w:rsid w:val="0015097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Shading-Accent5">
    <w:name w:val="Light Shading Accent 5"/>
    <w:basedOn w:val="TableNormal"/>
    <w:uiPriority w:val="60"/>
    <w:rsid w:val="0015097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eGrid1">
    <w:name w:val="Table Grid 1"/>
    <w:basedOn w:val="TableNormal"/>
    <w:rsid w:val="001509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lainTable1">
    <w:name w:val="Plain Table 1"/>
    <w:basedOn w:val="TableNormal"/>
    <w:uiPriority w:val="41"/>
    <w:rsid w:val="001509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4">
    <w:name w:val="Grid Table 2 Accent 4"/>
    <w:basedOn w:val="TableNormal"/>
    <w:uiPriority w:val="47"/>
    <w:rsid w:val="007C24F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val="0"/>
        <w:bCs/>
        <w:color w:val="auto"/>
      </w:rPr>
      <w:tblPr/>
      <w:tcPr>
        <w:shd w:val="clear" w:color="auto" w:fill="FFF2CC" w:themeFill="accent4" w:themeFillTint="33"/>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FFF" w:themeFill="background1"/>
      </w:tcPr>
    </w:tblStylePr>
    <w:tblStylePr w:type="band2Horz">
      <w:tblPr/>
      <w:tcPr>
        <w:shd w:val="clear" w:color="auto" w:fill="FFF2CC" w:themeFill="accent4" w:themeFillTint="33"/>
      </w:tcPr>
    </w:tblStylePr>
  </w:style>
  <w:style w:type="table" w:styleId="ListTable2-Accent4">
    <w:name w:val="List Table 2 Accent 4"/>
    <w:basedOn w:val="TableNormal"/>
    <w:uiPriority w:val="47"/>
    <w:rsid w:val="00CF6B5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val="0"/>
        <w:bCs/>
      </w:rPr>
      <w:tblPr/>
      <w:tcPr>
        <w:shd w:val="clear" w:color="auto" w:fill="FFF2CC" w:themeFill="accent4" w:themeFillTint="33"/>
      </w:tc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FFF" w:themeFill="background1"/>
      </w:tcPr>
    </w:tblStylePr>
    <w:tblStylePr w:type="band2Horz">
      <w:tblPr/>
      <w:tcPr>
        <w:shd w:val="clear" w:color="auto" w:fill="FFF2CC" w:themeFill="accent4" w:themeFillTint="33"/>
      </w:tcPr>
    </w:tblStylePr>
  </w:style>
  <w:style w:type="table" w:styleId="LightGrid-Accent4">
    <w:name w:val="Light Grid Accent 4"/>
    <w:basedOn w:val="TableNormal"/>
    <w:uiPriority w:val="62"/>
    <w:rsid w:val="00CF6B5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Header">
    <w:name w:val="header"/>
    <w:basedOn w:val="Normal"/>
    <w:link w:val="HeaderChar"/>
    <w:rsid w:val="00D37338"/>
    <w:pPr>
      <w:tabs>
        <w:tab w:val="center" w:pos="4513"/>
        <w:tab w:val="right" w:pos="9026"/>
      </w:tabs>
    </w:pPr>
  </w:style>
  <w:style w:type="character" w:customStyle="1" w:styleId="HeaderChar">
    <w:name w:val="Header Char"/>
    <w:basedOn w:val="DefaultParagraphFont"/>
    <w:link w:val="Header"/>
    <w:rsid w:val="00D37338"/>
  </w:style>
  <w:style w:type="paragraph" w:styleId="Footer">
    <w:name w:val="footer"/>
    <w:basedOn w:val="Normal"/>
    <w:link w:val="FooterChar"/>
    <w:rsid w:val="00D37338"/>
    <w:pPr>
      <w:tabs>
        <w:tab w:val="center" w:pos="4513"/>
        <w:tab w:val="right" w:pos="9026"/>
      </w:tabs>
    </w:pPr>
  </w:style>
  <w:style w:type="character" w:customStyle="1" w:styleId="FooterChar">
    <w:name w:val="Footer Char"/>
    <w:basedOn w:val="DefaultParagraphFont"/>
    <w:link w:val="Footer"/>
    <w:rsid w:val="00D37338"/>
  </w:style>
  <w:style w:type="paragraph" w:styleId="FootnoteText">
    <w:name w:val="footnote text"/>
    <w:basedOn w:val="Normal"/>
    <w:link w:val="FootnoteTextChar"/>
    <w:uiPriority w:val="99"/>
    <w:unhideWhenUsed/>
    <w:rsid w:val="008C263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8C263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C263D"/>
    <w:rPr>
      <w:vertAlign w:val="superscript"/>
    </w:rPr>
  </w:style>
  <w:style w:type="character" w:styleId="Hyperlink">
    <w:name w:val="Hyperlink"/>
    <w:basedOn w:val="DefaultParagraphFont"/>
    <w:uiPriority w:val="99"/>
    <w:unhideWhenUsed/>
    <w:rsid w:val="008C263D"/>
    <w:rPr>
      <w:color w:val="0563C1" w:themeColor="hyperlink"/>
      <w:u w:val="single"/>
    </w:rPr>
  </w:style>
  <w:style w:type="table" w:styleId="GridTable2-Accent1">
    <w:name w:val="Grid Table 2 Accent 1"/>
    <w:basedOn w:val="TableNormal"/>
    <w:uiPriority w:val="47"/>
    <w:rsid w:val="004C6DB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Quote">
    <w:name w:val="Quote"/>
    <w:basedOn w:val="Normal"/>
    <w:next w:val="Normal"/>
    <w:link w:val="QuoteChar"/>
    <w:uiPriority w:val="29"/>
    <w:qFormat/>
    <w:rsid w:val="0049527B"/>
    <w:pPr>
      <w:spacing w:before="200" w:after="160" w:line="259" w:lineRule="auto"/>
      <w:ind w:left="864" w:right="864"/>
      <w:jc w:val="center"/>
    </w:pPr>
    <w:rPr>
      <w:rFonts w:ascii="Arial" w:eastAsiaTheme="minorHAnsi" w:hAnsi="Arial"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49527B"/>
    <w:rPr>
      <w:rFonts w:ascii="Arial" w:eastAsiaTheme="minorHAnsi" w:hAnsi="Arial" w:cstheme="minorBidi"/>
      <w:i/>
      <w:iCs/>
      <w:color w:val="404040" w:themeColor="text1" w:themeTint="BF"/>
      <w:sz w:val="22"/>
      <w:szCs w:val="22"/>
      <w:lang w:eastAsia="en-US"/>
    </w:rPr>
  </w:style>
  <w:style w:type="table" w:customStyle="1" w:styleId="TableGrid10">
    <w:name w:val="Table Grid1"/>
    <w:basedOn w:val="TableNormal"/>
    <w:next w:val="TableGrid"/>
    <w:uiPriority w:val="39"/>
    <w:rsid w:val="00E9459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3E3F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B6CED"/>
    <w:rPr>
      <w:color w:val="605E5C"/>
      <w:shd w:val="clear" w:color="auto" w:fill="E1DFDD"/>
    </w:rPr>
  </w:style>
  <w:style w:type="table" w:customStyle="1" w:styleId="TableGrid2">
    <w:name w:val="Table Grid2"/>
    <w:basedOn w:val="TableNormal"/>
    <w:next w:val="TableGrid"/>
    <w:uiPriority w:val="39"/>
    <w:rsid w:val="00356842"/>
    <w:rPr>
      <w:rFonts w:ascii="Aptos" w:eastAsia="Aptos" w:hAnsi="Aptos"/>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3815">
      <w:bodyDiv w:val="1"/>
      <w:marLeft w:val="0"/>
      <w:marRight w:val="0"/>
      <w:marTop w:val="0"/>
      <w:marBottom w:val="0"/>
      <w:divBdr>
        <w:top w:val="none" w:sz="0" w:space="0" w:color="auto"/>
        <w:left w:val="none" w:sz="0" w:space="0" w:color="auto"/>
        <w:bottom w:val="none" w:sz="0" w:space="0" w:color="auto"/>
        <w:right w:val="none" w:sz="0" w:space="0" w:color="auto"/>
      </w:divBdr>
    </w:div>
    <w:div w:id="447241740">
      <w:bodyDiv w:val="1"/>
      <w:marLeft w:val="0"/>
      <w:marRight w:val="0"/>
      <w:marTop w:val="0"/>
      <w:marBottom w:val="0"/>
      <w:divBdr>
        <w:top w:val="none" w:sz="0" w:space="0" w:color="auto"/>
        <w:left w:val="none" w:sz="0" w:space="0" w:color="auto"/>
        <w:bottom w:val="none" w:sz="0" w:space="0" w:color="auto"/>
        <w:right w:val="none" w:sz="0" w:space="0" w:color="auto"/>
      </w:divBdr>
    </w:div>
    <w:div w:id="845826326">
      <w:bodyDiv w:val="1"/>
      <w:marLeft w:val="0"/>
      <w:marRight w:val="0"/>
      <w:marTop w:val="0"/>
      <w:marBottom w:val="0"/>
      <w:divBdr>
        <w:top w:val="none" w:sz="0" w:space="0" w:color="auto"/>
        <w:left w:val="none" w:sz="0" w:space="0" w:color="auto"/>
        <w:bottom w:val="none" w:sz="0" w:space="0" w:color="auto"/>
        <w:right w:val="none" w:sz="0" w:space="0" w:color="auto"/>
      </w:divBdr>
    </w:div>
    <w:div w:id="975767406">
      <w:bodyDiv w:val="1"/>
      <w:marLeft w:val="0"/>
      <w:marRight w:val="0"/>
      <w:marTop w:val="0"/>
      <w:marBottom w:val="0"/>
      <w:divBdr>
        <w:top w:val="none" w:sz="0" w:space="0" w:color="auto"/>
        <w:left w:val="none" w:sz="0" w:space="0" w:color="auto"/>
        <w:bottom w:val="none" w:sz="0" w:space="0" w:color="auto"/>
        <w:right w:val="none" w:sz="0" w:space="0" w:color="auto"/>
      </w:divBdr>
    </w:div>
    <w:div w:id="1377923887">
      <w:bodyDiv w:val="1"/>
      <w:marLeft w:val="0"/>
      <w:marRight w:val="0"/>
      <w:marTop w:val="0"/>
      <w:marBottom w:val="0"/>
      <w:divBdr>
        <w:top w:val="none" w:sz="0" w:space="0" w:color="auto"/>
        <w:left w:val="none" w:sz="0" w:space="0" w:color="auto"/>
        <w:bottom w:val="none" w:sz="0" w:space="0" w:color="auto"/>
        <w:right w:val="none" w:sz="0" w:space="0" w:color="auto"/>
      </w:divBdr>
    </w:div>
    <w:div w:id="1464422851">
      <w:bodyDiv w:val="1"/>
      <w:marLeft w:val="0"/>
      <w:marRight w:val="0"/>
      <w:marTop w:val="0"/>
      <w:marBottom w:val="0"/>
      <w:divBdr>
        <w:top w:val="none" w:sz="0" w:space="0" w:color="auto"/>
        <w:left w:val="none" w:sz="0" w:space="0" w:color="auto"/>
        <w:bottom w:val="none" w:sz="0" w:space="0" w:color="auto"/>
        <w:right w:val="none" w:sz="0" w:space="0" w:color="auto"/>
      </w:divBdr>
    </w:div>
    <w:div w:id="1541239255">
      <w:bodyDiv w:val="1"/>
      <w:marLeft w:val="0"/>
      <w:marRight w:val="0"/>
      <w:marTop w:val="0"/>
      <w:marBottom w:val="0"/>
      <w:divBdr>
        <w:top w:val="none" w:sz="0" w:space="0" w:color="auto"/>
        <w:left w:val="none" w:sz="0" w:space="0" w:color="auto"/>
        <w:bottom w:val="none" w:sz="0" w:space="0" w:color="auto"/>
        <w:right w:val="none" w:sz="0" w:space="0" w:color="auto"/>
      </w:divBdr>
    </w:div>
    <w:div w:id="1548491440">
      <w:bodyDiv w:val="1"/>
      <w:marLeft w:val="0"/>
      <w:marRight w:val="0"/>
      <w:marTop w:val="0"/>
      <w:marBottom w:val="0"/>
      <w:divBdr>
        <w:top w:val="none" w:sz="0" w:space="0" w:color="auto"/>
        <w:left w:val="none" w:sz="0" w:space="0" w:color="auto"/>
        <w:bottom w:val="none" w:sz="0" w:space="0" w:color="auto"/>
        <w:right w:val="none" w:sz="0" w:space="0" w:color="auto"/>
      </w:divBdr>
    </w:div>
    <w:div w:id="20556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crimeandjustice/bulletins/crimeinenglandandwales/yearending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3A75-7620-4EA6-A9F6-C15FD96F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4007</Words>
  <Characters>22844</Characters>
  <Application>Microsoft Office Word</Application>
  <DocSecurity>0</DocSecurity>
  <Lines>190</Lines>
  <Paragraphs>53</Paragraphs>
  <ScaleCrop>false</ScaleCrop>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2025-06-27T08:15:00Z</dcterms:created>
  <dcterms:modified xsi:type="dcterms:W3CDTF">2025-06-27T08:16:00Z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4059bd87,3234433b,567bdd9a</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2025-06-27T08:16:07Z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343466a8-016f-4ffe-92cc-550ae8fe7b4c</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