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4EBFE" w14:textId="77777777" w:rsidR="004E39C5" w:rsidRPr="004E39C5" w:rsidRDefault="004E39C5" w:rsidP="004E39C5">
      <w:pPr>
        <w:spacing w:line="312" w:lineRule="auto"/>
        <w:jc w:val="center"/>
        <w:rPr>
          <w:b/>
        </w:rPr>
      </w:pPr>
      <w:r w:rsidRPr="004E39C5">
        <w:rPr>
          <w:b/>
        </w:rPr>
        <w:t>Practice Guidance</w:t>
      </w:r>
    </w:p>
    <w:p w14:paraId="4A2E6D87" w14:textId="383CBCF3" w:rsidR="00EE18CA" w:rsidRPr="004E39C5" w:rsidRDefault="005D1DDE" w:rsidP="004E39C5">
      <w:pPr>
        <w:spacing w:line="312" w:lineRule="auto"/>
        <w:jc w:val="center"/>
        <w:rPr>
          <w:b/>
        </w:rPr>
      </w:pPr>
      <w:r>
        <w:rPr>
          <w:b/>
        </w:rPr>
        <w:t xml:space="preserve">Adult </w:t>
      </w:r>
      <w:r w:rsidR="00B77E41">
        <w:rPr>
          <w:b/>
        </w:rPr>
        <w:t>Refusals of</w:t>
      </w:r>
      <w:r w:rsidR="004E39C5" w:rsidRPr="004E39C5">
        <w:rPr>
          <w:b/>
        </w:rPr>
        <w:t xml:space="preserve"> Care and Treatment</w:t>
      </w:r>
    </w:p>
    <w:p w14:paraId="722CB06D" w14:textId="77777777" w:rsidR="004E39C5" w:rsidRDefault="004E39C5" w:rsidP="004E39C5">
      <w:pPr>
        <w:spacing w:line="312" w:lineRule="auto"/>
      </w:pPr>
    </w:p>
    <w:p w14:paraId="37794461" w14:textId="77777777" w:rsidR="004E39C5" w:rsidRDefault="004E39C5" w:rsidP="004E39C5">
      <w:pPr>
        <w:spacing w:line="312" w:lineRule="auto"/>
      </w:pPr>
    </w:p>
    <w:p w14:paraId="4240FD9A" w14:textId="77777777" w:rsidR="004E39C5" w:rsidRDefault="004E39C5" w:rsidP="004E39C5">
      <w:pPr>
        <w:spacing w:line="312" w:lineRule="auto"/>
      </w:pPr>
    </w:p>
    <w:p w14:paraId="0F60CCC1" w14:textId="16E3839F" w:rsidR="004E39C5" w:rsidRDefault="004E39C5" w:rsidP="00B87133">
      <w:pPr>
        <w:pStyle w:val="Heading2"/>
        <w:keepNext/>
        <w:keepLines/>
        <w:widowControl/>
        <w:tabs>
          <w:tab w:val="clear" w:pos="2268"/>
        </w:tabs>
        <w:spacing w:before="0" w:after="180" w:line="264" w:lineRule="auto"/>
        <w:jc w:val="left"/>
      </w:pPr>
      <w:r w:rsidRPr="00B87133">
        <w:rPr>
          <w:rFonts w:eastAsiaTheme="majorEastAsia" w:cstheme="majorBidi"/>
          <w:b/>
          <w:color w:val="000000" w:themeColor="text1"/>
          <w:lang w:eastAsia="en-US"/>
        </w:rPr>
        <w:t>The</w:t>
      </w:r>
      <w:r w:rsidRPr="00B87133">
        <w:rPr>
          <w:b/>
        </w:rPr>
        <w:t xml:space="preserve"> </w:t>
      </w:r>
      <w:r w:rsidRPr="004E39C5">
        <w:rPr>
          <w:b/>
        </w:rPr>
        <w:t xml:space="preserve">purpose </w:t>
      </w:r>
      <w:r w:rsidR="00A969B1">
        <w:rPr>
          <w:b/>
        </w:rPr>
        <w:t xml:space="preserve">and scope </w:t>
      </w:r>
      <w:r w:rsidRPr="004E39C5">
        <w:rPr>
          <w:b/>
        </w:rPr>
        <w:t>of this guidance</w:t>
      </w:r>
    </w:p>
    <w:p w14:paraId="0F9BCA0E" w14:textId="48D590B0" w:rsidR="007E5DC3" w:rsidRPr="00543503" w:rsidRDefault="00726235" w:rsidP="00D66E91">
      <w:pPr>
        <w:pStyle w:val="ListParagraph"/>
        <w:numPr>
          <w:ilvl w:val="0"/>
          <w:numId w:val="3"/>
        </w:numPr>
        <w:spacing w:line="312" w:lineRule="auto"/>
      </w:pPr>
      <w:r w:rsidRPr="00543503">
        <w:t xml:space="preserve">The purpose of this document is to provide guidance to </w:t>
      </w:r>
      <w:r w:rsidR="00EB7B63" w:rsidRPr="00543503">
        <w:t>practitioners</w:t>
      </w:r>
      <w:r w:rsidRPr="00543503">
        <w:t xml:space="preserve"> in health and social care </w:t>
      </w:r>
      <w:r w:rsidR="000C4F06" w:rsidRPr="00543503">
        <w:t>in North</w:t>
      </w:r>
      <w:r w:rsidRPr="00543503">
        <w:t xml:space="preserve"> East Lincolnshire as to what to do when faced with a service user who is rejecting an offer of care.</w:t>
      </w:r>
      <w:r w:rsidR="00F949BE" w:rsidRPr="00543503">
        <w:t xml:space="preserve">  It is not intended as a substitute for legal advice, where </w:t>
      </w:r>
      <w:r w:rsidR="000B2374" w:rsidRPr="00543503">
        <w:t xml:space="preserve">such is </w:t>
      </w:r>
      <w:r w:rsidR="00F949BE" w:rsidRPr="00543503">
        <w:t xml:space="preserve">required.  </w:t>
      </w:r>
    </w:p>
    <w:p w14:paraId="026D92AC" w14:textId="77777777" w:rsidR="00726235" w:rsidRDefault="00726235" w:rsidP="00726235">
      <w:pPr>
        <w:pStyle w:val="ListParagraph"/>
        <w:spacing w:line="312" w:lineRule="auto"/>
        <w:ind w:left="360"/>
      </w:pPr>
    </w:p>
    <w:p w14:paraId="421D78F4" w14:textId="02F28DAD" w:rsidR="00726235" w:rsidRPr="00543503" w:rsidRDefault="00726235" w:rsidP="00D66E91">
      <w:pPr>
        <w:pStyle w:val="ListParagraph"/>
        <w:numPr>
          <w:ilvl w:val="0"/>
          <w:numId w:val="3"/>
        </w:numPr>
        <w:spacing w:line="312" w:lineRule="auto"/>
      </w:pPr>
      <w:r w:rsidRPr="00543503">
        <w:t xml:space="preserve">This guidance has been produced jointly by </w:t>
      </w:r>
      <w:r w:rsidR="00F949BE" w:rsidRPr="00543503">
        <w:t xml:space="preserve">representatives from </w:t>
      </w:r>
      <w:r w:rsidRPr="00543503">
        <w:t>the following organisations:</w:t>
      </w:r>
    </w:p>
    <w:p w14:paraId="6F700999" w14:textId="77777777" w:rsidR="00726235" w:rsidRPr="00543503" w:rsidRDefault="00726235" w:rsidP="00726235">
      <w:pPr>
        <w:pStyle w:val="ListParagraph"/>
      </w:pPr>
    </w:p>
    <w:p w14:paraId="5DB50519" w14:textId="5BAB24AC" w:rsidR="00F949BE" w:rsidRPr="00543503" w:rsidRDefault="00F949BE" w:rsidP="00D66E91">
      <w:pPr>
        <w:pStyle w:val="ListParagraph"/>
        <w:numPr>
          <w:ilvl w:val="1"/>
          <w:numId w:val="3"/>
        </w:numPr>
        <w:spacing w:line="312" w:lineRule="auto"/>
      </w:pPr>
      <w:r w:rsidRPr="00543503">
        <w:t xml:space="preserve">Care Plus </w:t>
      </w:r>
      <w:proofErr w:type="gramStart"/>
      <w:r w:rsidRPr="00543503">
        <w:t>Group</w:t>
      </w:r>
      <w:r w:rsidR="00BA7B55" w:rsidRPr="00543503">
        <w:t>;</w:t>
      </w:r>
      <w:proofErr w:type="gramEnd"/>
    </w:p>
    <w:p w14:paraId="049186B3" w14:textId="77777777" w:rsidR="00F949BE" w:rsidRPr="00543503" w:rsidRDefault="00F949BE" w:rsidP="00D66E91">
      <w:pPr>
        <w:pStyle w:val="ListParagraph"/>
        <w:numPr>
          <w:ilvl w:val="1"/>
          <w:numId w:val="3"/>
        </w:numPr>
        <w:spacing w:line="312" w:lineRule="auto"/>
      </w:pPr>
      <w:proofErr w:type="gramStart"/>
      <w:r w:rsidRPr="00543503">
        <w:t>Focus;</w:t>
      </w:r>
      <w:proofErr w:type="gramEnd"/>
    </w:p>
    <w:p w14:paraId="216CCA11" w14:textId="4FAAAEC7" w:rsidR="00F949BE" w:rsidRPr="00543503" w:rsidRDefault="00F949BE" w:rsidP="00D66E91">
      <w:pPr>
        <w:pStyle w:val="ListParagraph"/>
        <w:numPr>
          <w:ilvl w:val="1"/>
          <w:numId w:val="3"/>
        </w:numPr>
        <w:spacing w:line="312" w:lineRule="auto"/>
      </w:pPr>
      <w:proofErr w:type="gramStart"/>
      <w:r w:rsidRPr="00543503">
        <w:t>Navigo</w:t>
      </w:r>
      <w:r w:rsidR="00BA7B55" w:rsidRPr="00543503">
        <w:t>;</w:t>
      </w:r>
      <w:proofErr w:type="gramEnd"/>
      <w:r w:rsidRPr="00543503">
        <w:t xml:space="preserve"> </w:t>
      </w:r>
    </w:p>
    <w:p w14:paraId="50372AC1" w14:textId="57C0FB12" w:rsidR="00726235" w:rsidRPr="00543503" w:rsidRDefault="00726235" w:rsidP="00D66E91">
      <w:pPr>
        <w:pStyle w:val="ListParagraph"/>
        <w:numPr>
          <w:ilvl w:val="1"/>
          <w:numId w:val="3"/>
        </w:numPr>
        <w:spacing w:line="312" w:lineRule="auto"/>
      </w:pPr>
      <w:r w:rsidRPr="00543503">
        <w:t xml:space="preserve">NHS North East Lincolnshire </w:t>
      </w:r>
      <w:proofErr w:type="gramStart"/>
      <w:r w:rsidRPr="00543503">
        <w:t>CCG;</w:t>
      </w:r>
      <w:proofErr w:type="gramEnd"/>
    </w:p>
    <w:p w14:paraId="7BA67AC3" w14:textId="21086F86" w:rsidR="00726235" w:rsidRPr="00543503" w:rsidRDefault="00726235" w:rsidP="00D66E91">
      <w:pPr>
        <w:pStyle w:val="ListParagraph"/>
        <w:numPr>
          <w:ilvl w:val="1"/>
          <w:numId w:val="3"/>
        </w:numPr>
        <w:spacing w:line="312" w:lineRule="auto"/>
      </w:pPr>
      <w:r w:rsidRPr="00543503">
        <w:t>Northern Lincolnshire and Goole NHS Foundation Trust</w:t>
      </w:r>
      <w:r w:rsidR="00BA7B55" w:rsidRPr="00543503">
        <w:t>.</w:t>
      </w:r>
    </w:p>
    <w:p w14:paraId="2B6CB4EA" w14:textId="77777777" w:rsidR="00F949BE" w:rsidRPr="00543503" w:rsidRDefault="00F949BE" w:rsidP="00F949BE">
      <w:pPr>
        <w:spacing w:line="312" w:lineRule="auto"/>
        <w:ind w:left="360"/>
      </w:pPr>
    </w:p>
    <w:p w14:paraId="4881F465" w14:textId="496B10B4" w:rsidR="00F949BE" w:rsidRPr="00543503" w:rsidRDefault="00F949BE" w:rsidP="00F949BE">
      <w:pPr>
        <w:spacing w:line="312" w:lineRule="auto"/>
        <w:ind w:left="360"/>
      </w:pPr>
      <w:r w:rsidRPr="00543503">
        <w:t>It is intended to be used by commissioners and providers of health and care in North East Lincolnshire.</w:t>
      </w:r>
    </w:p>
    <w:p w14:paraId="66A32891" w14:textId="77777777" w:rsidR="00A969B1" w:rsidRPr="00243B37" w:rsidRDefault="00A969B1" w:rsidP="00A969B1">
      <w:pPr>
        <w:pStyle w:val="ListParagraph"/>
        <w:spacing w:line="312" w:lineRule="auto"/>
        <w:rPr>
          <w:i/>
        </w:rPr>
      </w:pPr>
    </w:p>
    <w:p w14:paraId="1C582655" w14:textId="54562242" w:rsidR="00A969B1" w:rsidRPr="00B904C4" w:rsidRDefault="00B904C4" w:rsidP="00D66E91">
      <w:pPr>
        <w:pStyle w:val="ListParagraph"/>
        <w:numPr>
          <w:ilvl w:val="0"/>
          <w:numId w:val="3"/>
        </w:numPr>
        <w:spacing w:line="312" w:lineRule="auto"/>
      </w:pPr>
      <w:r w:rsidRPr="00B904C4">
        <w:t>This guidance addresses refusals of care</w:t>
      </w:r>
      <w:r>
        <w:t>:</w:t>
      </w:r>
    </w:p>
    <w:p w14:paraId="7CC354AE" w14:textId="71444EC4" w:rsidR="00A969B1" w:rsidRPr="00B904C4" w:rsidRDefault="00B904C4" w:rsidP="00D66E91">
      <w:pPr>
        <w:pStyle w:val="ListParagraph"/>
        <w:numPr>
          <w:ilvl w:val="1"/>
          <w:numId w:val="3"/>
        </w:numPr>
        <w:spacing w:line="312" w:lineRule="auto"/>
      </w:pPr>
      <w:r>
        <w:t>By a</w:t>
      </w:r>
      <w:r w:rsidR="00A969B1" w:rsidRPr="00B904C4">
        <w:t xml:space="preserve">dults </w:t>
      </w:r>
      <w:r>
        <w:t>(i.e. those aged 18 or above – it does not cover refusals of care by children and young people aged under 18</w:t>
      </w:r>
      <w:proofErr w:type="gramStart"/>
      <w:r w:rsidR="00A15E3C" w:rsidRPr="00B904C4">
        <w:t>)</w:t>
      </w:r>
      <w:r w:rsidR="00726235">
        <w:t>;</w:t>
      </w:r>
      <w:proofErr w:type="gramEnd"/>
    </w:p>
    <w:p w14:paraId="09CE8F25" w14:textId="648EA2F9" w:rsidR="00B904C4" w:rsidRPr="00B904C4" w:rsidRDefault="00B904C4" w:rsidP="00D66E91">
      <w:pPr>
        <w:pStyle w:val="ListParagraph"/>
        <w:numPr>
          <w:ilvl w:val="1"/>
          <w:numId w:val="3"/>
        </w:numPr>
        <w:spacing w:line="312" w:lineRule="auto"/>
      </w:pPr>
      <w:r>
        <w:t>In h</w:t>
      </w:r>
      <w:r w:rsidRPr="00B904C4">
        <w:t xml:space="preserve">ealth and social </w:t>
      </w:r>
      <w:proofErr w:type="gramStart"/>
      <w:r w:rsidRPr="00B904C4">
        <w:t>care</w:t>
      </w:r>
      <w:r w:rsidR="00726235">
        <w:t>;</w:t>
      </w:r>
      <w:proofErr w:type="gramEnd"/>
    </w:p>
    <w:p w14:paraId="1B05F4BE" w14:textId="0791F9EE" w:rsidR="00A969B1" w:rsidRDefault="00A969B1" w:rsidP="00D66E91">
      <w:pPr>
        <w:pStyle w:val="ListParagraph"/>
        <w:numPr>
          <w:ilvl w:val="1"/>
          <w:numId w:val="3"/>
        </w:numPr>
        <w:spacing w:line="312" w:lineRule="auto"/>
      </w:pPr>
      <w:r w:rsidRPr="00B904C4">
        <w:t>In</w:t>
      </w:r>
      <w:r w:rsidR="00B904C4">
        <w:t xml:space="preserve"> both in</w:t>
      </w:r>
      <w:r w:rsidRPr="00B904C4">
        <w:t>patient and community</w:t>
      </w:r>
      <w:r w:rsidR="005447ED" w:rsidRPr="00B904C4">
        <w:t xml:space="preserve"> (registered and unregistered)</w:t>
      </w:r>
      <w:r w:rsidRPr="00B904C4">
        <w:t xml:space="preserve"> settings</w:t>
      </w:r>
      <w:r w:rsidR="007940FE">
        <w:t>.</w:t>
      </w:r>
    </w:p>
    <w:p w14:paraId="062DCE98" w14:textId="77777777" w:rsidR="007940FE" w:rsidRDefault="007940FE" w:rsidP="007940FE">
      <w:pPr>
        <w:spacing w:line="312" w:lineRule="auto"/>
      </w:pPr>
    </w:p>
    <w:p w14:paraId="1ECBB2AB" w14:textId="1BE6800F" w:rsidR="007940FE" w:rsidRPr="00B904C4" w:rsidRDefault="007940FE" w:rsidP="00D66E91">
      <w:pPr>
        <w:pStyle w:val="ListParagraph"/>
        <w:numPr>
          <w:ilvl w:val="0"/>
          <w:numId w:val="3"/>
        </w:numPr>
        <w:spacing w:line="312" w:lineRule="auto"/>
      </w:pPr>
      <w:r>
        <w:t xml:space="preserve">It does not apply to patients detained under the Mental Health Act 1983 except where explicitly stated below.  </w:t>
      </w:r>
    </w:p>
    <w:p w14:paraId="5CCB47BB" w14:textId="368EF62A" w:rsidR="004E39C5" w:rsidRDefault="004E39C5" w:rsidP="004E39C5">
      <w:pPr>
        <w:spacing w:line="312" w:lineRule="auto"/>
      </w:pPr>
    </w:p>
    <w:p w14:paraId="7D8BA992" w14:textId="77777777" w:rsidR="004E39C5" w:rsidRDefault="004E39C5" w:rsidP="004E39C5">
      <w:pPr>
        <w:spacing w:line="312" w:lineRule="auto"/>
      </w:pPr>
      <w:r w:rsidRPr="004E39C5">
        <w:rPr>
          <w:b/>
        </w:rPr>
        <w:t>Definitions</w:t>
      </w:r>
    </w:p>
    <w:p w14:paraId="71F541AB" w14:textId="3B087D22" w:rsidR="004E39C5" w:rsidRDefault="004E39C5" w:rsidP="004E39C5">
      <w:pPr>
        <w:spacing w:line="312" w:lineRule="auto"/>
      </w:pPr>
    </w:p>
    <w:p w14:paraId="2890A32D" w14:textId="672B03B3" w:rsidR="00AF0A90" w:rsidRPr="00AF0A90" w:rsidRDefault="00AF0A90" w:rsidP="00D66E91">
      <w:pPr>
        <w:pStyle w:val="ListParagraph"/>
        <w:numPr>
          <w:ilvl w:val="0"/>
          <w:numId w:val="3"/>
        </w:numPr>
        <w:spacing w:line="312" w:lineRule="auto"/>
      </w:pPr>
      <w:r>
        <w:t xml:space="preserve">This guidance adopts the following defined terms:  </w:t>
      </w:r>
    </w:p>
    <w:p w14:paraId="505F8EBB" w14:textId="7839D120" w:rsidR="00AF0A90" w:rsidRDefault="00AF0A90" w:rsidP="004E39C5">
      <w:pPr>
        <w:spacing w:line="312" w:lineRule="auto"/>
      </w:pPr>
    </w:p>
    <w:tbl>
      <w:tblPr>
        <w:tblStyle w:val="TableGrid"/>
        <w:tblW w:w="0" w:type="auto"/>
        <w:tblLook w:val="04A0" w:firstRow="1" w:lastRow="0" w:firstColumn="1" w:lastColumn="0" w:noHBand="0" w:noVBand="1"/>
      </w:tblPr>
      <w:tblGrid>
        <w:gridCol w:w="2066"/>
        <w:gridCol w:w="6994"/>
      </w:tblGrid>
      <w:tr w:rsidR="00543503" w:rsidRPr="00543503" w14:paraId="1E09F597" w14:textId="77777777" w:rsidTr="00135CF5">
        <w:tc>
          <w:tcPr>
            <w:tcW w:w="2093" w:type="dxa"/>
          </w:tcPr>
          <w:p w14:paraId="0DAE916F" w14:textId="6823EF1C" w:rsidR="00AF0A90" w:rsidRPr="00543503" w:rsidRDefault="00AF0A90" w:rsidP="004E39C5">
            <w:pPr>
              <w:spacing w:line="312" w:lineRule="auto"/>
              <w:rPr>
                <w:b/>
              </w:rPr>
            </w:pPr>
            <w:r w:rsidRPr="00543503">
              <w:rPr>
                <w:b/>
              </w:rPr>
              <w:t>Term</w:t>
            </w:r>
          </w:p>
        </w:tc>
        <w:tc>
          <w:tcPr>
            <w:tcW w:w="7193" w:type="dxa"/>
          </w:tcPr>
          <w:p w14:paraId="7D0E0605" w14:textId="4F84F71A" w:rsidR="00AF0A90" w:rsidRPr="00543503" w:rsidRDefault="00AF0A90" w:rsidP="004E39C5">
            <w:pPr>
              <w:spacing w:line="312" w:lineRule="auto"/>
              <w:rPr>
                <w:b/>
              </w:rPr>
            </w:pPr>
            <w:r w:rsidRPr="00543503">
              <w:rPr>
                <w:b/>
              </w:rPr>
              <w:t>Definition</w:t>
            </w:r>
          </w:p>
        </w:tc>
      </w:tr>
      <w:tr w:rsidR="00543503" w:rsidRPr="00543503" w14:paraId="1DB1B5D6" w14:textId="77777777" w:rsidTr="00135CF5">
        <w:tc>
          <w:tcPr>
            <w:tcW w:w="2093" w:type="dxa"/>
          </w:tcPr>
          <w:p w14:paraId="0AD59E8E" w14:textId="45999A86" w:rsidR="00AF0A90" w:rsidRPr="00543503" w:rsidRDefault="00AF0A90" w:rsidP="004E39C5">
            <w:pPr>
              <w:spacing w:line="312" w:lineRule="auto"/>
            </w:pPr>
            <w:r w:rsidRPr="00543503">
              <w:t>The person</w:t>
            </w:r>
          </w:p>
        </w:tc>
        <w:tc>
          <w:tcPr>
            <w:tcW w:w="7193" w:type="dxa"/>
          </w:tcPr>
          <w:p w14:paraId="403072D2" w14:textId="1C3381B8" w:rsidR="00AF0A90" w:rsidRPr="00543503" w:rsidRDefault="00AF0A90" w:rsidP="00543503">
            <w:pPr>
              <w:spacing w:line="312" w:lineRule="auto"/>
            </w:pPr>
            <w:r w:rsidRPr="00543503">
              <w:t xml:space="preserve">An adult for whom </w:t>
            </w:r>
            <w:r w:rsidR="00135CF5" w:rsidRPr="00543503">
              <w:t xml:space="preserve">social </w:t>
            </w:r>
            <w:r w:rsidR="00F949BE" w:rsidRPr="00543503">
              <w:t xml:space="preserve">or health </w:t>
            </w:r>
            <w:r w:rsidRPr="00543503">
              <w:t>care/treatment is proposed</w:t>
            </w:r>
          </w:p>
        </w:tc>
      </w:tr>
      <w:tr w:rsidR="00543503" w:rsidRPr="00543503" w14:paraId="5D5C6632" w14:textId="77777777" w:rsidTr="00135CF5">
        <w:tc>
          <w:tcPr>
            <w:tcW w:w="2093" w:type="dxa"/>
          </w:tcPr>
          <w:p w14:paraId="0043CB7E" w14:textId="4CB6D07C" w:rsidR="00135CF5" w:rsidRPr="00543503" w:rsidRDefault="00135CF5" w:rsidP="004E39C5">
            <w:pPr>
              <w:spacing w:line="312" w:lineRule="auto"/>
            </w:pPr>
            <w:r w:rsidRPr="00543503">
              <w:t xml:space="preserve">Practitioners </w:t>
            </w:r>
          </w:p>
        </w:tc>
        <w:tc>
          <w:tcPr>
            <w:tcW w:w="7193" w:type="dxa"/>
          </w:tcPr>
          <w:p w14:paraId="43E25825" w14:textId="016A302D" w:rsidR="00135CF5" w:rsidRPr="00543503" w:rsidRDefault="00135CF5" w:rsidP="004E39C5">
            <w:pPr>
              <w:spacing w:line="312" w:lineRule="auto"/>
            </w:pPr>
            <w:r w:rsidRPr="00543503">
              <w:t xml:space="preserve">Staff working in health and social care, </w:t>
            </w:r>
            <w:proofErr w:type="gramStart"/>
            <w:r w:rsidRPr="00543503">
              <w:t>whether or not</w:t>
            </w:r>
            <w:proofErr w:type="gramEnd"/>
            <w:r w:rsidRPr="00543503">
              <w:t xml:space="preserve"> professionally qualified</w:t>
            </w:r>
            <w:r w:rsidR="00F949BE" w:rsidRPr="00543503">
              <w:t xml:space="preserve">, seeking to support the person </w:t>
            </w:r>
            <w:r w:rsidRPr="00543503">
              <w:t xml:space="preserve"> </w:t>
            </w:r>
          </w:p>
        </w:tc>
      </w:tr>
      <w:tr w:rsidR="00543503" w:rsidRPr="00543503" w14:paraId="294A6A14" w14:textId="77777777" w:rsidTr="00135CF5">
        <w:tc>
          <w:tcPr>
            <w:tcW w:w="2093" w:type="dxa"/>
          </w:tcPr>
          <w:p w14:paraId="2DDB9302" w14:textId="77014C47" w:rsidR="00AF0A90" w:rsidRPr="00543503" w:rsidRDefault="00AF0A90" w:rsidP="004E39C5">
            <w:pPr>
              <w:spacing w:line="312" w:lineRule="auto"/>
            </w:pPr>
            <w:r w:rsidRPr="00543503">
              <w:t>MCA</w:t>
            </w:r>
          </w:p>
        </w:tc>
        <w:tc>
          <w:tcPr>
            <w:tcW w:w="7193" w:type="dxa"/>
          </w:tcPr>
          <w:p w14:paraId="5BA37849" w14:textId="7EBE1613" w:rsidR="00AF0A90" w:rsidRPr="00543503" w:rsidRDefault="00000000" w:rsidP="004E39C5">
            <w:pPr>
              <w:spacing w:line="312" w:lineRule="auto"/>
            </w:pPr>
            <w:hyperlink r:id="rId7" w:history="1">
              <w:r w:rsidR="00AF0A90" w:rsidRPr="00F203DB">
                <w:rPr>
                  <w:rStyle w:val="Hyperlink"/>
                </w:rPr>
                <w:t>Mental Capacity Act 2005</w:t>
              </w:r>
            </w:hyperlink>
          </w:p>
        </w:tc>
      </w:tr>
      <w:tr w:rsidR="00543503" w:rsidRPr="00543503" w14:paraId="003E152F" w14:textId="77777777" w:rsidTr="00135CF5">
        <w:tc>
          <w:tcPr>
            <w:tcW w:w="2093" w:type="dxa"/>
          </w:tcPr>
          <w:p w14:paraId="5D6673F0" w14:textId="56FC06C0" w:rsidR="00D81711" w:rsidRPr="00543503" w:rsidRDefault="00D81711" w:rsidP="004E39C5">
            <w:pPr>
              <w:spacing w:line="312" w:lineRule="auto"/>
            </w:pPr>
            <w:r w:rsidRPr="00543503">
              <w:t>MDT</w:t>
            </w:r>
          </w:p>
        </w:tc>
        <w:tc>
          <w:tcPr>
            <w:tcW w:w="7193" w:type="dxa"/>
          </w:tcPr>
          <w:p w14:paraId="3E7A98A0" w14:textId="03E91083" w:rsidR="00D81711" w:rsidRPr="00543503" w:rsidRDefault="00D81711" w:rsidP="004E39C5">
            <w:pPr>
              <w:spacing w:line="312" w:lineRule="auto"/>
            </w:pPr>
            <w:r w:rsidRPr="00543503">
              <w:t xml:space="preserve">Multi-disciplinary team </w:t>
            </w:r>
          </w:p>
        </w:tc>
      </w:tr>
      <w:tr w:rsidR="00543503" w:rsidRPr="00543503" w14:paraId="3EE2ED7B" w14:textId="77777777" w:rsidTr="00135CF5">
        <w:tc>
          <w:tcPr>
            <w:tcW w:w="2093" w:type="dxa"/>
          </w:tcPr>
          <w:p w14:paraId="2EDFE5C6" w14:textId="1DC183C6" w:rsidR="00AF0A90" w:rsidRPr="00543503" w:rsidRDefault="00AF0A90" w:rsidP="004E39C5">
            <w:pPr>
              <w:spacing w:line="312" w:lineRule="auto"/>
            </w:pPr>
            <w:r w:rsidRPr="00543503">
              <w:t>DOLS</w:t>
            </w:r>
          </w:p>
        </w:tc>
        <w:tc>
          <w:tcPr>
            <w:tcW w:w="7193" w:type="dxa"/>
          </w:tcPr>
          <w:p w14:paraId="5E7EBB43" w14:textId="0F2D7780" w:rsidR="00AF0A90" w:rsidRPr="00543503" w:rsidRDefault="00AF0A90" w:rsidP="004E39C5">
            <w:pPr>
              <w:spacing w:line="312" w:lineRule="auto"/>
            </w:pPr>
            <w:r w:rsidRPr="00543503">
              <w:t xml:space="preserve">Deprivation of Liberty Safeguards (which are set out in </w:t>
            </w:r>
            <w:hyperlink r:id="rId8" w:history="1">
              <w:r w:rsidRPr="00F203DB">
                <w:rPr>
                  <w:rStyle w:val="Hyperlink"/>
                </w:rPr>
                <w:t>Schedule A1 MCA</w:t>
              </w:r>
            </w:hyperlink>
            <w:r w:rsidRPr="00543503">
              <w:t>)</w:t>
            </w:r>
          </w:p>
        </w:tc>
      </w:tr>
      <w:tr w:rsidR="00543503" w:rsidRPr="00543503" w14:paraId="48169F7D" w14:textId="77777777" w:rsidTr="00135CF5">
        <w:tc>
          <w:tcPr>
            <w:tcW w:w="2093" w:type="dxa"/>
          </w:tcPr>
          <w:p w14:paraId="5CA99E30" w14:textId="46BFAC19" w:rsidR="00AF0A90" w:rsidRPr="00543503" w:rsidRDefault="00AF0A90" w:rsidP="004E39C5">
            <w:pPr>
              <w:spacing w:line="312" w:lineRule="auto"/>
            </w:pPr>
            <w:r w:rsidRPr="00543503">
              <w:t>MCA Code</w:t>
            </w:r>
          </w:p>
        </w:tc>
        <w:tc>
          <w:tcPr>
            <w:tcW w:w="7193" w:type="dxa"/>
          </w:tcPr>
          <w:p w14:paraId="722672FF" w14:textId="64614A91" w:rsidR="00AF0A90" w:rsidRPr="00543503" w:rsidRDefault="00000000" w:rsidP="004E39C5">
            <w:pPr>
              <w:spacing w:line="312" w:lineRule="auto"/>
            </w:pPr>
            <w:hyperlink r:id="rId9" w:history="1">
              <w:r w:rsidR="00AF0A90" w:rsidRPr="00F203DB">
                <w:rPr>
                  <w:rStyle w:val="Hyperlink"/>
                </w:rPr>
                <w:t>Code of Practice to the Mental Capacity Act 2005</w:t>
              </w:r>
            </w:hyperlink>
          </w:p>
        </w:tc>
      </w:tr>
      <w:tr w:rsidR="00543503" w:rsidRPr="00543503" w14:paraId="19D5472B" w14:textId="77777777" w:rsidTr="00135CF5">
        <w:tc>
          <w:tcPr>
            <w:tcW w:w="2093" w:type="dxa"/>
          </w:tcPr>
          <w:p w14:paraId="088896C1" w14:textId="46F480C4" w:rsidR="00AF0A90" w:rsidRPr="00543503" w:rsidRDefault="00AF0A90" w:rsidP="004E39C5">
            <w:pPr>
              <w:spacing w:line="312" w:lineRule="auto"/>
            </w:pPr>
            <w:r w:rsidRPr="00543503">
              <w:t>MHA</w:t>
            </w:r>
          </w:p>
        </w:tc>
        <w:tc>
          <w:tcPr>
            <w:tcW w:w="7193" w:type="dxa"/>
          </w:tcPr>
          <w:p w14:paraId="7B0C16D8" w14:textId="55C25E21" w:rsidR="00AF0A90" w:rsidRPr="00543503" w:rsidRDefault="00000000" w:rsidP="004E39C5">
            <w:pPr>
              <w:spacing w:line="312" w:lineRule="auto"/>
            </w:pPr>
            <w:hyperlink r:id="rId10" w:history="1">
              <w:r w:rsidR="00AF0A90" w:rsidRPr="00F203DB">
                <w:rPr>
                  <w:rStyle w:val="Hyperlink"/>
                </w:rPr>
                <w:t>Mental Health Act 1983</w:t>
              </w:r>
            </w:hyperlink>
          </w:p>
        </w:tc>
      </w:tr>
      <w:tr w:rsidR="00543503" w:rsidRPr="00543503" w14:paraId="536C34E6" w14:textId="77777777" w:rsidTr="00135CF5">
        <w:tc>
          <w:tcPr>
            <w:tcW w:w="2093" w:type="dxa"/>
          </w:tcPr>
          <w:p w14:paraId="18F64E27" w14:textId="6702B420" w:rsidR="00AF0A90" w:rsidRPr="00543503" w:rsidRDefault="00281B84" w:rsidP="004E39C5">
            <w:pPr>
              <w:spacing w:line="312" w:lineRule="auto"/>
            </w:pPr>
            <w:r w:rsidRPr="00543503">
              <w:t>LPS</w:t>
            </w:r>
          </w:p>
        </w:tc>
        <w:tc>
          <w:tcPr>
            <w:tcW w:w="7193" w:type="dxa"/>
          </w:tcPr>
          <w:p w14:paraId="3C20DA87" w14:textId="34C5341D" w:rsidR="00AF0A90" w:rsidRPr="00543503" w:rsidRDefault="00000000" w:rsidP="004E39C5">
            <w:pPr>
              <w:spacing w:line="312" w:lineRule="auto"/>
            </w:pPr>
            <w:hyperlink r:id="rId11" w:history="1">
              <w:r w:rsidR="00281B84" w:rsidRPr="00F203DB">
                <w:rPr>
                  <w:rStyle w:val="Hyperlink"/>
                </w:rPr>
                <w:t>Liberty Protection Safeguards</w:t>
              </w:r>
            </w:hyperlink>
          </w:p>
        </w:tc>
      </w:tr>
    </w:tbl>
    <w:p w14:paraId="4957920D" w14:textId="3BF8FDC7" w:rsidR="004E39C5" w:rsidRDefault="004E39C5" w:rsidP="004E39C5">
      <w:pPr>
        <w:spacing w:line="312" w:lineRule="auto"/>
      </w:pPr>
    </w:p>
    <w:p w14:paraId="3F8AD810" w14:textId="77777777" w:rsidR="004E39C5" w:rsidRDefault="004E39C5" w:rsidP="004E39C5">
      <w:pPr>
        <w:spacing w:line="312" w:lineRule="auto"/>
      </w:pPr>
      <w:r w:rsidRPr="004E39C5">
        <w:rPr>
          <w:b/>
        </w:rPr>
        <w:t>Consent to care and treatment</w:t>
      </w:r>
    </w:p>
    <w:p w14:paraId="4C8FA166" w14:textId="77777777" w:rsidR="004E39C5" w:rsidRDefault="004E39C5" w:rsidP="004E39C5">
      <w:pPr>
        <w:spacing w:line="312" w:lineRule="auto"/>
      </w:pPr>
    </w:p>
    <w:p w14:paraId="3D2F99C0" w14:textId="59F79EDD" w:rsidR="00B845BB" w:rsidRPr="00193C0B" w:rsidRDefault="00B845BB" w:rsidP="00D66E91">
      <w:pPr>
        <w:pStyle w:val="ListParagraph"/>
        <w:numPr>
          <w:ilvl w:val="0"/>
          <w:numId w:val="3"/>
        </w:numPr>
        <w:spacing w:line="312" w:lineRule="auto"/>
      </w:pPr>
      <w:r w:rsidRPr="00193C0B">
        <w:t xml:space="preserve">The provision of health and social care </w:t>
      </w:r>
      <w:r w:rsidR="000B2374" w:rsidRPr="00193C0B">
        <w:t>is</w:t>
      </w:r>
      <w:r w:rsidRPr="00193C0B">
        <w:t xml:space="preserve"> only</w:t>
      </w:r>
      <w:r w:rsidR="000B2374" w:rsidRPr="00193C0B">
        <w:t xml:space="preserve"> </w:t>
      </w:r>
      <w:r w:rsidRPr="00193C0B">
        <w:t xml:space="preserve">lawful </w:t>
      </w:r>
      <w:proofErr w:type="gramStart"/>
      <w:r w:rsidRPr="00193C0B">
        <w:t>where</w:t>
      </w:r>
      <w:proofErr w:type="gramEnd"/>
      <w:r w:rsidRPr="00193C0B">
        <w:t xml:space="preserve"> </w:t>
      </w:r>
      <w:r w:rsidR="000B2374" w:rsidRPr="00193C0B">
        <w:t>given</w:t>
      </w:r>
      <w:r w:rsidRPr="00193C0B">
        <w:t xml:space="preserve"> either with the valid consent of the </w:t>
      </w:r>
      <w:r w:rsidR="001A1C7F" w:rsidRPr="00193C0B">
        <w:t>person</w:t>
      </w:r>
      <w:r w:rsidRPr="00193C0B">
        <w:t xml:space="preserve"> or, </w:t>
      </w:r>
      <w:r w:rsidR="00B85064" w:rsidRPr="00193C0B">
        <w:t>if</w:t>
      </w:r>
      <w:r w:rsidRPr="00193C0B">
        <w:t xml:space="preserve"> they are unable to give that consent, in accordance with some other valid form of legal authority.</w:t>
      </w:r>
    </w:p>
    <w:p w14:paraId="662A3077" w14:textId="77777777" w:rsidR="00B845BB" w:rsidRDefault="00B845BB" w:rsidP="00B845BB">
      <w:pPr>
        <w:pStyle w:val="ListParagraph"/>
        <w:spacing w:line="312" w:lineRule="auto"/>
      </w:pPr>
    </w:p>
    <w:p w14:paraId="7B923DA3" w14:textId="326EC8D7" w:rsidR="00B845BB" w:rsidRDefault="00B845BB" w:rsidP="00D66E91">
      <w:pPr>
        <w:pStyle w:val="ListParagraph"/>
        <w:numPr>
          <w:ilvl w:val="0"/>
          <w:numId w:val="3"/>
        </w:numPr>
        <w:spacing w:line="312" w:lineRule="auto"/>
      </w:pPr>
      <w:r>
        <w:t xml:space="preserve">A </w:t>
      </w:r>
      <w:r w:rsidR="001A1C7F">
        <w:t>person</w:t>
      </w:r>
      <w:r>
        <w:t>’s consent will be valid where it is given:</w:t>
      </w:r>
    </w:p>
    <w:p w14:paraId="34539272" w14:textId="77777777" w:rsidR="00B845BB" w:rsidRDefault="00B845BB" w:rsidP="00B845BB">
      <w:pPr>
        <w:pStyle w:val="ListParagraph"/>
      </w:pPr>
    </w:p>
    <w:p w14:paraId="0525FF8D" w14:textId="50A33909" w:rsidR="00B845BB" w:rsidRDefault="009A1F0A" w:rsidP="00D66E91">
      <w:pPr>
        <w:pStyle w:val="ListParagraph"/>
        <w:numPr>
          <w:ilvl w:val="1"/>
          <w:numId w:val="3"/>
        </w:numPr>
        <w:spacing w:line="312" w:lineRule="auto"/>
      </w:pPr>
      <w:r>
        <w:t>Voluntarily</w:t>
      </w:r>
      <w:r w:rsidR="00B845BB">
        <w:t xml:space="preserve"> (i.e. in the absence of any undue pressure </w:t>
      </w:r>
      <w:r w:rsidR="00653E4C">
        <w:t xml:space="preserve">from anyone else </w:t>
      </w:r>
      <w:r w:rsidR="00B845BB">
        <w:t>to decide in a particular way</w:t>
      </w:r>
      <w:proofErr w:type="gramStart"/>
      <w:r w:rsidR="00B845BB">
        <w:t>);</w:t>
      </w:r>
      <w:proofErr w:type="gramEnd"/>
    </w:p>
    <w:p w14:paraId="1DC9796D" w14:textId="11D13451" w:rsidR="00B845BB" w:rsidRDefault="00B845BB" w:rsidP="00D66E91">
      <w:pPr>
        <w:pStyle w:val="ListParagraph"/>
        <w:numPr>
          <w:ilvl w:val="1"/>
          <w:numId w:val="3"/>
        </w:numPr>
        <w:spacing w:line="312" w:lineRule="auto"/>
      </w:pPr>
      <w:r>
        <w:t xml:space="preserve">With the </w:t>
      </w:r>
      <w:r w:rsidR="00BA7B55" w:rsidRPr="00193C0B">
        <w:t>relevant</w:t>
      </w:r>
      <w:r w:rsidRPr="00193C0B">
        <w:t xml:space="preserve"> </w:t>
      </w:r>
      <w:r>
        <w:t>mental capacity</w:t>
      </w:r>
      <w:r w:rsidR="005F7245">
        <w:t xml:space="preserve"> </w:t>
      </w:r>
      <w:r>
        <w:t>and</w:t>
      </w:r>
    </w:p>
    <w:p w14:paraId="5543FCB9" w14:textId="77777777" w:rsidR="00B845BB" w:rsidRDefault="00B845BB" w:rsidP="00D66E91">
      <w:pPr>
        <w:pStyle w:val="ListParagraph"/>
        <w:numPr>
          <w:ilvl w:val="1"/>
          <w:numId w:val="3"/>
        </w:numPr>
        <w:spacing w:line="312" w:lineRule="auto"/>
      </w:pPr>
      <w:r>
        <w:t xml:space="preserve">Possessing sufficient information about what is proposed, its reasonably foreseeable consequences and the potential alternatives.  </w:t>
      </w:r>
    </w:p>
    <w:p w14:paraId="2C4332E7" w14:textId="77777777" w:rsidR="00B845BB" w:rsidRDefault="00B845BB" w:rsidP="00B845BB">
      <w:pPr>
        <w:pStyle w:val="ListParagraph"/>
      </w:pPr>
    </w:p>
    <w:p w14:paraId="29049EC3" w14:textId="6B25C05A" w:rsidR="000D0325" w:rsidRDefault="000D0325" w:rsidP="00D66E91">
      <w:pPr>
        <w:pStyle w:val="ListParagraph"/>
        <w:numPr>
          <w:ilvl w:val="0"/>
          <w:numId w:val="3"/>
        </w:numPr>
        <w:spacing w:line="312" w:lineRule="auto"/>
      </w:pPr>
      <w:r>
        <w:t>What information needs to be provided will be specific to the facts of the case</w:t>
      </w:r>
      <w:r w:rsidR="009D3459">
        <w:t xml:space="preserve"> and the care/treatment being offered</w:t>
      </w:r>
      <w:r>
        <w:t xml:space="preserve">.  Note that medical interventions </w:t>
      </w:r>
      <w:r w:rsidR="006B28EF">
        <w:t>will sometimes</w:t>
      </w:r>
      <w:r>
        <w:t xml:space="preserve"> have their own specific set of </w:t>
      </w:r>
      <w:r w:rsidR="006B28EF">
        <w:t xml:space="preserve">professional </w:t>
      </w:r>
      <w:r>
        <w:t xml:space="preserve">guidelines </w:t>
      </w:r>
      <w:proofErr w:type="gramStart"/>
      <w:r>
        <w:t>with regard to</w:t>
      </w:r>
      <w:proofErr w:type="gramEnd"/>
      <w:r>
        <w:t xml:space="preserve"> consent and the information that should be supplied</w:t>
      </w:r>
      <w:r w:rsidR="00CC13E7">
        <w:t xml:space="preserve"> when obtaining it</w:t>
      </w:r>
      <w:r>
        <w:t>.</w:t>
      </w:r>
    </w:p>
    <w:p w14:paraId="63079F21" w14:textId="77777777" w:rsidR="0088092D" w:rsidRDefault="0088092D" w:rsidP="0088092D">
      <w:pPr>
        <w:pStyle w:val="ListParagraph"/>
        <w:spacing w:line="312" w:lineRule="auto"/>
        <w:ind w:left="360"/>
      </w:pPr>
    </w:p>
    <w:p w14:paraId="299EEE6E" w14:textId="06E9714B" w:rsidR="0088092D" w:rsidRPr="00B5553F" w:rsidRDefault="00EB7B63" w:rsidP="00D66E91">
      <w:pPr>
        <w:pStyle w:val="ListParagraph"/>
        <w:numPr>
          <w:ilvl w:val="0"/>
          <w:numId w:val="3"/>
        </w:numPr>
        <w:spacing w:line="312" w:lineRule="auto"/>
      </w:pPr>
      <w:r w:rsidRPr="00B5553F">
        <w:t>Practitioners</w:t>
      </w:r>
      <w:r w:rsidR="0088092D" w:rsidRPr="00B5553F">
        <w:t xml:space="preserve"> should take care when obtaining consent to verify that the person is in fact consenting and not to rely on what may appear to be implied consent.  Consent must always be explicitly verified with the person from whom it is sought and documented accordingly.</w:t>
      </w:r>
    </w:p>
    <w:p w14:paraId="314B6653" w14:textId="77777777" w:rsidR="00A969B1" w:rsidRDefault="00A969B1" w:rsidP="00B845BB">
      <w:pPr>
        <w:spacing w:line="312" w:lineRule="auto"/>
      </w:pPr>
    </w:p>
    <w:p w14:paraId="34A13C92" w14:textId="441C9803" w:rsidR="000D0325" w:rsidRPr="00B5553F" w:rsidRDefault="00BA7B55" w:rsidP="00D66E91">
      <w:pPr>
        <w:pStyle w:val="ListParagraph"/>
        <w:numPr>
          <w:ilvl w:val="0"/>
          <w:numId w:val="3"/>
        </w:numPr>
        <w:spacing w:line="312" w:lineRule="auto"/>
        <w:rPr>
          <w:iCs/>
        </w:rPr>
      </w:pPr>
      <w:r w:rsidRPr="00B5553F">
        <w:rPr>
          <w:iCs/>
        </w:rPr>
        <w:t xml:space="preserve">Practitioners </w:t>
      </w:r>
      <w:r w:rsidR="00B5553F">
        <w:rPr>
          <w:iCs/>
        </w:rPr>
        <w:t>will</w:t>
      </w:r>
      <w:r w:rsidR="00B5553F" w:rsidRPr="00B5553F">
        <w:rPr>
          <w:iCs/>
        </w:rPr>
        <w:t xml:space="preserve"> </w:t>
      </w:r>
      <w:r w:rsidRPr="00B5553F">
        <w:rPr>
          <w:iCs/>
        </w:rPr>
        <w:t>need to c</w:t>
      </w:r>
      <w:r w:rsidR="00A969B1" w:rsidRPr="00B5553F">
        <w:rPr>
          <w:iCs/>
        </w:rPr>
        <w:t>ross-r</w:t>
      </w:r>
      <w:r w:rsidR="007E5DC3" w:rsidRPr="00B5553F">
        <w:rPr>
          <w:iCs/>
        </w:rPr>
        <w:t>efer</w:t>
      </w:r>
      <w:r w:rsidRPr="00B5553F">
        <w:rPr>
          <w:iCs/>
        </w:rPr>
        <w:t>ence this guidance with their</w:t>
      </w:r>
      <w:r w:rsidR="007E5DC3" w:rsidRPr="00B5553F">
        <w:rPr>
          <w:iCs/>
        </w:rPr>
        <w:t xml:space="preserve"> organisation</w:t>
      </w:r>
      <w:r w:rsidR="00A969B1" w:rsidRPr="00B5553F">
        <w:rPr>
          <w:iCs/>
        </w:rPr>
        <w:t>al</w:t>
      </w:r>
      <w:r w:rsidR="007E5DC3" w:rsidRPr="00B5553F">
        <w:rPr>
          <w:iCs/>
        </w:rPr>
        <w:t xml:space="preserve"> consent policies and procedures</w:t>
      </w:r>
      <w:r w:rsidR="0088092D" w:rsidRPr="00B5553F">
        <w:rPr>
          <w:iCs/>
        </w:rPr>
        <w:t xml:space="preserve"> on consent</w:t>
      </w:r>
      <w:r w:rsidR="007E5DC3" w:rsidRPr="00B5553F">
        <w:rPr>
          <w:iCs/>
        </w:rPr>
        <w:t xml:space="preserve">.  </w:t>
      </w:r>
    </w:p>
    <w:p w14:paraId="3A4FC552" w14:textId="0A29074F" w:rsidR="007E5DC3" w:rsidRDefault="007E5DC3" w:rsidP="007E5DC3">
      <w:pPr>
        <w:spacing w:line="312" w:lineRule="auto"/>
      </w:pPr>
    </w:p>
    <w:p w14:paraId="2151B95A" w14:textId="77777777" w:rsidR="007E5DC3" w:rsidRDefault="007E5DC3" w:rsidP="007E5DC3">
      <w:pPr>
        <w:spacing w:line="312" w:lineRule="auto"/>
        <w:rPr>
          <w:b/>
        </w:rPr>
      </w:pPr>
      <w:r>
        <w:rPr>
          <w:b/>
        </w:rPr>
        <w:t xml:space="preserve">Mental capacity </w:t>
      </w:r>
    </w:p>
    <w:p w14:paraId="57406E03" w14:textId="77777777" w:rsidR="007E5DC3" w:rsidRDefault="007E5DC3" w:rsidP="007E5DC3">
      <w:pPr>
        <w:spacing w:line="312" w:lineRule="auto"/>
        <w:rPr>
          <w:b/>
        </w:rPr>
      </w:pPr>
    </w:p>
    <w:p w14:paraId="5DC94B65" w14:textId="0ECA852D" w:rsidR="007E5DC3" w:rsidRPr="00B5553F" w:rsidRDefault="000D0325" w:rsidP="00D66E91">
      <w:pPr>
        <w:pStyle w:val="ListParagraph"/>
        <w:numPr>
          <w:ilvl w:val="0"/>
          <w:numId w:val="3"/>
        </w:numPr>
        <w:spacing w:line="312" w:lineRule="auto"/>
      </w:pPr>
      <w:proofErr w:type="gramStart"/>
      <w:r w:rsidRPr="00B5553F">
        <w:t>In order to</w:t>
      </w:r>
      <w:proofErr w:type="gramEnd"/>
      <w:r w:rsidRPr="00B5553F">
        <w:t xml:space="preserve"> give valid consent for care or treatment </w:t>
      </w:r>
      <w:r w:rsidR="001A1C7F" w:rsidRPr="00B5553F">
        <w:t>the person must</w:t>
      </w:r>
      <w:r w:rsidRPr="00B5553F">
        <w:t xml:space="preserve"> have the </w:t>
      </w:r>
      <w:r w:rsidR="00BA7B55" w:rsidRPr="00B5553F">
        <w:t>relevant</w:t>
      </w:r>
      <w:r w:rsidRPr="00B5553F">
        <w:t xml:space="preserve"> mental capacity</w:t>
      </w:r>
      <w:r w:rsidR="00B5553F">
        <w:t>,</w:t>
      </w:r>
      <w:r w:rsidR="00F06540" w:rsidRPr="00B5553F">
        <w:t xml:space="preserve"> i.e. capacity </w:t>
      </w:r>
      <w:r w:rsidR="00B5553F">
        <w:t>to decide whether or not to accept the particular care/</w:t>
      </w:r>
      <w:r w:rsidR="00F06540" w:rsidRPr="00B5553F">
        <w:t>treatment that is proposed for them.</w:t>
      </w:r>
    </w:p>
    <w:p w14:paraId="0E5E4786" w14:textId="77777777" w:rsidR="000D0325" w:rsidRDefault="000D0325" w:rsidP="000D0325">
      <w:pPr>
        <w:pStyle w:val="ListParagraph"/>
        <w:spacing w:line="312" w:lineRule="auto"/>
      </w:pPr>
    </w:p>
    <w:p w14:paraId="51EA8D63" w14:textId="73EC2B36" w:rsidR="000D0325" w:rsidRPr="00B5553F" w:rsidRDefault="001A1C7F" w:rsidP="00D66E91">
      <w:pPr>
        <w:pStyle w:val="ListParagraph"/>
        <w:numPr>
          <w:ilvl w:val="0"/>
          <w:numId w:val="3"/>
        </w:numPr>
        <w:spacing w:line="312" w:lineRule="auto"/>
      </w:pPr>
      <w:r w:rsidRPr="00B5553F">
        <w:t>The person must</w:t>
      </w:r>
      <w:r w:rsidR="000D0325" w:rsidRPr="00B5553F">
        <w:t xml:space="preserve"> be assumed to have capacity to make their own decision </w:t>
      </w:r>
      <w:r w:rsidR="00C1700D" w:rsidRPr="00B5553F">
        <w:t xml:space="preserve">about what is proposed </w:t>
      </w:r>
      <w:r w:rsidR="000D0325" w:rsidRPr="00B5553F">
        <w:t xml:space="preserve">unless it is established that they lack capacity.  All </w:t>
      </w:r>
      <w:r w:rsidR="00F9500E">
        <w:t xml:space="preserve">reasonably </w:t>
      </w:r>
      <w:r w:rsidR="000D0325" w:rsidRPr="00B5553F">
        <w:t xml:space="preserve">practicable steps must be taken to support the person to take their own decision </w:t>
      </w:r>
      <w:r w:rsidR="00C1700D" w:rsidRPr="00B5553F">
        <w:t>before they are deemed to lack capacity to make the decision for themselves</w:t>
      </w:r>
      <w:r w:rsidR="000D0325" w:rsidRPr="00B5553F">
        <w:t xml:space="preserve">.   </w:t>
      </w:r>
      <w:r w:rsidRPr="00B5553F">
        <w:t>The person must</w:t>
      </w:r>
      <w:r w:rsidR="000D0325" w:rsidRPr="00B5553F">
        <w:t xml:space="preserve"> not </w:t>
      </w:r>
      <w:r w:rsidR="00360EE3" w:rsidRPr="00B5553F">
        <w:t xml:space="preserve">be </w:t>
      </w:r>
      <w:r w:rsidR="000D0325" w:rsidRPr="00B5553F">
        <w:t xml:space="preserve">treated as unable to </w:t>
      </w:r>
      <w:proofErr w:type="gramStart"/>
      <w:r w:rsidR="000D0325" w:rsidRPr="00B5553F">
        <w:t>make a decision</w:t>
      </w:r>
      <w:proofErr w:type="gramEnd"/>
      <w:r w:rsidR="000D0325" w:rsidRPr="00B5553F">
        <w:t xml:space="preserve"> merely because they make what appears to </w:t>
      </w:r>
      <w:r w:rsidR="00653E4C" w:rsidRPr="00B5553F">
        <w:t xml:space="preserve">be </w:t>
      </w:r>
      <w:r w:rsidR="000D0325" w:rsidRPr="00B5553F">
        <w:t>an unwise decision</w:t>
      </w:r>
      <w:r w:rsidR="000D0325" w:rsidRPr="00B5553F">
        <w:rPr>
          <w:rStyle w:val="FootnoteReference"/>
        </w:rPr>
        <w:footnoteReference w:id="1"/>
      </w:r>
      <w:r w:rsidR="000D0325" w:rsidRPr="00B5553F">
        <w:t xml:space="preserve">.   </w:t>
      </w:r>
    </w:p>
    <w:p w14:paraId="2E3EE12A" w14:textId="77777777" w:rsidR="000D0325" w:rsidRDefault="000D0325" w:rsidP="000D0325">
      <w:pPr>
        <w:pStyle w:val="ListParagraph"/>
      </w:pPr>
    </w:p>
    <w:p w14:paraId="763FEED3" w14:textId="03066E15" w:rsidR="007F72C2" w:rsidRDefault="00C1700D" w:rsidP="00D66E91">
      <w:pPr>
        <w:pStyle w:val="ListParagraph"/>
        <w:numPr>
          <w:ilvl w:val="0"/>
          <w:numId w:val="3"/>
        </w:numPr>
        <w:spacing w:line="312" w:lineRule="auto"/>
      </w:pPr>
      <w:r>
        <w:t xml:space="preserve">Where there is any doubt about a person’s capacity to </w:t>
      </w:r>
      <w:proofErr w:type="gramStart"/>
      <w:r>
        <w:t>make a decision</w:t>
      </w:r>
      <w:proofErr w:type="gramEnd"/>
      <w:r>
        <w:t xml:space="preserve"> there must be an assessment of their capacity applying the principles set out in the </w:t>
      </w:r>
      <w:r w:rsidR="00B85064">
        <w:t>MCA</w:t>
      </w:r>
      <w:r>
        <w:rPr>
          <w:rStyle w:val="FootnoteReference"/>
        </w:rPr>
        <w:footnoteReference w:id="2"/>
      </w:r>
      <w:r>
        <w:t xml:space="preserve">.  </w:t>
      </w:r>
    </w:p>
    <w:p w14:paraId="613FDABA" w14:textId="535CBBD1" w:rsidR="00B47D89" w:rsidRDefault="00B47D89" w:rsidP="00B47D89">
      <w:pPr>
        <w:spacing w:line="312" w:lineRule="auto"/>
      </w:pPr>
    </w:p>
    <w:p w14:paraId="02181681" w14:textId="0A73E4F8" w:rsidR="000D7CF9" w:rsidRPr="00193C0B" w:rsidRDefault="00E12E26" w:rsidP="00D66E91">
      <w:pPr>
        <w:pStyle w:val="ListParagraph"/>
        <w:numPr>
          <w:ilvl w:val="0"/>
          <w:numId w:val="3"/>
        </w:numPr>
        <w:spacing w:line="312" w:lineRule="auto"/>
      </w:pPr>
      <w:r w:rsidRPr="00193C0B">
        <w:t xml:space="preserve">It is for the </w:t>
      </w:r>
      <w:r w:rsidR="00EB7B63" w:rsidRPr="00193C0B">
        <w:t xml:space="preserve">practitioner </w:t>
      </w:r>
      <w:r w:rsidRPr="00193C0B">
        <w:t xml:space="preserve">who </w:t>
      </w:r>
      <w:r w:rsidR="00B85064" w:rsidRPr="00193C0B">
        <w:t>is proposing</w:t>
      </w:r>
      <w:r w:rsidRPr="00193C0B">
        <w:t xml:space="preserve"> the care/treatment to satisfy themselves as to the </w:t>
      </w:r>
      <w:r w:rsidR="001A1C7F" w:rsidRPr="00193C0B">
        <w:t>person</w:t>
      </w:r>
      <w:r w:rsidRPr="00193C0B">
        <w:t xml:space="preserve">’s capacity to </w:t>
      </w:r>
      <w:r w:rsidR="005447ED" w:rsidRPr="00193C0B">
        <w:t>take the decision</w:t>
      </w:r>
      <w:r w:rsidR="00B85064" w:rsidRPr="00193C0B">
        <w:t xml:space="preserve">.  Usually </w:t>
      </w:r>
      <w:r w:rsidR="005447ED" w:rsidRPr="00193C0B">
        <w:t xml:space="preserve">the </w:t>
      </w:r>
      <w:r w:rsidR="00EB7B63" w:rsidRPr="00193C0B">
        <w:t xml:space="preserve">practitioner </w:t>
      </w:r>
      <w:r w:rsidR="00B85064" w:rsidRPr="00193C0B">
        <w:t>must assess the person’s</w:t>
      </w:r>
      <w:r w:rsidR="000D7CF9" w:rsidRPr="00193C0B">
        <w:t xml:space="preserve"> capacity themselves</w:t>
      </w:r>
      <w:r w:rsidR="00B85064" w:rsidRPr="00193C0B">
        <w:t xml:space="preserve">.  </w:t>
      </w:r>
      <w:r w:rsidR="00B5553F" w:rsidRPr="00193C0B">
        <w:t xml:space="preserve">Occasionally </w:t>
      </w:r>
      <w:r w:rsidR="00B85064" w:rsidRPr="00193C0B">
        <w:t xml:space="preserve">it may be possible </w:t>
      </w:r>
      <w:r w:rsidR="005447ED" w:rsidRPr="00193C0B">
        <w:t xml:space="preserve">for them </w:t>
      </w:r>
      <w:r w:rsidR="00B85064" w:rsidRPr="00193C0B">
        <w:t>to</w:t>
      </w:r>
      <w:r w:rsidR="000D7CF9" w:rsidRPr="00193C0B">
        <w:t xml:space="preserve"> </w:t>
      </w:r>
      <w:r w:rsidR="00BD2958" w:rsidRPr="00193C0B">
        <w:t>r</w:t>
      </w:r>
      <w:r w:rsidR="00B85064" w:rsidRPr="00193C0B">
        <w:t>ely</w:t>
      </w:r>
      <w:r w:rsidR="000D7CF9" w:rsidRPr="00193C0B">
        <w:t xml:space="preserve"> </w:t>
      </w:r>
      <w:r w:rsidR="00BD2958" w:rsidRPr="00193C0B">
        <w:t>upon a reasonably current</w:t>
      </w:r>
      <w:r w:rsidR="000D7CF9" w:rsidRPr="00193C0B">
        <w:t xml:space="preserve"> assessment </w:t>
      </w:r>
      <w:r w:rsidR="00BD2958" w:rsidRPr="00193C0B">
        <w:t>of the person’s capacity</w:t>
      </w:r>
      <w:r w:rsidR="00B85064" w:rsidRPr="00193C0B">
        <w:t xml:space="preserve"> conducted by a different, sufficiently </w:t>
      </w:r>
      <w:r w:rsidR="0010697B" w:rsidRPr="00193C0B">
        <w:t>skilled</w:t>
      </w:r>
      <w:r w:rsidR="00B85064" w:rsidRPr="00193C0B">
        <w:t xml:space="preserve"> </w:t>
      </w:r>
      <w:r w:rsidR="00EB7B63" w:rsidRPr="00193C0B">
        <w:t xml:space="preserve">practitioner </w:t>
      </w:r>
      <w:r w:rsidR="00BD2958" w:rsidRPr="00193C0B">
        <w:t xml:space="preserve">addressing the </w:t>
      </w:r>
      <w:r w:rsidR="00BD2958" w:rsidRPr="00193C0B">
        <w:lastRenderedPageBreak/>
        <w:t xml:space="preserve">same proposed care/treatment </w:t>
      </w:r>
      <w:r w:rsidR="00ED439D" w:rsidRPr="00193C0B">
        <w:t>decision</w:t>
      </w:r>
      <w:r w:rsidR="000D7CF9" w:rsidRPr="00193C0B">
        <w:t>.</w:t>
      </w:r>
      <w:r w:rsidR="000C4F06" w:rsidRPr="00193C0B">
        <w:t xml:space="preserve">  What is reasonably current will depend on the circumstances, </w:t>
      </w:r>
      <w:r w:rsidR="00E12DEA" w:rsidRPr="00193C0B">
        <w:t>such a</w:t>
      </w:r>
      <w:r w:rsidR="000C4F06" w:rsidRPr="00193C0B">
        <w:t xml:space="preserve">s whether the person’s capacity fluctuates or </w:t>
      </w:r>
      <w:r w:rsidR="00E12DEA" w:rsidRPr="00193C0B">
        <w:t xml:space="preserve">is </w:t>
      </w:r>
      <w:r w:rsidR="000C4F06" w:rsidRPr="00193C0B">
        <w:t xml:space="preserve">permanently </w:t>
      </w:r>
      <w:r w:rsidR="00E12DEA" w:rsidRPr="00193C0B">
        <w:t>diminished by a lifelong mental impairment.</w:t>
      </w:r>
      <w:r w:rsidR="000C4F06" w:rsidRPr="00193C0B">
        <w:t xml:space="preserve"> </w:t>
      </w:r>
      <w:r w:rsidR="000D7CF9" w:rsidRPr="00193C0B">
        <w:t xml:space="preserve"> </w:t>
      </w:r>
      <w:r w:rsidR="005447ED" w:rsidRPr="00193C0B">
        <w:t xml:space="preserve">Either way, the </w:t>
      </w:r>
      <w:r w:rsidR="00EB7B63" w:rsidRPr="00193C0B">
        <w:t>practitioner</w:t>
      </w:r>
      <w:r w:rsidR="005447ED" w:rsidRPr="00193C0B">
        <w:t xml:space="preserve"> </w:t>
      </w:r>
      <w:r w:rsidR="00CC13E7" w:rsidRPr="00193C0B">
        <w:t xml:space="preserve">proposing the care/treatment must satisfy themselves </w:t>
      </w:r>
      <w:r w:rsidR="005447ED" w:rsidRPr="00193C0B">
        <w:t>that capacity has been properly considered</w:t>
      </w:r>
      <w:r w:rsidR="00C21625" w:rsidRPr="00193C0B">
        <w:t xml:space="preserve"> for this decision at the relevant time</w:t>
      </w:r>
      <w:r w:rsidR="0010697B" w:rsidRPr="00193C0B">
        <w:rPr>
          <w:rStyle w:val="FootnoteReference"/>
        </w:rPr>
        <w:footnoteReference w:id="3"/>
      </w:r>
      <w:r w:rsidR="005447ED" w:rsidRPr="00193C0B">
        <w:t>.</w:t>
      </w:r>
    </w:p>
    <w:p w14:paraId="7ADE9E08" w14:textId="77777777" w:rsidR="00744FCB" w:rsidRDefault="00744FCB" w:rsidP="00744FCB">
      <w:pPr>
        <w:pStyle w:val="ListParagraph"/>
      </w:pPr>
    </w:p>
    <w:p w14:paraId="48DE9CE5" w14:textId="763AB529" w:rsidR="00744FCB" w:rsidRPr="00DA2F3F" w:rsidRDefault="00744FCB" w:rsidP="00D66E91">
      <w:pPr>
        <w:pStyle w:val="ListParagraph"/>
        <w:numPr>
          <w:ilvl w:val="0"/>
          <w:numId w:val="3"/>
        </w:numPr>
        <w:spacing w:line="312" w:lineRule="auto"/>
      </w:pPr>
      <w:r w:rsidRPr="00DA2F3F">
        <w:t xml:space="preserve">It should not be assumed that capacity is for someone else to assess, </w:t>
      </w:r>
      <w:r w:rsidR="00B03A51" w:rsidRPr="00DA2F3F">
        <w:t>e.g.,</w:t>
      </w:r>
      <w:r w:rsidRPr="00DA2F3F">
        <w:t xml:space="preserve"> a manager or a more senior colleague or a psychiatrist.  </w:t>
      </w:r>
      <w:r w:rsidR="00B03A51" w:rsidRPr="00DA2F3F">
        <w:t xml:space="preserve">It </w:t>
      </w:r>
      <w:r w:rsidRPr="00DA2F3F">
        <w:t xml:space="preserve">is the responsibility of the </w:t>
      </w:r>
      <w:proofErr w:type="gramStart"/>
      <w:r w:rsidRPr="00DA2F3F">
        <w:t>particular practitioner</w:t>
      </w:r>
      <w:proofErr w:type="gramEnd"/>
      <w:r w:rsidRPr="00DA2F3F">
        <w:t xml:space="preserve"> proposing the care/treatment</w:t>
      </w:r>
      <w:r w:rsidR="00B03A51" w:rsidRPr="00DA2F3F">
        <w:t xml:space="preserve"> to satisfy themselves as to the person’s capacity.</w:t>
      </w:r>
    </w:p>
    <w:p w14:paraId="7123FDDF" w14:textId="77777777" w:rsidR="000D7CF9" w:rsidRDefault="000D7CF9" w:rsidP="000D7CF9">
      <w:pPr>
        <w:pStyle w:val="ListParagraph"/>
      </w:pPr>
    </w:p>
    <w:p w14:paraId="112F0947" w14:textId="2FC62F29" w:rsidR="000D7CF9" w:rsidRPr="00744FCB" w:rsidRDefault="00F25CE1" w:rsidP="00D66E91">
      <w:pPr>
        <w:pStyle w:val="ListParagraph"/>
        <w:numPr>
          <w:ilvl w:val="0"/>
          <w:numId w:val="3"/>
        </w:numPr>
        <w:spacing w:line="312" w:lineRule="auto"/>
      </w:pPr>
      <w:r w:rsidRPr="00744FCB">
        <w:t xml:space="preserve">Capacity is both decision specific and time specific.  A person’s capacity must be assessed </w:t>
      </w:r>
      <w:proofErr w:type="gramStart"/>
      <w:r w:rsidRPr="00744FCB">
        <w:t>with regard to</w:t>
      </w:r>
      <w:proofErr w:type="gramEnd"/>
      <w:r w:rsidRPr="00744FCB">
        <w:t xml:space="preserve"> the specific decision that </w:t>
      </w:r>
      <w:r w:rsidR="00ED3F35" w:rsidRPr="00744FCB">
        <w:t xml:space="preserve">needs </w:t>
      </w:r>
      <w:r w:rsidRPr="00744FCB">
        <w:t xml:space="preserve">to be taken (i.e. </w:t>
      </w:r>
      <w:r w:rsidR="00ED439D" w:rsidRPr="00744FCB">
        <w:t xml:space="preserve">for the purposes of this Guidance </w:t>
      </w:r>
      <w:r w:rsidRPr="00744FCB">
        <w:t xml:space="preserve">whether or not </w:t>
      </w:r>
      <w:r w:rsidR="00ED439D" w:rsidRPr="00744FCB">
        <w:t xml:space="preserve">to accept the proposed care/treatment) at </w:t>
      </w:r>
      <w:r w:rsidR="00416E8B" w:rsidRPr="00744FCB">
        <w:t xml:space="preserve">the </w:t>
      </w:r>
      <w:r w:rsidR="00ED439D" w:rsidRPr="00744FCB">
        <w:t xml:space="preserve">time </w:t>
      </w:r>
      <w:r w:rsidR="00ED3F35" w:rsidRPr="00744FCB">
        <w:t>it needs</w:t>
      </w:r>
      <w:r w:rsidR="00416E8B" w:rsidRPr="00744FCB">
        <w:t xml:space="preserve"> to be taken</w:t>
      </w:r>
      <w:r w:rsidR="00ED439D" w:rsidRPr="00744FCB">
        <w:t>.  The person must be provided with information relevant to the decision</w:t>
      </w:r>
      <w:r w:rsidR="00ED439D" w:rsidRPr="00744FCB">
        <w:rPr>
          <w:rStyle w:val="FootnoteReference"/>
        </w:rPr>
        <w:footnoteReference w:id="4"/>
      </w:r>
      <w:r w:rsidR="00ED439D" w:rsidRPr="00744FCB">
        <w:t xml:space="preserve"> </w:t>
      </w:r>
      <w:r w:rsidR="00945361" w:rsidRPr="00744FCB">
        <w:t xml:space="preserve">at a level that they are most likely to be able to </w:t>
      </w:r>
      <w:proofErr w:type="gramStart"/>
      <w:r w:rsidR="00945361" w:rsidRPr="00744FCB">
        <w:t xml:space="preserve">understand, </w:t>
      </w:r>
      <w:r w:rsidR="00ED439D" w:rsidRPr="00744FCB">
        <w:t>and</w:t>
      </w:r>
      <w:proofErr w:type="gramEnd"/>
      <w:r w:rsidR="00ED439D" w:rsidRPr="00744FCB">
        <w:t xml:space="preserve"> supported to take their own decision if at all possible.</w:t>
      </w:r>
    </w:p>
    <w:p w14:paraId="1EF569D1" w14:textId="77777777" w:rsidR="006B686C" w:rsidRDefault="006B686C" w:rsidP="006B686C">
      <w:pPr>
        <w:pStyle w:val="ListParagraph"/>
      </w:pPr>
    </w:p>
    <w:p w14:paraId="40D3F89D" w14:textId="46429986" w:rsidR="006B686C" w:rsidRPr="00DA2F3F" w:rsidRDefault="006B686C" w:rsidP="00D66E91">
      <w:pPr>
        <w:pStyle w:val="ListParagraph"/>
        <w:numPr>
          <w:ilvl w:val="0"/>
          <w:numId w:val="3"/>
        </w:numPr>
        <w:spacing w:line="312" w:lineRule="auto"/>
      </w:pPr>
      <w:r w:rsidRPr="00DA2F3F">
        <w:t xml:space="preserve">Sometimes the person may not engage with the assessment of their capacity.  </w:t>
      </w:r>
      <w:r w:rsidR="00EB7B63" w:rsidRPr="00DA2F3F">
        <w:t>Practitioners</w:t>
      </w:r>
      <w:r w:rsidRPr="00DA2F3F">
        <w:t xml:space="preserve"> must consider whether this is because the person </w:t>
      </w:r>
      <w:r w:rsidRPr="00DA2F3F">
        <w:rPr>
          <w:u w:val="single"/>
        </w:rPr>
        <w:t>does not want</w:t>
      </w:r>
      <w:r w:rsidRPr="00DA2F3F">
        <w:t xml:space="preserve"> to engage or </w:t>
      </w:r>
      <w:r w:rsidRPr="00DA2F3F">
        <w:rPr>
          <w:u w:val="single"/>
        </w:rPr>
        <w:t>is not able</w:t>
      </w:r>
      <w:r w:rsidRPr="00DA2F3F">
        <w:t xml:space="preserve"> to engage.  Efforts must be made, thinking </w:t>
      </w:r>
      <w:r w:rsidR="00945361" w:rsidRPr="00DA2F3F">
        <w:t>creatively</w:t>
      </w:r>
      <w:r w:rsidR="00835662" w:rsidRPr="00DA2F3F">
        <w:t>,</w:t>
      </w:r>
      <w:r w:rsidRPr="00DA2F3F">
        <w:t xml:space="preserve"> to seek to encourage and promote the person’s engagement with the assessment as far as possible.  All such efforts must be recorded.   Consider also whether the person’s non-engagement may be down to the influence of a third party and whether steps may need to be taken to limit or remove that influence (see </w:t>
      </w:r>
      <w:r w:rsidR="00064022" w:rsidRPr="00DA2F3F">
        <w:t>the section on undue influence below</w:t>
      </w:r>
      <w:r w:rsidRPr="00DA2F3F">
        <w:t xml:space="preserve">).   Ultimately though, where a person does not want to engage in a capacity assessment they cannot be compelled to do </w:t>
      </w:r>
      <w:proofErr w:type="gramStart"/>
      <w:r w:rsidRPr="00DA2F3F">
        <w:t>so</w:t>
      </w:r>
      <w:proofErr w:type="gramEnd"/>
      <w:r w:rsidRPr="00DA2F3F">
        <w:t xml:space="preserve"> and </w:t>
      </w:r>
      <w:r w:rsidR="00CF0F2C" w:rsidRPr="00DA2F3F">
        <w:t>practitioners</w:t>
      </w:r>
      <w:r w:rsidRPr="00DA2F3F">
        <w:t xml:space="preserve"> will need to look elsewhere for evidence as to capacity</w:t>
      </w:r>
      <w:r w:rsidR="00DB4F8A" w:rsidRPr="00DA2F3F">
        <w:rPr>
          <w:rStyle w:val="FootnoteReference"/>
        </w:rPr>
        <w:footnoteReference w:id="5"/>
      </w:r>
      <w:r w:rsidRPr="00DA2F3F">
        <w:t>.</w:t>
      </w:r>
      <w:r w:rsidR="00321533" w:rsidRPr="00DA2F3F">
        <w:t xml:space="preserve">  </w:t>
      </w:r>
      <w:r w:rsidR="00E31020" w:rsidRPr="00DA2F3F">
        <w:t xml:space="preserve">Practitioners should explain to the person that they are still required to form a view as to the person’s capacity, which may mean relying on discussions with others who know the </w:t>
      </w:r>
      <w:proofErr w:type="gramStart"/>
      <w:r w:rsidR="00E31020" w:rsidRPr="00DA2F3F">
        <w:t>person, and</w:t>
      </w:r>
      <w:proofErr w:type="gramEnd"/>
      <w:r w:rsidR="00E31020" w:rsidRPr="00DA2F3F">
        <w:t xml:space="preserve"> relying on other documentary evidence</w:t>
      </w:r>
      <w:r w:rsidR="00AE2C7A" w:rsidRPr="00DA2F3F">
        <w:t xml:space="preserve">.  </w:t>
      </w:r>
    </w:p>
    <w:p w14:paraId="212FD1C4" w14:textId="77777777" w:rsidR="00E12E26" w:rsidRDefault="00E12E26" w:rsidP="00E12E26">
      <w:pPr>
        <w:pStyle w:val="ListParagraph"/>
      </w:pPr>
    </w:p>
    <w:p w14:paraId="3B1C43BC" w14:textId="29EFE48D" w:rsidR="00C85829" w:rsidRPr="00B14B8B" w:rsidRDefault="00C85829" w:rsidP="00D66E91">
      <w:pPr>
        <w:pStyle w:val="ListParagraph"/>
        <w:numPr>
          <w:ilvl w:val="0"/>
          <w:numId w:val="3"/>
        </w:numPr>
        <w:spacing w:line="312" w:lineRule="auto"/>
      </w:pPr>
      <w:r w:rsidRPr="00B14B8B">
        <w:t xml:space="preserve">If the person is considered to have capacity to take the decision, their refusal must be respected unless there is reason to believe that that they </w:t>
      </w:r>
      <w:r w:rsidR="00AD7B47" w:rsidRPr="00B14B8B">
        <w:t>are vulnerable and unable to make their own decision for some other reason.</w:t>
      </w:r>
      <w:r w:rsidRPr="00B14B8B">
        <w:t xml:space="preserve">  See</w:t>
      </w:r>
      <w:r w:rsidR="00CC3584" w:rsidRPr="00B14B8B">
        <w:t xml:space="preserve"> </w:t>
      </w:r>
      <w:r w:rsidR="00B14B8B" w:rsidRPr="00B14B8B">
        <w:t>the discussion of undue influence below.</w:t>
      </w:r>
    </w:p>
    <w:p w14:paraId="465F5CC3" w14:textId="77777777" w:rsidR="00C85829" w:rsidRDefault="00C85829" w:rsidP="00C85829">
      <w:pPr>
        <w:pStyle w:val="ListParagraph"/>
      </w:pPr>
    </w:p>
    <w:p w14:paraId="5EBD3BC4" w14:textId="76D74DE4" w:rsidR="007E5DC3" w:rsidRPr="00633377" w:rsidRDefault="009C1D2C" w:rsidP="00D66E91">
      <w:pPr>
        <w:pStyle w:val="ListParagraph"/>
        <w:numPr>
          <w:ilvl w:val="0"/>
          <w:numId w:val="3"/>
        </w:numPr>
        <w:spacing w:line="312" w:lineRule="auto"/>
      </w:pPr>
      <w:r w:rsidRPr="00633377">
        <w:t xml:space="preserve">Where </w:t>
      </w:r>
      <w:r w:rsidR="001A1C7F" w:rsidRPr="00633377">
        <w:t xml:space="preserve">the person </w:t>
      </w:r>
      <w:r w:rsidRPr="00633377">
        <w:t xml:space="preserve">is </w:t>
      </w:r>
      <w:r w:rsidR="00C85829" w:rsidRPr="00633377">
        <w:t>considered</w:t>
      </w:r>
      <w:r w:rsidRPr="00633377">
        <w:t xml:space="preserve"> to lack capacity to take a decision</w:t>
      </w:r>
      <w:r w:rsidR="0036212B" w:rsidRPr="00633377">
        <w:t xml:space="preserve"> and they have not made a binding adv</w:t>
      </w:r>
      <w:r w:rsidR="00360EE3" w:rsidRPr="00633377">
        <w:t>an</w:t>
      </w:r>
      <w:r w:rsidR="0036212B" w:rsidRPr="00633377">
        <w:t>ce decision to refuse medical treatment</w:t>
      </w:r>
      <w:r w:rsidRPr="00633377">
        <w:t xml:space="preserve">, </w:t>
      </w:r>
      <w:r w:rsidR="002121B7" w:rsidRPr="00633377">
        <w:t>the decision must be taken for them in their best interests</w:t>
      </w:r>
      <w:r w:rsidR="002121B7" w:rsidRPr="00633377">
        <w:rPr>
          <w:rStyle w:val="FootnoteReference"/>
        </w:rPr>
        <w:footnoteReference w:id="6"/>
      </w:r>
      <w:r w:rsidR="002121B7" w:rsidRPr="00633377">
        <w:t xml:space="preserve">.  </w:t>
      </w:r>
      <w:r w:rsidR="00081278" w:rsidRPr="00633377">
        <w:t xml:space="preserve">In taking a best interests decision </w:t>
      </w:r>
      <w:r w:rsidR="00CF0F2C" w:rsidRPr="00633377">
        <w:t>practitioners</w:t>
      </w:r>
      <w:r w:rsidR="00081278" w:rsidRPr="00633377">
        <w:t xml:space="preserve"> must apply </w:t>
      </w:r>
      <w:r w:rsidR="00C85829" w:rsidRPr="00633377">
        <w:t>the</w:t>
      </w:r>
      <w:r w:rsidR="002121B7" w:rsidRPr="00633377">
        <w:t xml:space="preserve"> MCA</w:t>
      </w:r>
      <w:r w:rsidR="00ED3F35" w:rsidRPr="00633377">
        <w:t xml:space="preserve">, </w:t>
      </w:r>
      <w:r w:rsidR="00633377">
        <w:t>the MCA</w:t>
      </w:r>
      <w:r w:rsidR="00633377" w:rsidRPr="00633377">
        <w:t xml:space="preserve"> </w:t>
      </w:r>
      <w:r w:rsidR="00ED3F35" w:rsidRPr="00633377">
        <w:t>Code</w:t>
      </w:r>
      <w:r w:rsidR="009E3D1B" w:rsidRPr="00633377">
        <w:rPr>
          <w:rStyle w:val="FootnoteReference"/>
        </w:rPr>
        <w:footnoteReference w:id="7"/>
      </w:r>
      <w:r w:rsidR="00ED3F35" w:rsidRPr="00633377">
        <w:t>,</w:t>
      </w:r>
      <w:r w:rsidR="002121B7" w:rsidRPr="00633377">
        <w:t xml:space="preserve"> </w:t>
      </w:r>
      <w:r w:rsidR="00081278" w:rsidRPr="00633377">
        <w:t>and follow the principles developed in case law.</w:t>
      </w:r>
      <w:r w:rsidR="002121B7" w:rsidRPr="00633377">
        <w:t xml:space="preserve">  </w:t>
      </w:r>
      <w:r w:rsidR="00C85829" w:rsidRPr="00633377">
        <w:t xml:space="preserve">The “best </w:t>
      </w:r>
      <w:proofErr w:type="gramStart"/>
      <w:r w:rsidR="00C85829" w:rsidRPr="00633377">
        <w:t>interests</w:t>
      </w:r>
      <w:proofErr w:type="gramEnd"/>
      <w:r w:rsidR="00C85829" w:rsidRPr="00633377">
        <w:t xml:space="preserve"> checklist” in section 4 MCA must be follow</w:t>
      </w:r>
      <w:r w:rsidR="00360EE3" w:rsidRPr="00633377">
        <w:t>ed</w:t>
      </w:r>
      <w:r w:rsidR="00C85829" w:rsidRPr="00633377">
        <w:t xml:space="preserve"> and regard must be had to </w:t>
      </w:r>
      <w:r w:rsidR="009E3D1B" w:rsidRPr="00633377">
        <w:t>any</w:t>
      </w:r>
      <w:r w:rsidR="00C85829" w:rsidRPr="00633377">
        <w:t xml:space="preserve"> le</w:t>
      </w:r>
      <w:r w:rsidR="00ED3F35" w:rsidRPr="00633377">
        <w:t>ss</w:t>
      </w:r>
      <w:r w:rsidR="00C85829" w:rsidRPr="00633377">
        <w:t xml:space="preserve"> restrictive option</w:t>
      </w:r>
      <w:r w:rsidR="009E3D1B" w:rsidRPr="00633377">
        <w:t>s</w:t>
      </w:r>
      <w:r w:rsidR="00C85829" w:rsidRPr="00633377">
        <w:rPr>
          <w:rStyle w:val="FootnoteReference"/>
        </w:rPr>
        <w:footnoteReference w:id="8"/>
      </w:r>
      <w:r w:rsidR="00C85829" w:rsidRPr="00633377">
        <w:t>.</w:t>
      </w:r>
      <w:r w:rsidR="009E3D1B" w:rsidRPr="00633377">
        <w:t xml:space="preserve">  This means considering whether there is any less intrusive way that the person’s needs can be met</w:t>
      </w:r>
      <w:r w:rsidR="00835662">
        <w:rPr>
          <w:rStyle w:val="FootnoteReference"/>
        </w:rPr>
        <w:footnoteReference w:id="9"/>
      </w:r>
      <w:r w:rsidR="009E3D1B" w:rsidRPr="00633377">
        <w:t>.</w:t>
      </w:r>
    </w:p>
    <w:p w14:paraId="5E05713D" w14:textId="32503DFC" w:rsidR="007E5DC3" w:rsidRDefault="007E5DC3" w:rsidP="007E5DC3">
      <w:pPr>
        <w:spacing w:line="312" w:lineRule="auto"/>
        <w:rPr>
          <w:b/>
        </w:rPr>
      </w:pPr>
      <w:r>
        <w:rPr>
          <w:b/>
        </w:rPr>
        <w:t>Undue influence</w:t>
      </w:r>
      <w:r w:rsidR="0053481E">
        <w:rPr>
          <w:b/>
        </w:rPr>
        <w:t>/coercion</w:t>
      </w:r>
    </w:p>
    <w:p w14:paraId="11D61B43" w14:textId="77777777" w:rsidR="007E5DC3" w:rsidRDefault="007E5DC3" w:rsidP="007E5DC3">
      <w:pPr>
        <w:spacing w:line="312" w:lineRule="auto"/>
        <w:rPr>
          <w:b/>
        </w:rPr>
      </w:pPr>
    </w:p>
    <w:p w14:paraId="1EDB7CD2" w14:textId="33FDD6F3" w:rsidR="009C1D2C" w:rsidRPr="00695BBF" w:rsidRDefault="009C1D2C" w:rsidP="00D66E91">
      <w:pPr>
        <w:pStyle w:val="ListParagraph"/>
        <w:numPr>
          <w:ilvl w:val="0"/>
          <w:numId w:val="3"/>
        </w:numPr>
        <w:spacing w:line="312" w:lineRule="auto"/>
      </w:pPr>
      <w:proofErr w:type="gramStart"/>
      <w:r>
        <w:t>In order to</w:t>
      </w:r>
      <w:proofErr w:type="gramEnd"/>
      <w:r>
        <w:t xml:space="preserve"> give valid consent for care or treatment </w:t>
      </w:r>
      <w:r w:rsidR="001A1C7F">
        <w:t>the person</w:t>
      </w:r>
      <w:r w:rsidR="008E1744">
        <w:t xml:space="preserve"> </w:t>
      </w:r>
      <w:r>
        <w:t xml:space="preserve">must be able to do so </w:t>
      </w:r>
      <w:r w:rsidR="009A1F0A">
        <w:t>voluntarily</w:t>
      </w:r>
      <w:r w:rsidR="006B28EF">
        <w:t>, without undue pressure being placed upon them by others to decide one way or the other</w:t>
      </w:r>
      <w:r w:rsidR="009A1F0A">
        <w:t>.</w:t>
      </w:r>
    </w:p>
    <w:p w14:paraId="1EE8C7A0" w14:textId="77777777" w:rsidR="009C1D2C" w:rsidRDefault="009C1D2C" w:rsidP="009C1D2C">
      <w:pPr>
        <w:pStyle w:val="ListParagraph"/>
        <w:spacing w:line="312" w:lineRule="auto"/>
      </w:pPr>
    </w:p>
    <w:p w14:paraId="0BB1F227" w14:textId="19EE0C18" w:rsidR="007E5DC3" w:rsidRPr="00E25DDA" w:rsidRDefault="00CF0F2C" w:rsidP="00D66E91">
      <w:pPr>
        <w:pStyle w:val="ListParagraph"/>
        <w:numPr>
          <w:ilvl w:val="0"/>
          <w:numId w:val="3"/>
        </w:numPr>
        <w:spacing w:line="312" w:lineRule="auto"/>
      </w:pPr>
      <w:bookmarkStart w:id="0" w:name="_Hlk97216943"/>
      <w:r w:rsidRPr="00E25DDA">
        <w:t>Practitioners</w:t>
      </w:r>
      <w:bookmarkEnd w:id="0"/>
      <w:r w:rsidR="00653E4C" w:rsidRPr="00E25DDA">
        <w:t xml:space="preserve"> should take care </w:t>
      </w:r>
      <w:r w:rsidR="009A1F0A" w:rsidRPr="00E25DDA">
        <w:t xml:space="preserve">that they themselves do </w:t>
      </w:r>
      <w:r w:rsidR="00653E4C" w:rsidRPr="00E25DDA">
        <w:t xml:space="preserve">not put </w:t>
      </w:r>
      <w:r w:rsidR="001A1C7F" w:rsidRPr="00E25DDA">
        <w:t xml:space="preserve">the </w:t>
      </w:r>
      <w:r w:rsidR="008E1744" w:rsidRPr="00E25DDA">
        <w:t>person under</w:t>
      </w:r>
      <w:r w:rsidR="00653E4C" w:rsidRPr="00E25DDA">
        <w:t xml:space="preserve"> undue pressure</w:t>
      </w:r>
      <w:r w:rsidR="009C1D2C" w:rsidRPr="00E25DDA">
        <w:t xml:space="preserve"> </w:t>
      </w:r>
      <w:r w:rsidR="009A1F0A" w:rsidRPr="00E25DDA">
        <w:t>to accept</w:t>
      </w:r>
      <w:r w:rsidR="009C1D2C" w:rsidRPr="00E25DDA">
        <w:t xml:space="preserve"> care or treatment</w:t>
      </w:r>
      <w:r w:rsidR="00653E4C" w:rsidRPr="00E25DDA">
        <w:t xml:space="preserve">.  </w:t>
      </w:r>
      <w:r w:rsidRPr="00E25DDA">
        <w:t>Practitioners</w:t>
      </w:r>
      <w:r w:rsidR="009C1D2C" w:rsidRPr="00E25DDA">
        <w:t xml:space="preserve"> have a duty to advise </w:t>
      </w:r>
      <w:r w:rsidR="00CC13E7" w:rsidRPr="00E25DDA">
        <w:t xml:space="preserve">the </w:t>
      </w:r>
      <w:r w:rsidR="001A1C7F" w:rsidRPr="00E25DDA">
        <w:t>person</w:t>
      </w:r>
      <w:r w:rsidR="009C1D2C" w:rsidRPr="00E25DDA">
        <w:t xml:space="preserve"> as to the options for the</w:t>
      </w:r>
      <w:r w:rsidR="009A1F0A" w:rsidRPr="00E25DDA">
        <w:t>ir</w:t>
      </w:r>
      <w:r w:rsidR="009C1D2C" w:rsidRPr="00E25DDA">
        <w:t xml:space="preserve"> care or treatment and it is perfectly acceptable to seek to persuade </w:t>
      </w:r>
      <w:r w:rsidR="001A1C7F" w:rsidRPr="00E25DDA">
        <w:t xml:space="preserve">the </w:t>
      </w:r>
      <w:r w:rsidR="008E1744" w:rsidRPr="00E25DDA">
        <w:t>person to</w:t>
      </w:r>
      <w:r w:rsidR="009C1D2C" w:rsidRPr="00E25DDA">
        <w:t xml:space="preserve"> accept care/treatment that may benefit them.  However care must be taken not to put e</w:t>
      </w:r>
      <w:r w:rsidR="00653E4C" w:rsidRPr="00E25DDA">
        <w:t xml:space="preserve">xcessive pressure </w:t>
      </w:r>
      <w:r w:rsidR="009A1F0A" w:rsidRPr="00E25DDA">
        <w:t>on</w:t>
      </w:r>
      <w:r w:rsidR="009C1D2C" w:rsidRPr="00E25DDA">
        <w:t xml:space="preserve"> the person as this </w:t>
      </w:r>
      <w:r w:rsidR="00653E4C" w:rsidRPr="00E25DDA">
        <w:t xml:space="preserve">may invalidate </w:t>
      </w:r>
      <w:r w:rsidR="009C1D2C" w:rsidRPr="00E25DDA">
        <w:t xml:space="preserve">their </w:t>
      </w:r>
      <w:r w:rsidR="00653E4C" w:rsidRPr="00E25DDA">
        <w:t>consent.</w:t>
      </w:r>
    </w:p>
    <w:p w14:paraId="00AEB080" w14:textId="77777777" w:rsidR="009A1F0A" w:rsidRDefault="009A1F0A" w:rsidP="009A1F0A">
      <w:pPr>
        <w:pStyle w:val="ListParagraph"/>
        <w:spacing w:line="312" w:lineRule="auto"/>
        <w:ind w:left="360"/>
      </w:pPr>
    </w:p>
    <w:p w14:paraId="7FD408EC" w14:textId="77777777" w:rsidR="00695BBF" w:rsidRDefault="006B28EF" w:rsidP="00D66E91">
      <w:pPr>
        <w:pStyle w:val="ListParagraph"/>
        <w:numPr>
          <w:ilvl w:val="0"/>
          <w:numId w:val="3"/>
        </w:numPr>
        <w:spacing w:line="312" w:lineRule="auto"/>
      </w:pPr>
      <w:r>
        <w:t xml:space="preserve">Where you are concerned that </w:t>
      </w:r>
      <w:r w:rsidR="001A1C7F">
        <w:t xml:space="preserve">the </w:t>
      </w:r>
      <w:r w:rsidR="00CC13E7">
        <w:t>person may</w:t>
      </w:r>
      <w:r>
        <w:t xml:space="preserve"> be under undue </w:t>
      </w:r>
      <w:r w:rsidR="008346A5">
        <w:t>pressure</w:t>
      </w:r>
      <w:r>
        <w:t xml:space="preserve"> </w:t>
      </w:r>
      <w:r w:rsidR="00695BBF">
        <w:t xml:space="preserve">from a third party </w:t>
      </w:r>
      <w:proofErr w:type="gramStart"/>
      <w:r>
        <w:t>with regard to</w:t>
      </w:r>
      <w:proofErr w:type="gramEnd"/>
      <w:r>
        <w:t xml:space="preserve"> </w:t>
      </w:r>
      <w:r w:rsidR="00695BBF">
        <w:t>a decision about care/treatment, you should:</w:t>
      </w:r>
    </w:p>
    <w:p w14:paraId="04673994" w14:textId="77777777" w:rsidR="00695BBF" w:rsidRDefault="00695BBF" w:rsidP="00695BBF">
      <w:pPr>
        <w:pStyle w:val="ListParagraph"/>
      </w:pPr>
    </w:p>
    <w:p w14:paraId="04D05613" w14:textId="0830A721" w:rsidR="009A1F0A" w:rsidRDefault="00695BBF" w:rsidP="00D66E91">
      <w:pPr>
        <w:pStyle w:val="ListParagraph"/>
        <w:numPr>
          <w:ilvl w:val="1"/>
          <w:numId w:val="3"/>
        </w:numPr>
        <w:spacing w:line="312" w:lineRule="auto"/>
      </w:pPr>
      <w:r>
        <w:t xml:space="preserve">Attempt to see the person away from the third party who may be influencing them, so as to ascertain the person’s own </w:t>
      </w:r>
      <w:proofErr w:type="gramStart"/>
      <w:r>
        <w:t>views;</w:t>
      </w:r>
      <w:proofErr w:type="gramEnd"/>
    </w:p>
    <w:p w14:paraId="4D8845F9" w14:textId="76719E46" w:rsidR="00695BBF" w:rsidRDefault="00695BBF" w:rsidP="00D66E91">
      <w:pPr>
        <w:pStyle w:val="ListParagraph"/>
        <w:numPr>
          <w:ilvl w:val="1"/>
          <w:numId w:val="3"/>
        </w:numPr>
        <w:spacing w:line="312" w:lineRule="auto"/>
      </w:pPr>
      <w:r>
        <w:t xml:space="preserve">Consider advocacy for </w:t>
      </w:r>
      <w:proofErr w:type="gramStart"/>
      <w:r>
        <w:t>them;</w:t>
      </w:r>
      <w:proofErr w:type="gramEnd"/>
    </w:p>
    <w:p w14:paraId="7FD1E5A7" w14:textId="74D91335" w:rsidR="00695BBF" w:rsidRDefault="00695BBF" w:rsidP="00D66E91">
      <w:pPr>
        <w:pStyle w:val="ListParagraph"/>
        <w:numPr>
          <w:ilvl w:val="1"/>
          <w:numId w:val="3"/>
        </w:numPr>
        <w:spacing w:line="312" w:lineRule="auto"/>
      </w:pPr>
      <w:r>
        <w:t>Consider making a safeguarding referral.</w:t>
      </w:r>
    </w:p>
    <w:p w14:paraId="6856A935" w14:textId="77777777" w:rsidR="00695BBF" w:rsidRDefault="00695BBF" w:rsidP="00695BBF">
      <w:pPr>
        <w:pStyle w:val="ListParagraph"/>
        <w:spacing w:line="312" w:lineRule="auto"/>
        <w:ind w:left="1080"/>
        <w:rPr>
          <w:i/>
          <w:highlight w:val="yellow"/>
        </w:rPr>
      </w:pPr>
    </w:p>
    <w:p w14:paraId="45C4EF80" w14:textId="4B6057CF" w:rsidR="00FB0B10" w:rsidRDefault="00695BBF" w:rsidP="00D66E91">
      <w:pPr>
        <w:pStyle w:val="ListParagraph"/>
        <w:numPr>
          <w:ilvl w:val="0"/>
          <w:numId w:val="3"/>
        </w:numPr>
        <w:spacing w:line="312" w:lineRule="auto"/>
      </w:pPr>
      <w:r>
        <w:t xml:space="preserve">In cases of undue influence it may be possible to make an application to the High Court (using its inherent jurisdiction) for orders aimed at securing the person’s welfare.  The Court will generally seek to promote the person’s autonomy by protecting them from the source of the undue influence.  </w:t>
      </w:r>
      <w:r w:rsidR="00CF0F2C" w:rsidRPr="00E25DDA">
        <w:t xml:space="preserve">Practitioners </w:t>
      </w:r>
      <w:r>
        <w:t>who are concerned that a person may be unduly influenced to refuse an offer of care/treatment, even though the person may have capacity, and who feel unable to progress an offer of care for that reason, should</w:t>
      </w:r>
      <w:r w:rsidR="00E25DDA">
        <w:t xml:space="preserve"> escalate the matter to their supervisor for further shared consideration.  Matters such as this may well require consideration of legal advice.</w:t>
      </w:r>
    </w:p>
    <w:p w14:paraId="23475014" w14:textId="77777777" w:rsidR="00E25DDA" w:rsidRDefault="00E25DDA" w:rsidP="00E25DDA">
      <w:pPr>
        <w:pStyle w:val="ListParagraph"/>
        <w:spacing w:line="312" w:lineRule="auto"/>
        <w:ind w:left="360"/>
      </w:pPr>
    </w:p>
    <w:p w14:paraId="7E49CA30" w14:textId="3141BE4E" w:rsidR="00FB0B10" w:rsidRPr="00695BBF" w:rsidRDefault="00D81711" w:rsidP="00D66E91">
      <w:pPr>
        <w:pStyle w:val="ListParagraph"/>
        <w:numPr>
          <w:ilvl w:val="0"/>
          <w:numId w:val="3"/>
        </w:numPr>
        <w:spacing w:line="312" w:lineRule="auto"/>
      </w:pPr>
      <w:r>
        <w:t>P</w:t>
      </w:r>
      <w:r w:rsidR="00FB0B10" w:rsidRPr="00FB0B10">
        <w:t xml:space="preserve">ractitioners are reminded that the high-risk protocol (accessible via </w:t>
      </w:r>
      <w:hyperlink r:id="rId12" w:history="1">
        <w:r w:rsidR="00FB0B10" w:rsidRPr="003C2A94">
          <w:rPr>
            <w:rStyle w:val="Hyperlink"/>
          </w:rPr>
          <w:t>https://www.safernel.co.uk/information-for-practitioners/safeguarding-adults/</w:t>
        </w:r>
      </w:hyperlink>
      <w:r w:rsidR="00FB0B10">
        <w:t>)</w:t>
      </w:r>
      <w:r w:rsidR="00FB0B10" w:rsidRPr="00FB0B10">
        <w:t xml:space="preserve"> should be utilised where a </w:t>
      </w:r>
      <w:proofErr w:type="spellStart"/>
      <w:r w:rsidR="00FB0B10" w:rsidRPr="00FB0B10">
        <w:t>capacitous</w:t>
      </w:r>
      <w:proofErr w:type="spellEnd"/>
      <w:r w:rsidR="00FB0B10" w:rsidRPr="00FB0B10">
        <w:t xml:space="preserve"> </w:t>
      </w:r>
      <w:r w:rsidR="00457BAB" w:rsidRPr="00E25DDA">
        <w:t>person</w:t>
      </w:r>
      <w:r w:rsidR="00FB0B10" w:rsidRPr="00E25DDA">
        <w:t xml:space="preserve">’s </w:t>
      </w:r>
      <w:r w:rsidR="00FB0B10" w:rsidRPr="00FB0B10">
        <w:t xml:space="preserve">situation directs it.  The protocol is applicable to highly complex cases where other mechanisms for risk management may have failed, and in respect of which a) a high-risk panel may reduce the risk of serious harm and/ or b) provide enhanced opportunity for formal consultation with wider professionals.   </w:t>
      </w:r>
    </w:p>
    <w:p w14:paraId="44A36E9A" w14:textId="77777777" w:rsidR="007E5DC3" w:rsidRDefault="007E5DC3" w:rsidP="007E5DC3">
      <w:pPr>
        <w:spacing w:line="312" w:lineRule="auto"/>
        <w:rPr>
          <w:b/>
        </w:rPr>
      </w:pPr>
    </w:p>
    <w:p w14:paraId="781AAEC5" w14:textId="1E7D8AF6" w:rsidR="00175092" w:rsidRPr="00175092" w:rsidRDefault="00175092" w:rsidP="00175092">
      <w:pPr>
        <w:spacing w:line="312" w:lineRule="auto"/>
        <w:rPr>
          <w:b/>
        </w:rPr>
      </w:pPr>
      <w:r>
        <w:rPr>
          <w:b/>
        </w:rPr>
        <w:t xml:space="preserve">Refusals of care by </w:t>
      </w:r>
      <w:r w:rsidR="00242F4A">
        <w:rPr>
          <w:b/>
        </w:rPr>
        <w:t>third parties</w:t>
      </w:r>
    </w:p>
    <w:p w14:paraId="3274EE87" w14:textId="77777777" w:rsidR="00AA2D97" w:rsidRDefault="00AA2D97" w:rsidP="00AA2D97">
      <w:pPr>
        <w:pStyle w:val="ListParagraph"/>
        <w:spacing w:line="312" w:lineRule="auto"/>
        <w:ind w:left="360"/>
      </w:pPr>
    </w:p>
    <w:p w14:paraId="3CA6B9FE" w14:textId="30FEC4AF" w:rsidR="00604E84" w:rsidRPr="00E25DDA" w:rsidRDefault="00604E84" w:rsidP="00D66E91">
      <w:pPr>
        <w:pStyle w:val="ListParagraph"/>
        <w:numPr>
          <w:ilvl w:val="0"/>
          <w:numId w:val="3"/>
        </w:numPr>
        <w:spacing w:line="312" w:lineRule="auto"/>
      </w:pPr>
      <w:r w:rsidRPr="00E25DDA">
        <w:t>In some cases a third party (often a family m</w:t>
      </w:r>
      <w:r w:rsidR="00BF5EF2" w:rsidRPr="00E25DDA">
        <w:t>ember or someone else close to the person</w:t>
      </w:r>
      <w:r w:rsidRPr="00E25DDA">
        <w:t xml:space="preserve">) may seek to refuse care or treatment for </w:t>
      </w:r>
      <w:r w:rsidR="00BF5EF2" w:rsidRPr="00E25DDA">
        <w:t>the person on the person</w:t>
      </w:r>
      <w:r w:rsidRPr="00E25DDA">
        <w:t xml:space="preserve">’s behalf.  </w:t>
      </w:r>
      <w:r w:rsidR="00CF0F2C" w:rsidRPr="00E25DDA">
        <w:t xml:space="preserve">Practitioners </w:t>
      </w:r>
      <w:r w:rsidRPr="00E25DDA">
        <w:t xml:space="preserve">will need to determine how to proceed </w:t>
      </w:r>
      <w:proofErr w:type="gramStart"/>
      <w:r w:rsidRPr="00E25DDA">
        <w:t>in light of</w:t>
      </w:r>
      <w:proofErr w:type="gramEnd"/>
      <w:r w:rsidRPr="00E25DDA">
        <w:t xml:space="preserve"> the third party’s objection.</w:t>
      </w:r>
    </w:p>
    <w:p w14:paraId="34367C74" w14:textId="77777777" w:rsidR="00604E84" w:rsidRDefault="00604E84" w:rsidP="00604E84">
      <w:pPr>
        <w:pStyle w:val="ListParagraph"/>
        <w:spacing w:line="312" w:lineRule="auto"/>
        <w:ind w:left="360"/>
      </w:pPr>
    </w:p>
    <w:p w14:paraId="35AE01DF" w14:textId="3FD20D03" w:rsidR="00604E84" w:rsidRDefault="00604E84" w:rsidP="00D66E91">
      <w:pPr>
        <w:pStyle w:val="ListParagraph"/>
        <w:numPr>
          <w:ilvl w:val="0"/>
          <w:numId w:val="3"/>
        </w:numPr>
        <w:spacing w:line="312" w:lineRule="auto"/>
      </w:pPr>
      <w:r>
        <w:t xml:space="preserve">A </w:t>
      </w:r>
      <w:r w:rsidR="000F553C">
        <w:t xml:space="preserve">third party </w:t>
      </w:r>
      <w:r w:rsidR="00CC13E7">
        <w:t>will</w:t>
      </w:r>
      <w:r w:rsidR="000F553C">
        <w:t xml:space="preserve"> have the legal auth</w:t>
      </w:r>
      <w:r w:rsidR="00BF5EF2">
        <w:t>ority to take this decision on the person</w:t>
      </w:r>
      <w:r w:rsidR="000F553C">
        <w:t xml:space="preserve">’s behalf </w:t>
      </w:r>
      <w:r w:rsidR="00BF5EF2">
        <w:t>if they are</w:t>
      </w:r>
      <w:r w:rsidR="000F553C">
        <w:t xml:space="preserve"> either:</w:t>
      </w:r>
    </w:p>
    <w:p w14:paraId="5358457C" w14:textId="77777777" w:rsidR="000F553C" w:rsidRDefault="000F553C" w:rsidP="000F553C">
      <w:pPr>
        <w:pStyle w:val="ListParagraph"/>
      </w:pPr>
    </w:p>
    <w:p w14:paraId="794B285C" w14:textId="69B59815" w:rsidR="000F553C" w:rsidRDefault="000F553C" w:rsidP="00D66E91">
      <w:pPr>
        <w:pStyle w:val="ListParagraph"/>
        <w:numPr>
          <w:ilvl w:val="1"/>
          <w:numId w:val="3"/>
        </w:numPr>
        <w:spacing w:line="312" w:lineRule="auto"/>
      </w:pPr>
      <w:r>
        <w:t xml:space="preserve">An attorney </w:t>
      </w:r>
      <w:r w:rsidR="00BF5EF2">
        <w:t>appointed by the person</w:t>
      </w:r>
      <w:r w:rsidR="00012E2A">
        <w:t xml:space="preserve"> by way of a Lasting Power of Attorney (LPA) to take a </w:t>
      </w:r>
      <w:r w:rsidR="00E40DA5">
        <w:t xml:space="preserve">personal welfare </w:t>
      </w:r>
      <w:r w:rsidR="00012E2A">
        <w:t>decision such as this</w:t>
      </w:r>
      <w:r w:rsidR="00BF5EF2">
        <w:t xml:space="preserve"> </w:t>
      </w:r>
      <w:r w:rsidR="00E25DDA">
        <w:t xml:space="preserve">when the person lacks </w:t>
      </w:r>
      <w:proofErr w:type="gramStart"/>
      <w:r w:rsidR="00E25DDA">
        <w:t>capacity</w:t>
      </w:r>
      <w:r w:rsidR="00012E2A">
        <w:t>;</w:t>
      </w:r>
      <w:proofErr w:type="gramEnd"/>
      <w:r w:rsidR="00BF5EF2">
        <w:t xml:space="preserve"> </w:t>
      </w:r>
    </w:p>
    <w:p w14:paraId="1CA425E2" w14:textId="52EF1C5C" w:rsidR="00012E2A" w:rsidRDefault="00012E2A" w:rsidP="00D66E91">
      <w:pPr>
        <w:pStyle w:val="ListParagraph"/>
        <w:numPr>
          <w:ilvl w:val="1"/>
          <w:numId w:val="3"/>
        </w:numPr>
        <w:spacing w:line="312" w:lineRule="auto"/>
      </w:pPr>
      <w:r>
        <w:t>A deputy appointed by the Court of Protection to t</w:t>
      </w:r>
      <w:r w:rsidR="00BF5EF2">
        <w:t>ake this decision on behalf of the person when they lack capacity</w:t>
      </w:r>
      <w:r>
        <w:t>.</w:t>
      </w:r>
    </w:p>
    <w:p w14:paraId="113FED1C" w14:textId="4E26E3A1" w:rsidR="00012E2A" w:rsidRDefault="00012E2A" w:rsidP="00012E2A">
      <w:pPr>
        <w:spacing w:line="312" w:lineRule="auto"/>
        <w:ind w:firstLine="360"/>
      </w:pPr>
    </w:p>
    <w:p w14:paraId="4909B42C" w14:textId="0233A7BF" w:rsidR="00E40DA5" w:rsidRDefault="00E40DA5" w:rsidP="00D66E91">
      <w:pPr>
        <w:pStyle w:val="ListParagraph"/>
        <w:numPr>
          <w:ilvl w:val="0"/>
          <w:numId w:val="3"/>
        </w:numPr>
        <w:spacing w:line="312" w:lineRule="auto"/>
      </w:pPr>
      <w:r>
        <w:t xml:space="preserve">A personal welfare attorney or deputy will only have power to take the decision if the person lacks </w:t>
      </w:r>
      <w:r>
        <w:lastRenderedPageBreak/>
        <w:t>capacity to take it themselves.</w:t>
      </w:r>
    </w:p>
    <w:p w14:paraId="20378BD7" w14:textId="77777777" w:rsidR="00E40DA5" w:rsidRDefault="00E40DA5" w:rsidP="00012E2A">
      <w:pPr>
        <w:spacing w:line="312" w:lineRule="auto"/>
        <w:ind w:left="360"/>
      </w:pPr>
    </w:p>
    <w:p w14:paraId="44F77CDE" w14:textId="4FE094FA" w:rsidR="00012E2A" w:rsidRPr="00181663" w:rsidRDefault="00E40DA5" w:rsidP="00D66E91">
      <w:pPr>
        <w:pStyle w:val="ListParagraph"/>
        <w:numPr>
          <w:ilvl w:val="0"/>
          <w:numId w:val="3"/>
        </w:numPr>
        <w:spacing w:line="312" w:lineRule="auto"/>
      </w:pPr>
      <w:r w:rsidRPr="00181663">
        <w:t xml:space="preserve">Where a </w:t>
      </w:r>
      <w:proofErr w:type="gramStart"/>
      <w:r w:rsidRPr="00181663">
        <w:t>third party</w:t>
      </w:r>
      <w:proofErr w:type="gramEnd"/>
      <w:r w:rsidRPr="00181663">
        <w:t xml:space="preserve"> claims to have power to make the decision, </w:t>
      </w:r>
      <w:r w:rsidR="00012E2A" w:rsidRPr="00181663">
        <w:t>the document granting the third party their authority (</w:t>
      </w:r>
      <w:r w:rsidR="00B96B0B" w:rsidRPr="00181663">
        <w:t xml:space="preserve">registered </w:t>
      </w:r>
      <w:r w:rsidR="00012E2A" w:rsidRPr="00181663">
        <w:t>LPA or Court order</w:t>
      </w:r>
      <w:r w:rsidR="00BF5EF2" w:rsidRPr="00181663">
        <w:t xml:space="preserve"> appointing </w:t>
      </w:r>
      <w:r w:rsidR="00B96B0B" w:rsidRPr="00181663">
        <w:t xml:space="preserve">them </w:t>
      </w:r>
      <w:r w:rsidR="00BF5EF2" w:rsidRPr="00181663">
        <w:t>a</w:t>
      </w:r>
      <w:r w:rsidR="00B96B0B" w:rsidRPr="00181663">
        <w:t>s</w:t>
      </w:r>
      <w:r w:rsidR="00BF5EF2" w:rsidRPr="00181663">
        <w:t xml:space="preserve"> deputy</w:t>
      </w:r>
      <w:r w:rsidR="00012E2A" w:rsidRPr="00181663">
        <w:t>) must be seen and the third party’s authority verified</w:t>
      </w:r>
      <w:r w:rsidR="001C647A" w:rsidRPr="00181663">
        <w:rPr>
          <w:rStyle w:val="FootnoteReference"/>
        </w:rPr>
        <w:footnoteReference w:id="10"/>
      </w:r>
      <w:r w:rsidR="00B96B0B" w:rsidRPr="00181663">
        <w:t xml:space="preserve">.  </w:t>
      </w:r>
      <w:r w:rsidRPr="00181663">
        <w:t>Unless the third party’s power</w:t>
      </w:r>
      <w:r w:rsidR="00BF5EF2" w:rsidRPr="00181663">
        <w:t xml:space="preserve"> to take the decision</w:t>
      </w:r>
      <w:r w:rsidRPr="00181663">
        <w:t xml:space="preserve"> can be verified, their </w:t>
      </w:r>
      <w:r w:rsidR="00BF5EF2" w:rsidRPr="00181663">
        <w:t>decision</w:t>
      </w:r>
      <w:r w:rsidRPr="00181663">
        <w:t xml:space="preserve"> </w:t>
      </w:r>
      <w:r w:rsidR="00BF5EF2" w:rsidRPr="00181663">
        <w:t>can</w:t>
      </w:r>
      <w:r w:rsidRPr="00181663">
        <w:t>not be taken as binding</w:t>
      </w:r>
      <w:r w:rsidR="00A205AF" w:rsidRPr="00181663">
        <w:t xml:space="preserve"> and the responsibility for taking the best </w:t>
      </w:r>
      <w:proofErr w:type="gramStart"/>
      <w:r w:rsidR="00A205AF" w:rsidRPr="00181663">
        <w:t>interests</w:t>
      </w:r>
      <w:proofErr w:type="gramEnd"/>
      <w:r w:rsidR="00A205AF" w:rsidRPr="00181663">
        <w:t xml:space="preserve"> decision will remain with the</w:t>
      </w:r>
      <w:r w:rsidR="00CF0F2C" w:rsidRPr="00181663">
        <w:t xml:space="preserve"> practitioners</w:t>
      </w:r>
      <w:r w:rsidR="00A205AF" w:rsidRPr="00181663">
        <w:t>(s) proposing the care/treatment</w:t>
      </w:r>
      <w:r w:rsidRPr="00181663">
        <w:t xml:space="preserve">.  </w:t>
      </w:r>
    </w:p>
    <w:p w14:paraId="7BCB8584" w14:textId="3E894322" w:rsidR="00604E84" w:rsidRDefault="00604E84" w:rsidP="00604E84">
      <w:pPr>
        <w:pStyle w:val="ListParagraph"/>
        <w:spacing w:line="312" w:lineRule="auto"/>
        <w:ind w:left="360"/>
      </w:pPr>
    </w:p>
    <w:p w14:paraId="20CF3C19" w14:textId="4D2F5DE1" w:rsidR="00012E2A" w:rsidRPr="00181663" w:rsidRDefault="00012E2A" w:rsidP="00D66E91">
      <w:pPr>
        <w:pStyle w:val="ListParagraph"/>
        <w:numPr>
          <w:ilvl w:val="0"/>
          <w:numId w:val="3"/>
        </w:numPr>
        <w:spacing w:line="312" w:lineRule="auto"/>
      </w:pPr>
      <w:r w:rsidRPr="00181663">
        <w:t>A third party who has not been granted the necessary authority as either attorney or deputy</w:t>
      </w:r>
      <w:r w:rsidR="00BF5EF2" w:rsidRPr="00181663">
        <w:t>, or whose power cannot be verified,</w:t>
      </w:r>
      <w:r w:rsidRPr="00181663">
        <w:t xml:space="preserve"> cannot take the decision on </w:t>
      </w:r>
      <w:r w:rsidR="00457BAB" w:rsidRPr="00181663">
        <w:t>the person</w:t>
      </w:r>
      <w:r w:rsidRPr="00181663">
        <w:t xml:space="preserve">’s behalf.  </w:t>
      </w:r>
      <w:proofErr w:type="gramStart"/>
      <w:r w:rsidRPr="00181663">
        <w:t>However</w:t>
      </w:r>
      <w:proofErr w:type="gramEnd"/>
      <w:r w:rsidRPr="00181663">
        <w:t xml:space="preserve"> if </w:t>
      </w:r>
      <w:r w:rsidR="00457BAB" w:rsidRPr="00181663">
        <w:t>the person</w:t>
      </w:r>
      <w:r w:rsidRPr="00181663">
        <w:t xml:space="preserve"> lacks capacity </w:t>
      </w:r>
      <w:r w:rsidR="00032AC3" w:rsidRPr="00181663">
        <w:t>you should</w:t>
      </w:r>
      <w:r w:rsidRPr="00181663">
        <w:t xml:space="preserve"> </w:t>
      </w:r>
      <w:r w:rsidR="008E65A9" w:rsidRPr="00181663">
        <w:t>still</w:t>
      </w:r>
      <w:r w:rsidR="00032AC3" w:rsidRPr="00181663">
        <w:rPr>
          <w:rStyle w:val="FootnoteReference"/>
        </w:rPr>
        <w:footnoteReference w:id="11"/>
      </w:r>
      <w:r w:rsidR="00032AC3" w:rsidRPr="00181663">
        <w:t xml:space="preserve"> </w:t>
      </w:r>
      <w:r w:rsidRPr="00181663">
        <w:t>consult with the third party with regard to</w:t>
      </w:r>
      <w:r w:rsidR="00032AC3" w:rsidRPr="00181663">
        <w:t xml:space="preserve"> what would be in</w:t>
      </w:r>
      <w:r w:rsidRPr="00181663">
        <w:t xml:space="preserve"> </w:t>
      </w:r>
      <w:r w:rsidR="00B77E41">
        <w:t>the person</w:t>
      </w:r>
      <w:r w:rsidRPr="00181663">
        <w:t xml:space="preserve">’s best interests.  </w:t>
      </w:r>
    </w:p>
    <w:p w14:paraId="6857369E" w14:textId="77777777" w:rsidR="00012E2A" w:rsidRDefault="00012E2A" w:rsidP="00012E2A">
      <w:pPr>
        <w:pStyle w:val="ListParagraph"/>
        <w:spacing w:line="312" w:lineRule="auto"/>
        <w:ind w:left="360"/>
      </w:pPr>
    </w:p>
    <w:p w14:paraId="298FF847" w14:textId="77777777" w:rsidR="00F40873" w:rsidRPr="00193C0B" w:rsidRDefault="00012E2A" w:rsidP="00D66E91">
      <w:pPr>
        <w:pStyle w:val="ListParagraph"/>
        <w:numPr>
          <w:ilvl w:val="0"/>
          <w:numId w:val="3"/>
        </w:numPr>
        <w:spacing w:line="312" w:lineRule="auto"/>
      </w:pPr>
      <w:r>
        <w:t xml:space="preserve">If there is concern that a validly appointed LPA or deputy is not acting in </w:t>
      </w:r>
      <w:r w:rsidR="00E40DA5">
        <w:t xml:space="preserve">the person’s </w:t>
      </w:r>
      <w:r>
        <w:t xml:space="preserve">best interests, </w:t>
      </w:r>
      <w:r w:rsidR="00181663">
        <w:t>e</w:t>
      </w:r>
      <w:r w:rsidR="00181663" w:rsidRPr="00181663">
        <w:t>scalate</w:t>
      </w:r>
      <w:r w:rsidR="00181663">
        <w:t xml:space="preserve"> the matter to your supervisor </w:t>
      </w:r>
      <w:r w:rsidR="00181663" w:rsidRPr="00181663">
        <w:t>for further shared consideration.  Sensitive discussions with the appointed LPA or deputy designed to understand why th</w:t>
      </w:r>
      <w:r w:rsidR="00181663">
        <w:t xml:space="preserve">ey think a course of </w:t>
      </w:r>
      <w:r w:rsidR="00181663" w:rsidRPr="00193C0B">
        <w:t>action is/is not in the person's best interests will be essential.</w:t>
      </w:r>
      <w:r w:rsidR="00F40873" w:rsidRPr="00193C0B">
        <w:t xml:space="preserve">  </w:t>
      </w:r>
    </w:p>
    <w:p w14:paraId="1334952F" w14:textId="77777777" w:rsidR="00F40873" w:rsidRPr="00193C0B" w:rsidRDefault="00F40873" w:rsidP="00F40873">
      <w:pPr>
        <w:pStyle w:val="ListParagraph"/>
      </w:pPr>
    </w:p>
    <w:p w14:paraId="61EA16B4" w14:textId="72480230" w:rsidR="00F40873" w:rsidRPr="00193C0B" w:rsidRDefault="00F40873" w:rsidP="00D66E91">
      <w:pPr>
        <w:pStyle w:val="ListParagraph"/>
        <w:numPr>
          <w:ilvl w:val="0"/>
          <w:numId w:val="3"/>
        </w:numPr>
        <w:spacing w:line="312" w:lineRule="auto"/>
      </w:pPr>
      <w:r w:rsidRPr="00193C0B">
        <w:t>Practitioners managing a best interests dispute may wish to consider</w:t>
      </w:r>
      <w:r w:rsidR="00F203DB">
        <w:t>:</w:t>
      </w:r>
    </w:p>
    <w:p w14:paraId="6C75D2A7" w14:textId="77777777" w:rsidR="00F40873" w:rsidRPr="00193C0B" w:rsidRDefault="00F40873" w:rsidP="00F40873">
      <w:pPr>
        <w:pStyle w:val="ListParagraph"/>
      </w:pPr>
    </w:p>
    <w:p w14:paraId="0D2CEC55" w14:textId="6E2BA807" w:rsidR="00F40873" w:rsidRPr="00193C0B" w:rsidRDefault="00F40873" w:rsidP="00D66E91">
      <w:pPr>
        <w:pStyle w:val="ListParagraph"/>
        <w:numPr>
          <w:ilvl w:val="0"/>
          <w:numId w:val="5"/>
        </w:numPr>
        <w:spacing w:line="312" w:lineRule="auto"/>
      </w:pPr>
      <w:r w:rsidRPr="00193C0B">
        <w:t xml:space="preserve">Involving an advocate to act on behalf of the </w:t>
      </w:r>
      <w:proofErr w:type="gramStart"/>
      <w:r w:rsidRPr="00193C0B">
        <w:t>person</w:t>
      </w:r>
      <w:r w:rsidR="00193C0B" w:rsidRPr="00193C0B">
        <w:t>;</w:t>
      </w:r>
      <w:proofErr w:type="gramEnd"/>
      <w:r w:rsidRPr="00193C0B">
        <w:t xml:space="preserve"> </w:t>
      </w:r>
    </w:p>
    <w:p w14:paraId="77293A2F" w14:textId="751A1E95" w:rsidR="00F40873" w:rsidRPr="00193C0B" w:rsidRDefault="00F40873" w:rsidP="00D66E91">
      <w:pPr>
        <w:pStyle w:val="ListParagraph"/>
        <w:numPr>
          <w:ilvl w:val="0"/>
          <w:numId w:val="5"/>
        </w:numPr>
        <w:spacing w:line="312" w:lineRule="auto"/>
      </w:pPr>
      <w:r w:rsidRPr="00193C0B">
        <w:t xml:space="preserve">Securing a second opinion or some form of independent </w:t>
      </w:r>
      <w:proofErr w:type="gramStart"/>
      <w:r w:rsidRPr="00193C0B">
        <w:t>input</w:t>
      </w:r>
      <w:r w:rsidR="00193C0B" w:rsidRPr="00193C0B">
        <w:t>;</w:t>
      </w:r>
      <w:proofErr w:type="gramEnd"/>
      <w:r w:rsidRPr="00193C0B">
        <w:t xml:space="preserve"> </w:t>
      </w:r>
    </w:p>
    <w:p w14:paraId="7DB7E27F" w14:textId="17BC200A" w:rsidR="00F40873" w:rsidRPr="00193C0B" w:rsidRDefault="00F40873" w:rsidP="00D66E91">
      <w:pPr>
        <w:pStyle w:val="ListParagraph"/>
        <w:numPr>
          <w:ilvl w:val="0"/>
          <w:numId w:val="5"/>
        </w:numPr>
        <w:spacing w:line="312" w:lineRule="auto"/>
      </w:pPr>
      <w:r w:rsidRPr="00193C0B">
        <w:t xml:space="preserve">Holding a formal or informal ‘best interests’ discussion or case </w:t>
      </w:r>
      <w:proofErr w:type="gramStart"/>
      <w:r w:rsidRPr="00193C0B">
        <w:t>conference</w:t>
      </w:r>
      <w:r w:rsidR="00193C0B" w:rsidRPr="00193C0B">
        <w:t>;</w:t>
      </w:r>
      <w:proofErr w:type="gramEnd"/>
    </w:p>
    <w:p w14:paraId="245EADDA" w14:textId="1F82187D" w:rsidR="00F40873" w:rsidRPr="00193C0B" w:rsidRDefault="00F40873" w:rsidP="00D66E91">
      <w:pPr>
        <w:pStyle w:val="ListParagraph"/>
        <w:numPr>
          <w:ilvl w:val="0"/>
          <w:numId w:val="5"/>
        </w:numPr>
        <w:spacing w:line="312" w:lineRule="auto"/>
      </w:pPr>
      <w:r w:rsidRPr="00193C0B">
        <w:t>Attempting some form of mediation.</w:t>
      </w:r>
    </w:p>
    <w:p w14:paraId="5C332ABF" w14:textId="77777777" w:rsidR="00F40873" w:rsidRPr="00193C0B" w:rsidRDefault="00F40873" w:rsidP="00F40873">
      <w:pPr>
        <w:spacing w:line="312" w:lineRule="auto"/>
        <w:ind w:left="360"/>
      </w:pPr>
    </w:p>
    <w:p w14:paraId="36F5B2E9" w14:textId="1B0675FA" w:rsidR="00F40873" w:rsidRPr="00193C0B" w:rsidRDefault="00F40873" w:rsidP="00F40873">
      <w:pPr>
        <w:spacing w:line="312" w:lineRule="auto"/>
        <w:ind w:left="360"/>
      </w:pPr>
      <w:r w:rsidRPr="00193C0B">
        <w:t>What is appropriate may depend on the situation, for example whether the situation requires urgent resolution</w:t>
      </w:r>
      <w:r w:rsidRPr="00193C0B">
        <w:rPr>
          <w:rStyle w:val="FootnoteReference"/>
        </w:rPr>
        <w:footnoteReference w:id="12"/>
      </w:r>
      <w:r w:rsidRPr="00193C0B">
        <w:t>.</w:t>
      </w:r>
    </w:p>
    <w:p w14:paraId="6EBF2B86" w14:textId="77777777" w:rsidR="00F40873" w:rsidRDefault="00F40873" w:rsidP="00F40873">
      <w:pPr>
        <w:spacing w:line="312" w:lineRule="auto"/>
        <w:ind w:left="360"/>
      </w:pPr>
    </w:p>
    <w:p w14:paraId="06A23B69" w14:textId="24146DF9" w:rsidR="00012E2A" w:rsidRDefault="00181663" w:rsidP="00D66E91">
      <w:pPr>
        <w:pStyle w:val="ListParagraph"/>
        <w:numPr>
          <w:ilvl w:val="0"/>
          <w:numId w:val="3"/>
        </w:numPr>
        <w:spacing w:line="312" w:lineRule="auto"/>
      </w:pPr>
      <w:r w:rsidRPr="00181663">
        <w:t xml:space="preserve">An unresolved best </w:t>
      </w:r>
      <w:proofErr w:type="gramStart"/>
      <w:r w:rsidRPr="00181663">
        <w:t>interests</w:t>
      </w:r>
      <w:proofErr w:type="gramEnd"/>
      <w:r w:rsidRPr="00181663">
        <w:t xml:space="preserve"> disputes will require consideration of legal advice.</w:t>
      </w:r>
      <w:r w:rsidR="00012E2A">
        <w:t xml:space="preserve">  </w:t>
      </w:r>
      <w:r w:rsidR="009D3459">
        <w:t xml:space="preserve"> Where there is a dispute between </w:t>
      </w:r>
      <w:r w:rsidR="00CF0F2C" w:rsidRPr="00181663">
        <w:t>practitioners</w:t>
      </w:r>
      <w:r w:rsidR="009D3459" w:rsidRPr="00181663">
        <w:t xml:space="preserve"> </w:t>
      </w:r>
      <w:r w:rsidR="009D3459">
        <w:t>and an LPA or deputy</w:t>
      </w:r>
      <w:r w:rsidR="00E40DA5">
        <w:t xml:space="preserve"> the Court of Protection </w:t>
      </w:r>
      <w:r w:rsidR="00CC13E7">
        <w:t>should</w:t>
      </w:r>
      <w:r w:rsidR="00E40DA5">
        <w:t xml:space="preserve"> be asked to decide what would be in the person’s best interests.</w:t>
      </w:r>
      <w:r>
        <w:t xml:space="preserve">  It may also be necessary to consider referring the LPA</w:t>
      </w:r>
      <w:r w:rsidR="00E12DEA">
        <w:t xml:space="preserve"> or deputy</w:t>
      </w:r>
      <w:r>
        <w:t>’s conduct to the Office of the Public Guardian</w:t>
      </w:r>
      <w:r w:rsidR="00E12DEA">
        <w:rPr>
          <w:rStyle w:val="FootnoteReference"/>
        </w:rPr>
        <w:footnoteReference w:id="13"/>
      </w:r>
      <w:r>
        <w:t>.</w:t>
      </w:r>
    </w:p>
    <w:p w14:paraId="6DA44086" w14:textId="77777777" w:rsidR="00E670AC" w:rsidRDefault="00E670AC" w:rsidP="00E670AC">
      <w:pPr>
        <w:pStyle w:val="ListParagraph"/>
      </w:pPr>
    </w:p>
    <w:p w14:paraId="7A71750C" w14:textId="22B3112C" w:rsidR="00E670AC" w:rsidRDefault="00E40DA5" w:rsidP="00D66E91">
      <w:pPr>
        <w:pStyle w:val="ListParagraph"/>
        <w:numPr>
          <w:ilvl w:val="0"/>
          <w:numId w:val="3"/>
        </w:numPr>
        <w:spacing w:line="312" w:lineRule="auto"/>
      </w:pPr>
      <w:r>
        <w:t>If the person has</w:t>
      </w:r>
      <w:r w:rsidR="00E670AC">
        <w:t xml:space="preserve"> capacity, a third party will not be able to take care/treatment decisions on their behalf and </w:t>
      </w:r>
      <w:r w:rsidR="00B77E41">
        <w:t>the person</w:t>
      </w:r>
      <w:r w:rsidR="00E670AC">
        <w:t xml:space="preserve">’s own wishes </w:t>
      </w:r>
      <w:proofErr w:type="gramStart"/>
      <w:r w:rsidR="00E670AC">
        <w:t>with regard to</w:t>
      </w:r>
      <w:proofErr w:type="gramEnd"/>
      <w:r w:rsidR="00E670AC">
        <w:t xml:space="preserve"> care/treatment should be ascertained.</w:t>
      </w:r>
    </w:p>
    <w:p w14:paraId="2BFFA345" w14:textId="77777777" w:rsidR="000E796C" w:rsidRDefault="000E796C" w:rsidP="000E796C">
      <w:pPr>
        <w:spacing w:line="312" w:lineRule="auto"/>
      </w:pPr>
    </w:p>
    <w:p w14:paraId="087D75D6" w14:textId="77777777" w:rsidR="009D3459" w:rsidRDefault="009D3459" w:rsidP="000E796C">
      <w:pPr>
        <w:spacing w:line="312" w:lineRule="auto"/>
        <w:rPr>
          <w:b/>
        </w:rPr>
      </w:pPr>
      <w:r>
        <w:rPr>
          <w:b/>
        </w:rPr>
        <w:t xml:space="preserve">Advance decisions to refuse medical </w:t>
      </w:r>
      <w:r w:rsidRPr="009D3459">
        <w:rPr>
          <w:b/>
        </w:rPr>
        <w:t>treatment</w:t>
      </w:r>
    </w:p>
    <w:p w14:paraId="32E36D3F" w14:textId="77777777" w:rsidR="009D3459" w:rsidRDefault="009D3459" w:rsidP="000E796C">
      <w:pPr>
        <w:spacing w:line="312" w:lineRule="auto"/>
      </w:pPr>
    </w:p>
    <w:p w14:paraId="73AB68EF" w14:textId="5EE5CC2F" w:rsidR="00934E67" w:rsidRDefault="00E06650" w:rsidP="00D66E91">
      <w:pPr>
        <w:pStyle w:val="ListParagraph"/>
        <w:numPr>
          <w:ilvl w:val="0"/>
          <w:numId w:val="3"/>
        </w:numPr>
        <w:spacing w:line="312" w:lineRule="auto"/>
      </w:pPr>
      <w:r w:rsidRPr="00181663">
        <w:t>A</w:t>
      </w:r>
      <w:r w:rsidR="008E65A9" w:rsidRPr="00181663">
        <w:t>n adult with</w:t>
      </w:r>
      <w:r w:rsidRPr="00181663">
        <w:t xml:space="preserve"> mental capacity may make an advance decision to refuse specified medical treatment for a time in future when they may lack capacity to take the decision for themselves.</w:t>
      </w:r>
      <w:r w:rsidR="00792F1D" w:rsidRPr="00181663">
        <w:t xml:space="preserve">   An advance decision will be binding on </w:t>
      </w:r>
      <w:r w:rsidR="008E65A9" w:rsidRPr="00181663">
        <w:t>practitioners</w:t>
      </w:r>
      <w:r w:rsidR="00792F1D" w:rsidRPr="00181663">
        <w:t xml:space="preserve"> where it is both </w:t>
      </w:r>
      <w:r w:rsidR="00792F1D" w:rsidRPr="00181663">
        <w:rPr>
          <w:u w:val="single"/>
        </w:rPr>
        <w:t>valid</w:t>
      </w:r>
      <w:r w:rsidR="00792F1D" w:rsidRPr="00181663">
        <w:t xml:space="preserve"> and </w:t>
      </w:r>
      <w:r w:rsidR="00792F1D" w:rsidRPr="00181663">
        <w:rPr>
          <w:u w:val="single"/>
        </w:rPr>
        <w:t>applicable</w:t>
      </w:r>
      <w:r w:rsidR="00792F1D" w:rsidRPr="00181663">
        <w:t>.  In broad terms</w:t>
      </w:r>
      <w:r w:rsidR="00792F1D" w:rsidRPr="00181663">
        <w:rPr>
          <w:rStyle w:val="FootnoteReference"/>
        </w:rPr>
        <w:footnoteReference w:id="14"/>
      </w:r>
      <w:r w:rsidR="00792F1D" w:rsidRPr="00181663">
        <w:t xml:space="preserve"> it will </w:t>
      </w:r>
      <w:r w:rsidR="00792F1D" w:rsidRPr="00181663">
        <w:lastRenderedPageBreak/>
        <w:t xml:space="preserve">be valid where the person has not subsequently withdrawn it or done anything else clearly inconsistent with the advance decision remaining their fixed decision.  </w:t>
      </w:r>
      <w:r w:rsidR="00940BC9" w:rsidRPr="00181663">
        <w:t>It will be applicable where</w:t>
      </w:r>
      <w:r w:rsidR="00181663">
        <w:t>:</w:t>
      </w:r>
    </w:p>
    <w:p w14:paraId="52E6A499" w14:textId="77777777" w:rsidR="009135D8" w:rsidRPr="00181663" w:rsidRDefault="009135D8" w:rsidP="009135D8">
      <w:pPr>
        <w:pStyle w:val="ListParagraph"/>
        <w:spacing w:line="312" w:lineRule="auto"/>
        <w:ind w:left="360"/>
      </w:pPr>
    </w:p>
    <w:p w14:paraId="01F7A00B" w14:textId="49F21B98" w:rsidR="00934E67" w:rsidRDefault="00940BC9" w:rsidP="00D66E91">
      <w:pPr>
        <w:pStyle w:val="ListParagraph"/>
        <w:numPr>
          <w:ilvl w:val="0"/>
          <w:numId w:val="4"/>
        </w:numPr>
        <w:spacing w:line="312" w:lineRule="auto"/>
      </w:pPr>
      <w:r>
        <w:t xml:space="preserve">it relates specifically to the treatment now proposed for the </w:t>
      </w:r>
      <w:proofErr w:type="gramStart"/>
      <w:r>
        <w:t>person</w:t>
      </w:r>
      <w:r w:rsidR="009135D8">
        <w:t>;</w:t>
      </w:r>
      <w:proofErr w:type="gramEnd"/>
    </w:p>
    <w:p w14:paraId="44C0BBF6" w14:textId="1D1BC15E" w:rsidR="00894E7E" w:rsidRDefault="00940BC9" w:rsidP="00D66E91">
      <w:pPr>
        <w:pStyle w:val="ListParagraph"/>
        <w:numPr>
          <w:ilvl w:val="0"/>
          <w:numId w:val="4"/>
        </w:numPr>
        <w:spacing w:line="312" w:lineRule="auto"/>
      </w:pPr>
      <w:r>
        <w:t>any circumstances specified in the advance decision are also present</w:t>
      </w:r>
      <w:r w:rsidR="00894E7E">
        <w:t xml:space="preserve"> and</w:t>
      </w:r>
    </w:p>
    <w:p w14:paraId="69C446DA" w14:textId="36211A17" w:rsidR="00792F1D" w:rsidRDefault="00940BC9" w:rsidP="00D66E91">
      <w:pPr>
        <w:pStyle w:val="ListParagraph"/>
        <w:numPr>
          <w:ilvl w:val="0"/>
          <w:numId w:val="4"/>
        </w:numPr>
        <w:spacing w:line="312" w:lineRule="auto"/>
      </w:pPr>
      <w:r>
        <w:t>there is no reason to believe that circumstances exist which the person</w:t>
      </w:r>
      <w:r w:rsidRPr="00940BC9">
        <w:t xml:space="preserve"> did not anticipate at the time of </w:t>
      </w:r>
      <w:r>
        <w:t xml:space="preserve">making </w:t>
      </w:r>
      <w:r w:rsidRPr="00940BC9">
        <w:t xml:space="preserve">the advance decision and which would have affected </w:t>
      </w:r>
      <w:r>
        <w:t>their</w:t>
      </w:r>
      <w:r w:rsidRPr="00940BC9">
        <w:t xml:space="preserve"> decision had </w:t>
      </w:r>
      <w:r>
        <w:t>they</w:t>
      </w:r>
      <w:r w:rsidRPr="00940BC9">
        <w:t xml:space="preserve"> anticipated them</w:t>
      </w:r>
      <w:r>
        <w:t>.</w:t>
      </w:r>
    </w:p>
    <w:p w14:paraId="2A64FF37" w14:textId="77777777" w:rsidR="00792F1D" w:rsidRDefault="00792F1D" w:rsidP="00792F1D">
      <w:pPr>
        <w:pStyle w:val="ListParagraph"/>
      </w:pPr>
    </w:p>
    <w:p w14:paraId="560F776A" w14:textId="167B25D3" w:rsidR="00792F1D" w:rsidRDefault="00940BC9" w:rsidP="00D66E91">
      <w:pPr>
        <w:pStyle w:val="ListParagraph"/>
        <w:numPr>
          <w:ilvl w:val="0"/>
          <w:numId w:val="3"/>
        </w:numPr>
        <w:spacing w:line="312" w:lineRule="auto"/>
      </w:pPr>
      <w:r>
        <w:t xml:space="preserve">To be binding </w:t>
      </w:r>
      <w:r w:rsidRPr="008E65A9">
        <w:t xml:space="preserve">on </w:t>
      </w:r>
      <w:r w:rsidR="008E65A9" w:rsidRPr="009135D8">
        <w:t>practitioners</w:t>
      </w:r>
      <w:r w:rsidRPr="009135D8">
        <w:t xml:space="preserve"> </w:t>
      </w:r>
      <w:r>
        <w:t>a</w:t>
      </w:r>
      <w:r w:rsidR="00792F1D">
        <w:t xml:space="preserve">n advance decision </w:t>
      </w:r>
      <w:r w:rsidR="00B77E41">
        <w:t xml:space="preserve">to </w:t>
      </w:r>
      <w:r>
        <w:t>refuse life-</w:t>
      </w:r>
      <w:r w:rsidR="00792F1D">
        <w:t>sustaining treatment must also</w:t>
      </w:r>
      <w:r>
        <w:t xml:space="preserve"> be</w:t>
      </w:r>
      <w:r w:rsidR="00792F1D">
        <w:t>:</w:t>
      </w:r>
    </w:p>
    <w:p w14:paraId="52B74518" w14:textId="77777777" w:rsidR="00792F1D" w:rsidRDefault="00792F1D" w:rsidP="00792F1D">
      <w:pPr>
        <w:pStyle w:val="ListParagraph"/>
      </w:pPr>
    </w:p>
    <w:p w14:paraId="6FCAD0C0" w14:textId="0B0C68D0" w:rsidR="00792F1D" w:rsidRDefault="00940BC9" w:rsidP="00D66E91">
      <w:pPr>
        <w:pStyle w:val="ListParagraph"/>
        <w:numPr>
          <w:ilvl w:val="1"/>
          <w:numId w:val="3"/>
        </w:numPr>
        <w:spacing w:line="312" w:lineRule="auto"/>
      </w:pPr>
      <w:r>
        <w:t xml:space="preserve">Made in </w:t>
      </w:r>
      <w:proofErr w:type="gramStart"/>
      <w:r>
        <w:t>writing;</w:t>
      </w:r>
      <w:proofErr w:type="gramEnd"/>
    </w:p>
    <w:p w14:paraId="761DB220" w14:textId="676FB26D" w:rsidR="00940BC9" w:rsidRDefault="00940BC9" w:rsidP="00D66E91">
      <w:pPr>
        <w:pStyle w:val="ListParagraph"/>
        <w:numPr>
          <w:ilvl w:val="1"/>
          <w:numId w:val="3"/>
        </w:numPr>
        <w:spacing w:line="312" w:lineRule="auto"/>
      </w:pPr>
      <w:r>
        <w:t>Signed by the person</w:t>
      </w:r>
      <w:r w:rsidRPr="00940BC9">
        <w:t xml:space="preserve"> </w:t>
      </w:r>
      <w:r>
        <w:t>(</w:t>
      </w:r>
      <w:r w:rsidRPr="00940BC9">
        <w:t xml:space="preserve">or by </w:t>
      </w:r>
      <w:r>
        <w:t>a third party</w:t>
      </w:r>
      <w:r w:rsidRPr="00940BC9">
        <w:t xml:space="preserve"> in </w:t>
      </w:r>
      <w:r>
        <w:t xml:space="preserve">the person’s </w:t>
      </w:r>
      <w:r w:rsidRPr="00940BC9">
        <w:t xml:space="preserve">presence and by </w:t>
      </w:r>
      <w:r>
        <w:t xml:space="preserve">the person’s </w:t>
      </w:r>
      <w:r w:rsidRPr="00940BC9">
        <w:t>direction</w:t>
      </w:r>
      <w:r>
        <w:t>)</w:t>
      </w:r>
      <w:r w:rsidRPr="00940BC9">
        <w:rPr>
          <w:rFonts w:cs="Arial"/>
          <w:color w:val="000000"/>
          <w:sz w:val="27"/>
          <w:szCs w:val="27"/>
          <w:shd w:val="clear" w:color="auto" w:fill="FFFFFF"/>
        </w:rPr>
        <w:t xml:space="preserve"> </w:t>
      </w:r>
      <w:r w:rsidRPr="00940BC9">
        <w:t>in the presence of a witness</w:t>
      </w:r>
      <w:r>
        <w:t>; and</w:t>
      </w:r>
    </w:p>
    <w:p w14:paraId="3F67702D" w14:textId="4112E97D" w:rsidR="00940BC9" w:rsidRDefault="00940BC9" w:rsidP="00D66E91">
      <w:pPr>
        <w:pStyle w:val="ListParagraph"/>
        <w:numPr>
          <w:ilvl w:val="1"/>
          <w:numId w:val="3"/>
        </w:numPr>
        <w:spacing w:line="312" w:lineRule="auto"/>
      </w:pPr>
      <w:r>
        <w:t>Signed by the witness in the person’s presence.</w:t>
      </w:r>
    </w:p>
    <w:p w14:paraId="29DEFF66" w14:textId="77777777" w:rsidR="00792F1D" w:rsidRDefault="00792F1D" w:rsidP="00792F1D">
      <w:pPr>
        <w:pStyle w:val="ListParagraph"/>
      </w:pPr>
    </w:p>
    <w:p w14:paraId="08207E36" w14:textId="00926F49" w:rsidR="00856154" w:rsidRDefault="00856154" w:rsidP="00D66E91">
      <w:pPr>
        <w:pStyle w:val="ListParagraph"/>
        <w:numPr>
          <w:ilvl w:val="0"/>
          <w:numId w:val="3"/>
        </w:numPr>
        <w:spacing w:line="312" w:lineRule="auto"/>
      </w:pPr>
      <w:r w:rsidRPr="00856154">
        <w:t xml:space="preserve">An advance decision </w:t>
      </w:r>
      <w:r>
        <w:t>will</w:t>
      </w:r>
      <w:r w:rsidRPr="00856154">
        <w:t xml:space="preserve"> not </w:t>
      </w:r>
      <w:r w:rsidR="00894E7E" w:rsidRPr="009135D8">
        <w:t xml:space="preserve">be </w:t>
      </w:r>
      <w:r w:rsidRPr="00856154">
        <w:t>applicable to the treatment in qu</w:t>
      </w:r>
      <w:r>
        <w:t>estion if the person</w:t>
      </w:r>
      <w:r w:rsidRPr="00856154">
        <w:t xml:space="preserve"> has capacity to give or refuse consent to it</w:t>
      </w:r>
      <w:r w:rsidR="009135D8">
        <w:t xml:space="preserve"> at the time the decision needs to be taken</w:t>
      </w:r>
      <w:r w:rsidRPr="00856154">
        <w:t>.</w:t>
      </w:r>
    </w:p>
    <w:p w14:paraId="6B42D51E" w14:textId="77777777" w:rsidR="00856154" w:rsidRDefault="00856154" w:rsidP="00856154">
      <w:pPr>
        <w:pStyle w:val="ListParagraph"/>
        <w:spacing w:line="312" w:lineRule="auto"/>
        <w:ind w:left="360"/>
      </w:pPr>
    </w:p>
    <w:p w14:paraId="1B1D3AF6" w14:textId="4453C20B" w:rsidR="00E06650" w:rsidRDefault="00792F1D" w:rsidP="00D66E91">
      <w:pPr>
        <w:pStyle w:val="ListParagraph"/>
        <w:numPr>
          <w:ilvl w:val="0"/>
          <w:numId w:val="3"/>
        </w:numPr>
        <w:spacing w:line="312" w:lineRule="auto"/>
      </w:pPr>
      <w:r>
        <w:t>An advance decision may be binding even though it is made in layman’s terms.  It can be withdrawn by the person at any time whilst they have capacity to do so.  The withdrawal need not be in writing.</w:t>
      </w:r>
    </w:p>
    <w:p w14:paraId="51C6A737" w14:textId="77777777" w:rsidR="00856154" w:rsidRDefault="00856154" w:rsidP="00856154">
      <w:pPr>
        <w:pStyle w:val="ListParagraph"/>
      </w:pPr>
    </w:p>
    <w:p w14:paraId="5C4803CD" w14:textId="42E52D44" w:rsidR="00856154" w:rsidRPr="009135D8" w:rsidRDefault="00856154" w:rsidP="00D66E91">
      <w:pPr>
        <w:pStyle w:val="ListParagraph"/>
        <w:numPr>
          <w:ilvl w:val="0"/>
          <w:numId w:val="3"/>
        </w:numPr>
        <w:spacing w:line="312" w:lineRule="auto"/>
      </w:pPr>
      <w:r w:rsidRPr="009135D8">
        <w:t>A valid and applicable advance decision will be binding on pr</w:t>
      </w:r>
      <w:r w:rsidR="008E65A9" w:rsidRPr="009135D8">
        <w:t>actitioner</w:t>
      </w:r>
      <w:r w:rsidRPr="009135D8">
        <w:t xml:space="preserve">s and must be respected.  No best </w:t>
      </w:r>
      <w:proofErr w:type="gramStart"/>
      <w:r w:rsidRPr="009135D8">
        <w:t>interests</w:t>
      </w:r>
      <w:proofErr w:type="gramEnd"/>
      <w:r w:rsidRPr="009135D8">
        <w:t xml:space="preserve"> decision will </w:t>
      </w:r>
      <w:r w:rsidR="001F4441" w:rsidRPr="009135D8">
        <w:t xml:space="preserve">need </w:t>
      </w:r>
      <w:r w:rsidRPr="009135D8">
        <w:t>to be taken even though the person</w:t>
      </w:r>
      <w:r w:rsidR="001F4441" w:rsidRPr="009135D8">
        <w:t xml:space="preserve"> now</w:t>
      </w:r>
      <w:r w:rsidRPr="009135D8">
        <w:t xml:space="preserve"> lacks capacity to take the decision for themselves.</w:t>
      </w:r>
      <w:r w:rsidR="001F4441" w:rsidRPr="009135D8">
        <w:t xml:space="preserve">  This is because, in effect, the decision has already been made by the person, whilst </w:t>
      </w:r>
      <w:proofErr w:type="spellStart"/>
      <w:r w:rsidR="001F4441" w:rsidRPr="009135D8">
        <w:t>capacitous</w:t>
      </w:r>
      <w:proofErr w:type="spellEnd"/>
      <w:r w:rsidR="001F4441" w:rsidRPr="009135D8">
        <w:t>; there is no decision for practitioners to take.</w:t>
      </w:r>
    </w:p>
    <w:p w14:paraId="4C8CEAAB" w14:textId="77777777" w:rsidR="00856154" w:rsidRDefault="00856154" w:rsidP="00856154">
      <w:pPr>
        <w:pStyle w:val="ListParagraph"/>
      </w:pPr>
    </w:p>
    <w:p w14:paraId="4408F971" w14:textId="2D058315" w:rsidR="00B962D3" w:rsidRPr="009135D8" w:rsidRDefault="00856154" w:rsidP="00D66E91">
      <w:pPr>
        <w:pStyle w:val="ListParagraph"/>
        <w:numPr>
          <w:ilvl w:val="0"/>
          <w:numId w:val="3"/>
        </w:numPr>
        <w:spacing w:line="312" w:lineRule="auto"/>
      </w:pPr>
      <w:r w:rsidRPr="009135D8">
        <w:t xml:space="preserve">Where there is any doubt as to the existence, </w:t>
      </w:r>
      <w:proofErr w:type="gramStart"/>
      <w:r w:rsidRPr="009135D8">
        <w:t>validity</w:t>
      </w:r>
      <w:proofErr w:type="gramEnd"/>
      <w:r w:rsidRPr="009135D8">
        <w:t xml:space="preserve"> or applicability of an advance decision</w:t>
      </w:r>
      <w:r w:rsidR="009135D8" w:rsidRPr="009135D8">
        <w:t xml:space="preserve"> you should escalate the matter to your supervisor, for further shared consideration.  Legal advice may be required</w:t>
      </w:r>
      <w:r w:rsidRPr="009135D8">
        <w:t>.</w:t>
      </w:r>
      <w:r w:rsidR="00B962D3" w:rsidRPr="009135D8">
        <w:t xml:space="preserve">  An application to </w:t>
      </w:r>
      <w:r w:rsidR="00894E7E" w:rsidRPr="009135D8">
        <w:t xml:space="preserve">the </w:t>
      </w:r>
      <w:r w:rsidR="00B962D3" w:rsidRPr="009135D8">
        <w:t xml:space="preserve">Court of Protection may be necessary, possibly urgently, for a decision as to whether an advance decision exists, or is valid, or is applicable to the treatment in question.  </w:t>
      </w:r>
      <w:r w:rsidR="00CF0F2C" w:rsidRPr="009135D8">
        <w:t xml:space="preserve">Practitioners </w:t>
      </w:r>
      <w:r w:rsidR="00B962D3" w:rsidRPr="009135D8">
        <w:t>will be permitted to provide treatment to keep the person alive or prevent a serious deterioration in their condition whilst a decision is sought from the Court.</w:t>
      </w:r>
    </w:p>
    <w:p w14:paraId="7782CA66" w14:textId="66AADFAC" w:rsidR="009D3459" w:rsidRDefault="009D3459" w:rsidP="000E796C">
      <w:pPr>
        <w:spacing w:line="312" w:lineRule="auto"/>
      </w:pPr>
    </w:p>
    <w:p w14:paraId="0927461E" w14:textId="59E2D08B" w:rsidR="000E796C" w:rsidRPr="000E796C" w:rsidRDefault="000E796C" w:rsidP="000E796C">
      <w:pPr>
        <w:spacing w:line="312" w:lineRule="auto"/>
        <w:rPr>
          <w:b/>
        </w:rPr>
      </w:pPr>
      <w:r w:rsidRPr="009D3459">
        <w:rPr>
          <w:b/>
        </w:rPr>
        <w:t>Responding</w:t>
      </w:r>
      <w:r>
        <w:rPr>
          <w:b/>
        </w:rPr>
        <w:t xml:space="preserve"> to a </w:t>
      </w:r>
      <w:r w:rsidR="005B05C1">
        <w:rPr>
          <w:b/>
        </w:rPr>
        <w:t>refusal of care</w:t>
      </w:r>
    </w:p>
    <w:p w14:paraId="42B99B47" w14:textId="77777777" w:rsidR="000E796C" w:rsidRDefault="000E796C" w:rsidP="000E796C">
      <w:pPr>
        <w:spacing w:line="312" w:lineRule="auto"/>
      </w:pPr>
    </w:p>
    <w:p w14:paraId="2E2D0392" w14:textId="3316C055" w:rsidR="004701CA" w:rsidRDefault="004701CA" w:rsidP="00D66E91">
      <w:pPr>
        <w:pStyle w:val="ListParagraph"/>
        <w:numPr>
          <w:ilvl w:val="0"/>
          <w:numId w:val="3"/>
        </w:numPr>
        <w:spacing w:line="312" w:lineRule="auto"/>
      </w:pPr>
      <w:r>
        <w:t xml:space="preserve">When faced with a refusal of care practitioners must take care to avoid the “protection imperative”, </w:t>
      </w:r>
      <w:r w:rsidR="004E10F1">
        <w:t>i.e.,</w:t>
      </w:r>
      <w:r>
        <w:t xml:space="preserve"> the perceived need to protect the person no matter what.  It is right to want to protect a vulnerable person from harm, and to seek to gain a person’s compliance with care or treatment that may benefit them, but this must be balanced against the person’s own right to make decisions for themselves.  </w:t>
      </w:r>
    </w:p>
    <w:p w14:paraId="5ADC9B0E" w14:textId="77777777" w:rsidR="004701CA" w:rsidRDefault="004701CA" w:rsidP="004701CA">
      <w:pPr>
        <w:pStyle w:val="ListParagraph"/>
        <w:spacing w:line="312" w:lineRule="auto"/>
        <w:ind w:left="360"/>
      </w:pPr>
    </w:p>
    <w:p w14:paraId="3CD608B2" w14:textId="56CBD29C" w:rsidR="00140382" w:rsidRDefault="004E10F1" w:rsidP="00D66E91">
      <w:pPr>
        <w:pStyle w:val="ListParagraph"/>
        <w:numPr>
          <w:ilvl w:val="0"/>
          <w:numId w:val="3"/>
        </w:numPr>
        <w:spacing w:line="312" w:lineRule="auto"/>
      </w:pPr>
      <w:r>
        <w:t>However,</w:t>
      </w:r>
      <w:r w:rsidR="004701CA">
        <w:t xml:space="preserve"> i</w:t>
      </w:r>
      <w:r w:rsidR="007225B5">
        <w:t>t</w:t>
      </w:r>
      <w:r w:rsidR="00AD67F4">
        <w:t xml:space="preserve"> may not be appropriate simply to take a refusal of care at face value</w:t>
      </w:r>
      <w:r w:rsidR="007225B5">
        <w:t xml:space="preserve"> and to leave the matter there.</w:t>
      </w:r>
      <w:r w:rsidR="00AD67F4">
        <w:t xml:space="preserve">  </w:t>
      </w:r>
      <w:r w:rsidR="009E0D14">
        <w:t xml:space="preserve">Before accepting a refusal of care </w:t>
      </w:r>
      <w:r w:rsidR="00CF0F2C" w:rsidRPr="009135D8">
        <w:t>practitioners</w:t>
      </w:r>
      <w:r w:rsidR="009E0D14" w:rsidRPr="009135D8">
        <w:t xml:space="preserve"> </w:t>
      </w:r>
      <w:r w:rsidR="009E0D14">
        <w:t xml:space="preserve">must consider whether they can be satisfied that this is the person’s true </w:t>
      </w:r>
      <w:proofErr w:type="spellStart"/>
      <w:r w:rsidR="009E0D14">
        <w:t>capacitous</w:t>
      </w:r>
      <w:proofErr w:type="spellEnd"/>
      <w:r w:rsidR="009E0D14">
        <w:t xml:space="preserve"> decision, </w:t>
      </w:r>
      <w:r w:rsidR="007E4566">
        <w:t>free from undue influence</w:t>
      </w:r>
      <w:r w:rsidR="007225B5">
        <w:t xml:space="preserve"> or other factors that may prevent them from taking their own decision</w:t>
      </w:r>
      <w:r w:rsidR="007E4566">
        <w:t xml:space="preserve">.  It is right to respect </w:t>
      </w:r>
      <w:r w:rsidR="003D6C56">
        <w:t>voluntary</w:t>
      </w:r>
      <w:r w:rsidR="007E4566">
        <w:t xml:space="preserve"> </w:t>
      </w:r>
      <w:proofErr w:type="spellStart"/>
      <w:r w:rsidR="007E4566">
        <w:t>capacitous</w:t>
      </w:r>
      <w:proofErr w:type="spellEnd"/>
      <w:r w:rsidR="007E4566">
        <w:t xml:space="preserve"> </w:t>
      </w:r>
      <w:r w:rsidR="007E4566">
        <w:lastRenderedPageBreak/>
        <w:t xml:space="preserve">decisions but </w:t>
      </w:r>
      <w:r w:rsidR="0063333D">
        <w:t>where the person</w:t>
      </w:r>
      <w:r w:rsidR="007E4566">
        <w:t xml:space="preserve"> may come to real harm</w:t>
      </w:r>
      <w:r w:rsidR="00894E7E">
        <w:t>,</w:t>
      </w:r>
      <w:r w:rsidR="007E4566">
        <w:t xml:space="preserve"> p</w:t>
      </w:r>
      <w:r w:rsidR="009E0D14">
        <w:t xml:space="preserve">rofessional curiosity </w:t>
      </w:r>
      <w:r w:rsidR="007225B5">
        <w:t xml:space="preserve">and </w:t>
      </w:r>
      <w:r w:rsidR="00CC13E7">
        <w:t>a proactive approach</w:t>
      </w:r>
      <w:r w:rsidR="007225B5">
        <w:t xml:space="preserve"> are</w:t>
      </w:r>
      <w:r w:rsidR="009E0D14">
        <w:t xml:space="preserve"> </w:t>
      </w:r>
      <w:r w:rsidR="007E4566">
        <w:t>key.</w:t>
      </w:r>
      <w:r w:rsidR="004C49B8">
        <w:t xml:space="preserve">  </w:t>
      </w:r>
    </w:p>
    <w:p w14:paraId="14405477" w14:textId="77777777" w:rsidR="00140382" w:rsidRDefault="00140382" w:rsidP="00140382">
      <w:pPr>
        <w:pStyle w:val="ListParagraph"/>
        <w:spacing w:line="312" w:lineRule="auto"/>
        <w:ind w:left="360"/>
      </w:pPr>
    </w:p>
    <w:p w14:paraId="45D50CBE" w14:textId="3462F594" w:rsidR="006B686C" w:rsidRPr="00193C0B" w:rsidRDefault="004C49B8" w:rsidP="00D66E91">
      <w:pPr>
        <w:pStyle w:val="ListParagraph"/>
        <w:numPr>
          <w:ilvl w:val="0"/>
          <w:numId w:val="3"/>
        </w:numPr>
        <w:spacing w:line="312" w:lineRule="auto"/>
      </w:pPr>
      <w:r w:rsidRPr="00193C0B">
        <w:t xml:space="preserve">The </w:t>
      </w:r>
      <w:r w:rsidRPr="00193C0B">
        <w:rPr>
          <w:u w:val="single"/>
        </w:rPr>
        <w:t>reasons</w:t>
      </w:r>
      <w:r w:rsidRPr="00193C0B">
        <w:t xml:space="preserve"> for the refusal </w:t>
      </w:r>
      <w:r w:rsidRPr="00193C0B">
        <w:rPr>
          <w:u w:val="single"/>
        </w:rPr>
        <w:t>must</w:t>
      </w:r>
      <w:r w:rsidRPr="00193C0B">
        <w:t xml:space="preserve"> be </w:t>
      </w:r>
      <w:r w:rsidR="0063333D" w:rsidRPr="00193C0B">
        <w:t>considered</w:t>
      </w:r>
      <w:r w:rsidRPr="00193C0B">
        <w:t xml:space="preserve"> and </w:t>
      </w:r>
      <w:r w:rsidR="0063333D" w:rsidRPr="00193C0B">
        <w:t>used to inform consideration of alternatives and support for decision making</w:t>
      </w:r>
      <w:r w:rsidRPr="00193C0B">
        <w:t>.</w:t>
      </w:r>
      <w:r w:rsidR="00140382" w:rsidRPr="00193C0B">
        <w:t xml:space="preserve">  For example, if a person</w:t>
      </w:r>
      <w:r w:rsidRPr="00193C0B">
        <w:t xml:space="preserve"> </w:t>
      </w:r>
      <w:r w:rsidR="00140382" w:rsidRPr="00193C0B">
        <w:t xml:space="preserve">refuses to take their medication, practitioners should consider whether there may be practical reasons for this which could be addressed.  The person may not be able to communicate their reasons, and so practitioners </w:t>
      </w:r>
      <w:r w:rsidR="00C83F40" w:rsidRPr="00193C0B">
        <w:t>may</w:t>
      </w:r>
      <w:r w:rsidR="00140382" w:rsidRPr="00193C0B">
        <w:t xml:space="preserve"> need to be </w:t>
      </w:r>
      <w:r w:rsidR="00C83F40" w:rsidRPr="00193C0B">
        <w:t>think imaginatively on their behalf</w:t>
      </w:r>
      <w:r w:rsidR="00140382" w:rsidRPr="00193C0B">
        <w:t xml:space="preserve">.  It may be that the person has difficulty swallowing or </w:t>
      </w:r>
      <w:r w:rsidR="00140382" w:rsidRPr="00193C0B">
        <w:rPr>
          <w:rFonts w:cs="Arial"/>
        </w:rPr>
        <w:t>dislikes the taste of the medication, which may be overcome by using a different formulation.  Perhaps the</w:t>
      </w:r>
      <w:r w:rsidR="00C83F40" w:rsidRPr="00193C0B">
        <w:rPr>
          <w:rFonts w:cs="Arial"/>
        </w:rPr>
        <w:t xml:space="preserve"> person hasn’t</w:t>
      </w:r>
      <w:r w:rsidR="00140382" w:rsidRPr="00193C0B">
        <w:rPr>
          <w:rFonts w:cs="Arial"/>
        </w:rPr>
        <w:t xml:space="preserve"> heard or understood why the medication is of benefit because they have lost their hearing aid</w:t>
      </w:r>
      <w:r w:rsidR="00C83F40" w:rsidRPr="00193C0B">
        <w:rPr>
          <w:rFonts w:cs="Arial"/>
        </w:rPr>
        <w:t>; p</w:t>
      </w:r>
      <w:r w:rsidR="00140382" w:rsidRPr="00193C0B">
        <w:rPr>
          <w:rFonts w:cs="Arial"/>
        </w:rPr>
        <w:t xml:space="preserve">erhaps they are suffering from unpleasant or embarrassing side effects from treatment </w:t>
      </w:r>
      <w:r w:rsidR="00C83F40" w:rsidRPr="00193C0B">
        <w:rPr>
          <w:rFonts w:cs="Arial"/>
        </w:rPr>
        <w:t xml:space="preserve">(such as nausea, </w:t>
      </w:r>
      <w:proofErr w:type="gramStart"/>
      <w:r w:rsidR="00C83F40" w:rsidRPr="00193C0B">
        <w:rPr>
          <w:rFonts w:cs="Arial"/>
        </w:rPr>
        <w:t>incontinence</w:t>
      </w:r>
      <w:proofErr w:type="gramEnd"/>
      <w:r w:rsidR="00140382" w:rsidRPr="00193C0B">
        <w:rPr>
          <w:rFonts w:cs="Arial"/>
        </w:rPr>
        <w:t xml:space="preserve"> or depress</w:t>
      </w:r>
      <w:r w:rsidR="004E10F1">
        <w:rPr>
          <w:rFonts w:cs="Arial"/>
        </w:rPr>
        <w:t>ion</w:t>
      </w:r>
      <w:r w:rsidR="00140382" w:rsidRPr="00193C0B">
        <w:rPr>
          <w:rFonts w:cs="Arial"/>
        </w:rPr>
        <w:t>) and such could be removed or mitigated with a different approach</w:t>
      </w:r>
      <w:r w:rsidR="00C83F40" w:rsidRPr="00193C0B">
        <w:rPr>
          <w:rStyle w:val="FootnoteReference"/>
          <w:rFonts w:cs="Arial"/>
        </w:rPr>
        <w:footnoteReference w:id="15"/>
      </w:r>
      <w:r w:rsidR="00140382" w:rsidRPr="00193C0B">
        <w:rPr>
          <w:rFonts w:cs="Arial"/>
        </w:rPr>
        <w:t>.</w:t>
      </w:r>
      <w:r w:rsidR="00140382" w:rsidRPr="00193C0B">
        <w:rPr>
          <w:rFonts w:asciiTheme="minorHAnsi" w:hAnsiTheme="minorHAnsi" w:cstheme="minorBidi"/>
        </w:rPr>
        <w:t xml:space="preserve">  </w:t>
      </w:r>
    </w:p>
    <w:p w14:paraId="01AFF9D5" w14:textId="77777777" w:rsidR="006B686C" w:rsidRDefault="006B686C" w:rsidP="006B686C">
      <w:pPr>
        <w:pStyle w:val="ListParagraph"/>
      </w:pPr>
    </w:p>
    <w:p w14:paraId="303ED4A2" w14:textId="3895E705" w:rsidR="007E4566" w:rsidRPr="009135D8" w:rsidRDefault="00CF0F2C" w:rsidP="00D66E91">
      <w:pPr>
        <w:pStyle w:val="ListParagraph"/>
        <w:numPr>
          <w:ilvl w:val="0"/>
          <w:numId w:val="3"/>
        </w:numPr>
        <w:spacing w:line="312" w:lineRule="auto"/>
      </w:pPr>
      <w:r w:rsidRPr="009135D8">
        <w:t xml:space="preserve">Practitioners </w:t>
      </w:r>
      <w:r w:rsidR="007E4566" w:rsidRPr="009135D8">
        <w:t>should consider the following when faced with a refusal of care:</w:t>
      </w:r>
    </w:p>
    <w:p w14:paraId="1336D87A" w14:textId="77777777" w:rsidR="009E0D14" w:rsidRDefault="009E0D14" w:rsidP="009E0D14">
      <w:pPr>
        <w:pStyle w:val="ListParagraph"/>
        <w:spacing w:line="312" w:lineRule="auto"/>
        <w:ind w:left="360"/>
      </w:pPr>
    </w:p>
    <w:p w14:paraId="5BE1AFDD" w14:textId="5276B22A" w:rsidR="009E0D14" w:rsidRDefault="003D6C56" w:rsidP="00D66E91">
      <w:pPr>
        <w:pStyle w:val="ListParagraph"/>
        <w:numPr>
          <w:ilvl w:val="1"/>
          <w:numId w:val="3"/>
        </w:numPr>
        <w:spacing w:line="312" w:lineRule="auto"/>
      </w:pPr>
      <w:r>
        <w:t>Consider whether the person</w:t>
      </w:r>
      <w:r w:rsidR="007E4566">
        <w:t xml:space="preserve"> has been properly s</w:t>
      </w:r>
      <w:r w:rsidR="009E0D14">
        <w:t>upport</w:t>
      </w:r>
      <w:r w:rsidR="007E4566">
        <w:t>ed</w:t>
      </w:r>
      <w:r w:rsidR="009E0D14">
        <w:t xml:space="preserve"> to make a</w:t>
      </w:r>
      <w:r w:rsidR="007E4566">
        <w:t xml:space="preserve">n informed, </w:t>
      </w:r>
      <w:r w:rsidR="003408E7">
        <w:t xml:space="preserve">voluntary, </w:t>
      </w:r>
      <w:proofErr w:type="spellStart"/>
      <w:r w:rsidR="007E4566">
        <w:t>capacitous</w:t>
      </w:r>
      <w:proofErr w:type="spellEnd"/>
      <w:r w:rsidR="009E0D14">
        <w:t xml:space="preserve"> decision.  Consider:</w:t>
      </w:r>
    </w:p>
    <w:p w14:paraId="2E9DE427" w14:textId="77777777" w:rsidR="00C450A7" w:rsidRDefault="00C450A7" w:rsidP="00C450A7">
      <w:pPr>
        <w:pStyle w:val="ListParagraph"/>
        <w:spacing w:line="312" w:lineRule="auto"/>
        <w:ind w:left="1080"/>
      </w:pPr>
    </w:p>
    <w:p w14:paraId="740B7DD7" w14:textId="582E8C02" w:rsidR="009E0D14" w:rsidRPr="003D6C56" w:rsidRDefault="003D6C56" w:rsidP="00D66E91">
      <w:pPr>
        <w:pStyle w:val="ListParagraph"/>
        <w:numPr>
          <w:ilvl w:val="2"/>
          <w:numId w:val="3"/>
        </w:numPr>
        <w:spacing w:line="312" w:lineRule="auto"/>
      </w:pPr>
      <w:r w:rsidRPr="003D6C56">
        <w:t>Whether sufficient relevant i</w:t>
      </w:r>
      <w:r w:rsidR="009E0D14" w:rsidRPr="003D6C56">
        <w:t xml:space="preserve">nformation </w:t>
      </w:r>
      <w:r w:rsidRPr="003D6C56">
        <w:t xml:space="preserve">has been provided to the </w:t>
      </w:r>
      <w:proofErr w:type="gramStart"/>
      <w:r w:rsidRPr="003D6C56">
        <w:t>person;</w:t>
      </w:r>
      <w:proofErr w:type="gramEnd"/>
      <w:r w:rsidR="009E0D14" w:rsidRPr="003D6C56">
        <w:t xml:space="preserve"> </w:t>
      </w:r>
    </w:p>
    <w:p w14:paraId="74E7C31A" w14:textId="44F78091" w:rsidR="00C450A7" w:rsidRDefault="009E0D14" w:rsidP="00D66E91">
      <w:pPr>
        <w:pStyle w:val="ListParagraph"/>
        <w:numPr>
          <w:ilvl w:val="2"/>
          <w:numId w:val="3"/>
        </w:numPr>
        <w:spacing w:line="312" w:lineRule="auto"/>
      </w:pPr>
      <w:r w:rsidRPr="003D6C56">
        <w:t xml:space="preserve">The way </w:t>
      </w:r>
      <w:r w:rsidR="003D6C56" w:rsidRPr="003D6C56">
        <w:t xml:space="preserve">in which </w:t>
      </w:r>
      <w:r w:rsidRPr="003D6C56">
        <w:t xml:space="preserve">information </w:t>
      </w:r>
      <w:r w:rsidR="003D6C56">
        <w:t>has been</w:t>
      </w:r>
      <w:r w:rsidRPr="003D6C56">
        <w:t xml:space="preserve"> </w:t>
      </w:r>
      <w:r w:rsidR="00C450A7" w:rsidRPr="003D6C56">
        <w:t xml:space="preserve">provided </w:t>
      </w:r>
      <w:r w:rsidR="003D6C56">
        <w:t xml:space="preserve">to the person and whether this could be </w:t>
      </w:r>
      <w:r w:rsidR="00C450A7">
        <w:t>adapted/</w:t>
      </w:r>
      <w:r w:rsidR="003D6C56">
        <w:t xml:space="preserve">improved </w:t>
      </w:r>
      <w:proofErr w:type="gramStart"/>
      <w:r w:rsidR="003D6C56">
        <w:t>in light of</w:t>
      </w:r>
      <w:proofErr w:type="gramEnd"/>
      <w:r w:rsidR="003D6C56">
        <w:t xml:space="preserve"> their particular presentation/needs.  </w:t>
      </w:r>
      <w:r w:rsidR="00D27B4F">
        <w:t>What l</w:t>
      </w:r>
      <w:r w:rsidRPr="003D6C56">
        <w:t>anguage</w:t>
      </w:r>
      <w:r w:rsidR="00D27B4F">
        <w:t xml:space="preserve"> do they prefer to </w:t>
      </w:r>
      <w:proofErr w:type="gramStart"/>
      <w:r w:rsidR="00D27B4F">
        <w:t>use</w:t>
      </w:r>
      <w:proofErr w:type="gramEnd"/>
      <w:r w:rsidR="00D27B4F">
        <w:t xml:space="preserve"> and would they benefit from an interpreter?  If you have provided written information, are they able to engage with it?  Could communication aids help?  </w:t>
      </w:r>
      <w:r w:rsidR="00C450A7">
        <w:t xml:space="preserve"> </w:t>
      </w:r>
    </w:p>
    <w:p w14:paraId="1C7B6094" w14:textId="180F9106" w:rsidR="009E0D14" w:rsidRPr="003D6C56" w:rsidRDefault="00C450A7" w:rsidP="00D66E91">
      <w:pPr>
        <w:pStyle w:val="ListParagraph"/>
        <w:numPr>
          <w:ilvl w:val="2"/>
          <w:numId w:val="3"/>
        </w:numPr>
        <w:spacing w:line="312" w:lineRule="auto"/>
      </w:pPr>
      <w:r>
        <w:t>W</w:t>
      </w:r>
      <w:r w:rsidR="00D27B4F" w:rsidRPr="003D6C56">
        <w:t xml:space="preserve">hether the person has any known or suspected diagnoses that may impact upon their ability to engage with the offer of care/treatment and how communication with them might best be approached.  This may require taking advice from other </w:t>
      </w:r>
      <w:r w:rsidR="00CF0F2C" w:rsidRPr="009135D8">
        <w:t>practitioners</w:t>
      </w:r>
      <w:r w:rsidR="00D27B4F" w:rsidRPr="009135D8">
        <w:t xml:space="preserve"> </w:t>
      </w:r>
      <w:r w:rsidR="00D27B4F" w:rsidRPr="003D6C56">
        <w:t>who know the person or have expertise in the person’s diagnosed conditions</w:t>
      </w:r>
      <w:r w:rsidR="0080704A">
        <w:t xml:space="preserve">.  Consider involving SALT </w:t>
      </w:r>
      <w:r w:rsidR="004E10F1">
        <w:t xml:space="preserve">(speech and language therapy) </w:t>
      </w:r>
      <w:r w:rsidR="0080704A">
        <w:t xml:space="preserve">where </w:t>
      </w:r>
      <w:proofErr w:type="gramStart"/>
      <w:r w:rsidR="0080704A">
        <w:t>appropriate;</w:t>
      </w:r>
      <w:proofErr w:type="gramEnd"/>
    </w:p>
    <w:p w14:paraId="4F3654BA" w14:textId="72FFB2AF" w:rsidR="009E0D14" w:rsidRPr="003D6C56" w:rsidRDefault="009E0D14" w:rsidP="00D66E91">
      <w:pPr>
        <w:pStyle w:val="ListParagraph"/>
        <w:numPr>
          <w:ilvl w:val="2"/>
          <w:numId w:val="3"/>
        </w:numPr>
        <w:spacing w:line="312" w:lineRule="auto"/>
      </w:pPr>
      <w:r w:rsidRPr="003D6C56">
        <w:t>Who delivers the information</w:t>
      </w:r>
      <w:r w:rsidR="00D27B4F">
        <w:t xml:space="preserve">.  </w:t>
      </w:r>
      <w:r w:rsidR="003D04AC">
        <w:t xml:space="preserve">Which </w:t>
      </w:r>
      <w:r w:rsidR="00CF0F2C" w:rsidRPr="009135D8">
        <w:t xml:space="preserve">practitioners </w:t>
      </w:r>
      <w:r w:rsidR="00D27B4F">
        <w:t xml:space="preserve">does the person feel most comfortable </w:t>
      </w:r>
      <w:r w:rsidR="00CC13E7">
        <w:t>receiving</w:t>
      </w:r>
      <w:r w:rsidR="003D04AC">
        <w:t xml:space="preserve"> information from</w:t>
      </w:r>
      <w:r w:rsidR="00D27B4F">
        <w:t xml:space="preserve">?  </w:t>
      </w:r>
    </w:p>
    <w:p w14:paraId="628A46B8" w14:textId="3D59C3BC" w:rsidR="003D6C56" w:rsidRPr="003D6C56" w:rsidRDefault="00D27B4F" w:rsidP="00D66E91">
      <w:pPr>
        <w:pStyle w:val="ListParagraph"/>
        <w:numPr>
          <w:ilvl w:val="2"/>
          <w:numId w:val="3"/>
        </w:numPr>
        <w:spacing w:line="312" w:lineRule="auto"/>
      </w:pPr>
      <w:r>
        <w:t>The support of others close to the person (e.g. family or carers).  Would they be more likely to engage positively if supported by someone else?</w:t>
      </w:r>
    </w:p>
    <w:p w14:paraId="51A4A607" w14:textId="0D66BABD" w:rsidR="009E0D14" w:rsidRPr="003D6C56" w:rsidRDefault="009E0D14" w:rsidP="00D66E91">
      <w:pPr>
        <w:pStyle w:val="ListParagraph"/>
        <w:numPr>
          <w:ilvl w:val="2"/>
          <w:numId w:val="3"/>
        </w:numPr>
        <w:spacing w:line="312" w:lineRule="auto"/>
      </w:pPr>
      <w:r w:rsidRPr="003D6C56">
        <w:t xml:space="preserve">Other factors that may influence the discussion </w:t>
      </w:r>
      <w:r w:rsidR="00D27B4F">
        <w:t>and its outcome.  Are environmental d</w:t>
      </w:r>
      <w:r w:rsidRPr="003D6C56">
        <w:t>istractions</w:t>
      </w:r>
      <w:r w:rsidR="00D27B4F">
        <w:t xml:space="preserve"> affecting the discussions?</w:t>
      </w:r>
      <w:r w:rsidRPr="003D6C56">
        <w:t xml:space="preserve">  When is </w:t>
      </w:r>
      <w:r w:rsidR="00D27B4F">
        <w:t>the person likely to be</w:t>
      </w:r>
      <w:r w:rsidRPr="003D6C56">
        <w:t xml:space="preserve"> at their best</w:t>
      </w:r>
      <w:r w:rsidR="00D27B4F">
        <w:t xml:space="preserve"> and can the decision reasonably wait until then</w:t>
      </w:r>
      <w:r w:rsidRPr="003D6C56">
        <w:t>?</w:t>
      </w:r>
      <w:r w:rsidR="004C49B8">
        <w:t xml:space="preserve">  Could the person be on medication which limits their ability to participate in decision making?  It may be possible to improve the person’s ability to participate by, for example, seeing them at a different time of day, or making changes to the environment in which they are seen, or seeing the</w:t>
      </w:r>
      <w:r w:rsidR="00B77E41">
        <w:t>m</w:t>
      </w:r>
      <w:r w:rsidR="004C49B8">
        <w:t xml:space="preserve"> when they are not impaired by the effects of their medication.  </w:t>
      </w:r>
      <w:r w:rsidR="00CF0F2C" w:rsidRPr="009135D8">
        <w:t>Practitioners</w:t>
      </w:r>
      <w:r w:rsidR="004C49B8" w:rsidRPr="009135D8">
        <w:t xml:space="preserve"> </w:t>
      </w:r>
      <w:r w:rsidR="004C49B8">
        <w:t xml:space="preserve">should think </w:t>
      </w:r>
      <w:r w:rsidR="00CF0F2C" w:rsidRPr="009135D8">
        <w:t xml:space="preserve">creatively </w:t>
      </w:r>
      <w:r w:rsidR="00CF0F2C">
        <w:t>a</w:t>
      </w:r>
      <w:r w:rsidR="004C49B8">
        <w:t xml:space="preserve">nd seek to support </w:t>
      </w:r>
      <w:proofErr w:type="spellStart"/>
      <w:r w:rsidR="004C49B8">
        <w:t>capacitous</w:t>
      </w:r>
      <w:proofErr w:type="spellEnd"/>
      <w:r w:rsidR="004C49B8">
        <w:t xml:space="preserve"> decision making as far as possible.</w:t>
      </w:r>
    </w:p>
    <w:p w14:paraId="4272E50D" w14:textId="77777777" w:rsidR="007E4566" w:rsidRDefault="007E4566" w:rsidP="007E4566">
      <w:pPr>
        <w:pStyle w:val="ListParagraph"/>
        <w:spacing w:line="312" w:lineRule="auto"/>
        <w:ind w:left="1800"/>
      </w:pPr>
    </w:p>
    <w:p w14:paraId="223DDDC0" w14:textId="3FA5E7B1" w:rsidR="009E0D14" w:rsidRPr="00064022" w:rsidRDefault="009E0D14" w:rsidP="00D66E91">
      <w:pPr>
        <w:pStyle w:val="ListParagraph"/>
        <w:numPr>
          <w:ilvl w:val="1"/>
          <w:numId w:val="3"/>
        </w:numPr>
        <w:spacing w:line="312" w:lineRule="auto"/>
      </w:pPr>
      <w:r w:rsidRPr="00064022">
        <w:t>Where care/treatment appears to be of real benefit</w:t>
      </w:r>
      <w:r w:rsidR="003D6C56" w:rsidRPr="00064022">
        <w:t xml:space="preserve"> to the person</w:t>
      </w:r>
      <w:r w:rsidRPr="00064022">
        <w:t xml:space="preserve"> it is appropriate to seek to persuade </w:t>
      </w:r>
      <w:r w:rsidR="007E4566" w:rsidRPr="00064022">
        <w:t xml:space="preserve">them to accept it </w:t>
      </w:r>
      <w:r w:rsidRPr="00064022">
        <w:t xml:space="preserve">(but take care not to </w:t>
      </w:r>
      <w:r w:rsidR="0066519D" w:rsidRPr="00064022">
        <w:t>place undue</w:t>
      </w:r>
      <w:r w:rsidRPr="00064022">
        <w:t xml:space="preserve"> </w:t>
      </w:r>
      <w:r w:rsidR="0066519D" w:rsidRPr="00064022">
        <w:t>pressure on them</w:t>
      </w:r>
      <w:r w:rsidRPr="00064022">
        <w:t>).</w:t>
      </w:r>
      <w:r w:rsidR="0006065F" w:rsidRPr="00064022">
        <w:t xml:space="preserve">  Efforts to do so </w:t>
      </w:r>
      <w:r w:rsidR="00F10E1D" w:rsidRPr="00064022">
        <w:t>must</w:t>
      </w:r>
      <w:r w:rsidR="0006065F" w:rsidRPr="00064022">
        <w:t xml:space="preserve"> be clearly recorded, especially when the implications of refusal could be serious for the person.</w:t>
      </w:r>
    </w:p>
    <w:p w14:paraId="7A21D349" w14:textId="77777777" w:rsidR="00727F93" w:rsidRDefault="00727F93" w:rsidP="00727F93">
      <w:pPr>
        <w:pStyle w:val="ListParagraph"/>
        <w:spacing w:line="312" w:lineRule="auto"/>
        <w:ind w:left="1080"/>
      </w:pPr>
    </w:p>
    <w:p w14:paraId="6A29D721" w14:textId="727FAA03" w:rsidR="00727F93" w:rsidRDefault="007E4566" w:rsidP="00D66E91">
      <w:pPr>
        <w:pStyle w:val="ListParagraph"/>
        <w:numPr>
          <w:ilvl w:val="1"/>
          <w:numId w:val="3"/>
        </w:numPr>
        <w:spacing w:line="312" w:lineRule="auto"/>
      </w:pPr>
      <w:r>
        <w:t xml:space="preserve">A voluntary </w:t>
      </w:r>
      <w:proofErr w:type="spellStart"/>
      <w:r>
        <w:t>capacitous</w:t>
      </w:r>
      <w:proofErr w:type="spellEnd"/>
      <w:r>
        <w:t xml:space="preserve"> refusal need not be taken as a permanent refusal.  The offer of care can and should be repeated after an appropriate </w:t>
      </w:r>
      <w:proofErr w:type="gramStart"/>
      <w:r>
        <w:t>period of time</w:t>
      </w:r>
      <w:proofErr w:type="gramEnd"/>
      <w:r w:rsidR="003D04AC">
        <w:t xml:space="preserve">, whilst </w:t>
      </w:r>
      <w:r w:rsidR="0080704A">
        <w:t xml:space="preserve">again </w:t>
      </w:r>
      <w:r w:rsidR="003D04AC">
        <w:t>taking care not to put too much pressure on the person</w:t>
      </w:r>
      <w:r>
        <w:t xml:space="preserve">.  </w:t>
      </w:r>
      <w:r w:rsidR="003D04AC">
        <w:t>The person</w:t>
      </w:r>
      <w:r>
        <w:t xml:space="preserve"> may, </w:t>
      </w:r>
      <w:proofErr w:type="spellStart"/>
      <w:r>
        <w:t>capacitously</w:t>
      </w:r>
      <w:proofErr w:type="spellEnd"/>
      <w:r>
        <w:t xml:space="preserve"> and </w:t>
      </w:r>
      <w:r w:rsidR="00D57387">
        <w:t>voluntarily</w:t>
      </w:r>
      <w:r>
        <w:t xml:space="preserve">, change their mind.  </w:t>
      </w:r>
    </w:p>
    <w:p w14:paraId="622F01CD" w14:textId="77777777" w:rsidR="00727F93" w:rsidRDefault="00727F93" w:rsidP="00727F93">
      <w:pPr>
        <w:pStyle w:val="ListParagraph"/>
      </w:pPr>
    </w:p>
    <w:p w14:paraId="6586DD57" w14:textId="0BC884AC" w:rsidR="000E796C" w:rsidRDefault="00CF0F2C" w:rsidP="00D66E91">
      <w:pPr>
        <w:pStyle w:val="ListParagraph"/>
        <w:numPr>
          <w:ilvl w:val="1"/>
          <w:numId w:val="3"/>
        </w:numPr>
        <w:spacing w:line="312" w:lineRule="auto"/>
      </w:pPr>
      <w:r w:rsidRPr="009135D8">
        <w:t xml:space="preserve">Practitioners </w:t>
      </w:r>
      <w:r w:rsidR="00AD67F4">
        <w:t xml:space="preserve">must be alive to the possibility that the person may lack capacity </w:t>
      </w:r>
      <w:r w:rsidR="00727F93">
        <w:t xml:space="preserve">and must ensure that the question of their mental capacity is properly considered, applying the MCA.  </w:t>
      </w:r>
      <w:r w:rsidR="00D95FF5">
        <w:t xml:space="preserve"> Where the person is considered to lack capacity, consideration must be given to whether they would be likely to regain capacity at some point, if so when that is likely be</w:t>
      </w:r>
      <w:r w:rsidR="00D95FF5">
        <w:rPr>
          <w:rStyle w:val="FootnoteReference"/>
        </w:rPr>
        <w:footnoteReference w:id="16"/>
      </w:r>
      <w:r w:rsidR="00D95FF5">
        <w:t xml:space="preserve"> and whether the decision can wait until then.  </w:t>
      </w:r>
      <w:r w:rsidR="001443E6">
        <w:t xml:space="preserve"> If the decision cannot wait, or if the person is not considered likely to </w:t>
      </w:r>
      <w:r w:rsidR="004F2EFC">
        <w:t>regain capacity, see paragraph 44 below</w:t>
      </w:r>
      <w:r w:rsidR="001443E6">
        <w:t>.</w:t>
      </w:r>
    </w:p>
    <w:p w14:paraId="730D71FC" w14:textId="77777777" w:rsidR="007031B5" w:rsidRDefault="007031B5" w:rsidP="007031B5">
      <w:pPr>
        <w:pStyle w:val="ListParagraph"/>
      </w:pPr>
    </w:p>
    <w:p w14:paraId="2696821E" w14:textId="4BDD0D53" w:rsidR="007031B5" w:rsidRDefault="007031B5" w:rsidP="00D66E91">
      <w:pPr>
        <w:pStyle w:val="ListParagraph"/>
        <w:numPr>
          <w:ilvl w:val="1"/>
          <w:numId w:val="3"/>
        </w:numPr>
        <w:spacing w:line="312" w:lineRule="auto"/>
      </w:pPr>
      <w:r>
        <w:t xml:space="preserve">Consider whether the person may need to be assessed for admission to hospital under the MHA and if appropriate refer to the AMHP </w:t>
      </w:r>
      <w:r w:rsidR="005162A2">
        <w:t xml:space="preserve">(approved mental health professionals) </w:t>
      </w:r>
      <w:r>
        <w:t>service</w:t>
      </w:r>
      <w:r w:rsidR="00DA2F3F">
        <w:rPr>
          <w:rStyle w:val="FootnoteReference"/>
        </w:rPr>
        <w:footnoteReference w:id="17"/>
      </w:r>
      <w:r>
        <w:t xml:space="preserve"> for an assessment under the MHA</w:t>
      </w:r>
      <w:r w:rsidR="001478CB">
        <w:t xml:space="preserve">.  </w:t>
      </w:r>
    </w:p>
    <w:p w14:paraId="31FD1B69" w14:textId="5279C319" w:rsidR="001443E6" w:rsidRDefault="001443E6" w:rsidP="001443E6">
      <w:pPr>
        <w:spacing w:line="312" w:lineRule="auto"/>
      </w:pPr>
    </w:p>
    <w:p w14:paraId="704F6ABF" w14:textId="3B0FFE38" w:rsidR="007225B5" w:rsidRDefault="001A1C7F" w:rsidP="00D66E91">
      <w:pPr>
        <w:pStyle w:val="ListParagraph"/>
        <w:numPr>
          <w:ilvl w:val="0"/>
          <w:numId w:val="3"/>
        </w:numPr>
        <w:spacing w:line="312" w:lineRule="auto"/>
      </w:pPr>
      <w:r>
        <w:t>Where the person</w:t>
      </w:r>
      <w:r w:rsidR="007225B5">
        <w:t xml:space="preserve"> is assessed as lacking capacity to take the decision for themselves:</w:t>
      </w:r>
    </w:p>
    <w:p w14:paraId="61F0A54D" w14:textId="77777777" w:rsidR="007225B5" w:rsidRDefault="007225B5" w:rsidP="007225B5">
      <w:pPr>
        <w:pStyle w:val="ListParagraph"/>
        <w:spacing w:line="312" w:lineRule="auto"/>
        <w:ind w:left="360"/>
      </w:pPr>
    </w:p>
    <w:p w14:paraId="4F70C836" w14:textId="06A45D0A" w:rsidR="00DC7A9A" w:rsidRDefault="00DC7A9A" w:rsidP="00D66E91">
      <w:pPr>
        <w:pStyle w:val="ListParagraph"/>
        <w:numPr>
          <w:ilvl w:val="1"/>
          <w:numId w:val="3"/>
        </w:numPr>
        <w:spacing w:line="312" w:lineRule="auto"/>
      </w:pPr>
      <w:r>
        <w:t xml:space="preserve">A binding (valid and applicable) advance decision to refuse medical treatment must be </w:t>
      </w:r>
      <w:r w:rsidR="008E1744">
        <w:t>complied with</w:t>
      </w:r>
      <w:r w:rsidR="00923179">
        <w:t xml:space="preserve">.  Where it is clear that an advance decision is valid and applicable no best </w:t>
      </w:r>
      <w:proofErr w:type="gramStart"/>
      <w:r w:rsidR="00923179">
        <w:t>interests</w:t>
      </w:r>
      <w:proofErr w:type="gramEnd"/>
      <w:r w:rsidR="00923179">
        <w:t xml:space="preserve"> decision </w:t>
      </w:r>
      <w:r w:rsidR="00F10E1D" w:rsidRPr="009135D8">
        <w:t>can</w:t>
      </w:r>
      <w:r w:rsidR="00923179" w:rsidRPr="009135D8">
        <w:t xml:space="preserve"> </w:t>
      </w:r>
      <w:r w:rsidR="00923179">
        <w:t>be taken</w:t>
      </w:r>
      <w:r w:rsidR="008E1744">
        <w:t xml:space="preserve">.  Where </w:t>
      </w:r>
      <w:r w:rsidR="00923179">
        <w:t>there is doubt as to whether an advance decision is valid or applicable the case must be escalated</w:t>
      </w:r>
      <w:r w:rsidR="009135D8">
        <w:t xml:space="preserve"> to your supervisor, for further shared consideration.  Legal advice may be required. </w:t>
      </w:r>
      <w:r w:rsidR="00923179">
        <w:t xml:space="preserve"> </w:t>
      </w:r>
      <w:r w:rsidR="009135D8" w:rsidRPr="009135D8">
        <w:t>Practitioners will be permitted to provide treatment to keep the person alive or prevent a serious deterioration in their condition whilst a decision is sought from the Court.</w:t>
      </w:r>
      <w:r w:rsidR="009135D8">
        <w:t xml:space="preserve"> </w:t>
      </w:r>
    </w:p>
    <w:p w14:paraId="7CC432C8" w14:textId="621DC761" w:rsidR="00DC7A9A" w:rsidRPr="009135D8" w:rsidRDefault="00F10E1D" w:rsidP="00D66E91">
      <w:pPr>
        <w:pStyle w:val="ListParagraph"/>
        <w:numPr>
          <w:ilvl w:val="1"/>
          <w:numId w:val="3"/>
        </w:numPr>
        <w:spacing w:line="312" w:lineRule="auto"/>
      </w:pPr>
      <w:r w:rsidRPr="009135D8">
        <w:t>Where the</w:t>
      </w:r>
      <w:r w:rsidR="009135D8">
        <w:t>re</w:t>
      </w:r>
      <w:r w:rsidRPr="009135D8">
        <w:t xml:space="preserve"> </w:t>
      </w:r>
      <w:r w:rsidR="009135D8">
        <w:t xml:space="preserve">is no </w:t>
      </w:r>
      <w:r w:rsidR="009135D8" w:rsidRPr="009135D8">
        <w:t xml:space="preserve">valid and applicable </w:t>
      </w:r>
      <w:r w:rsidRPr="009135D8">
        <w:t xml:space="preserve">advance decision </w:t>
      </w:r>
      <w:r w:rsidR="00DC7A9A" w:rsidRPr="009135D8">
        <w:t xml:space="preserve">the decision as to their care/treatment must be taken in </w:t>
      </w:r>
      <w:r w:rsidR="008E1744" w:rsidRPr="009135D8">
        <w:t>the person’s</w:t>
      </w:r>
      <w:r w:rsidR="00DC7A9A" w:rsidRPr="009135D8">
        <w:t xml:space="preserve"> best interests, applying the </w:t>
      </w:r>
      <w:proofErr w:type="gramStart"/>
      <w:r w:rsidR="00DC7A9A" w:rsidRPr="009135D8">
        <w:t>MCA;</w:t>
      </w:r>
      <w:proofErr w:type="gramEnd"/>
    </w:p>
    <w:p w14:paraId="66B461CF" w14:textId="4BE7C1F6" w:rsidR="00DC7A9A" w:rsidRPr="00DC7A9A" w:rsidRDefault="00DC7A9A" w:rsidP="00D66E91">
      <w:pPr>
        <w:pStyle w:val="ListParagraph"/>
        <w:numPr>
          <w:ilvl w:val="1"/>
          <w:numId w:val="3"/>
        </w:numPr>
        <w:spacing w:line="312" w:lineRule="auto"/>
      </w:pPr>
      <w:r w:rsidRPr="00DC7A9A">
        <w:t xml:space="preserve">The best </w:t>
      </w:r>
      <w:proofErr w:type="gramStart"/>
      <w:r w:rsidRPr="00DC7A9A">
        <w:t>interests</w:t>
      </w:r>
      <w:proofErr w:type="gramEnd"/>
      <w:r w:rsidRPr="00DC7A9A">
        <w:t xml:space="preserve"> decision maker will be either:</w:t>
      </w:r>
    </w:p>
    <w:p w14:paraId="1508E332" w14:textId="397531A1" w:rsidR="00DC7A9A" w:rsidRPr="009135D8" w:rsidRDefault="00DC7A9A" w:rsidP="00D66E91">
      <w:pPr>
        <w:pStyle w:val="ListParagraph"/>
        <w:numPr>
          <w:ilvl w:val="2"/>
          <w:numId w:val="3"/>
        </w:numPr>
        <w:spacing w:line="312" w:lineRule="auto"/>
      </w:pPr>
      <w:r w:rsidRPr="009135D8">
        <w:t xml:space="preserve">The </w:t>
      </w:r>
      <w:r w:rsidR="00D81711" w:rsidRPr="009135D8">
        <w:t xml:space="preserve">practitioner </w:t>
      </w:r>
      <w:r w:rsidRPr="009135D8">
        <w:t>proposing the care/</w:t>
      </w:r>
      <w:proofErr w:type="gramStart"/>
      <w:r w:rsidRPr="009135D8">
        <w:t>treatment;</w:t>
      </w:r>
      <w:proofErr w:type="gramEnd"/>
    </w:p>
    <w:p w14:paraId="5F9708E9" w14:textId="2D7196FB" w:rsidR="00DC7A9A" w:rsidRPr="009135D8" w:rsidRDefault="00DC7A9A" w:rsidP="00D66E91">
      <w:pPr>
        <w:pStyle w:val="ListParagraph"/>
        <w:numPr>
          <w:ilvl w:val="2"/>
          <w:numId w:val="3"/>
        </w:numPr>
        <w:spacing w:line="312" w:lineRule="auto"/>
      </w:pPr>
      <w:r w:rsidRPr="009135D8">
        <w:t>In complex cases, the MDT overseeing the person’s care/treatment, acting jointly</w:t>
      </w:r>
      <w:r w:rsidR="003D04AC" w:rsidRPr="009135D8">
        <w:t>,</w:t>
      </w:r>
      <w:r w:rsidRPr="009135D8">
        <w:t xml:space="preserve"> with meetings chaired by an appropriate lead </w:t>
      </w:r>
      <w:r w:rsidR="00D81711" w:rsidRPr="009135D8">
        <w:t>practitioner</w:t>
      </w:r>
      <w:r w:rsidR="00D66BF8" w:rsidRPr="009135D8">
        <w:rPr>
          <w:rStyle w:val="FootnoteReference"/>
        </w:rPr>
        <w:footnoteReference w:id="18"/>
      </w:r>
      <w:r w:rsidRPr="009135D8">
        <w:t>;</w:t>
      </w:r>
    </w:p>
    <w:p w14:paraId="2CC179F1" w14:textId="743FE137" w:rsidR="00DC7A9A" w:rsidRPr="009135D8" w:rsidRDefault="00DC7A9A" w:rsidP="00D66E91">
      <w:pPr>
        <w:pStyle w:val="ListParagraph"/>
        <w:numPr>
          <w:ilvl w:val="2"/>
          <w:numId w:val="3"/>
        </w:numPr>
        <w:spacing w:line="312" w:lineRule="auto"/>
      </w:pPr>
      <w:r w:rsidRPr="009135D8">
        <w:t xml:space="preserve">Where a third party has authority to take the decision as either LPA or deputy, that third </w:t>
      </w:r>
      <w:proofErr w:type="gramStart"/>
      <w:r w:rsidRPr="009135D8">
        <w:t>party</w:t>
      </w:r>
      <w:r w:rsidR="00CF36D6" w:rsidRPr="009135D8">
        <w:t>;</w:t>
      </w:r>
      <w:proofErr w:type="gramEnd"/>
    </w:p>
    <w:p w14:paraId="2D394226" w14:textId="2128BE8C" w:rsidR="000C6C0A" w:rsidRDefault="000C6C0A" w:rsidP="00D66E91">
      <w:pPr>
        <w:pStyle w:val="ListParagraph"/>
        <w:numPr>
          <w:ilvl w:val="1"/>
          <w:numId w:val="3"/>
        </w:numPr>
        <w:spacing w:line="312" w:lineRule="auto"/>
      </w:pPr>
      <w:r>
        <w:t xml:space="preserve">A decision taken by a validly appointed LPA or deputy must be respected unless there is an unresolvable </w:t>
      </w:r>
      <w:r w:rsidR="0080704A">
        <w:t>dispute</w:t>
      </w:r>
      <w:r>
        <w:t xml:space="preserve"> with them as to the person’s best interests</w:t>
      </w:r>
      <w:r w:rsidR="009135D8">
        <w:rPr>
          <w:rStyle w:val="FootnoteReference"/>
        </w:rPr>
        <w:footnoteReference w:id="19"/>
      </w:r>
      <w:r>
        <w:t xml:space="preserve">.  </w:t>
      </w:r>
      <w:r w:rsidR="00193C0B">
        <w:t>D</w:t>
      </w:r>
      <w:r>
        <w:t xml:space="preserve">isputes </w:t>
      </w:r>
      <w:r w:rsidR="00193C0B">
        <w:t xml:space="preserve">which cannot be resolved locally </w:t>
      </w:r>
      <w:r>
        <w:t xml:space="preserve">must be resolved by the </w:t>
      </w:r>
      <w:r w:rsidR="00B77E41">
        <w:t>C</w:t>
      </w:r>
      <w:r>
        <w:t>ourt</w:t>
      </w:r>
      <w:r w:rsidR="004C49B8">
        <w:t xml:space="preserve"> and the case should be </w:t>
      </w:r>
      <w:r w:rsidR="004C49B8" w:rsidRPr="009135D8">
        <w:t xml:space="preserve">escalated </w:t>
      </w:r>
      <w:r w:rsidR="008F4111" w:rsidRPr="009135D8">
        <w:t xml:space="preserve">via your supervisor </w:t>
      </w:r>
      <w:r w:rsidR="004C49B8">
        <w:t>for legal advice</w:t>
      </w:r>
      <w:r>
        <w:t xml:space="preserve">.  If steps need to be taken urgently to protect the person </w:t>
      </w:r>
      <w:r>
        <w:lastRenderedPageBreak/>
        <w:t>from death or serious deterioration/injury, those steps can be taken whilst a court decision is awaited.</w:t>
      </w:r>
    </w:p>
    <w:p w14:paraId="026C7523" w14:textId="69659E4F" w:rsidR="003A5878" w:rsidRDefault="00CF36D6" w:rsidP="00D66E91">
      <w:pPr>
        <w:pStyle w:val="ListParagraph"/>
        <w:numPr>
          <w:ilvl w:val="1"/>
          <w:numId w:val="3"/>
        </w:numPr>
        <w:spacing w:line="312" w:lineRule="auto"/>
      </w:pPr>
      <w:r>
        <w:t>A plan for care/treatment in a person’</w:t>
      </w:r>
      <w:r w:rsidR="003D04AC">
        <w:t xml:space="preserve">s best interests may include a degree </w:t>
      </w:r>
      <w:r>
        <w:t>of restraint</w:t>
      </w:r>
      <w:r w:rsidR="003A5878">
        <w:t xml:space="preserve"> </w:t>
      </w:r>
      <w:proofErr w:type="gramStart"/>
      <w:r w:rsidR="003A5878">
        <w:t>as long as</w:t>
      </w:r>
      <w:proofErr w:type="gramEnd"/>
      <w:r w:rsidR="003A5878">
        <w:t xml:space="preserve"> certain further </w:t>
      </w:r>
      <w:r w:rsidR="00726235">
        <w:t>legal</w:t>
      </w:r>
      <w:r w:rsidR="003A5878">
        <w:t xml:space="preserve"> requirements are met.  </w:t>
      </w:r>
      <w:r w:rsidR="004F2EFC" w:rsidRPr="004F2EFC">
        <w:t xml:space="preserve">See the section on restraint and deprivation of liberty </w:t>
      </w:r>
      <w:r w:rsidR="003A5878" w:rsidRPr="004F2EFC">
        <w:t>below.</w:t>
      </w:r>
    </w:p>
    <w:p w14:paraId="6F7F6B1A" w14:textId="11D407BF" w:rsidR="003A5878" w:rsidRDefault="002A586A" w:rsidP="00D66E91">
      <w:pPr>
        <w:pStyle w:val="ListParagraph"/>
        <w:numPr>
          <w:ilvl w:val="1"/>
          <w:numId w:val="3"/>
        </w:numPr>
        <w:spacing w:line="312" w:lineRule="auto"/>
      </w:pPr>
      <w:r>
        <w:t xml:space="preserve">Where the care/treatment proposal would involve depriving the person of their liberty additional steps must be taken </w:t>
      </w:r>
      <w:r w:rsidR="003A5878">
        <w:t xml:space="preserve">to ensure the arrangements are lawful.  </w:t>
      </w:r>
      <w:r w:rsidR="004F2EFC" w:rsidRPr="004F2EFC">
        <w:t>See the section on restraint and deprivation of liberty below.</w:t>
      </w:r>
    </w:p>
    <w:p w14:paraId="28154CFA" w14:textId="55A0D696" w:rsidR="002D461A" w:rsidRPr="004F2EFC" w:rsidRDefault="00686114" w:rsidP="00D66E91">
      <w:pPr>
        <w:pStyle w:val="ListParagraph"/>
        <w:numPr>
          <w:ilvl w:val="1"/>
          <w:numId w:val="3"/>
        </w:numPr>
        <w:spacing w:line="312" w:lineRule="auto"/>
      </w:pPr>
      <w:r w:rsidRPr="004F2EFC">
        <w:t>Some cases meeting the definition of “serious medical treatment” must be authorised by the Court of Protection before treatment can proceed.  Guidance</w:t>
      </w:r>
      <w:r w:rsidRPr="004F2EFC">
        <w:rPr>
          <w:rStyle w:val="FootnoteReference"/>
        </w:rPr>
        <w:footnoteReference w:id="20"/>
      </w:r>
      <w:r w:rsidRPr="004F2EFC">
        <w:t xml:space="preserve"> has be</w:t>
      </w:r>
      <w:r w:rsidR="00CF36D6" w:rsidRPr="004F2EFC">
        <w:t>en</w:t>
      </w:r>
      <w:r w:rsidR="003A5878" w:rsidRPr="004F2EFC">
        <w:t xml:space="preserve"> produced by the C</w:t>
      </w:r>
      <w:r w:rsidRPr="004F2EFC">
        <w:t xml:space="preserve">ourt as to which cases should be the subject of a prior court application.  </w:t>
      </w:r>
      <w:r w:rsidR="00D81711" w:rsidRPr="004F2EFC">
        <w:t>Practitioners</w:t>
      </w:r>
      <w:r w:rsidR="00CF36D6" w:rsidRPr="004F2EFC">
        <w:t xml:space="preserve"> should take advice </w:t>
      </w:r>
      <w:r w:rsidR="002A586A" w:rsidRPr="004F2EFC">
        <w:t>when a case</w:t>
      </w:r>
      <w:r w:rsidR="00CF36D6" w:rsidRPr="004F2EFC">
        <w:t xml:space="preserve"> appear</w:t>
      </w:r>
      <w:r w:rsidR="002A586A" w:rsidRPr="004F2EFC">
        <w:t>s</w:t>
      </w:r>
      <w:r w:rsidR="00CF36D6" w:rsidRPr="004F2EFC">
        <w:t xml:space="preserve"> to fall with the definition of serious medical treatment and may require an application to the </w:t>
      </w:r>
      <w:r w:rsidR="00B77E41">
        <w:t>C</w:t>
      </w:r>
      <w:r w:rsidR="00CF36D6" w:rsidRPr="004F2EFC">
        <w:t>ourt.</w:t>
      </w:r>
      <w:r w:rsidR="003A5878" w:rsidRPr="004F2EFC">
        <w:t xml:space="preserve">  See </w:t>
      </w:r>
      <w:r w:rsidR="004F2EFC" w:rsidRPr="004F2EFC">
        <w:t>the section on applications to court below.</w:t>
      </w:r>
    </w:p>
    <w:p w14:paraId="61FC088C" w14:textId="5562B919" w:rsidR="00BB261E" w:rsidRPr="005B05C1" w:rsidRDefault="00BB261E" w:rsidP="005B05C1">
      <w:pPr>
        <w:spacing w:line="312" w:lineRule="auto"/>
      </w:pPr>
    </w:p>
    <w:p w14:paraId="04D3DD1C" w14:textId="6F5DAA9F" w:rsidR="003A5878" w:rsidRDefault="003A5878" w:rsidP="005B05C1">
      <w:pPr>
        <w:spacing w:line="312" w:lineRule="auto"/>
        <w:rPr>
          <w:b/>
        </w:rPr>
      </w:pPr>
      <w:r>
        <w:rPr>
          <w:b/>
        </w:rPr>
        <w:t>Restraint and deprivation of liberty</w:t>
      </w:r>
    </w:p>
    <w:p w14:paraId="77678806" w14:textId="59DA4E88" w:rsidR="003A5878" w:rsidRDefault="003A5878" w:rsidP="005B05C1">
      <w:pPr>
        <w:spacing w:line="312" w:lineRule="auto"/>
        <w:rPr>
          <w:b/>
        </w:rPr>
      </w:pPr>
    </w:p>
    <w:p w14:paraId="3098A6AE" w14:textId="18646221" w:rsidR="003A5878" w:rsidRDefault="00887250" w:rsidP="00D66E91">
      <w:pPr>
        <w:pStyle w:val="ListParagraph"/>
        <w:numPr>
          <w:ilvl w:val="0"/>
          <w:numId w:val="3"/>
        </w:numPr>
        <w:spacing w:line="312" w:lineRule="auto"/>
      </w:pPr>
      <w:r>
        <w:t xml:space="preserve">In some </w:t>
      </w:r>
      <w:r w:rsidR="005162A2">
        <w:t>cases,</w:t>
      </w:r>
      <w:r>
        <w:t xml:space="preserve"> a person may need to be restrained </w:t>
      </w:r>
      <w:proofErr w:type="gramStart"/>
      <w:r>
        <w:t>in order to</w:t>
      </w:r>
      <w:proofErr w:type="gramEnd"/>
      <w:r>
        <w:t xml:space="preserve"> provide them </w:t>
      </w:r>
      <w:r w:rsidR="00BB2BEA">
        <w:t xml:space="preserve">with </w:t>
      </w:r>
      <w:r>
        <w:t xml:space="preserve">care or treatment against their </w:t>
      </w:r>
      <w:r w:rsidR="00BB2BEA">
        <w:t>wishes</w:t>
      </w:r>
      <w:r>
        <w:t xml:space="preserve"> in their best interests.  Restraint is defined as:</w:t>
      </w:r>
    </w:p>
    <w:p w14:paraId="4920F355" w14:textId="77777777" w:rsidR="00887250" w:rsidRDefault="00887250" w:rsidP="00887250">
      <w:pPr>
        <w:pStyle w:val="ListParagraph"/>
        <w:spacing w:line="312" w:lineRule="auto"/>
        <w:ind w:left="360"/>
      </w:pPr>
    </w:p>
    <w:p w14:paraId="0509E631" w14:textId="28F58963" w:rsidR="00887250" w:rsidRDefault="00887250" w:rsidP="00D66E91">
      <w:pPr>
        <w:pStyle w:val="ListParagraph"/>
        <w:numPr>
          <w:ilvl w:val="1"/>
          <w:numId w:val="3"/>
        </w:numPr>
        <w:spacing w:line="312" w:lineRule="auto"/>
      </w:pPr>
      <w:r>
        <w:t>The use or threat of force to make the person do something they are resisting, or</w:t>
      </w:r>
    </w:p>
    <w:p w14:paraId="6EA45CC0" w14:textId="0FBA5F10" w:rsidR="00887250" w:rsidRDefault="00887250" w:rsidP="00D66E91">
      <w:pPr>
        <w:pStyle w:val="ListParagraph"/>
        <w:numPr>
          <w:ilvl w:val="1"/>
          <w:numId w:val="3"/>
        </w:numPr>
        <w:spacing w:line="312" w:lineRule="auto"/>
      </w:pPr>
      <w:r>
        <w:t>Restricting the person’s freedom of movement, whether they are resisting or not</w:t>
      </w:r>
      <w:r w:rsidR="00BB2BEA">
        <w:rPr>
          <w:rStyle w:val="FootnoteReference"/>
        </w:rPr>
        <w:footnoteReference w:id="21"/>
      </w:r>
      <w:r>
        <w:t>.</w:t>
      </w:r>
    </w:p>
    <w:p w14:paraId="2161B9FA" w14:textId="77777777" w:rsidR="00887250" w:rsidRDefault="00887250" w:rsidP="00887250">
      <w:pPr>
        <w:pStyle w:val="ListParagraph"/>
        <w:spacing w:line="312" w:lineRule="auto"/>
        <w:ind w:left="1080"/>
      </w:pPr>
    </w:p>
    <w:p w14:paraId="1D269E8E" w14:textId="3C4B25C4" w:rsidR="00887250" w:rsidRDefault="00887250" w:rsidP="00D66E91">
      <w:pPr>
        <w:pStyle w:val="ListParagraph"/>
        <w:numPr>
          <w:ilvl w:val="0"/>
          <w:numId w:val="3"/>
        </w:numPr>
        <w:spacing w:line="312" w:lineRule="auto"/>
      </w:pPr>
      <w:r>
        <w:t>Examples of restraint in health and social care include:</w:t>
      </w:r>
    </w:p>
    <w:p w14:paraId="29F4991C" w14:textId="77777777" w:rsidR="00887250" w:rsidRDefault="00887250" w:rsidP="00887250">
      <w:pPr>
        <w:pStyle w:val="ListParagraph"/>
        <w:spacing w:line="312" w:lineRule="auto"/>
        <w:ind w:left="360"/>
      </w:pPr>
    </w:p>
    <w:p w14:paraId="714F55EB" w14:textId="77777777" w:rsidR="00DA2F3F" w:rsidRPr="00DA2F3F" w:rsidRDefault="00BB2BEA" w:rsidP="00D66E91">
      <w:pPr>
        <w:pStyle w:val="ListParagraph"/>
        <w:numPr>
          <w:ilvl w:val="1"/>
          <w:numId w:val="3"/>
        </w:numPr>
        <w:spacing w:line="312" w:lineRule="auto"/>
      </w:pPr>
      <w:r w:rsidRPr="00DA2F3F">
        <w:t>Physical restrictors such as</w:t>
      </w:r>
      <w:r w:rsidR="00DA2F3F" w:rsidRPr="00DA2F3F">
        <w:t>:</w:t>
      </w:r>
      <w:r w:rsidRPr="00DA2F3F">
        <w:t xml:space="preserve"> </w:t>
      </w:r>
    </w:p>
    <w:p w14:paraId="278C8429" w14:textId="1E8C87A7" w:rsidR="00DA2F3F" w:rsidRPr="00DA2F3F" w:rsidRDefault="00DA2F3F" w:rsidP="00D66E91">
      <w:pPr>
        <w:pStyle w:val="ListParagraph"/>
        <w:numPr>
          <w:ilvl w:val="2"/>
          <w:numId w:val="3"/>
        </w:numPr>
        <w:spacing w:line="312" w:lineRule="auto"/>
      </w:pPr>
      <w:proofErr w:type="gramStart"/>
      <w:r w:rsidRPr="00DA2F3F">
        <w:t>M</w:t>
      </w:r>
      <w:r w:rsidR="00887250" w:rsidRPr="00DA2F3F">
        <w:t>itts</w:t>
      </w:r>
      <w:r w:rsidRPr="00DA2F3F">
        <w:t>;</w:t>
      </w:r>
      <w:proofErr w:type="gramEnd"/>
    </w:p>
    <w:p w14:paraId="1E512B29" w14:textId="77777777" w:rsidR="00DA2F3F" w:rsidRPr="00DA2F3F" w:rsidRDefault="00DA2F3F" w:rsidP="00D66E91">
      <w:pPr>
        <w:pStyle w:val="ListParagraph"/>
        <w:numPr>
          <w:ilvl w:val="2"/>
          <w:numId w:val="3"/>
        </w:numPr>
        <w:spacing w:line="312" w:lineRule="auto"/>
      </w:pPr>
      <w:r w:rsidRPr="00DA2F3F">
        <w:t>R</w:t>
      </w:r>
      <w:r w:rsidR="00BB2BEA" w:rsidRPr="00DA2F3F">
        <w:t xml:space="preserve">aised </w:t>
      </w:r>
      <w:r w:rsidRPr="00DA2F3F">
        <w:t xml:space="preserve">bed </w:t>
      </w:r>
      <w:proofErr w:type="gramStart"/>
      <w:r w:rsidRPr="00DA2F3F">
        <w:t>rails;</w:t>
      </w:r>
      <w:proofErr w:type="gramEnd"/>
    </w:p>
    <w:p w14:paraId="4E82B085" w14:textId="559A4B5F" w:rsidR="00887250" w:rsidRPr="00DA2F3F" w:rsidRDefault="00DA2F3F" w:rsidP="00D66E91">
      <w:pPr>
        <w:pStyle w:val="ListParagraph"/>
        <w:numPr>
          <w:ilvl w:val="2"/>
          <w:numId w:val="3"/>
        </w:numPr>
        <w:spacing w:line="312" w:lineRule="auto"/>
      </w:pPr>
      <w:r w:rsidRPr="00DA2F3F">
        <w:t>L</w:t>
      </w:r>
      <w:r w:rsidR="00197BB7" w:rsidRPr="00DA2F3F">
        <w:t xml:space="preserve">ocked doors which the person is unable to open themselves without calling for </w:t>
      </w:r>
      <w:proofErr w:type="gramStart"/>
      <w:r w:rsidR="00197BB7" w:rsidRPr="00DA2F3F">
        <w:t>assistance</w:t>
      </w:r>
      <w:r w:rsidR="00DA421A" w:rsidRPr="00DA2F3F">
        <w:t>;</w:t>
      </w:r>
      <w:proofErr w:type="gramEnd"/>
    </w:p>
    <w:p w14:paraId="1B4A514F" w14:textId="0A97766F" w:rsidR="00DA2F3F" w:rsidRPr="00DA2F3F" w:rsidRDefault="00DA2F3F" w:rsidP="00D66E91">
      <w:pPr>
        <w:pStyle w:val="ListParagraph"/>
        <w:numPr>
          <w:ilvl w:val="2"/>
          <w:numId w:val="3"/>
        </w:numPr>
        <w:spacing w:line="312" w:lineRule="auto"/>
      </w:pPr>
      <w:r w:rsidRPr="00DA2F3F">
        <w:t xml:space="preserve">Lap belts in </w:t>
      </w:r>
      <w:proofErr w:type="gramStart"/>
      <w:r w:rsidRPr="00DA2F3F">
        <w:t>wheelchairs;</w:t>
      </w:r>
      <w:proofErr w:type="gramEnd"/>
    </w:p>
    <w:p w14:paraId="4E5A2BAA" w14:textId="5AF9947E" w:rsidR="00BB2BEA" w:rsidRPr="00DA2F3F" w:rsidRDefault="00BB2BEA" w:rsidP="00D66E91">
      <w:pPr>
        <w:pStyle w:val="ListParagraph"/>
        <w:numPr>
          <w:ilvl w:val="1"/>
          <w:numId w:val="3"/>
        </w:numPr>
        <w:spacing w:line="312" w:lineRule="auto"/>
      </w:pPr>
      <w:r w:rsidRPr="00DA2F3F">
        <w:t>Physical holds</w:t>
      </w:r>
      <w:r w:rsidR="00561A1D" w:rsidRPr="00DA2F3F">
        <w:t xml:space="preserve">, such as holding a person’s arm whilst giving an </w:t>
      </w:r>
      <w:proofErr w:type="gramStart"/>
      <w:r w:rsidR="00561A1D" w:rsidRPr="00DA2F3F">
        <w:t>injection</w:t>
      </w:r>
      <w:r w:rsidR="00DA421A" w:rsidRPr="00DA2F3F">
        <w:t>;</w:t>
      </w:r>
      <w:proofErr w:type="gramEnd"/>
    </w:p>
    <w:p w14:paraId="05688999" w14:textId="5E00F678" w:rsidR="00887250" w:rsidRPr="00DA2F3F" w:rsidRDefault="00887250" w:rsidP="00D66E91">
      <w:pPr>
        <w:pStyle w:val="ListParagraph"/>
        <w:numPr>
          <w:ilvl w:val="1"/>
          <w:numId w:val="3"/>
        </w:numPr>
        <w:spacing w:line="312" w:lineRule="auto"/>
      </w:pPr>
      <w:r w:rsidRPr="00DA2F3F">
        <w:t>Sedati</w:t>
      </w:r>
      <w:r w:rsidR="00BB2BEA" w:rsidRPr="00DA2F3F">
        <w:t>on</w:t>
      </w:r>
      <w:r w:rsidR="00DA2F3F" w:rsidRPr="00DA2F3F">
        <w:t xml:space="preserve">, which </w:t>
      </w:r>
      <w:r w:rsidR="00173E93" w:rsidRPr="00DA2F3F">
        <w:t xml:space="preserve">may be </w:t>
      </w:r>
      <w:r w:rsidR="00DA2F3F" w:rsidRPr="00DA2F3F">
        <w:t xml:space="preserve">specifically </w:t>
      </w:r>
      <w:r w:rsidR="00173E93" w:rsidRPr="00DA2F3F">
        <w:t xml:space="preserve">prescribed, or medication prescribed for other purposes may have sedation as a secondary </w:t>
      </w:r>
      <w:proofErr w:type="gramStart"/>
      <w:r w:rsidR="00173E93" w:rsidRPr="00DA2F3F">
        <w:t>effect</w:t>
      </w:r>
      <w:r w:rsidR="00DA2F3F" w:rsidRPr="00DA2F3F">
        <w:t>;</w:t>
      </w:r>
      <w:proofErr w:type="gramEnd"/>
    </w:p>
    <w:p w14:paraId="65FC4274" w14:textId="38E1E25D" w:rsidR="00DA2F3F" w:rsidRPr="00DA2F3F" w:rsidRDefault="00DA2F3F" w:rsidP="00D66E91">
      <w:pPr>
        <w:pStyle w:val="ListParagraph"/>
        <w:numPr>
          <w:ilvl w:val="1"/>
          <w:numId w:val="3"/>
        </w:numPr>
      </w:pPr>
      <w:r w:rsidRPr="00DA2F3F">
        <w:t xml:space="preserve">Monitoring equipment/ assistive technology which prompts a response to movement by the person and may inhibit </w:t>
      </w:r>
      <w:r>
        <w:t>the person from attempting</w:t>
      </w:r>
      <w:r w:rsidRPr="00DA2F3F">
        <w:t xml:space="preserve"> to move.</w:t>
      </w:r>
    </w:p>
    <w:p w14:paraId="6F54C9A6" w14:textId="77777777" w:rsidR="00887250" w:rsidRDefault="00887250" w:rsidP="00887250">
      <w:pPr>
        <w:pStyle w:val="ListParagraph"/>
        <w:spacing w:line="312" w:lineRule="auto"/>
        <w:ind w:left="360"/>
      </w:pPr>
    </w:p>
    <w:p w14:paraId="4E0D9596" w14:textId="51F8D852" w:rsidR="00887250" w:rsidRDefault="00887250" w:rsidP="00D66E91">
      <w:pPr>
        <w:pStyle w:val="ListParagraph"/>
        <w:numPr>
          <w:ilvl w:val="0"/>
          <w:numId w:val="3"/>
        </w:numPr>
        <w:spacing w:line="312" w:lineRule="auto"/>
      </w:pPr>
      <w:r>
        <w:t xml:space="preserve">It will be defensible to use restraint in connection with the care/treatment of an </w:t>
      </w:r>
      <w:proofErr w:type="spellStart"/>
      <w:r>
        <w:t>incapacit</w:t>
      </w:r>
      <w:r w:rsidR="005162A2">
        <w:t>ous</w:t>
      </w:r>
      <w:proofErr w:type="spellEnd"/>
      <w:r>
        <w:t xml:space="preserve"> person </w:t>
      </w:r>
      <w:r w:rsidR="00BB2BEA">
        <w:t xml:space="preserve">in their best interests </w:t>
      </w:r>
      <w:r>
        <w:t>where:</w:t>
      </w:r>
    </w:p>
    <w:p w14:paraId="75A533DA" w14:textId="77777777" w:rsidR="00887250" w:rsidRDefault="00887250" w:rsidP="00887250">
      <w:pPr>
        <w:spacing w:line="312" w:lineRule="auto"/>
      </w:pPr>
    </w:p>
    <w:p w14:paraId="2C98296F" w14:textId="3F2A64E5" w:rsidR="00887250" w:rsidRDefault="00887250" w:rsidP="00D66E91">
      <w:pPr>
        <w:pStyle w:val="ListParagraph"/>
        <w:numPr>
          <w:ilvl w:val="1"/>
          <w:numId w:val="3"/>
        </w:numPr>
        <w:spacing w:line="312" w:lineRule="auto"/>
      </w:pPr>
      <w:r>
        <w:t xml:space="preserve">the practitioner reasonably believes that the restraint is necessary to prevent the person coming to </w:t>
      </w:r>
      <w:proofErr w:type="gramStart"/>
      <w:r>
        <w:t>harm;</w:t>
      </w:r>
      <w:proofErr w:type="gramEnd"/>
    </w:p>
    <w:p w14:paraId="1DE51195" w14:textId="6973CF01" w:rsidR="00887250" w:rsidRDefault="00887250" w:rsidP="00D66E91">
      <w:pPr>
        <w:pStyle w:val="ListParagraph"/>
        <w:numPr>
          <w:ilvl w:val="1"/>
          <w:numId w:val="3"/>
        </w:numPr>
        <w:spacing w:line="312" w:lineRule="auto"/>
      </w:pPr>
      <w:r>
        <w:t xml:space="preserve">the restraint is </w:t>
      </w:r>
      <w:r w:rsidRPr="00887250">
        <w:t>a proportionate response to</w:t>
      </w:r>
      <w:r>
        <w:t xml:space="preserve"> both the likelihood of the person suffering harm and </w:t>
      </w:r>
      <w:r w:rsidR="00CF74AA">
        <w:t>the seriousness of that harm</w:t>
      </w:r>
      <w:r w:rsidR="00884E2C">
        <w:rPr>
          <w:rStyle w:val="FootnoteReference"/>
        </w:rPr>
        <w:footnoteReference w:id="22"/>
      </w:r>
      <w:r w:rsidR="00CF74AA">
        <w:t>.</w:t>
      </w:r>
    </w:p>
    <w:p w14:paraId="3ABB181D" w14:textId="77777777" w:rsidR="00CF74AA" w:rsidRDefault="00CF74AA" w:rsidP="00CF74AA">
      <w:pPr>
        <w:spacing w:line="312" w:lineRule="auto"/>
      </w:pPr>
    </w:p>
    <w:p w14:paraId="178318EC" w14:textId="29842D88" w:rsidR="00116AF0" w:rsidRDefault="00116AF0" w:rsidP="00D66E91">
      <w:pPr>
        <w:pStyle w:val="ListParagraph"/>
        <w:numPr>
          <w:ilvl w:val="0"/>
          <w:numId w:val="3"/>
        </w:numPr>
        <w:spacing w:line="312" w:lineRule="auto"/>
      </w:pPr>
      <w:r>
        <w:t xml:space="preserve">Restrictions/restraint, when used, must be carefully </w:t>
      </w:r>
      <w:proofErr w:type="gramStart"/>
      <w:r>
        <w:t>recorded</w:t>
      </w:r>
      <w:proofErr w:type="gramEnd"/>
      <w:r>
        <w:t xml:space="preserve"> and kept under regular review.  </w:t>
      </w:r>
    </w:p>
    <w:p w14:paraId="4B30F516" w14:textId="77777777" w:rsidR="00116AF0" w:rsidRDefault="00116AF0" w:rsidP="00116AF0">
      <w:pPr>
        <w:pStyle w:val="ListParagraph"/>
        <w:spacing w:line="312" w:lineRule="auto"/>
        <w:ind w:left="360"/>
      </w:pPr>
    </w:p>
    <w:p w14:paraId="1BCD98FB" w14:textId="2E13DDCE" w:rsidR="00CF74AA" w:rsidRDefault="00CF74AA" w:rsidP="00D66E91">
      <w:pPr>
        <w:pStyle w:val="ListParagraph"/>
        <w:numPr>
          <w:ilvl w:val="0"/>
          <w:numId w:val="3"/>
        </w:numPr>
        <w:spacing w:line="312" w:lineRule="auto"/>
      </w:pPr>
      <w:r>
        <w:t xml:space="preserve">The </w:t>
      </w:r>
      <w:r w:rsidR="00BB2BEA">
        <w:t xml:space="preserve">intensity of restrictions, or the </w:t>
      </w:r>
      <w:r>
        <w:t xml:space="preserve">cumulative </w:t>
      </w:r>
      <w:r w:rsidR="004F2EFC">
        <w:t>effect</w:t>
      </w:r>
      <w:r>
        <w:t xml:space="preserve"> of </w:t>
      </w:r>
      <w:r w:rsidR="00BB2BEA">
        <w:t xml:space="preserve">multiple </w:t>
      </w:r>
      <w:r>
        <w:t>restrictions, may amount to a deprivation of the person’s l</w:t>
      </w:r>
      <w:r w:rsidR="00BB2BEA">
        <w:t>iberty</w:t>
      </w:r>
      <w:r w:rsidR="00884E2C">
        <w:t>, even though the restrictions may be in the person’s best interests</w:t>
      </w:r>
      <w:r w:rsidR="00BB2BEA">
        <w:t>.  A deprivation of liberty occurs where the person is:</w:t>
      </w:r>
    </w:p>
    <w:p w14:paraId="7A1BEE1F" w14:textId="77777777" w:rsidR="00BB2BEA" w:rsidRDefault="00BB2BEA" w:rsidP="00BB2BEA">
      <w:pPr>
        <w:pStyle w:val="ListParagraph"/>
        <w:spacing w:line="312" w:lineRule="auto"/>
        <w:ind w:left="360"/>
      </w:pPr>
    </w:p>
    <w:p w14:paraId="712B461F" w14:textId="30E50EB1" w:rsidR="00BB2BEA" w:rsidRDefault="00BB2BEA" w:rsidP="00D66E91">
      <w:pPr>
        <w:pStyle w:val="ListParagraph"/>
        <w:numPr>
          <w:ilvl w:val="1"/>
          <w:numId w:val="3"/>
        </w:numPr>
        <w:spacing w:line="312" w:lineRule="auto"/>
      </w:pPr>
      <w:r w:rsidRPr="00BB2BEA">
        <w:t>subject to continuous supervision and control</w:t>
      </w:r>
      <w:r>
        <w:t xml:space="preserve">, and </w:t>
      </w:r>
    </w:p>
    <w:p w14:paraId="5E7160DC" w14:textId="53ACF1ED" w:rsidR="00BB2BEA" w:rsidRDefault="00BB2BEA" w:rsidP="00D66E91">
      <w:pPr>
        <w:pStyle w:val="ListParagraph"/>
        <w:numPr>
          <w:ilvl w:val="1"/>
          <w:numId w:val="3"/>
        </w:numPr>
        <w:spacing w:line="312" w:lineRule="auto"/>
      </w:pPr>
      <w:r>
        <w:t>not free to leave (whether they express a wish to leave or not</w:t>
      </w:r>
      <w:r w:rsidR="004F2EFC">
        <w:rPr>
          <w:rStyle w:val="FootnoteReference"/>
        </w:rPr>
        <w:footnoteReference w:id="23"/>
      </w:r>
      <w:r w:rsidR="00DB3CBD">
        <w:t>)</w:t>
      </w:r>
      <w:r>
        <w:t>.</w:t>
      </w:r>
    </w:p>
    <w:p w14:paraId="42B17C1F" w14:textId="77777777" w:rsidR="00BB2BEA" w:rsidRDefault="00BB2BEA" w:rsidP="00BB2BEA">
      <w:pPr>
        <w:pStyle w:val="ListParagraph"/>
        <w:spacing w:line="312" w:lineRule="auto"/>
        <w:ind w:left="360"/>
      </w:pPr>
    </w:p>
    <w:p w14:paraId="61C496E3" w14:textId="19E9C76D" w:rsidR="00BB2BEA" w:rsidRDefault="00BB2BEA" w:rsidP="00D66E91">
      <w:pPr>
        <w:pStyle w:val="ListParagraph"/>
        <w:numPr>
          <w:ilvl w:val="0"/>
          <w:numId w:val="3"/>
        </w:numPr>
        <w:spacing w:line="312" w:lineRule="auto"/>
      </w:pPr>
      <w:r>
        <w:t xml:space="preserve">Deprivation of </w:t>
      </w:r>
      <w:r w:rsidR="00884E2C">
        <w:t xml:space="preserve">an </w:t>
      </w:r>
      <w:proofErr w:type="spellStart"/>
      <w:r w:rsidR="00884E2C">
        <w:t>incapacit</w:t>
      </w:r>
      <w:r w:rsidR="005162A2">
        <w:t>ous</w:t>
      </w:r>
      <w:proofErr w:type="spellEnd"/>
      <w:r w:rsidR="00884E2C">
        <w:t xml:space="preserve"> </w:t>
      </w:r>
      <w:r>
        <w:t xml:space="preserve">person’s liberty </w:t>
      </w:r>
      <w:r w:rsidR="00884E2C">
        <w:t>to provide them with care or treatment may be in the person’s best interests but nonetheless it must be separately legally authorised, in advance</w:t>
      </w:r>
      <w:r w:rsidR="00787257">
        <w:t xml:space="preserve"> wherever possible</w:t>
      </w:r>
      <w:r w:rsidR="00884E2C">
        <w:t>, to be lawful.  Authorisation may be by way of:</w:t>
      </w:r>
    </w:p>
    <w:p w14:paraId="0D8AE005" w14:textId="77777777" w:rsidR="00884E2C" w:rsidRDefault="00884E2C" w:rsidP="00884E2C">
      <w:pPr>
        <w:pStyle w:val="ListParagraph"/>
        <w:spacing w:line="312" w:lineRule="auto"/>
        <w:ind w:left="360"/>
      </w:pPr>
    </w:p>
    <w:p w14:paraId="68678810" w14:textId="1DED9937" w:rsidR="00884E2C" w:rsidRDefault="00884E2C" w:rsidP="00D66E91">
      <w:pPr>
        <w:pStyle w:val="ListParagraph"/>
        <w:numPr>
          <w:ilvl w:val="1"/>
          <w:numId w:val="3"/>
        </w:numPr>
        <w:spacing w:line="312" w:lineRule="auto"/>
      </w:pPr>
      <w:r>
        <w:t>The Deprivation of Liberty Safeguards (in hospitals and registered care/nursing homes - including the use of urgent authorisations in appropriate, genuinely urgent cases</w:t>
      </w:r>
      <w:proofErr w:type="gramStart"/>
      <w:r>
        <w:t>);</w:t>
      </w:r>
      <w:proofErr w:type="gramEnd"/>
    </w:p>
    <w:p w14:paraId="4A71E28D" w14:textId="144AED0C" w:rsidR="00884E2C" w:rsidRDefault="00884E2C" w:rsidP="00D66E91">
      <w:pPr>
        <w:pStyle w:val="ListParagraph"/>
        <w:numPr>
          <w:ilvl w:val="1"/>
          <w:numId w:val="3"/>
        </w:numPr>
        <w:spacing w:line="312" w:lineRule="auto"/>
      </w:pPr>
      <w:r>
        <w:t xml:space="preserve">An application to the Court of Protection for orders authorising what is </w:t>
      </w:r>
      <w:proofErr w:type="gramStart"/>
      <w:r>
        <w:t>proposed;</w:t>
      </w:r>
      <w:proofErr w:type="gramEnd"/>
    </w:p>
    <w:p w14:paraId="1974AD85" w14:textId="4DDAD661" w:rsidR="00884E2C" w:rsidRDefault="00884E2C" w:rsidP="00D66E91">
      <w:pPr>
        <w:pStyle w:val="ListParagraph"/>
        <w:numPr>
          <w:ilvl w:val="1"/>
          <w:numId w:val="3"/>
        </w:numPr>
        <w:spacing w:line="312" w:lineRule="auto"/>
      </w:pPr>
      <w:r>
        <w:t>In appropriate cases, detention in hospital under the MHA.</w:t>
      </w:r>
    </w:p>
    <w:p w14:paraId="2920693A" w14:textId="77777777" w:rsidR="00884E2C" w:rsidRDefault="00884E2C" w:rsidP="00884E2C">
      <w:pPr>
        <w:pStyle w:val="ListParagraph"/>
        <w:spacing w:line="312" w:lineRule="auto"/>
        <w:ind w:left="360"/>
      </w:pPr>
    </w:p>
    <w:p w14:paraId="6FB42E73" w14:textId="527BB43D" w:rsidR="00884E2C" w:rsidRDefault="00884E2C" w:rsidP="00D66E91">
      <w:pPr>
        <w:pStyle w:val="ListParagraph"/>
        <w:numPr>
          <w:ilvl w:val="0"/>
          <w:numId w:val="3"/>
        </w:numPr>
        <w:spacing w:line="312" w:lineRule="auto"/>
      </w:pPr>
      <w:r>
        <w:t>Examples of deprivation of liberty in health or social care may include:</w:t>
      </w:r>
    </w:p>
    <w:p w14:paraId="6BA11444" w14:textId="77777777" w:rsidR="00884E2C" w:rsidRDefault="00884E2C" w:rsidP="00884E2C">
      <w:pPr>
        <w:pStyle w:val="ListParagraph"/>
      </w:pPr>
    </w:p>
    <w:p w14:paraId="6EBE75B4" w14:textId="59D7EA34" w:rsidR="00884E2C" w:rsidRDefault="00884E2C" w:rsidP="00D66E91">
      <w:pPr>
        <w:pStyle w:val="ListParagraph"/>
        <w:numPr>
          <w:ilvl w:val="1"/>
          <w:numId w:val="3"/>
        </w:numPr>
        <w:spacing w:line="312" w:lineRule="auto"/>
      </w:pPr>
      <w:r>
        <w:t xml:space="preserve">Highly restrictive care plans to bring a person into hospital, and/or to keep them in hospital, for treatment against their </w:t>
      </w:r>
      <w:proofErr w:type="gramStart"/>
      <w:r>
        <w:t>will;</w:t>
      </w:r>
      <w:proofErr w:type="gramEnd"/>
    </w:p>
    <w:p w14:paraId="4B40A801" w14:textId="5531768B" w:rsidR="00884E2C" w:rsidRDefault="00884E2C" w:rsidP="00D66E91">
      <w:pPr>
        <w:pStyle w:val="ListParagraph"/>
        <w:numPr>
          <w:ilvl w:val="1"/>
          <w:numId w:val="3"/>
        </w:numPr>
        <w:spacing w:line="312" w:lineRule="auto"/>
      </w:pPr>
      <w:r>
        <w:t xml:space="preserve">The use of sedation (up to and including general anaesthesia) to give a person treatment against their </w:t>
      </w:r>
      <w:proofErr w:type="gramStart"/>
      <w:r>
        <w:t>will;</w:t>
      </w:r>
      <w:proofErr w:type="gramEnd"/>
    </w:p>
    <w:p w14:paraId="1899AB36" w14:textId="77777777" w:rsidR="00064022" w:rsidRDefault="00064022" w:rsidP="00D66E91">
      <w:pPr>
        <w:pStyle w:val="ListParagraph"/>
        <w:numPr>
          <w:ilvl w:val="1"/>
          <w:numId w:val="3"/>
        </w:numPr>
        <w:spacing w:line="312" w:lineRule="auto"/>
      </w:pPr>
      <w:r>
        <w:t xml:space="preserve">Preventing a person from leaving their care setting for a significant period of </w:t>
      </w:r>
      <w:proofErr w:type="gramStart"/>
      <w:r>
        <w:t>time;</w:t>
      </w:r>
      <w:proofErr w:type="gramEnd"/>
    </w:p>
    <w:p w14:paraId="659DA06A" w14:textId="158B89A8" w:rsidR="00884E2C" w:rsidRDefault="00884E2C" w:rsidP="00D66E91">
      <w:pPr>
        <w:pStyle w:val="ListParagraph"/>
        <w:numPr>
          <w:ilvl w:val="1"/>
          <w:numId w:val="3"/>
        </w:numPr>
        <w:spacing w:line="312" w:lineRule="auto"/>
      </w:pPr>
      <w:r>
        <w:t>Compulsory removal of a person from their home to a different care setting, whether temporarily or permanently.</w:t>
      </w:r>
    </w:p>
    <w:p w14:paraId="252CBBC3" w14:textId="77777777" w:rsidR="00064022" w:rsidRDefault="00064022" w:rsidP="00064022">
      <w:pPr>
        <w:pStyle w:val="ListParagraph"/>
        <w:spacing w:line="312" w:lineRule="auto"/>
        <w:ind w:left="1080"/>
      </w:pPr>
    </w:p>
    <w:p w14:paraId="7294817B" w14:textId="64AB7E97" w:rsidR="00064022" w:rsidRPr="00DA2F3F" w:rsidRDefault="00064022" w:rsidP="00D66E91">
      <w:pPr>
        <w:pStyle w:val="ListParagraph"/>
        <w:numPr>
          <w:ilvl w:val="0"/>
          <w:numId w:val="3"/>
        </w:numPr>
        <w:spacing w:line="312" w:lineRule="auto"/>
      </w:pPr>
      <w:r w:rsidRPr="00DA2F3F">
        <w:t>Deprivation of liberty is a difficult area of law.  Practitioners who have any queries or concerns should escalate them to their supervisor for further shared consideration.</w:t>
      </w:r>
      <w:r w:rsidR="004F2EFC" w:rsidRPr="00DA2F3F">
        <w:t xml:space="preserve">   Practitioners should be assured though that restraint/deprivation of liberty may be the </w:t>
      </w:r>
      <w:r w:rsidR="004F2EFC" w:rsidRPr="00DA2F3F">
        <w:rPr>
          <w:u w:val="single"/>
        </w:rPr>
        <w:t>right</w:t>
      </w:r>
      <w:r w:rsidR="004F2EFC" w:rsidRPr="00DA2F3F">
        <w:t xml:space="preserve"> </w:t>
      </w:r>
      <w:r w:rsidR="0020211C" w:rsidRPr="00DA2F3F">
        <w:t>way to ensure the person gets the care/treatment they need,</w:t>
      </w:r>
      <w:r w:rsidR="004F2EFC" w:rsidRPr="00DA2F3F">
        <w:t xml:space="preserve"> </w:t>
      </w:r>
      <w:proofErr w:type="gramStart"/>
      <w:r w:rsidR="004F2EFC" w:rsidRPr="00DA2F3F">
        <w:t>as long as</w:t>
      </w:r>
      <w:proofErr w:type="gramEnd"/>
      <w:r w:rsidR="004F2EFC" w:rsidRPr="00DA2F3F">
        <w:t xml:space="preserve"> the various legal requirements are met.  </w:t>
      </w:r>
    </w:p>
    <w:p w14:paraId="5FB2338C" w14:textId="77777777" w:rsidR="00887250" w:rsidRDefault="00887250" w:rsidP="00887250">
      <w:pPr>
        <w:pStyle w:val="ListParagraph"/>
        <w:spacing w:line="312" w:lineRule="auto"/>
        <w:ind w:left="360"/>
      </w:pPr>
    </w:p>
    <w:p w14:paraId="6D2138DB" w14:textId="673E9FB4" w:rsidR="003A5878" w:rsidRDefault="00923179" w:rsidP="003A5878">
      <w:pPr>
        <w:spacing w:line="312" w:lineRule="auto"/>
      </w:pPr>
      <w:r>
        <w:rPr>
          <w:b/>
        </w:rPr>
        <w:t>A</w:t>
      </w:r>
      <w:r w:rsidR="003A5878">
        <w:rPr>
          <w:b/>
        </w:rPr>
        <w:t>pplications</w:t>
      </w:r>
      <w:r>
        <w:rPr>
          <w:b/>
        </w:rPr>
        <w:t xml:space="preserve"> to the Court of Protection</w:t>
      </w:r>
    </w:p>
    <w:p w14:paraId="4B62F1C0" w14:textId="7A029483" w:rsidR="003A5878" w:rsidRDefault="003A5878" w:rsidP="003A5878">
      <w:pPr>
        <w:spacing w:line="312" w:lineRule="auto"/>
      </w:pPr>
    </w:p>
    <w:p w14:paraId="6D8CD8CE" w14:textId="1C5789A2" w:rsidR="00EC6DEF" w:rsidRDefault="00EC6DEF" w:rsidP="00D66E91">
      <w:pPr>
        <w:pStyle w:val="ListParagraph"/>
        <w:numPr>
          <w:ilvl w:val="0"/>
          <w:numId w:val="3"/>
        </w:numPr>
        <w:spacing w:line="312" w:lineRule="auto"/>
      </w:pPr>
      <w:r>
        <w:t xml:space="preserve">The paragraphs below set out examples of the types of cases that may need to be taken to the Court of Protection.  This is not intended to be an exhaustive list: these are examples only and other cases may also warrant an application to court.  </w:t>
      </w:r>
      <w:r w:rsidR="006A123A">
        <w:t xml:space="preserve">It is not possible to set down guidance as to all the circumstances where an application to the Court may be required.  </w:t>
      </w:r>
      <w:r w:rsidR="00D81711" w:rsidRPr="009135D8">
        <w:t>Practitioners</w:t>
      </w:r>
      <w:r w:rsidRPr="009135D8">
        <w:t xml:space="preserve"> </w:t>
      </w:r>
      <w:r w:rsidR="009135D8">
        <w:t>should e</w:t>
      </w:r>
      <w:r w:rsidR="009135D8" w:rsidRPr="009135D8">
        <w:t>scalate the matter to their supervisor for further shared consideration</w:t>
      </w:r>
      <w:r w:rsidR="009135D8">
        <w:t xml:space="preserve"> in any case which causes them concern</w:t>
      </w:r>
      <w:r w:rsidR="009135D8" w:rsidRPr="009135D8">
        <w:t>.  Legal advice may be required</w:t>
      </w:r>
      <w:r>
        <w:t>.</w:t>
      </w:r>
    </w:p>
    <w:p w14:paraId="23D57001" w14:textId="77777777" w:rsidR="00EC6DEF" w:rsidRDefault="00EC6DEF" w:rsidP="00EC6DEF">
      <w:pPr>
        <w:pStyle w:val="ListParagraph"/>
        <w:spacing w:line="312" w:lineRule="auto"/>
        <w:ind w:left="360"/>
      </w:pPr>
    </w:p>
    <w:p w14:paraId="50085BFA" w14:textId="42F1FDAE" w:rsidR="00923179" w:rsidRDefault="00923179" w:rsidP="00D66E91">
      <w:pPr>
        <w:pStyle w:val="ListParagraph"/>
        <w:numPr>
          <w:ilvl w:val="0"/>
          <w:numId w:val="3"/>
        </w:numPr>
        <w:spacing w:line="312" w:lineRule="auto"/>
      </w:pPr>
      <w:r>
        <w:t xml:space="preserve">The Court of Protection has power to make orders and declarations in relation to the mental capacity </w:t>
      </w:r>
      <w:r>
        <w:lastRenderedPageBreak/>
        <w:t xml:space="preserve">and </w:t>
      </w:r>
      <w:r w:rsidR="002202F8">
        <w:t xml:space="preserve">welfare </w:t>
      </w:r>
      <w:r>
        <w:t xml:space="preserve">best interests of persons aged 16 and over.  The Court </w:t>
      </w:r>
      <w:proofErr w:type="gramStart"/>
      <w:r>
        <w:t>is able to</w:t>
      </w:r>
      <w:proofErr w:type="gramEnd"/>
      <w:r>
        <w:t xml:space="preserve"> resolve </w:t>
      </w:r>
      <w:r w:rsidR="00EC6DEF">
        <w:t xml:space="preserve">disagreements and </w:t>
      </w:r>
      <w:r>
        <w:t>disputes as to capacity/best interests and authorise care/treatment plans that might not be lawful otherwise.</w:t>
      </w:r>
    </w:p>
    <w:p w14:paraId="27155B16" w14:textId="77777777" w:rsidR="00923179" w:rsidRDefault="00923179" w:rsidP="00923179">
      <w:pPr>
        <w:pStyle w:val="ListParagraph"/>
        <w:spacing w:line="312" w:lineRule="auto"/>
        <w:ind w:left="360"/>
      </w:pPr>
    </w:p>
    <w:p w14:paraId="04705B59" w14:textId="553CD238" w:rsidR="00923179" w:rsidRDefault="00923179" w:rsidP="00D66E91">
      <w:pPr>
        <w:pStyle w:val="ListParagraph"/>
        <w:numPr>
          <w:ilvl w:val="0"/>
          <w:numId w:val="3"/>
        </w:numPr>
        <w:spacing w:line="312" w:lineRule="auto"/>
      </w:pPr>
      <w:r>
        <w:t xml:space="preserve">An application to the Court of Protection </w:t>
      </w:r>
      <w:r w:rsidR="00CA472F">
        <w:t xml:space="preserve">is likely to be necessary, and cases should be escalated </w:t>
      </w:r>
      <w:r w:rsidR="009135D8">
        <w:t>to your supervisor in the first instance, with a view to considering access to legal advice</w:t>
      </w:r>
      <w:r w:rsidR="00093BE2">
        <w:t xml:space="preserve"> where</w:t>
      </w:r>
      <w:r>
        <w:t>:</w:t>
      </w:r>
    </w:p>
    <w:p w14:paraId="708A6978" w14:textId="77777777" w:rsidR="003A5878" w:rsidRDefault="003A5878" w:rsidP="003A5878">
      <w:pPr>
        <w:pStyle w:val="ListParagraph"/>
        <w:spacing w:line="312" w:lineRule="auto"/>
        <w:ind w:left="360"/>
      </w:pPr>
    </w:p>
    <w:p w14:paraId="17CE13A1" w14:textId="0076E93A" w:rsidR="003A5878" w:rsidRPr="00093BE2" w:rsidRDefault="00945F05" w:rsidP="00D66E91">
      <w:pPr>
        <w:pStyle w:val="ListParagraph"/>
        <w:numPr>
          <w:ilvl w:val="1"/>
          <w:numId w:val="3"/>
        </w:numPr>
        <w:spacing w:line="312" w:lineRule="auto"/>
      </w:pPr>
      <w:r w:rsidRPr="00093BE2">
        <w:t xml:space="preserve">there is doubt or disagreement as to whether the person lacks </w:t>
      </w:r>
      <w:proofErr w:type="gramStart"/>
      <w:r w:rsidRPr="00093BE2">
        <w:t>capacity</w:t>
      </w:r>
      <w:proofErr w:type="gramEnd"/>
      <w:r w:rsidR="00093BE2">
        <w:t xml:space="preserve"> and this cannot be resolved in any other way;</w:t>
      </w:r>
    </w:p>
    <w:p w14:paraId="26019C2A" w14:textId="57AD43B8" w:rsidR="00CA472F" w:rsidRPr="00093BE2" w:rsidRDefault="00CA472F" w:rsidP="00D66E91">
      <w:pPr>
        <w:pStyle w:val="ListParagraph"/>
        <w:numPr>
          <w:ilvl w:val="1"/>
          <w:numId w:val="3"/>
        </w:numPr>
        <w:spacing w:line="312" w:lineRule="auto"/>
      </w:pPr>
      <w:r w:rsidRPr="00093BE2">
        <w:t xml:space="preserve">there is doubt or disagreement as to whether proposed care or treatment would be </w:t>
      </w:r>
      <w:r w:rsidR="00EC6DEF">
        <w:t xml:space="preserve">in </w:t>
      </w:r>
      <w:r w:rsidRPr="00093BE2">
        <w:t xml:space="preserve">an incapacitated person’s best </w:t>
      </w:r>
      <w:proofErr w:type="gramStart"/>
      <w:r w:rsidRPr="00093BE2">
        <w:t>interests</w:t>
      </w:r>
      <w:proofErr w:type="gramEnd"/>
      <w:r w:rsidR="00093BE2" w:rsidRPr="00093BE2">
        <w:t xml:space="preserve"> </w:t>
      </w:r>
      <w:r w:rsidR="00093BE2">
        <w:t>and this cannot be resolved in any other way</w:t>
      </w:r>
      <w:r w:rsidRPr="00093BE2">
        <w:t>;</w:t>
      </w:r>
    </w:p>
    <w:p w14:paraId="6FA4AE55" w14:textId="02A4F2B0" w:rsidR="00CA472F" w:rsidRDefault="00CA472F" w:rsidP="00D66E91">
      <w:pPr>
        <w:pStyle w:val="ListParagraph"/>
        <w:numPr>
          <w:ilvl w:val="1"/>
          <w:numId w:val="3"/>
        </w:numPr>
        <w:spacing w:line="312" w:lineRule="auto"/>
      </w:pPr>
      <w:r w:rsidRPr="00093BE2">
        <w:t>the person will be deprived of their liberty under the proposed care/treatment plan and that deprivation of liberty cannot be authorised in any other way</w:t>
      </w:r>
      <w:r w:rsidR="00093BE2">
        <w:t>.</w:t>
      </w:r>
    </w:p>
    <w:p w14:paraId="0CFF0403" w14:textId="77777777" w:rsidR="00EC6DEF" w:rsidRDefault="00EC6DEF" w:rsidP="00EC6DEF">
      <w:pPr>
        <w:pStyle w:val="ListParagraph"/>
        <w:spacing w:line="312" w:lineRule="auto"/>
        <w:ind w:left="1080"/>
      </w:pPr>
    </w:p>
    <w:p w14:paraId="6BB87608" w14:textId="65AC11BF" w:rsidR="00EC6DEF" w:rsidRDefault="002202F8" w:rsidP="00D66E91">
      <w:pPr>
        <w:pStyle w:val="ListParagraph"/>
        <w:numPr>
          <w:ilvl w:val="0"/>
          <w:numId w:val="3"/>
        </w:numPr>
        <w:spacing w:line="312" w:lineRule="auto"/>
      </w:pPr>
      <w:r>
        <w:t xml:space="preserve">Examples of cases that </w:t>
      </w:r>
      <w:r w:rsidR="006A123A">
        <w:t>likely to require</w:t>
      </w:r>
      <w:r>
        <w:t xml:space="preserve"> an application to the Court include:</w:t>
      </w:r>
    </w:p>
    <w:p w14:paraId="1A55E7F2" w14:textId="77777777" w:rsidR="002202F8" w:rsidRDefault="002202F8" w:rsidP="002202F8">
      <w:pPr>
        <w:pStyle w:val="ListParagraph"/>
        <w:spacing w:line="312" w:lineRule="auto"/>
        <w:ind w:left="360"/>
      </w:pPr>
    </w:p>
    <w:p w14:paraId="65257AE5" w14:textId="009BFABF" w:rsidR="002202F8" w:rsidRDefault="002202F8" w:rsidP="00D66E91">
      <w:pPr>
        <w:pStyle w:val="ListParagraph"/>
        <w:numPr>
          <w:ilvl w:val="1"/>
          <w:numId w:val="3"/>
        </w:numPr>
        <w:spacing w:line="312" w:lineRule="auto"/>
      </w:pPr>
      <w:r>
        <w:t>Disputes as to where an incapacitated person should live</w:t>
      </w:r>
      <w:r w:rsidR="008D7B2A">
        <w:t>, once all avenues to resolve the dispute have been explored as per Chapter 15 of the MCA Code</w:t>
      </w:r>
      <w:r>
        <w:t xml:space="preserve">.  This includes cases of delayed discharge where there is a dispute as to an incapacitated person’s destination on </w:t>
      </w:r>
      <w:proofErr w:type="gramStart"/>
      <w:r>
        <w:t>discharge;</w:t>
      </w:r>
      <w:proofErr w:type="gramEnd"/>
    </w:p>
    <w:p w14:paraId="41FAFC68" w14:textId="03AD152A" w:rsidR="006A123A" w:rsidRDefault="006A123A" w:rsidP="00D66E91">
      <w:pPr>
        <w:pStyle w:val="ListParagraph"/>
        <w:numPr>
          <w:ilvl w:val="1"/>
          <w:numId w:val="3"/>
        </w:numPr>
        <w:spacing w:line="312" w:lineRule="auto"/>
      </w:pPr>
      <w:r>
        <w:t xml:space="preserve">Disputes as to whether an incapacitated person should have contact with one or more other people who may pose a risk of </w:t>
      </w:r>
      <w:proofErr w:type="gramStart"/>
      <w:r>
        <w:t>harm;</w:t>
      </w:r>
      <w:proofErr w:type="gramEnd"/>
    </w:p>
    <w:p w14:paraId="2211AEF2" w14:textId="1531AA0D" w:rsidR="006A123A" w:rsidRDefault="006A123A" w:rsidP="00D66E91">
      <w:pPr>
        <w:pStyle w:val="ListParagraph"/>
        <w:numPr>
          <w:ilvl w:val="1"/>
          <w:numId w:val="3"/>
        </w:numPr>
        <w:spacing w:line="312" w:lineRule="auto"/>
      </w:pPr>
      <w:r>
        <w:t xml:space="preserve">Disputes as to routine medical treatment for the person that cannot be resolved in any other way: for </w:t>
      </w:r>
      <w:proofErr w:type="gramStart"/>
      <w:r>
        <w:t>example</w:t>
      </w:r>
      <w:proofErr w:type="gramEnd"/>
      <w:r>
        <w:t xml:space="preserve"> Covid-19 vaccination;</w:t>
      </w:r>
    </w:p>
    <w:p w14:paraId="40A4FE57" w14:textId="58FD94EE" w:rsidR="002202F8" w:rsidRDefault="006A123A" w:rsidP="00D66E91">
      <w:pPr>
        <w:pStyle w:val="ListParagraph"/>
        <w:numPr>
          <w:ilvl w:val="1"/>
          <w:numId w:val="3"/>
        </w:numPr>
        <w:spacing w:line="312" w:lineRule="auto"/>
      </w:pPr>
      <w:r>
        <w:t>Cases involving</w:t>
      </w:r>
      <w:r w:rsidR="002202F8">
        <w:t xml:space="preserve"> serious medical treatment where an application appears to be necessary in line with the guidance</w:t>
      </w:r>
      <w:r>
        <w:rPr>
          <w:rStyle w:val="FootnoteReference"/>
        </w:rPr>
        <w:footnoteReference w:id="24"/>
      </w:r>
      <w:r w:rsidR="002202F8">
        <w:t xml:space="preserve"> produced by the </w:t>
      </w:r>
      <w:r w:rsidR="00B77E41">
        <w:t>C</w:t>
      </w:r>
      <w:r w:rsidR="002202F8">
        <w:t>ourt.</w:t>
      </w:r>
    </w:p>
    <w:p w14:paraId="03DD9195" w14:textId="77777777" w:rsidR="002202F8" w:rsidRDefault="002202F8" w:rsidP="002202F8">
      <w:pPr>
        <w:pStyle w:val="ListParagraph"/>
        <w:spacing w:line="312" w:lineRule="auto"/>
        <w:ind w:left="1080"/>
      </w:pPr>
    </w:p>
    <w:p w14:paraId="570ACD6B" w14:textId="414E4CE7" w:rsidR="002202F8" w:rsidRDefault="006A123A" w:rsidP="00D66E91">
      <w:pPr>
        <w:pStyle w:val="ListParagraph"/>
        <w:numPr>
          <w:ilvl w:val="0"/>
          <w:numId w:val="3"/>
        </w:numPr>
        <w:spacing w:line="312" w:lineRule="auto"/>
      </w:pPr>
      <w:r>
        <w:t>Examples of s</w:t>
      </w:r>
      <w:r w:rsidR="002202F8">
        <w:t xml:space="preserve">erious medical treatment cases </w:t>
      </w:r>
      <w:r>
        <w:t>requiring an application to court may include:</w:t>
      </w:r>
    </w:p>
    <w:p w14:paraId="2E2ED787" w14:textId="3FF72A99" w:rsidR="003A5878" w:rsidRPr="006A123A" w:rsidRDefault="003A5878" w:rsidP="006A123A">
      <w:pPr>
        <w:spacing w:line="312" w:lineRule="auto"/>
        <w:rPr>
          <w:i/>
          <w:highlight w:val="yellow"/>
        </w:rPr>
      </w:pPr>
    </w:p>
    <w:p w14:paraId="3967891C" w14:textId="1430C515" w:rsidR="003A5878" w:rsidRPr="00EC6DEF" w:rsidRDefault="006A123A" w:rsidP="00D66E91">
      <w:pPr>
        <w:pStyle w:val="ListParagraph"/>
        <w:numPr>
          <w:ilvl w:val="1"/>
          <w:numId w:val="3"/>
        </w:numPr>
        <w:spacing w:line="312" w:lineRule="auto"/>
      </w:pPr>
      <w:r>
        <w:t>O</w:t>
      </w:r>
      <w:r w:rsidR="007940FE" w:rsidRPr="00EC6DEF">
        <w:t xml:space="preserve">bstetric cases where the mother lacks capacity and is likely to resist a birth plan considered to be in </w:t>
      </w:r>
      <w:r w:rsidR="00EC6DEF">
        <w:t>her</w:t>
      </w:r>
      <w:r w:rsidR="007940FE" w:rsidRPr="00EC6DEF">
        <w:t xml:space="preserve"> best interests.  This includes cases where the mother is currently detained </w:t>
      </w:r>
      <w:r w:rsidR="00EC6DEF">
        <w:t xml:space="preserve">in hospital </w:t>
      </w:r>
      <w:r w:rsidR="002202F8">
        <w:t xml:space="preserve">under the </w:t>
      </w:r>
      <w:proofErr w:type="gramStart"/>
      <w:r w:rsidR="002202F8">
        <w:t>MHA;</w:t>
      </w:r>
      <w:proofErr w:type="gramEnd"/>
    </w:p>
    <w:p w14:paraId="3F27F45D" w14:textId="6C71AAF4" w:rsidR="007940FE" w:rsidRPr="00EC6DEF" w:rsidRDefault="006A123A" w:rsidP="00D66E91">
      <w:pPr>
        <w:pStyle w:val="ListParagraph"/>
        <w:numPr>
          <w:ilvl w:val="1"/>
          <w:numId w:val="3"/>
        </w:numPr>
        <w:spacing w:line="312" w:lineRule="auto"/>
      </w:pPr>
      <w:r>
        <w:t>C</w:t>
      </w:r>
      <w:r w:rsidR="007940FE" w:rsidRPr="00EC6DEF">
        <w:t>ases where the person, lacking capacity, is refusing to</w:t>
      </w:r>
      <w:r>
        <w:t xml:space="preserve"> come in</w:t>
      </w:r>
      <w:r w:rsidR="008F4111">
        <w:t xml:space="preserve"> </w:t>
      </w:r>
      <w:r>
        <w:t xml:space="preserve">to hospital from their </w:t>
      </w:r>
      <w:r w:rsidR="007940FE" w:rsidRPr="00EC6DEF">
        <w:t xml:space="preserve">home for treatment that </w:t>
      </w:r>
      <w:r w:rsidR="00EC6DEF">
        <w:t>is recommended</w:t>
      </w:r>
      <w:r w:rsidR="007940FE" w:rsidRPr="00EC6DEF">
        <w:t xml:space="preserve"> in their best </w:t>
      </w:r>
      <w:proofErr w:type="gramStart"/>
      <w:r w:rsidR="007940FE" w:rsidRPr="00EC6DEF">
        <w:t>interests;</w:t>
      </w:r>
      <w:proofErr w:type="gramEnd"/>
    </w:p>
    <w:p w14:paraId="38E50315" w14:textId="273791EB" w:rsidR="007940FE" w:rsidRDefault="00EC6DEF" w:rsidP="00D66E91">
      <w:pPr>
        <w:pStyle w:val="ListParagraph"/>
        <w:numPr>
          <w:ilvl w:val="1"/>
          <w:numId w:val="3"/>
        </w:numPr>
        <w:spacing w:line="312" w:lineRule="auto"/>
      </w:pPr>
      <w:r>
        <w:t>Where a person who lacks capacity is refusing treatment for a chronic and potentially life threating condition and repeated restraint may be required to administer that treatment (e.g. dialysis</w:t>
      </w:r>
      <w:proofErr w:type="gramStart"/>
      <w:r>
        <w:t>)</w:t>
      </w:r>
      <w:r w:rsidR="00722315">
        <w:t>;</w:t>
      </w:r>
      <w:proofErr w:type="gramEnd"/>
    </w:p>
    <w:p w14:paraId="19E5A377" w14:textId="72DF3BDF" w:rsidR="006A123A" w:rsidRDefault="006A123A" w:rsidP="00D66E91">
      <w:pPr>
        <w:pStyle w:val="ListParagraph"/>
        <w:numPr>
          <w:ilvl w:val="1"/>
          <w:numId w:val="3"/>
        </w:numPr>
        <w:spacing w:line="312" w:lineRule="auto"/>
      </w:pPr>
      <w:r>
        <w:t>Disputes as to the withholding or withdrawal of life sustaining treatment.</w:t>
      </w:r>
    </w:p>
    <w:p w14:paraId="09FF0586" w14:textId="7908BD24" w:rsidR="003A5878" w:rsidRDefault="003A5878" w:rsidP="005B05C1">
      <w:pPr>
        <w:spacing w:line="312" w:lineRule="auto"/>
        <w:rPr>
          <w:b/>
        </w:rPr>
      </w:pPr>
    </w:p>
    <w:p w14:paraId="0E61968B" w14:textId="77777777" w:rsidR="00117A82" w:rsidRPr="005102BA" w:rsidRDefault="00117A82" w:rsidP="005B05C1">
      <w:pPr>
        <w:spacing w:line="312" w:lineRule="auto"/>
        <w:rPr>
          <w:b/>
        </w:rPr>
      </w:pPr>
      <w:r w:rsidRPr="005102BA">
        <w:rPr>
          <w:b/>
        </w:rPr>
        <w:t>Urgent situations</w:t>
      </w:r>
    </w:p>
    <w:p w14:paraId="15A7C0FE" w14:textId="77777777" w:rsidR="00117A82" w:rsidRDefault="00117A82" w:rsidP="005B05C1">
      <w:pPr>
        <w:spacing w:line="312" w:lineRule="auto"/>
        <w:rPr>
          <w:u w:val="single"/>
        </w:rPr>
      </w:pPr>
    </w:p>
    <w:p w14:paraId="425A6052" w14:textId="2C39B6BA" w:rsidR="002E058D" w:rsidRDefault="002E058D" w:rsidP="00D66E91">
      <w:pPr>
        <w:pStyle w:val="ListParagraph"/>
        <w:numPr>
          <w:ilvl w:val="0"/>
          <w:numId w:val="3"/>
        </w:numPr>
        <w:spacing w:line="312" w:lineRule="auto"/>
      </w:pPr>
      <w:r>
        <w:t>The above guidance applies equally in cases where care/treatment is considered urgent</w:t>
      </w:r>
      <w:r w:rsidR="00670771">
        <w:t xml:space="preserve"> to save the person’s life or prevent significant harm</w:t>
      </w:r>
      <w:r>
        <w:t>.</w:t>
      </w:r>
      <w:r w:rsidR="00116AF0">
        <w:t xml:space="preserve">  Capacity must</w:t>
      </w:r>
      <w:r w:rsidR="0020211C">
        <w:t xml:space="preserve"> always</w:t>
      </w:r>
      <w:r w:rsidR="00116AF0">
        <w:t xml:space="preserve"> be carefully considered.  A </w:t>
      </w:r>
      <w:proofErr w:type="spellStart"/>
      <w:r w:rsidR="00116AF0">
        <w:t>capacitous</w:t>
      </w:r>
      <w:proofErr w:type="spellEnd"/>
      <w:r w:rsidR="00116AF0">
        <w:t xml:space="preserve"> refusal of care must be respected even though the care/treatment may be required urgently.  Equally, do not delay in providing care/treatment where you reasonably believe that the </w:t>
      </w:r>
      <w:r w:rsidR="00116AF0">
        <w:lastRenderedPageBreak/>
        <w:t xml:space="preserve">person lacks capacity, and that the care/treatment would be in their best interests, and there appears to be no other good reason not to proceed.  Restraint can be justified urgently in best interests where it is necessary and proportionate, as described in the section on restraint above.  It may be appropriate to deprive an </w:t>
      </w:r>
      <w:proofErr w:type="spellStart"/>
      <w:r w:rsidR="00116AF0">
        <w:t>incapacit</w:t>
      </w:r>
      <w:r w:rsidR="00B77E41">
        <w:t>ous</w:t>
      </w:r>
      <w:proofErr w:type="spellEnd"/>
      <w:r w:rsidR="00116AF0">
        <w:t xml:space="preserve"> person of their liberty urgently </w:t>
      </w:r>
      <w:proofErr w:type="gramStart"/>
      <w:r w:rsidR="00116AF0">
        <w:t>in order to</w:t>
      </w:r>
      <w:proofErr w:type="gramEnd"/>
      <w:r w:rsidR="00116AF0">
        <w:t xml:space="preserve"> prevent them from coming to harm as long as steps are then taken </w:t>
      </w:r>
      <w:r w:rsidR="00670771">
        <w:t>as soon as possible</w:t>
      </w:r>
      <w:r w:rsidR="00116AF0">
        <w:t xml:space="preserve"> to obtain authorisation of the deprivation of liberty</w:t>
      </w:r>
      <w:r w:rsidR="00116AF0">
        <w:rPr>
          <w:rStyle w:val="FootnoteReference"/>
        </w:rPr>
        <w:footnoteReference w:id="25"/>
      </w:r>
      <w:r w:rsidR="00670771">
        <w:t>.</w:t>
      </w:r>
    </w:p>
    <w:p w14:paraId="659D7495" w14:textId="77777777" w:rsidR="002E058D" w:rsidRDefault="002E058D" w:rsidP="002E058D">
      <w:pPr>
        <w:pStyle w:val="ListParagraph"/>
        <w:spacing w:line="312" w:lineRule="auto"/>
        <w:ind w:left="360"/>
      </w:pPr>
    </w:p>
    <w:p w14:paraId="22436BEA" w14:textId="696601ED" w:rsidR="0072318B" w:rsidRPr="00165365" w:rsidRDefault="00116AF0" w:rsidP="00D66E91">
      <w:pPr>
        <w:pStyle w:val="ListParagraph"/>
        <w:numPr>
          <w:ilvl w:val="0"/>
          <w:numId w:val="3"/>
        </w:numPr>
        <w:spacing w:line="312" w:lineRule="auto"/>
        <w:rPr>
          <w:rFonts w:cs="Arial"/>
        </w:rPr>
      </w:pPr>
      <w:r w:rsidRPr="00165365">
        <w:t xml:space="preserve">Practitioners should </w:t>
      </w:r>
      <w:r w:rsidR="002302CB" w:rsidRPr="00165365">
        <w:rPr>
          <w:rStyle w:val="cf01"/>
          <w:rFonts w:ascii="Arial" w:hAnsi="Arial" w:cs="Arial"/>
          <w:sz w:val="20"/>
          <w:szCs w:val="20"/>
        </w:rPr>
        <w:t xml:space="preserve">escalate the matter to their supervisor, shift manager or on-call duty manager </w:t>
      </w:r>
      <w:r w:rsidR="007F40DC" w:rsidRPr="00165365">
        <w:rPr>
          <w:rStyle w:val="cf01"/>
          <w:rFonts w:ascii="Arial" w:hAnsi="Arial" w:cs="Arial"/>
          <w:sz w:val="20"/>
          <w:szCs w:val="20"/>
        </w:rPr>
        <w:t>promptly</w:t>
      </w:r>
      <w:r w:rsidR="002302CB" w:rsidRPr="00165365">
        <w:rPr>
          <w:rStyle w:val="cf01"/>
          <w:rFonts w:ascii="Arial" w:hAnsi="Arial" w:cs="Arial"/>
          <w:sz w:val="20"/>
          <w:szCs w:val="20"/>
        </w:rPr>
        <w:t xml:space="preserve"> for further shared consideration</w:t>
      </w:r>
      <w:r w:rsidR="003D683F" w:rsidRPr="00165365">
        <w:rPr>
          <w:rStyle w:val="cf01"/>
          <w:rFonts w:ascii="Arial" w:hAnsi="Arial" w:cs="Arial"/>
          <w:sz w:val="20"/>
          <w:szCs w:val="20"/>
        </w:rPr>
        <w:t xml:space="preserve">, in </w:t>
      </w:r>
      <w:r w:rsidR="00607032" w:rsidRPr="00165365">
        <w:rPr>
          <w:rFonts w:cs="Arial"/>
        </w:rPr>
        <w:t>the following urgent situations</w:t>
      </w:r>
      <w:r w:rsidRPr="00165365">
        <w:rPr>
          <w:rFonts w:cs="Arial"/>
        </w:rPr>
        <w:t>:</w:t>
      </w:r>
    </w:p>
    <w:p w14:paraId="3C98074F" w14:textId="77777777" w:rsidR="00607032" w:rsidRDefault="00607032" w:rsidP="00607032">
      <w:pPr>
        <w:pStyle w:val="ListParagraph"/>
      </w:pPr>
    </w:p>
    <w:p w14:paraId="032B9159" w14:textId="5E7F87C6" w:rsidR="00116AF0" w:rsidRDefault="00607032" w:rsidP="00D66E91">
      <w:pPr>
        <w:pStyle w:val="ListParagraph"/>
        <w:numPr>
          <w:ilvl w:val="1"/>
          <w:numId w:val="3"/>
        </w:numPr>
        <w:spacing w:line="312" w:lineRule="auto"/>
      </w:pPr>
      <w:r>
        <w:t xml:space="preserve">There is doubt as to whether the person lacks </w:t>
      </w:r>
      <w:proofErr w:type="gramStart"/>
      <w:r>
        <w:t>capacity;</w:t>
      </w:r>
      <w:proofErr w:type="gramEnd"/>
    </w:p>
    <w:p w14:paraId="5D8895CA" w14:textId="31F8BFB2" w:rsidR="00607032" w:rsidRDefault="00607032" w:rsidP="00D66E91">
      <w:pPr>
        <w:pStyle w:val="ListParagraph"/>
        <w:numPr>
          <w:ilvl w:val="1"/>
          <w:numId w:val="3"/>
        </w:numPr>
        <w:spacing w:line="312" w:lineRule="auto"/>
      </w:pPr>
      <w:r>
        <w:t xml:space="preserve">There is doubt as to the validity or applicability of an advance </w:t>
      </w:r>
      <w:proofErr w:type="gramStart"/>
      <w:r>
        <w:t>decision;</w:t>
      </w:r>
      <w:proofErr w:type="gramEnd"/>
    </w:p>
    <w:p w14:paraId="425566B5" w14:textId="70389BD0" w:rsidR="00607032" w:rsidRDefault="00607032" w:rsidP="00D66E91">
      <w:pPr>
        <w:pStyle w:val="ListParagraph"/>
        <w:numPr>
          <w:ilvl w:val="1"/>
          <w:numId w:val="3"/>
        </w:numPr>
        <w:spacing w:line="312" w:lineRule="auto"/>
      </w:pPr>
      <w:r>
        <w:t xml:space="preserve">There is disagreement as to the person’s best interests, including a disagreement with an LPA or </w:t>
      </w:r>
      <w:proofErr w:type="gramStart"/>
      <w:r>
        <w:t>deputy;</w:t>
      </w:r>
      <w:proofErr w:type="gramEnd"/>
    </w:p>
    <w:p w14:paraId="1F4BC3F8" w14:textId="55D2C85E" w:rsidR="00116AF0" w:rsidRDefault="00607032" w:rsidP="00D66E91">
      <w:pPr>
        <w:pStyle w:val="ListParagraph"/>
        <w:numPr>
          <w:ilvl w:val="1"/>
          <w:numId w:val="3"/>
        </w:numPr>
        <w:spacing w:line="312" w:lineRule="auto"/>
      </w:pPr>
      <w:r>
        <w:t xml:space="preserve">The care plan will involve significant restraint/deprivation of the person’s </w:t>
      </w:r>
      <w:proofErr w:type="gramStart"/>
      <w:r w:rsidR="00670771">
        <w:t>liberty;</w:t>
      </w:r>
      <w:proofErr w:type="gramEnd"/>
    </w:p>
    <w:p w14:paraId="62142AE8" w14:textId="644E9D7A" w:rsidR="00670771" w:rsidRDefault="00670771" w:rsidP="00D66E91">
      <w:pPr>
        <w:pStyle w:val="ListParagraph"/>
        <w:numPr>
          <w:ilvl w:val="1"/>
          <w:numId w:val="3"/>
        </w:numPr>
        <w:spacing w:line="312" w:lineRule="auto"/>
      </w:pPr>
      <w:r>
        <w:t xml:space="preserve">“Serious medical treatment” is </w:t>
      </w:r>
      <w:proofErr w:type="gramStart"/>
      <w:r>
        <w:t>proposed</w:t>
      </w:r>
      <w:proofErr w:type="gramEnd"/>
      <w:r>
        <w:t xml:space="preserve"> and the case falls within the scope of the Court of Protection’s guidance on applications to court</w:t>
      </w:r>
      <w:r>
        <w:rPr>
          <w:rStyle w:val="FootnoteReference"/>
        </w:rPr>
        <w:footnoteReference w:id="26"/>
      </w:r>
      <w:r w:rsidR="007031B5">
        <w:t>.</w:t>
      </w:r>
    </w:p>
    <w:p w14:paraId="36FC2AEF" w14:textId="77777777" w:rsidR="007031B5" w:rsidRDefault="007031B5" w:rsidP="007031B5">
      <w:pPr>
        <w:pStyle w:val="ListParagraph"/>
        <w:spacing w:line="312" w:lineRule="auto"/>
        <w:ind w:left="1080"/>
      </w:pPr>
    </w:p>
    <w:p w14:paraId="58469226" w14:textId="2F01ACA3" w:rsidR="00737CFB" w:rsidRDefault="003D683F" w:rsidP="00D66E91">
      <w:pPr>
        <w:pStyle w:val="ListParagraph"/>
        <w:numPr>
          <w:ilvl w:val="0"/>
          <w:numId w:val="3"/>
        </w:numPr>
        <w:spacing w:line="312" w:lineRule="auto"/>
      </w:pPr>
      <w:r w:rsidRPr="00DA2F3F">
        <w:rPr>
          <w:rStyle w:val="cf01"/>
          <w:rFonts w:ascii="Arial" w:hAnsi="Arial" w:cs="Arial"/>
          <w:sz w:val="20"/>
          <w:szCs w:val="20"/>
        </w:rPr>
        <w:t xml:space="preserve">Matters such as this </w:t>
      </w:r>
      <w:r w:rsidR="00E71016" w:rsidRPr="00DA2F3F">
        <w:rPr>
          <w:rStyle w:val="cf01"/>
          <w:rFonts w:ascii="Arial" w:hAnsi="Arial" w:cs="Arial"/>
          <w:sz w:val="20"/>
          <w:szCs w:val="20"/>
        </w:rPr>
        <w:t>are likely to require</w:t>
      </w:r>
      <w:r w:rsidRPr="00DA2F3F">
        <w:rPr>
          <w:rStyle w:val="cf01"/>
          <w:rFonts w:ascii="Arial" w:hAnsi="Arial" w:cs="Arial"/>
          <w:sz w:val="20"/>
          <w:szCs w:val="20"/>
        </w:rPr>
        <w:t xml:space="preserve"> prompt legal advice.  </w:t>
      </w:r>
      <w:r w:rsidR="007031B5" w:rsidRPr="00DA2F3F">
        <w:t>Practitioners should note that if necessary</w:t>
      </w:r>
      <w:r w:rsidR="0020211C" w:rsidRPr="00DA2F3F">
        <w:t>,</w:t>
      </w:r>
      <w:r w:rsidR="007031B5" w:rsidRPr="00DA2F3F">
        <w:t xml:space="preserve"> court applications can be made urgently, out of hours if need be, and court decisions can be obtained quickly</w:t>
      </w:r>
      <w:r w:rsidR="00DA2F3F">
        <w:t>, within hours in genuinely urgent cases</w:t>
      </w:r>
      <w:r w:rsidR="007031B5" w:rsidRPr="00DA2F3F">
        <w:t xml:space="preserve">.  </w:t>
      </w:r>
    </w:p>
    <w:p w14:paraId="3049FFD4" w14:textId="77777777" w:rsidR="00117A82" w:rsidRDefault="00117A82" w:rsidP="005B05C1">
      <w:pPr>
        <w:spacing w:line="312" w:lineRule="auto"/>
        <w:rPr>
          <w:u w:val="single"/>
        </w:rPr>
      </w:pPr>
    </w:p>
    <w:p w14:paraId="0D407D6D" w14:textId="2C32B4AC" w:rsidR="005B05C1" w:rsidRPr="00117A82" w:rsidRDefault="005B05C1" w:rsidP="005B05C1">
      <w:pPr>
        <w:spacing w:line="312" w:lineRule="auto"/>
        <w:rPr>
          <w:b/>
        </w:rPr>
      </w:pPr>
      <w:r w:rsidRPr="00117A82">
        <w:rPr>
          <w:b/>
        </w:rPr>
        <w:t>Care planning for known/likely refusers of care</w:t>
      </w:r>
    </w:p>
    <w:p w14:paraId="3272D0BE" w14:textId="08A78CD6" w:rsidR="00A90235" w:rsidRDefault="00A90235" w:rsidP="005B05C1">
      <w:pPr>
        <w:spacing w:line="312" w:lineRule="auto"/>
        <w:rPr>
          <w:b/>
        </w:rPr>
      </w:pPr>
    </w:p>
    <w:p w14:paraId="730DB508" w14:textId="371B6C9C" w:rsidR="000E195B" w:rsidRPr="00744FCB" w:rsidRDefault="007269DA" w:rsidP="00D66E91">
      <w:pPr>
        <w:pStyle w:val="ListParagraph"/>
        <w:numPr>
          <w:ilvl w:val="0"/>
          <w:numId w:val="3"/>
        </w:numPr>
        <w:spacing w:line="312" w:lineRule="auto"/>
      </w:pPr>
      <w:r w:rsidRPr="00744FCB">
        <w:t xml:space="preserve">In some cases it will be clear before a decision needs to be taken that a vulnerable person will be likely to refuse an offer of care/treatment.  Often this will </w:t>
      </w:r>
      <w:r w:rsidR="005334C8" w:rsidRPr="00744FCB">
        <w:t xml:space="preserve">be </w:t>
      </w:r>
      <w:r w:rsidRPr="00744FCB">
        <w:t>be</w:t>
      </w:r>
      <w:r w:rsidR="00945F05" w:rsidRPr="00744FCB">
        <w:t>cause of a longstanding or</w:t>
      </w:r>
      <w:r w:rsidRPr="00744FCB">
        <w:t xml:space="preserve"> ongoing impairment of, or disturbance in the functioning of, their mind or brain which </w:t>
      </w:r>
      <w:r w:rsidR="005334C8" w:rsidRPr="00744FCB">
        <w:t>affects</w:t>
      </w:r>
      <w:r w:rsidRPr="00744FCB">
        <w:t xml:space="preserve"> their mental capacity to make such decision</w:t>
      </w:r>
      <w:r w:rsidR="00945F05" w:rsidRPr="00744FCB">
        <w:t>s</w:t>
      </w:r>
      <w:r w:rsidRPr="00744FCB">
        <w:t xml:space="preserve">.  In cases such as these </w:t>
      </w:r>
      <w:r w:rsidR="005334C8" w:rsidRPr="00744FCB">
        <w:t>practitioners</w:t>
      </w:r>
      <w:r w:rsidRPr="00744FCB">
        <w:t xml:space="preserve"> must plan ahead of time for the likely refusal, setting down a clear framework for how services will respond and what steps will be taken to ensure that decisions are taken promptly </w:t>
      </w:r>
      <w:proofErr w:type="gramStart"/>
      <w:r w:rsidRPr="00744FCB">
        <w:t>and in the person’s</w:t>
      </w:r>
      <w:proofErr w:type="gramEnd"/>
      <w:r w:rsidRPr="00744FCB">
        <w:t xml:space="preserve"> best interests.</w:t>
      </w:r>
    </w:p>
    <w:p w14:paraId="2B334B90" w14:textId="77777777" w:rsidR="007269DA" w:rsidRDefault="007269DA" w:rsidP="007269DA">
      <w:pPr>
        <w:spacing w:line="312" w:lineRule="auto"/>
      </w:pPr>
    </w:p>
    <w:p w14:paraId="4CC7DB04" w14:textId="28EA5980" w:rsidR="007269DA" w:rsidRDefault="007269DA" w:rsidP="00D66E91">
      <w:pPr>
        <w:pStyle w:val="ListParagraph"/>
        <w:numPr>
          <w:ilvl w:val="0"/>
          <w:numId w:val="3"/>
        </w:numPr>
        <w:spacing w:line="312" w:lineRule="auto"/>
      </w:pPr>
      <w:r>
        <w:t xml:space="preserve">The </w:t>
      </w:r>
      <w:r w:rsidR="003B7C03">
        <w:t>Mental Capacity Act 2005 and Deprivation of Liberty Policy</w:t>
      </w:r>
      <w:r w:rsidR="00F203DB">
        <w:rPr>
          <w:rStyle w:val="FootnoteReference"/>
        </w:rPr>
        <w:footnoteReference w:id="27"/>
      </w:r>
      <w:r w:rsidR="003B7C03">
        <w:t xml:space="preserve"> </w:t>
      </w:r>
      <w:r>
        <w:t xml:space="preserve">sets out local expectations as to how such cases will be approached.  </w:t>
      </w:r>
      <w:r w:rsidR="00D81711" w:rsidRPr="003B7C03">
        <w:t>Practitioners</w:t>
      </w:r>
      <w:r w:rsidRPr="003B7C03">
        <w:t xml:space="preserve"> </w:t>
      </w:r>
      <w:r>
        <w:t>are required to read that document and apply it when care planning in advance for known/likely refusers of care.</w:t>
      </w:r>
      <w:r w:rsidR="000676F4">
        <w:t xml:space="preserve">  </w:t>
      </w:r>
    </w:p>
    <w:p w14:paraId="0DE41309" w14:textId="77777777" w:rsidR="00945F05" w:rsidRDefault="00945F05" w:rsidP="00945F05">
      <w:pPr>
        <w:pStyle w:val="ListParagraph"/>
      </w:pPr>
    </w:p>
    <w:p w14:paraId="70628062" w14:textId="058C2AE4" w:rsidR="00945F05" w:rsidRDefault="00945F05" w:rsidP="00D66E91">
      <w:pPr>
        <w:pStyle w:val="ListParagraph"/>
        <w:numPr>
          <w:ilvl w:val="0"/>
          <w:numId w:val="3"/>
        </w:numPr>
        <w:spacing w:line="312" w:lineRule="auto"/>
      </w:pPr>
      <w:r>
        <w:t>Important elements of advance care planning will include:</w:t>
      </w:r>
    </w:p>
    <w:p w14:paraId="19DA9C43" w14:textId="77777777" w:rsidR="00945F05" w:rsidRDefault="00945F05" w:rsidP="00945F05">
      <w:pPr>
        <w:pStyle w:val="ListParagraph"/>
      </w:pPr>
    </w:p>
    <w:p w14:paraId="6D561117" w14:textId="13DB06A9" w:rsidR="00945F05" w:rsidRPr="00744FCB" w:rsidRDefault="0008388C" w:rsidP="00D66E91">
      <w:pPr>
        <w:pStyle w:val="ListParagraph"/>
        <w:numPr>
          <w:ilvl w:val="1"/>
          <w:numId w:val="3"/>
        </w:numPr>
        <w:spacing w:line="312" w:lineRule="auto"/>
      </w:pPr>
      <w:r w:rsidRPr="00744FCB">
        <w:t xml:space="preserve">Identifying a lead </w:t>
      </w:r>
      <w:r w:rsidR="00D81711" w:rsidRPr="00744FCB">
        <w:t>practitioner</w:t>
      </w:r>
      <w:r w:rsidRPr="00744FCB">
        <w:t xml:space="preserve"> with responsibility for </w:t>
      </w:r>
      <w:r w:rsidR="00006C44" w:rsidRPr="00744FCB">
        <w:t xml:space="preserve">developing </w:t>
      </w:r>
      <w:r w:rsidRPr="00744FCB">
        <w:t>the plan</w:t>
      </w:r>
      <w:r w:rsidR="00006C44" w:rsidRPr="00744FCB">
        <w:t xml:space="preserve"> and keeping it under </w:t>
      </w:r>
      <w:proofErr w:type="gramStart"/>
      <w:r w:rsidR="00006C44" w:rsidRPr="00744FCB">
        <w:t>review</w:t>
      </w:r>
      <w:r w:rsidRPr="00744FCB">
        <w:t>;</w:t>
      </w:r>
      <w:proofErr w:type="gramEnd"/>
    </w:p>
    <w:p w14:paraId="549B382B" w14:textId="15580299" w:rsidR="00F655D7" w:rsidRPr="00744FCB" w:rsidRDefault="00F655D7" w:rsidP="00D66E91">
      <w:pPr>
        <w:pStyle w:val="ListParagraph"/>
        <w:numPr>
          <w:ilvl w:val="1"/>
          <w:numId w:val="3"/>
        </w:numPr>
        <w:spacing w:line="312" w:lineRule="auto"/>
      </w:pPr>
      <w:r w:rsidRPr="00744FCB">
        <w:t xml:space="preserve">Ensuring that where the person’s past and present wishes and feelings are known they are used to inform the development of the </w:t>
      </w:r>
      <w:proofErr w:type="gramStart"/>
      <w:r w:rsidRPr="00744FCB">
        <w:t>plan;</w:t>
      </w:r>
      <w:proofErr w:type="gramEnd"/>
    </w:p>
    <w:p w14:paraId="08AD25F3" w14:textId="4E67276F" w:rsidR="009F37DB" w:rsidRPr="00744FCB" w:rsidRDefault="009F37DB" w:rsidP="00D66E91">
      <w:pPr>
        <w:pStyle w:val="ListParagraph"/>
        <w:numPr>
          <w:ilvl w:val="1"/>
          <w:numId w:val="3"/>
        </w:numPr>
        <w:spacing w:line="312" w:lineRule="auto"/>
      </w:pPr>
      <w:r w:rsidRPr="00744FCB">
        <w:t xml:space="preserve">Supporting the person to contribute to the plan as far as </w:t>
      </w:r>
      <w:r w:rsidR="00DF2FC1" w:rsidRPr="00744FCB">
        <w:t xml:space="preserve">they can.  </w:t>
      </w:r>
      <w:r w:rsidRPr="00744FCB">
        <w:t xml:space="preserve">This will include considering whether there are times or circumstances in which the person may be better able to contribute.  For example, if the person has fluctuating capacity, they may be </w:t>
      </w:r>
      <w:r w:rsidRPr="00744FCB">
        <w:lastRenderedPageBreak/>
        <w:t xml:space="preserve">supported to make </w:t>
      </w:r>
      <w:proofErr w:type="spellStart"/>
      <w:r w:rsidRPr="00744FCB">
        <w:t>capacitous</w:t>
      </w:r>
      <w:proofErr w:type="spellEnd"/>
      <w:r w:rsidRPr="00744FCB">
        <w:t xml:space="preserve"> choices when at or closer to capacity, which can be included in the plan </w:t>
      </w:r>
      <w:r w:rsidR="00F655D7" w:rsidRPr="00744FCB">
        <w:t>and followed at</w:t>
      </w:r>
      <w:r w:rsidRPr="00744FCB">
        <w:t xml:space="preserve"> </w:t>
      </w:r>
      <w:r w:rsidR="00F655D7" w:rsidRPr="00744FCB">
        <w:t xml:space="preserve">times when they lack capacity </w:t>
      </w:r>
      <w:r w:rsidRPr="00744FCB">
        <w:t xml:space="preserve"> </w:t>
      </w:r>
    </w:p>
    <w:p w14:paraId="2BA62D74" w14:textId="1AB4D578" w:rsidR="0008388C" w:rsidRPr="00744FCB" w:rsidRDefault="0008388C" w:rsidP="00D66E91">
      <w:pPr>
        <w:pStyle w:val="ListParagraph"/>
        <w:numPr>
          <w:ilvl w:val="1"/>
          <w:numId w:val="3"/>
        </w:numPr>
        <w:spacing w:line="312" w:lineRule="auto"/>
      </w:pPr>
      <w:proofErr w:type="gramStart"/>
      <w:r w:rsidRPr="00744FCB">
        <w:t>A</w:t>
      </w:r>
      <w:proofErr w:type="gramEnd"/>
      <w:r w:rsidRPr="00744FCB">
        <w:t xml:space="preserve"> </w:t>
      </w:r>
      <w:r w:rsidR="00D81711" w:rsidRPr="00744FCB">
        <w:t>MDT</w:t>
      </w:r>
      <w:r w:rsidRPr="00744FCB">
        <w:t xml:space="preserve"> approach </w:t>
      </w:r>
      <w:r w:rsidR="00006C44" w:rsidRPr="00744FCB">
        <w:t>involving</w:t>
      </w:r>
      <w:r w:rsidRPr="00744FCB">
        <w:t xml:space="preserve"> all </w:t>
      </w:r>
      <w:r w:rsidR="00006C44" w:rsidRPr="00744FCB">
        <w:t>relevant</w:t>
      </w:r>
      <w:r w:rsidRPr="00744FCB">
        <w:t xml:space="preserve"> </w:t>
      </w:r>
      <w:r w:rsidR="00D81711" w:rsidRPr="00744FCB">
        <w:t>practitioners</w:t>
      </w:r>
      <w:r w:rsidRPr="00744FCB">
        <w:t xml:space="preserve"> plus those close to the person (family, friends) and any advocate</w:t>
      </w:r>
      <w:r w:rsidR="00DF2FC1" w:rsidRPr="00744FCB">
        <w:t>;</w:t>
      </w:r>
      <w:r w:rsidR="00006C44" w:rsidRPr="00744FCB">
        <w:t xml:space="preserve">  </w:t>
      </w:r>
    </w:p>
    <w:p w14:paraId="2EF2C02E" w14:textId="1DC28E09" w:rsidR="00DF2FC1" w:rsidRPr="00744FCB" w:rsidRDefault="00DF2FC1" w:rsidP="00D66E91">
      <w:pPr>
        <w:pStyle w:val="ListParagraph"/>
        <w:numPr>
          <w:ilvl w:val="1"/>
          <w:numId w:val="3"/>
        </w:numPr>
        <w:spacing w:line="312" w:lineRule="auto"/>
      </w:pPr>
      <w:r w:rsidRPr="00744FCB">
        <w:t xml:space="preserve">Ensuring that any planned use of restrictions or restraints are carefully recorded, and consideration given to whether they are necessary and </w:t>
      </w:r>
      <w:proofErr w:type="gramStart"/>
      <w:r w:rsidRPr="00744FCB">
        <w:t>proportionate;</w:t>
      </w:r>
      <w:proofErr w:type="gramEnd"/>
    </w:p>
    <w:p w14:paraId="002DDFD2" w14:textId="03034174" w:rsidR="0008388C" w:rsidRDefault="00006C44" w:rsidP="00D66E91">
      <w:pPr>
        <w:pStyle w:val="ListParagraph"/>
        <w:numPr>
          <w:ilvl w:val="1"/>
          <w:numId w:val="3"/>
        </w:numPr>
        <w:spacing w:line="312" w:lineRule="auto"/>
      </w:pPr>
      <w:r>
        <w:t xml:space="preserve">Appropriate sharing of the plan so that it is known about and understood by those who may need to follow </w:t>
      </w:r>
      <w:proofErr w:type="gramStart"/>
      <w:r>
        <w:t>it;</w:t>
      </w:r>
      <w:proofErr w:type="gramEnd"/>
    </w:p>
    <w:p w14:paraId="6B1577A1" w14:textId="469A9527" w:rsidR="00006C44" w:rsidRDefault="00006C44" w:rsidP="00D66E91">
      <w:pPr>
        <w:pStyle w:val="ListParagraph"/>
        <w:numPr>
          <w:ilvl w:val="1"/>
          <w:numId w:val="3"/>
        </w:numPr>
        <w:spacing w:line="312" w:lineRule="auto"/>
      </w:pPr>
      <w:r>
        <w:t xml:space="preserve">Regular review of the plan and updating/amendment as may be necessary when circumstances </w:t>
      </w:r>
      <w:proofErr w:type="gramStart"/>
      <w:r>
        <w:t>change;</w:t>
      </w:r>
      <w:proofErr w:type="gramEnd"/>
    </w:p>
    <w:p w14:paraId="3358D302" w14:textId="1925797D" w:rsidR="00006C44" w:rsidRPr="00744FCB" w:rsidRDefault="00F655D7" w:rsidP="00D66E91">
      <w:pPr>
        <w:pStyle w:val="ListParagraph"/>
        <w:numPr>
          <w:ilvl w:val="1"/>
          <w:numId w:val="3"/>
        </w:numPr>
        <w:spacing w:line="312" w:lineRule="auto"/>
      </w:pPr>
      <w:r w:rsidRPr="00744FCB">
        <w:t>Compliance with the MCA, including t</w:t>
      </w:r>
      <w:r w:rsidR="00006C44" w:rsidRPr="00744FCB">
        <w:t>aking steps to obtain legal authorisation of the plan where necessary (for example where the plan may result in a deprivation of the person’s liberty, or where prior court authorisation of the plan may be required in a serious medical treatment case).</w:t>
      </w:r>
    </w:p>
    <w:p w14:paraId="3D9197B3" w14:textId="1FB3BBAD" w:rsidR="002C246F" w:rsidRDefault="002C246F" w:rsidP="00D57387">
      <w:pPr>
        <w:spacing w:line="312" w:lineRule="auto"/>
      </w:pPr>
    </w:p>
    <w:p w14:paraId="5E4DF049" w14:textId="63969811" w:rsidR="00006C44" w:rsidRDefault="00006C44" w:rsidP="00D57387">
      <w:pPr>
        <w:spacing w:line="312" w:lineRule="auto"/>
        <w:rPr>
          <w:b/>
        </w:rPr>
      </w:pPr>
      <w:r>
        <w:rPr>
          <w:b/>
        </w:rPr>
        <w:t>Liberty Protection Safeguards</w:t>
      </w:r>
      <w:r w:rsidR="00721A49">
        <w:rPr>
          <w:b/>
        </w:rPr>
        <w:t xml:space="preserve"> (LPS)</w:t>
      </w:r>
    </w:p>
    <w:p w14:paraId="54B8CF82" w14:textId="50FD87EA" w:rsidR="00006C44" w:rsidRDefault="00006C44" w:rsidP="00D57387">
      <w:pPr>
        <w:spacing w:line="312" w:lineRule="auto"/>
        <w:rPr>
          <w:b/>
        </w:rPr>
      </w:pPr>
    </w:p>
    <w:p w14:paraId="2954061C" w14:textId="44E60511" w:rsidR="00006C44" w:rsidRDefault="00006C44" w:rsidP="00D66E91">
      <w:pPr>
        <w:pStyle w:val="ListParagraph"/>
        <w:numPr>
          <w:ilvl w:val="0"/>
          <w:numId w:val="3"/>
        </w:numPr>
        <w:spacing w:line="312" w:lineRule="auto"/>
      </w:pPr>
      <w:r>
        <w:t xml:space="preserve">The </w:t>
      </w:r>
      <w:r w:rsidR="00281B84">
        <w:t>LPS are</w:t>
      </w:r>
      <w:r>
        <w:t xml:space="preserve"> a new statutory scheme for authorisation of deprivation of liberty which, when introduced, will replace </w:t>
      </w:r>
      <w:r w:rsidR="00281B84">
        <w:t xml:space="preserve">both </w:t>
      </w:r>
      <w:r>
        <w:t xml:space="preserve">the DOLS and the streamlined procedure </w:t>
      </w:r>
      <w:r w:rsidR="00281B84">
        <w:t>for obtaining court authorisation of non-contentious community deprivation of liber</w:t>
      </w:r>
      <w:r w:rsidR="0010697B">
        <w:t>ty</w:t>
      </w:r>
      <w:r w:rsidR="00281B84">
        <w:t>.</w:t>
      </w:r>
    </w:p>
    <w:p w14:paraId="37EA399F" w14:textId="77777777" w:rsidR="00281B84" w:rsidRDefault="00281B84" w:rsidP="00281B84">
      <w:pPr>
        <w:pStyle w:val="ListParagraph"/>
        <w:spacing w:line="312" w:lineRule="auto"/>
        <w:ind w:left="360"/>
      </w:pPr>
    </w:p>
    <w:p w14:paraId="5978B11D" w14:textId="77777777" w:rsidR="00281B84" w:rsidRDefault="00281B84" w:rsidP="00D66E91">
      <w:pPr>
        <w:pStyle w:val="ListParagraph"/>
        <w:numPr>
          <w:ilvl w:val="0"/>
          <w:numId w:val="3"/>
        </w:numPr>
        <w:spacing w:line="312" w:lineRule="auto"/>
      </w:pPr>
      <w:r>
        <w:t>At the time of writing this guidance, implementation of the LPS has been delayed and no date for implementation has been set.  A new MCA Code (which will also cover the LPS) and Regulations to support LPS implementation are also awaited.</w:t>
      </w:r>
    </w:p>
    <w:p w14:paraId="062F9C00" w14:textId="77777777" w:rsidR="00281B84" w:rsidRDefault="00281B84" w:rsidP="00281B84">
      <w:pPr>
        <w:pStyle w:val="ListParagraph"/>
      </w:pPr>
    </w:p>
    <w:p w14:paraId="31014158" w14:textId="1014228D" w:rsidR="00281B84" w:rsidRPr="00006C44" w:rsidRDefault="00281B84" w:rsidP="00D66E91">
      <w:pPr>
        <w:pStyle w:val="ListParagraph"/>
        <w:numPr>
          <w:ilvl w:val="0"/>
          <w:numId w:val="3"/>
        </w:numPr>
        <w:spacing w:line="312" w:lineRule="auto"/>
      </w:pPr>
      <w:r>
        <w:t xml:space="preserve">Once the new MCA Code </w:t>
      </w:r>
      <w:r w:rsidR="005F398B">
        <w:t xml:space="preserve">is available </w:t>
      </w:r>
      <w:r>
        <w:t xml:space="preserve">and a date for implementation of the LPS has been set this guidance will be revised to take account of the new statutory scheme.  </w:t>
      </w:r>
    </w:p>
    <w:p w14:paraId="05FDD104" w14:textId="437F397E" w:rsidR="008A4A0E" w:rsidRDefault="008A4A0E" w:rsidP="004E39C5">
      <w:pPr>
        <w:spacing w:line="312" w:lineRule="auto"/>
      </w:pPr>
    </w:p>
    <w:p w14:paraId="6D4823A0" w14:textId="038B9875" w:rsidR="008A4A0E" w:rsidRDefault="008A4A0E" w:rsidP="004E39C5">
      <w:pPr>
        <w:spacing w:line="312" w:lineRule="auto"/>
      </w:pPr>
    </w:p>
    <w:p w14:paraId="1D646033" w14:textId="23BB9047" w:rsidR="008A4A0E" w:rsidRDefault="008A4A0E" w:rsidP="004E39C5">
      <w:pPr>
        <w:spacing w:line="312" w:lineRule="auto"/>
      </w:pPr>
      <w:r>
        <w:rPr>
          <w:b/>
        </w:rPr>
        <w:t>Resources</w:t>
      </w:r>
    </w:p>
    <w:p w14:paraId="639677E6" w14:textId="046BADF7" w:rsidR="00117A82" w:rsidRPr="00771436" w:rsidRDefault="00117A82" w:rsidP="004E39C5">
      <w:pPr>
        <w:spacing w:line="312" w:lineRule="auto"/>
      </w:pPr>
    </w:p>
    <w:p w14:paraId="15879BF5" w14:textId="3DA9D57F" w:rsidR="008A4A0E" w:rsidRPr="00771436" w:rsidRDefault="00000000" w:rsidP="004E39C5">
      <w:pPr>
        <w:spacing w:line="312" w:lineRule="auto"/>
      </w:pPr>
      <w:hyperlink r:id="rId13" w:history="1">
        <w:r w:rsidR="008A4A0E" w:rsidRPr="00771436">
          <w:rPr>
            <w:rStyle w:val="Hyperlink"/>
          </w:rPr>
          <w:t>MCA Code</w:t>
        </w:r>
      </w:hyperlink>
      <w:r w:rsidR="008A4A0E" w:rsidRPr="00771436">
        <w:t>.</w:t>
      </w:r>
    </w:p>
    <w:p w14:paraId="0CEA41F2" w14:textId="15E55321" w:rsidR="009200E8" w:rsidRPr="00771436" w:rsidRDefault="00000000" w:rsidP="004E39C5">
      <w:pPr>
        <w:spacing w:line="312" w:lineRule="auto"/>
      </w:pPr>
      <w:hyperlink r:id="rId14" w:history="1">
        <w:r w:rsidR="00771436" w:rsidRPr="00771436">
          <w:rPr>
            <w:rStyle w:val="Hyperlink"/>
          </w:rPr>
          <w:t>MCA DOLS Code</w:t>
        </w:r>
      </w:hyperlink>
      <w:r w:rsidR="00771436">
        <w:t>.</w:t>
      </w:r>
    </w:p>
    <w:p w14:paraId="4ED6C571" w14:textId="37119230" w:rsidR="00771436" w:rsidRDefault="00000000" w:rsidP="004E39C5">
      <w:pPr>
        <w:spacing w:line="312" w:lineRule="auto"/>
      </w:pPr>
      <w:hyperlink r:id="rId15" w:history="1">
        <w:r w:rsidR="008A4A0E" w:rsidRPr="00771436">
          <w:rPr>
            <w:rStyle w:val="Hyperlink"/>
          </w:rPr>
          <w:t xml:space="preserve">39 Essex </w:t>
        </w:r>
        <w:r w:rsidR="00771436" w:rsidRPr="00771436">
          <w:rPr>
            <w:rStyle w:val="Hyperlink"/>
          </w:rPr>
          <w:t>Mental Capacity Guidance Note: Assessment and Recording of Capacity</w:t>
        </w:r>
      </w:hyperlink>
      <w:r w:rsidR="00771436" w:rsidRPr="00771436">
        <w:t xml:space="preserve"> </w:t>
      </w:r>
    </w:p>
    <w:p w14:paraId="55DC5382" w14:textId="7AF0E6F1" w:rsidR="00771436" w:rsidRDefault="00000000" w:rsidP="004E39C5">
      <w:pPr>
        <w:spacing w:line="312" w:lineRule="auto"/>
      </w:pPr>
      <w:hyperlink r:id="rId16" w:history="1">
        <w:r w:rsidR="00771436" w:rsidRPr="00771436">
          <w:rPr>
            <w:rStyle w:val="Hyperlink"/>
          </w:rPr>
          <w:t>39 Essex Mental Capacity Guidance Note: Best Interests</w:t>
        </w:r>
      </w:hyperlink>
    </w:p>
    <w:p w14:paraId="0B86A627" w14:textId="4191DBC5" w:rsidR="00771436" w:rsidRDefault="00000000" w:rsidP="004E39C5">
      <w:pPr>
        <w:spacing w:line="312" w:lineRule="auto"/>
      </w:pPr>
      <w:hyperlink r:id="rId17" w:history="1">
        <w:r w:rsidR="00FD5B35" w:rsidRPr="00FD5B35">
          <w:rPr>
            <w:rStyle w:val="Hyperlink"/>
          </w:rPr>
          <w:t>North East Lincolnshire Mental Capacity Act 2005 and Deprivation of Liberty Policy</w:t>
        </w:r>
      </w:hyperlink>
    </w:p>
    <w:p w14:paraId="15A3A73A" w14:textId="77777777" w:rsidR="00BF0275" w:rsidRDefault="00BF0275" w:rsidP="00BF0275">
      <w:pPr>
        <w:spacing w:after="160" w:line="254" w:lineRule="auto"/>
        <w:ind w:firstLine="720"/>
        <w:rPr>
          <w:rFonts w:cs="Arial"/>
          <w:b/>
        </w:rPr>
      </w:pPr>
    </w:p>
    <w:p w14:paraId="07FB3A5D" w14:textId="77777777" w:rsidR="00BF0275" w:rsidRDefault="00BF0275" w:rsidP="00BF0275">
      <w:pPr>
        <w:spacing w:after="160" w:line="254" w:lineRule="auto"/>
        <w:ind w:firstLine="720"/>
        <w:rPr>
          <w:rFonts w:cs="Arial"/>
          <w:b/>
        </w:rPr>
      </w:pPr>
    </w:p>
    <w:p w14:paraId="6A427171" w14:textId="77777777" w:rsidR="00BF0275" w:rsidRDefault="00BF0275" w:rsidP="00BF0275">
      <w:pPr>
        <w:spacing w:after="160" w:line="254" w:lineRule="auto"/>
        <w:ind w:firstLine="720"/>
        <w:rPr>
          <w:rFonts w:cs="Arial"/>
          <w:b/>
        </w:rPr>
      </w:pPr>
    </w:p>
    <w:p w14:paraId="30CE9DDF" w14:textId="77777777" w:rsidR="00BF0275" w:rsidRDefault="00BF0275" w:rsidP="00BF0275">
      <w:pPr>
        <w:spacing w:after="160" w:line="254" w:lineRule="auto"/>
        <w:rPr>
          <w:rFonts w:cs="Arial"/>
          <w:b/>
        </w:rPr>
      </w:pPr>
    </w:p>
    <w:p w14:paraId="58FFACD0" w14:textId="77777777" w:rsidR="00BF0275" w:rsidRDefault="00BF0275" w:rsidP="00BF0275">
      <w:pPr>
        <w:spacing w:after="160" w:line="254" w:lineRule="auto"/>
        <w:rPr>
          <w:rFonts w:cs="Arial"/>
          <w:b/>
        </w:rPr>
      </w:pPr>
    </w:p>
    <w:p w14:paraId="7C440A83" w14:textId="77777777" w:rsidR="00BF0275" w:rsidRDefault="00BF0275" w:rsidP="00BF0275">
      <w:pPr>
        <w:spacing w:after="160" w:line="254" w:lineRule="auto"/>
        <w:rPr>
          <w:rFonts w:cs="Arial"/>
          <w:b/>
        </w:rPr>
      </w:pPr>
    </w:p>
    <w:p w14:paraId="10B6B4B3" w14:textId="77777777" w:rsidR="00BF0275" w:rsidRDefault="00BF0275" w:rsidP="00BF0275">
      <w:pPr>
        <w:spacing w:after="160" w:line="254" w:lineRule="auto"/>
        <w:rPr>
          <w:rFonts w:cs="Arial"/>
          <w:b/>
        </w:rPr>
      </w:pPr>
    </w:p>
    <w:p w14:paraId="275AAA25" w14:textId="77777777" w:rsidR="00BF0275" w:rsidRDefault="00BF0275" w:rsidP="00BF0275">
      <w:pPr>
        <w:spacing w:after="160" w:line="254" w:lineRule="auto"/>
        <w:rPr>
          <w:rFonts w:cs="Arial"/>
          <w:b/>
        </w:rPr>
      </w:pPr>
    </w:p>
    <w:p w14:paraId="59BBF207" w14:textId="4C3EFC1C" w:rsidR="00D66E91" w:rsidRDefault="00D66E91" w:rsidP="00BF0275">
      <w:pPr>
        <w:spacing w:after="160" w:line="254" w:lineRule="auto"/>
        <w:rPr>
          <w:rFonts w:cs="Arial"/>
          <w:b/>
        </w:rPr>
      </w:pPr>
      <w:r>
        <w:rPr>
          <w:rFonts w:cs="Arial"/>
          <w:b/>
        </w:rPr>
        <w:lastRenderedPageBreak/>
        <w:t>Case Study One</w:t>
      </w:r>
    </w:p>
    <w:p w14:paraId="1A40EE35" w14:textId="14B2508F" w:rsidR="00D66E91" w:rsidRDefault="00DF7988" w:rsidP="00D66E91">
      <w:pPr>
        <w:spacing w:after="160" w:line="254" w:lineRule="auto"/>
        <w:rPr>
          <w:rFonts w:cs="Arial"/>
          <w:b/>
        </w:rPr>
      </w:pPr>
      <w:r>
        <w:rPr>
          <w:rFonts w:cs="Arial"/>
          <w:b/>
        </w:rPr>
        <w:t xml:space="preserve">A person (‘P’) </w:t>
      </w:r>
      <w:r w:rsidR="00D66E91">
        <w:rPr>
          <w:rFonts w:cs="Arial"/>
          <w:b/>
        </w:rPr>
        <w:t>P is living at home and has agreed to go into emergency respite arranged by adult social care.  The adult social care key worker assesse</w:t>
      </w:r>
      <w:r>
        <w:rPr>
          <w:rFonts w:cs="Arial"/>
          <w:b/>
        </w:rPr>
        <w:t>s</w:t>
      </w:r>
      <w:r w:rsidR="00D66E91">
        <w:rPr>
          <w:rFonts w:cs="Arial"/>
          <w:b/>
        </w:rPr>
        <w:t xml:space="preserve"> him as having the mental capacity to agree to the plan for respite. </w:t>
      </w:r>
      <w:r>
        <w:rPr>
          <w:rFonts w:cs="Arial"/>
          <w:b/>
        </w:rPr>
        <w:t>However,</w:t>
      </w:r>
      <w:r w:rsidR="00D66E91">
        <w:rPr>
          <w:rFonts w:cs="Arial"/>
          <w:b/>
        </w:rPr>
        <w:t xml:space="preserve"> when the ambulance arrives to take him to respite, P declines to go and cannot recall having agreed to this. </w:t>
      </w:r>
    </w:p>
    <w:p w14:paraId="47FF1DCD" w14:textId="1D712926" w:rsidR="00D66E91" w:rsidRDefault="00D66E91" w:rsidP="00D66E91">
      <w:pPr>
        <w:spacing w:after="160" w:line="254" w:lineRule="auto"/>
        <w:rPr>
          <w:rFonts w:cs="Arial"/>
          <w:b/>
        </w:rPr>
      </w:pPr>
      <w:r>
        <w:rPr>
          <w:rFonts w:cs="Arial"/>
          <w:b/>
        </w:rPr>
        <w:t>P has been in bed immobile and unable to access the toilet for 10 days and his bed ha</w:t>
      </w:r>
      <w:r w:rsidR="00DF7988">
        <w:rPr>
          <w:rFonts w:cs="Arial"/>
          <w:b/>
        </w:rPr>
        <w:t>s</w:t>
      </w:r>
      <w:r>
        <w:rPr>
          <w:rFonts w:cs="Arial"/>
          <w:b/>
        </w:rPr>
        <w:t xml:space="preserve"> become his toilet. He has not eaten properly for weeks and is drinking only minimal amounts of fluid. There are flies everywhere in his room. P declines any further care interventions from urgent care staff including pressure area checks although he does allow baseline observations to be taken. </w:t>
      </w:r>
    </w:p>
    <w:p w14:paraId="2127244E" w14:textId="77777777" w:rsidR="00D66E91" w:rsidRDefault="00D66E91" w:rsidP="00D66E91">
      <w:pPr>
        <w:spacing w:after="160" w:line="254" w:lineRule="auto"/>
        <w:rPr>
          <w:rFonts w:cs="Arial"/>
          <w:b/>
        </w:rPr>
      </w:pPr>
      <w:r>
        <w:rPr>
          <w:rFonts w:cs="Arial"/>
          <w:b/>
        </w:rPr>
        <w:t xml:space="preserve">Following discussions with him, urgent care staff complete a capacity assessment and conclude he lacks capacity </w:t>
      </w:r>
      <w:proofErr w:type="gramStart"/>
      <w:r>
        <w:rPr>
          <w:rFonts w:cs="Arial"/>
          <w:b/>
        </w:rPr>
        <w:t>with regard to</w:t>
      </w:r>
      <w:proofErr w:type="gramEnd"/>
      <w:r>
        <w:rPr>
          <w:rFonts w:cs="Arial"/>
          <w:b/>
        </w:rPr>
        <w:t xml:space="preserve"> his care and support needs.  He declines all care options presented to him and tells urgent care staff to go away and leave him alone.  Urgent care staff refer him to mental health services and a Mental Health Act assessment is arranged. The outcome is a formal admission to the mental health inpatient unit.</w:t>
      </w:r>
    </w:p>
    <w:p w14:paraId="75A88E36" w14:textId="4470D08B" w:rsidR="00D66E91" w:rsidRDefault="00D66E91" w:rsidP="00D66E91">
      <w:pPr>
        <w:spacing w:after="160" w:line="254" w:lineRule="auto"/>
        <w:rPr>
          <w:rFonts w:cs="Arial"/>
          <w:b/>
        </w:rPr>
      </w:pPr>
      <w:r>
        <w:rPr>
          <w:rFonts w:cs="Arial"/>
          <w:b/>
        </w:rPr>
        <w:t xml:space="preserve">When the ambulance crew arrive to take P to the inpatient unit they are concerned that if they move him they will disturb any pressure ulcers as they believe the bed sheets may have stuck to him. They make a request for a paramedic to attend and assess </w:t>
      </w:r>
      <w:r w:rsidR="00DF7988">
        <w:rPr>
          <w:rFonts w:cs="Arial"/>
          <w:b/>
        </w:rPr>
        <w:t>P</w:t>
      </w:r>
      <w:r>
        <w:rPr>
          <w:rFonts w:cs="Arial"/>
          <w:b/>
        </w:rPr>
        <w:t xml:space="preserve"> before transferring him onto the ambulance.  The outcome of the paramedic assessment is that P needs further assessment in the Emergency Department.  P continues to protest about being moved from his bed/home and it takes </w:t>
      </w:r>
      <w:r w:rsidR="00DF7988">
        <w:rPr>
          <w:rFonts w:cs="Arial"/>
          <w:b/>
        </w:rPr>
        <w:t>three</w:t>
      </w:r>
      <w:r>
        <w:rPr>
          <w:rFonts w:cs="Arial"/>
          <w:b/>
        </w:rPr>
        <w:t xml:space="preserve"> ambulance crew to manage his transfer. He is taken to the Emergency Department to receive treatment for suspected pressure damage/ moisture lesions, </w:t>
      </w:r>
      <w:proofErr w:type="gramStart"/>
      <w:r>
        <w:rPr>
          <w:rFonts w:cs="Arial"/>
          <w:b/>
        </w:rPr>
        <w:t>jaundice</w:t>
      </w:r>
      <w:proofErr w:type="gramEnd"/>
      <w:r>
        <w:rPr>
          <w:rFonts w:cs="Arial"/>
          <w:b/>
        </w:rPr>
        <w:t xml:space="preserve"> and ascites. </w:t>
      </w:r>
    </w:p>
    <w:p w14:paraId="5E64B190" w14:textId="7495C89C" w:rsidR="00D66E91" w:rsidRDefault="00D66E91" w:rsidP="00D66E91">
      <w:pPr>
        <w:spacing w:after="160" w:line="254" w:lineRule="auto"/>
        <w:rPr>
          <w:rFonts w:cs="Arial"/>
          <w:b/>
        </w:rPr>
      </w:pPr>
      <w:r>
        <w:rPr>
          <w:rFonts w:cs="Arial"/>
          <w:b/>
        </w:rPr>
        <w:t xml:space="preserve">Not long before these events P had been discharged from hospital to his home, after spending about </w:t>
      </w:r>
      <w:r w:rsidR="00DF7988">
        <w:rPr>
          <w:rFonts w:cs="Arial"/>
          <w:b/>
        </w:rPr>
        <w:t>five</w:t>
      </w:r>
      <w:r>
        <w:rPr>
          <w:rFonts w:cs="Arial"/>
          <w:b/>
        </w:rPr>
        <w:t xml:space="preserve"> weeks as an inpatient.  He had declined any treatment for his serious health conditions. He had been assessed in hospital as having mental capacity to decline treatment. Having read the discharge summary and electronic care records the urgent care worker doubted </w:t>
      </w:r>
      <w:r w:rsidR="00DF7988">
        <w:rPr>
          <w:rFonts w:cs="Arial"/>
          <w:b/>
        </w:rPr>
        <w:t>P did</w:t>
      </w:r>
      <w:r>
        <w:rPr>
          <w:rFonts w:cs="Arial"/>
          <w:b/>
        </w:rPr>
        <w:t xml:space="preserve"> have relevant capacity.  He had not recalled he had agreed to a </w:t>
      </w:r>
      <w:proofErr w:type="spellStart"/>
      <w:r>
        <w:rPr>
          <w:rFonts w:cs="Arial"/>
          <w:b/>
        </w:rPr>
        <w:t>ReSPECT</w:t>
      </w:r>
      <w:proofErr w:type="spellEnd"/>
      <w:r>
        <w:rPr>
          <w:rFonts w:cs="Arial"/>
          <w:b/>
        </w:rPr>
        <w:t xml:space="preserve"> DNACPR decision.  </w:t>
      </w:r>
    </w:p>
    <w:p w14:paraId="57FCDC92" w14:textId="77777777" w:rsidR="00D66E91" w:rsidRDefault="00D66E91" w:rsidP="00D66E91">
      <w:pPr>
        <w:spacing w:after="160" w:line="254" w:lineRule="auto"/>
        <w:rPr>
          <w:rFonts w:cs="Arial"/>
        </w:rPr>
      </w:pPr>
    </w:p>
    <w:p w14:paraId="1AA69F2A"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This situation may have been avoidable given P’s known and recent refusals of care, and would have benefited from advance care planning for P.</w:t>
      </w:r>
    </w:p>
    <w:p w14:paraId="0534C4BC" w14:textId="77777777" w:rsidR="00D66E91" w:rsidRDefault="00D66E91" w:rsidP="00D66E91">
      <w:pPr>
        <w:pStyle w:val="ListParagraph"/>
        <w:spacing w:after="160" w:line="254" w:lineRule="auto"/>
        <w:rPr>
          <w:rFonts w:cs="Arial"/>
          <w:i/>
        </w:rPr>
      </w:pPr>
    </w:p>
    <w:p w14:paraId="546C15CB"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 xml:space="preserve">There have been </w:t>
      </w:r>
      <w:proofErr w:type="gramStart"/>
      <w:r>
        <w:rPr>
          <w:rFonts w:cs="Arial"/>
          <w:i/>
        </w:rPr>
        <w:t>a number of</w:t>
      </w:r>
      <w:proofErr w:type="gramEnd"/>
      <w:r>
        <w:rPr>
          <w:rFonts w:cs="Arial"/>
          <w:i/>
        </w:rPr>
        <w:t xml:space="preserve"> capacity assessments which paint a variable picture of P’s mental capacity.  The capacity assessments in hospital may not have been robust given the evidence, now identified retrospectively, that his recall may have been impaired.  It may be that his refusals of care and treatment were wrongly taken at face value when in fact they warranted further investigation.  Care should have been taken in hospital to ensure that P’s capacity was robustly assessed </w:t>
      </w:r>
      <w:proofErr w:type="gramStart"/>
      <w:r>
        <w:rPr>
          <w:rFonts w:cs="Arial"/>
          <w:i/>
        </w:rPr>
        <w:t>with regard to</w:t>
      </w:r>
      <w:proofErr w:type="gramEnd"/>
      <w:r>
        <w:rPr>
          <w:rFonts w:cs="Arial"/>
          <w:i/>
        </w:rPr>
        <w:t xml:space="preserve"> the care and treatment recommended for his serious health conditions.  His capacity to agree to remaining in hospital for treatment should also have been assessed.  If in fact he lacked capacity, he may have required a treatment plan in his best interests.  It may be that he should also have been subject to the DOLS during the earlier hospital admission.  This may all have improved his condition ahead of discharge.</w:t>
      </w:r>
    </w:p>
    <w:p w14:paraId="518D011C" w14:textId="77777777" w:rsidR="00D66E91" w:rsidRDefault="00D66E91" w:rsidP="00D66E91">
      <w:pPr>
        <w:pStyle w:val="ListParagraph"/>
        <w:rPr>
          <w:rFonts w:cs="Arial"/>
          <w:i/>
        </w:rPr>
      </w:pPr>
    </w:p>
    <w:p w14:paraId="29706C62"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 xml:space="preserve">It may be that there should also have been better planning for P’s discharge from hospital to a safe destination in the community.  Robust assessment of his capacity should have been integral to this.  It may not in fact have been in his best interests (assuming he lacked capacity) to be discharged back to his home.  His needs should have been carefully assessed and options for his safe discharge considered perhaps with input from a range of professionals, applying the MCA.  It may have been necessary to consider an alternative discharge destination, possibly requiring the deprivation of his liberty there (which would need to be authorised).  </w:t>
      </w:r>
    </w:p>
    <w:p w14:paraId="58FAC3F1" w14:textId="77777777" w:rsidR="00D66E91" w:rsidRDefault="00D66E91" w:rsidP="00D66E91">
      <w:pPr>
        <w:pStyle w:val="ListParagraph"/>
        <w:rPr>
          <w:rFonts w:cs="Arial"/>
          <w:i/>
        </w:rPr>
      </w:pPr>
    </w:p>
    <w:p w14:paraId="273BD450" w14:textId="77777777" w:rsidR="00D66E91" w:rsidRDefault="00D66E91" w:rsidP="00D66E91">
      <w:pPr>
        <w:pStyle w:val="ListParagraph"/>
        <w:widowControl/>
        <w:numPr>
          <w:ilvl w:val="0"/>
          <w:numId w:val="6"/>
        </w:numPr>
        <w:spacing w:after="160" w:line="254" w:lineRule="auto"/>
        <w:jc w:val="left"/>
        <w:rPr>
          <w:rFonts w:cs="Arial"/>
          <w:i/>
        </w:rPr>
      </w:pPr>
      <w:r>
        <w:rPr>
          <w:rFonts w:cs="Arial"/>
          <w:i/>
        </w:rPr>
        <w:lastRenderedPageBreak/>
        <w:t xml:space="preserve">P was a known/likely refuser of care following his discharge and the steps set out in the Mental Capacity Act 2005 and Deprivation of Liberty Policy should have been applied to </w:t>
      </w:r>
      <w:proofErr w:type="gramStart"/>
      <w:r>
        <w:rPr>
          <w:rFonts w:cs="Arial"/>
          <w:i/>
        </w:rPr>
        <w:t>plan ahead</w:t>
      </w:r>
      <w:proofErr w:type="gramEnd"/>
      <w:r>
        <w:rPr>
          <w:rFonts w:cs="Arial"/>
          <w:i/>
        </w:rPr>
        <w:t xml:space="preserve"> for his likely objections to care and treatment.  Further consideration of creating such a plan in accordance with local policy can be found at case study six.    </w:t>
      </w:r>
    </w:p>
    <w:p w14:paraId="3D4CB9C9" w14:textId="77777777" w:rsidR="00D66E91" w:rsidRDefault="00D66E91" w:rsidP="00D66E91">
      <w:pPr>
        <w:rPr>
          <w:rFonts w:cs="Arial"/>
        </w:rPr>
      </w:pPr>
    </w:p>
    <w:p w14:paraId="43801AC0" w14:textId="77777777" w:rsidR="00D66E91" w:rsidRDefault="00D66E91" w:rsidP="00D66E91">
      <w:pPr>
        <w:rPr>
          <w:rFonts w:eastAsiaTheme="minorEastAsia" w:cs="Arial"/>
          <w:b/>
          <w:kern w:val="24"/>
        </w:rPr>
      </w:pPr>
      <w:r>
        <w:rPr>
          <w:rFonts w:eastAsiaTheme="minorEastAsia" w:cs="Arial"/>
          <w:b/>
          <w:kern w:val="24"/>
        </w:rPr>
        <w:t>Care Study Two</w:t>
      </w:r>
    </w:p>
    <w:p w14:paraId="248F2393" w14:textId="77777777" w:rsidR="00D66E91" w:rsidRDefault="00D66E91" w:rsidP="00D66E91">
      <w:pPr>
        <w:rPr>
          <w:rFonts w:eastAsiaTheme="minorEastAsia" w:cs="Arial"/>
          <w:b/>
          <w:color w:val="FF0000"/>
          <w:kern w:val="24"/>
        </w:rPr>
      </w:pPr>
    </w:p>
    <w:p w14:paraId="2254807E" w14:textId="77777777" w:rsidR="00D66E91" w:rsidRDefault="00D66E91" w:rsidP="00D66E91">
      <w:pPr>
        <w:rPr>
          <w:rFonts w:eastAsiaTheme="minorHAnsi" w:cs="Arial"/>
          <w:b/>
        </w:rPr>
      </w:pPr>
      <w:r>
        <w:rPr>
          <w:rFonts w:eastAsiaTheme="minorEastAsia" w:cs="Arial"/>
          <w:b/>
          <w:color w:val="000000" w:themeColor="text1"/>
          <w:kern w:val="24"/>
        </w:rPr>
        <w:t xml:space="preserve">On Friday a hospital inpatient is deemed to have the capacity to a consent to a PEG insertion.  He agrees to have the procedure.  On the following Monday, when the PEG is to be inserted, he refuses the procedure and is deemed not to have the capacity to take this decision at that time.   </w:t>
      </w:r>
    </w:p>
    <w:p w14:paraId="1ED21D32" w14:textId="77777777" w:rsidR="00D66E91" w:rsidRDefault="00D66E91" w:rsidP="00D66E91">
      <w:pPr>
        <w:pStyle w:val="ListParagraph"/>
        <w:rPr>
          <w:rFonts w:cs="Arial"/>
        </w:rPr>
      </w:pPr>
    </w:p>
    <w:p w14:paraId="7DB6BC36" w14:textId="77777777" w:rsidR="00D66E91" w:rsidRDefault="00D66E91" w:rsidP="00D66E91">
      <w:pPr>
        <w:pStyle w:val="ListParagraph"/>
        <w:rPr>
          <w:rFonts w:cs="Arial"/>
        </w:rPr>
      </w:pPr>
    </w:p>
    <w:p w14:paraId="665F5488" w14:textId="77777777" w:rsidR="00D66E91" w:rsidRDefault="00D66E91" w:rsidP="00D66E91">
      <w:pPr>
        <w:pStyle w:val="ListParagraph"/>
        <w:widowControl/>
        <w:numPr>
          <w:ilvl w:val="0"/>
          <w:numId w:val="7"/>
        </w:numPr>
        <w:jc w:val="left"/>
        <w:rPr>
          <w:rFonts w:cs="Arial"/>
          <w:i/>
        </w:rPr>
      </w:pPr>
      <w:r>
        <w:rPr>
          <w:rFonts w:cs="Arial"/>
          <w:i/>
        </w:rPr>
        <w:t>Can the decision and the procedure wait until the patient has regained capacity?  If so the decision should be delayed until then.  The procedure should be postponed and discussed with the patient again when he has (hopefully) regained capacity.</w:t>
      </w:r>
    </w:p>
    <w:p w14:paraId="723ADB6A" w14:textId="77777777" w:rsidR="00D66E91" w:rsidRDefault="00D66E91" w:rsidP="00D66E91">
      <w:pPr>
        <w:pStyle w:val="ListParagraph"/>
        <w:ind w:left="360"/>
        <w:rPr>
          <w:rFonts w:cs="Arial"/>
          <w:i/>
        </w:rPr>
      </w:pPr>
    </w:p>
    <w:p w14:paraId="570074EE" w14:textId="77777777" w:rsidR="00D66E91" w:rsidRDefault="00D66E91" w:rsidP="00D66E91">
      <w:pPr>
        <w:pStyle w:val="ListParagraph"/>
        <w:widowControl/>
        <w:numPr>
          <w:ilvl w:val="0"/>
          <w:numId w:val="7"/>
        </w:numPr>
        <w:jc w:val="left"/>
        <w:rPr>
          <w:rFonts w:cs="Arial"/>
          <w:i/>
        </w:rPr>
      </w:pPr>
      <w:r>
        <w:rPr>
          <w:rFonts w:cs="Arial"/>
          <w:i/>
        </w:rPr>
        <w:t xml:space="preserve">Care should be taken with the assessment of capacity since it may be that the patient’s capacity fluctuates.  He should be assessed when at his best, </w:t>
      </w:r>
      <w:proofErr w:type="gramStart"/>
      <w:r>
        <w:rPr>
          <w:rFonts w:cs="Arial"/>
          <w:i/>
        </w:rPr>
        <w:t>if at all possible</w:t>
      </w:r>
      <w:proofErr w:type="gramEnd"/>
      <w:r>
        <w:rPr>
          <w:rFonts w:cs="Arial"/>
          <w:i/>
        </w:rPr>
        <w:t>.</w:t>
      </w:r>
    </w:p>
    <w:p w14:paraId="4792BF61" w14:textId="77777777" w:rsidR="00D66E91" w:rsidRDefault="00D66E91" w:rsidP="00D66E91">
      <w:pPr>
        <w:rPr>
          <w:rFonts w:cs="Arial"/>
          <w:i/>
        </w:rPr>
      </w:pPr>
    </w:p>
    <w:p w14:paraId="63C4BBCF" w14:textId="77777777" w:rsidR="00D66E91" w:rsidRDefault="00D66E91" w:rsidP="00D66E91">
      <w:pPr>
        <w:pStyle w:val="ListParagraph"/>
        <w:widowControl/>
        <w:numPr>
          <w:ilvl w:val="0"/>
          <w:numId w:val="7"/>
        </w:numPr>
        <w:jc w:val="left"/>
        <w:rPr>
          <w:rFonts w:cs="Arial"/>
          <w:i/>
        </w:rPr>
      </w:pPr>
      <w:r>
        <w:rPr>
          <w:rFonts w:cs="Arial"/>
          <w:i/>
        </w:rPr>
        <w:t xml:space="preserve">If he regains capacity and consents this should be carefully recorded.  The fluctuations in his capacity should be discussed with him and a plan for restraint explained to him in case the procedure needs to be undertaken whilst he lacks capacity and resists.  He should be asked to consent to the procedure itself </w:t>
      </w:r>
      <w:proofErr w:type="gramStart"/>
      <w:r>
        <w:rPr>
          <w:rFonts w:cs="Arial"/>
          <w:i/>
        </w:rPr>
        <w:t>and also</w:t>
      </w:r>
      <w:proofErr w:type="gramEnd"/>
      <w:r>
        <w:rPr>
          <w:rFonts w:cs="Arial"/>
          <w:i/>
        </w:rPr>
        <w:t xml:space="preserve"> to the plan for restraint should it be needed.</w:t>
      </w:r>
    </w:p>
    <w:p w14:paraId="0D65F0A9" w14:textId="77777777" w:rsidR="00D66E91" w:rsidRDefault="00D66E91" w:rsidP="00D66E91">
      <w:pPr>
        <w:pStyle w:val="ListParagraph"/>
        <w:rPr>
          <w:rFonts w:cs="Arial"/>
          <w:i/>
        </w:rPr>
      </w:pPr>
    </w:p>
    <w:p w14:paraId="1ACE2B8F" w14:textId="77777777" w:rsidR="00D66E91" w:rsidRDefault="00D66E91" w:rsidP="00D66E91">
      <w:pPr>
        <w:pStyle w:val="ListParagraph"/>
        <w:widowControl/>
        <w:numPr>
          <w:ilvl w:val="0"/>
          <w:numId w:val="7"/>
        </w:numPr>
        <w:jc w:val="left"/>
        <w:rPr>
          <w:rFonts w:cs="Arial"/>
          <w:i/>
        </w:rPr>
      </w:pPr>
      <w:r>
        <w:rPr>
          <w:rFonts w:cs="Arial"/>
          <w:i/>
        </w:rPr>
        <w:t xml:space="preserve">Ideally the procedure should be done when the patient has capacity and is able to agree to it.  It should be scheduled with this in mind.  Restraint, even with the patient’s prior agreement, should be a last resort.  </w:t>
      </w:r>
    </w:p>
    <w:p w14:paraId="7269CE36" w14:textId="77777777" w:rsidR="00D66E91" w:rsidRDefault="00D66E91" w:rsidP="00D66E91">
      <w:pPr>
        <w:pStyle w:val="ListParagraph"/>
        <w:rPr>
          <w:rFonts w:cs="Arial"/>
          <w:i/>
        </w:rPr>
      </w:pPr>
    </w:p>
    <w:p w14:paraId="6018CF79" w14:textId="77777777" w:rsidR="00D66E91" w:rsidRDefault="00D66E91" w:rsidP="00D66E91">
      <w:pPr>
        <w:pStyle w:val="ListParagraph"/>
        <w:widowControl/>
        <w:numPr>
          <w:ilvl w:val="0"/>
          <w:numId w:val="7"/>
        </w:numPr>
        <w:jc w:val="left"/>
        <w:rPr>
          <w:rFonts w:cs="Arial"/>
          <w:i/>
        </w:rPr>
      </w:pPr>
      <w:r>
        <w:rPr>
          <w:rFonts w:cs="Arial"/>
          <w:i/>
        </w:rPr>
        <w:t>If the patient does not regain capacity, or if his consent is obtained but he then loses capacity again, and the procedure becomes pressing, consider his best interests in line with the MCA.  It will be highly relevant that he has agreed to the procedure whilst having capacity. If the procedure is reasonably considered to be in his best interests, restraint can be used if both necessary and proportionate, as per section 6 MCA.</w:t>
      </w:r>
    </w:p>
    <w:p w14:paraId="32DC377D" w14:textId="77777777" w:rsidR="00D66E91" w:rsidRDefault="00D66E91" w:rsidP="00D66E91">
      <w:pPr>
        <w:pStyle w:val="ListParagraph"/>
        <w:rPr>
          <w:rFonts w:cs="Arial"/>
          <w:i/>
        </w:rPr>
      </w:pPr>
    </w:p>
    <w:p w14:paraId="45498AC8" w14:textId="77777777" w:rsidR="00D66E91" w:rsidRDefault="00D66E91" w:rsidP="00D66E91">
      <w:pPr>
        <w:pStyle w:val="ListParagraph"/>
        <w:rPr>
          <w:rFonts w:cs="Arial"/>
          <w:color w:val="FF0000"/>
        </w:rPr>
      </w:pPr>
    </w:p>
    <w:p w14:paraId="315DE25D" w14:textId="77777777" w:rsidR="00D66E91" w:rsidRDefault="00D66E91" w:rsidP="00D66E91">
      <w:pPr>
        <w:rPr>
          <w:rFonts w:eastAsiaTheme="minorEastAsia" w:cs="Arial"/>
          <w:b/>
          <w:bCs/>
          <w:kern w:val="24"/>
        </w:rPr>
      </w:pPr>
      <w:r>
        <w:rPr>
          <w:rFonts w:eastAsiaTheme="minorEastAsia" w:cs="Arial"/>
          <w:b/>
          <w:bCs/>
          <w:kern w:val="24"/>
        </w:rPr>
        <w:t>Case Study Three</w:t>
      </w:r>
    </w:p>
    <w:p w14:paraId="79C1DD1A" w14:textId="77777777" w:rsidR="00D66E91" w:rsidRDefault="00D66E91" w:rsidP="00D66E91">
      <w:pPr>
        <w:rPr>
          <w:rFonts w:eastAsiaTheme="minorEastAsia" w:cs="Arial"/>
          <w:color w:val="000000" w:themeColor="text1"/>
          <w:kern w:val="24"/>
        </w:rPr>
      </w:pPr>
    </w:p>
    <w:p w14:paraId="1D4C2E0D" w14:textId="2BBACC54" w:rsidR="00D66E91" w:rsidRDefault="000D2F8F" w:rsidP="00D66E91">
      <w:pPr>
        <w:rPr>
          <w:rFonts w:eastAsiaTheme="minorEastAsia" w:cs="Arial"/>
          <w:b/>
          <w:color w:val="000000" w:themeColor="text1"/>
          <w:kern w:val="24"/>
        </w:rPr>
      </w:pPr>
      <w:r>
        <w:rPr>
          <w:rFonts w:eastAsiaTheme="minorEastAsia" w:cs="Arial"/>
          <w:b/>
          <w:color w:val="000000" w:themeColor="text1"/>
          <w:kern w:val="24"/>
        </w:rPr>
        <w:t xml:space="preserve">A hospital patient (‘P’) </w:t>
      </w:r>
      <w:r w:rsidR="00D66E91">
        <w:rPr>
          <w:rFonts w:eastAsiaTheme="minorEastAsia" w:cs="Arial"/>
          <w:b/>
          <w:color w:val="000000" w:themeColor="text1"/>
          <w:kern w:val="24"/>
        </w:rPr>
        <w:t xml:space="preserve">is refusing critical medications for his physical health.  The ward </w:t>
      </w:r>
      <w:proofErr w:type="gramStart"/>
      <w:r w:rsidR="00D66E91">
        <w:rPr>
          <w:rFonts w:eastAsiaTheme="minorEastAsia" w:cs="Arial"/>
          <w:b/>
          <w:color w:val="000000" w:themeColor="text1"/>
          <w:kern w:val="24"/>
        </w:rPr>
        <w:t>describe</w:t>
      </w:r>
      <w:proofErr w:type="gramEnd"/>
      <w:r w:rsidR="00D66E91">
        <w:rPr>
          <w:rFonts w:eastAsiaTheme="minorEastAsia" w:cs="Arial"/>
          <w:b/>
          <w:color w:val="000000" w:themeColor="text1"/>
          <w:kern w:val="24"/>
        </w:rPr>
        <w:t xml:space="preserve"> his mental capacity as fluctuating.  There is also a disagreement between therapy staff who feel that he does have the mental capacity to refuse his care and treatment and the nursing and medical staff who disagree.</w:t>
      </w:r>
    </w:p>
    <w:p w14:paraId="0E8F6917" w14:textId="77777777" w:rsidR="00D66E91" w:rsidRDefault="00D66E91" w:rsidP="00D66E91">
      <w:pPr>
        <w:pStyle w:val="ListParagraph"/>
        <w:ind w:left="360"/>
        <w:rPr>
          <w:rFonts w:eastAsiaTheme="minorEastAsia" w:cs="Arial"/>
          <w:i/>
          <w:kern w:val="24"/>
        </w:rPr>
      </w:pPr>
    </w:p>
    <w:p w14:paraId="2EBF4BF5" w14:textId="77777777" w:rsidR="00D66E91" w:rsidRDefault="00D66E91" w:rsidP="00D66E91">
      <w:pPr>
        <w:pStyle w:val="ListParagraph"/>
        <w:ind w:left="360"/>
        <w:rPr>
          <w:rFonts w:eastAsiaTheme="minorEastAsia" w:cs="Arial"/>
          <w:i/>
          <w:kern w:val="24"/>
        </w:rPr>
      </w:pPr>
    </w:p>
    <w:p w14:paraId="7BD1BD1C"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P’s capacity needs to be carefully assessed by someone with appropriate expertise in his diagnosed conditions.  Given that his medications are described as “critical” this will need to be progressed urgently.  Care should be taken to assess him when at his best and provide all reasonably practicable support to make his own decisions.  There may well need to be more than one consultation with P given that his capacity is said to fluctuate.  </w:t>
      </w:r>
    </w:p>
    <w:p w14:paraId="3850C379" w14:textId="77777777" w:rsidR="00D66E91" w:rsidRDefault="00D66E91" w:rsidP="00D66E91">
      <w:pPr>
        <w:rPr>
          <w:rFonts w:eastAsiaTheme="minorEastAsia" w:cs="Arial"/>
          <w:i/>
          <w:kern w:val="24"/>
        </w:rPr>
      </w:pPr>
    </w:p>
    <w:p w14:paraId="0D67CCCE"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If P is assessed to have capacity at least some of the time his </w:t>
      </w:r>
      <w:proofErr w:type="spellStart"/>
      <w:r>
        <w:rPr>
          <w:rFonts w:eastAsiaTheme="minorEastAsia" w:cs="Arial"/>
          <w:i/>
          <w:kern w:val="24"/>
        </w:rPr>
        <w:t>capacitous</w:t>
      </w:r>
      <w:proofErr w:type="spellEnd"/>
      <w:r>
        <w:rPr>
          <w:rFonts w:eastAsiaTheme="minorEastAsia" w:cs="Arial"/>
          <w:i/>
          <w:kern w:val="24"/>
        </w:rPr>
        <w:t xml:space="preserve"> consent to treatment should be sought at that time.  He should be asked to consent to the medications he needs and the care plan for administration.  </w:t>
      </w:r>
    </w:p>
    <w:p w14:paraId="6228B820" w14:textId="77777777" w:rsidR="00D66E91" w:rsidRDefault="00D66E91" w:rsidP="00D66E91">
      <w:pPr>
        <w:pStyle w:val="ListParagraph"/>
        <w:rPr>
          <w:rFonts w:eastAsiaTheme="minorEastAsia" w:cs="Arial"/>
          <w:i/>
          <w:kern w:val="24"/>
        </w:rPr>
      </w:pPr>
    </w:p>
    <w:p w14:paraId="4F2C93CB"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If P’s mental capacity remains in doubt an application to the Court of Protection may be necessary for a decision as to his capacity.</w:t>
      </w:r>
    </w:p>
    <w:p w14:paraId="7C2EA95C" w14:textId="77777777" w:rsidR="00D66E91" w:rsidRDefault="00D66E91" w:rsidP="00D66E91">
      <w:pPr>
        <w:pStyle w:val="ListParagraph"/>
        <w:rPr>
          <w:rFonts w:eastAsiaTheme="minorEastAsia" w:cs="Arial"/>
          <w:i/>
          <w:kern w:val="24"/>
        </w:rPr>
      </w:pPr>
    </w:p>
    <w:p w14:paraId="25242DBA"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Further guidance on prescription and administration of medication for those lacking capacity can be found in the appendixes of the </w:t>
      </w:r>
      <w:hyperlink r:id="rId18" w:history="1">
        <w:r>
          <w:rPr>
            <w:rStyle w:val="Hyperlink"/>
            <w:rFonts w:eastAsiaTheme="minorEastAsia" w:cs="Arial"/>
            <w:i/>
            <w:kern w:val="24"/>
          </w:rPr>
          <w:t>local MCA policy</w:t>
        </w:r>
      </w:hyperlink>
      <w:r>
        <w:rPr>
          <w:rFonts w:eastAsiaTheme="minorEastAsia" w:cs="Arial"/>
          <w:i/>
          <w:kern w:val="24"/>
        </w:rPr>
        <w:t xml:space="preserve">. </w:t>
      </w:r>
    </w:p>
    <w:p w14:paraId="77FB036C" w14:textId="77777777" w:rsidR="00D66E91" w:rsidRDefault="00D66E91" w:rsidP="00D66E91">
      <w:pPr>
        <w:pStyle w:val="ListParagraph"/>
        <w:rPr>
          <w:rFonts w:eastAsiaTheme="minorEastAsia" w:cs="Arial"/>
          <w:color w:val="000000" w:themeColor="text1"/>
          <w:kern w:val="24"/>
        </w:rPr>
      </w:pPr>
    </w:p>
    <w:p w14:paraId="73BF31AE" w14:textId="77777777" w:rsidR="00D66E91" w:rsidRDefault="00D66E91" w:rsidP="00D66E91">
      <w:pPr>
        <w:rPr>
          <w:rFonts w:eastAsiaTheme="minorEastAsia" w:cs="Arial"/>
          <w:b/>
          <w:bCs/>
          <w:kern w:val="24"/>
        </w:rPr>
      </w:pPr>
      <w:r>
        <w:rPr>
          <w:rFonts w:eastAsiaTheme="minorEastAsia" w:cs="Arial"/>
          <w:b/>
          <w:bCs/>
          <w:kern w:val="24"/>
        </w:rPr>
        <w:lastRenderedPageBreak/>
        <w:t xml:space="preserve">Case Study Four </w:t>
      </w:r>
    </w:p>
    <w:p w14:paraId="08E1CC56" w14:textId="77777777" w:rsidR="00D66E91" w:rsidRDefault="00D66E91" w:rsidP="00D66E91">
      <w:pPr>
        <w:rPr>
          <w:rFonts w:eastAsiaTheme="minorEastAsia" w:cs="Arial"/>
          <w:b/>
          <w:bCs/>
          <w:color w:val="FF0000"/>
          <w:kern w:val="24"/>
        </w:rPr>
      </w:pPr>
    </w:p>
    <w:p w14:paraId="5968B6EA" w14:textId="3428FD4B" w:rsidR="00D66E91" w:rsidRDefault="000D2F8F" w:rsidP="00D66E91">
      <w:pPr>
        <w:rPr>
          <w:rFonts w:eastAsiaTheme="minorEastAsia" w:cs="Arial"/>
          <w:b/>
          <w:color w:val="000000" w:themeColor="text1"/>
          <w:kern w:val="24"/>
        </w:rPr>
      </w:pPr>
      <w:r>
        <w:rPr>
          <w:rFonts w:eastAsiaTheme="minorEastAsia" w:cs="Arial"/>
          <w:b/>
          <w:color w:val="000000" w:themeColor="text1"/>
          <w:kern w:val="24"/>
        </w:rPr>
        <w:t xml:space="preserve">A hospital patient (‘P’) </w:t>
      </w:r>
      <w:r w:rsidR="00D66E91">
        <w:rPr>
          <w:rFonts w:eastAsiaTheme="minorEastAsia" w:cs="Arial"/>
          <w:b/>
          <w:color w:val="000000" w:themeColor="text1"/>
          <w:kern w:val="24"/>
        </w:rPr>
        <w:t xml:space="preserve">has a brain injury and is a </w:t>
      </w:r>
      <w:proofErr w:type="gramStart"/>
      <w:r w:rsidR="00D66E91">
        <w:rPr>
          <w:rFonts w:eastAsiaTheme="minorEastAsia" w:cs="Arial"/>
          <w:b/>
          <w:color w:val="000000" w:themeColor="text1"/>
          <w:kern w:val="24"/>
        </w:rPr>
        <w:t>long term</w:t>
      </w:r>
      <w:proofErr w:type="gramEnd"/>
      <w:r w:rsidR="00D66E91">
        <w:rPr>
          <w:rFonts w:eastAsiaTheme="minorEastAsia" w:cs="Arial"/>
          <w:b/>
          <w:color w:val="000000" w:themeColor="text1"/>
          <w:kern w:val="24"/>
        </w:rPr>
        <w:t xml:space="preserve"> inpatient.  She is deemed to lack the capacity to understand her care and treatment needs due to her inability to retain information.  She has access to a smart </w:t>
      </w:r>
      <w:proofErr w:type="gramStart"/>
      <w:r w:rsidR="00D66E91">
        <w:rPr>
          <w:rFonts w:eastAsiaTheme="minorEastAsia" w:cs="Arial"/>
          <w:b/>
          <w:color w:val="000000" w:themeColor="text1"/>
          <w:kern w:val="24"/>
        </w:rPr>
        <w:t>phone</w:t>
      </w:r>
      <w:proofErr w:type="gramEnd"/>
      <w:r w:rsidR="00D66E91">
        <w:rPr>
          <w:rFonts w:eastAsiaTheme="minorEastAsia" w:cs="Arial"/>
          <w:b/>
          <w:color w:val="000000" w:themeColor="text1"/>
          <w:kern w:val="24"/>
        </w:rPr>
        <w:t xml:space="preserve"> and she uses this to access Facebook as she did prior to her injury. However she has been striking up online relationships with men and some have been visiting the unit to see her.  This has obviously caused some concerns on the </w:t>
      </w:r>
      <w:r>
        <w:rPr>
          <w:rFonts w:eastAsiaTheme="minorEastAsia" w:cs="Arial"/>
          <w:b/>
          <w:color w:val="000000" w:themeColor="text1"/>
          <w:kern w:val="24"/>
        </w:rPr>
        <w:t>u</w:t>
      </w:r>
      <w:r w:rsidR="00D66E91">
        <w:rPr>
          <w:rFonts w:eastAsiaTheme="minorEastAsia" w:cs="Arial"/>
          <w:b/>
          <w:color w:val="000000" w:themeColor="text1"/>
          <w:kern w:val="24"/>
        </w:rPr>
        <w:t>nit.  P is refusing to allow staff to access her phone</w:t>
      </w:r>
      <w:r>
        <w:rPr>
          <w:rFonts w:eastAsiaTheme="minorEastAsia" w:cs="Arial"/>
          <w:b/>
          <w:color w:val="000000" w:themeColor="text1"/>
          <w:kern w:val="24"/>
        </w:rPr>
        <w:t>.  S</w:t>
      </w:r>
      <w:r w:rsidR="00D66E91">
        <w:rPr>
          <w:rFonts w:eastAsiaTheme="minorEastAsia" w:cs="Arial"/>
          <w:b/>
          <w:color w:val="000000" w:themeColor="text1"/>
          <w:kern w:val="24"/>
        </w:rPr>
        <w:t>taff are worried that she does not have the capacity to understand the potential risks posed by some individuals in this arena. P is 25 years old.</w:t>
      </w:r>
    </w:p>
    <w:p w14:paraId="213E0747" w14:textId="77777777" w:rsidR="00D66E91" w:rsidRDefault="00D66E91" w:rsidP="00D66E91">
      <w:pPr>
        <w:rPr>
          <w:rFonts w:eastAsiaTheme="minorEastAsia" w:cs="Arial"/>
          <w:color w:val="000000" w:themeColor="text1"/>
          <w:kern w:val="24"/>
        </w:rPr>
      </w:pPr>
    </w:p>
    <w:p w14:paraId="63A9E138"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In addition to considering P’s mental capacity and best interests </w:t>
      </w:r>
      <w:proofErr w:type="gramStart"/>
      <w:r>
        <w:rPr>
          <w:rFonts w:eastAsiaTheme="minorEastAsia" w:cs="Arial"/>
          <w:i/>
          <w:kern w:val="24"/>
        </w:rPr>
        <w:t>with regard to</w:t>
      </w:r>
      <w:proofErr w:type="gramEnd"/>
      <w:r>
        <w:rPr>
          <w:rFonts w:eastAsiaTheme="minorEastAsia" w:cs="Arial"/>
          <w:i/>
          <w:kern w:val="24"/>
        </w:rPr>
        <w:t xml:space="preserve"> the care and treatment she receives, P’s capacity will also need to be assessed carefully with regard to:</w:t>
      </w:r>
    </w:p>
    <w:p w14:paraId="0732048D" w14:textId="77777777" w:rsidR="00D66E91" w:rsidRDefault="00D66E91" w:rsidP="00D66E91">
      <w:pPr>
        <w:pStyle w:val="ListParagraph"/>
        <w:ind w:left="360"/>
        <w:rPr>
          <w:rFonts w:eastAsiaTheme="minorEastAsia" w:cs="Arial"/>
          <w:i/>
          <w:kern w:val="24"/>
        </w:rPr>
      </w:pPr>
    </w:p>
    <w:p w14:paraId="24E55B95"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 xml:space="preserve">Contact with </w:t>
      </w:r>
      <w:proofErr w:type="gramStart"/>
      <w:r>
        <w:rPr>
          <w:rFonts w:eastAsiaTheme="minorEastAsia" w:cs="Arial"/>
          <w:i/>
          <w:kern w:val="24"/>
        </w:rPr>
        <w:t>others;</w:t>
      </w:r>
      <w:proofErr w:type="gramEnd"/>
    </w:p>
    <w:p w14:paraId="0DF72C1D"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 xml:space="preserve">Use of social </w:t>
      </w:r>
      <w:proofErr w:type="gramStart"/>
      <w:r>
        <w:rPr>
          <w:rFonts w:eastAsiaTheme="minorEastAsia" w:cs="Arial"/>
          <w:i/>
          <w:kern w:val="24"/>
        </w:rPr>
        <w:t>media;</w:t>
      </w:r>
      <w:proofErr w:type="gramEnd"/>
    </w:p>
    <w:p w14:paraId="5E6404DD"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(Likely) sexual relations.</w:t>
      </w:r>
    </w:p>
    <w:p w14:paraId="3E1B7232" w14:textId="77777777" w:rsidR="00D66E91" w:rsidRDefault="00D66E91" w:rsidP="00D66E91">
      <w:pPr>
        <w:pStyle w:val="ListParagraph"/>
        <w:ind w:left="1080"/>
        <w:rPr>
          <w:rFonts w:eastAsiaTheme="minorEastAsia" w:cs="Arial"/>
          <w:i/>
          <w:kern w:val="24"/>
        </w:rPr>
      </w:pPr>
    </w:p>
    <w:p w14:paraId="3DF8AED2"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As ever P should be given all reasonably practicable support to make her own decisions.  Consider what education she may be provided with to support her to make her own decisions </w:t>
      </w:r>
      <w:proofErr w:type="gramStart"/>
      <w:r>
        <w:rPr>
          <w:rFonts w:eastAsiaTheme="minorEastAsia" w:cs="Arial"/>
          <w:i/>
          <w:kern w:val="24"/>
        </w:rPr>
        <w:t>taking into account</w:t>
      </w:r>
      <w:proofErr w:type="gramEnd"/>
      <w:r>
        <w:rPr>
          <w:rFonts w:eastAsiaTheme="minorEastAsia" w:cs="Arial"/>
          <w:i/>
          <w:kern w:val="24"/>
        </w:rPr>
        <w:t xml:space="preserve"> the particular risks to which she may be exposed.</w:t>
      </w:r>
    </w:p>
    <w:p w14:paraId="08579325" w14:textId="77777777" w:rsidR="00D66E91" w:rsidRDefault="00D66E91" w:rsidP="00D66E91">
      <w:pPr>
        <w:pStyle w:val="ListParagraph"/>
        <w:ind w:left="360"/>
        <w:rPr>
          <w:rFonts w:eastAsiaTheme="minorEastAsia" w:cs="Arial"/>
          <w:i/>
          <w:kern w:val="24"/>
        </w:rPr>
      </w:pPr>
    </w:p>
    <w:p w14:paraId="22B4B8A7"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This is a sensitive situation that, assuming P is found to lack capacity, will almost certainly require an application to the Court of Protection for decisions in her best interests.  If her capacity is in doubt the Court can be asked to decide </w:t>
      </w:r>
      <w:proofErr w:type="gramStart"/>
      <w:r>
        <w:rPr>
          <w:rFonts w:eastAsiaTheme="minorEastAsia" w:cs="Arial"/>
          <w:i/>
          <w:kern w:val="24"/>
        </w:rPr>
        <w:t>whether or not</w:t>
      </w:r>
      <w:proofErr w:type="gramEnd"/>
      <w:r>
        <w:rPr>
          <w:rFonts w:eastAsiaTheme="minorEastAsia" w:cs="Arial"/>
          <w:i/>
          <w:kern w:val="24"/>
        </w:rPr>
        <w:t xml:space="preserve"> she has capacity in these contexts.</w:t>
      </w:r>
    </w:p>
    <w:p w14:paraId="0A1C99B7" w14:textId="77777777" w:rsidR="00D66E91" w:rsidRDefault="00D66E91" w:rsidP="00D66E91">
      <w:pPr>
        <w:rPr>
          <w:rFonts w:eastAsiaTheme="minorEastAsia" w:cs="Arial"/>
          <w:color w:val="000000" w:themeColor="text1"/>
          <w:kern w:val="24"/>
        </w:rPr>
      </w:pPr>
    </w:p>
    <w:p w14:paraId="0641BA0E" w14:textId="77777777" w:rsidR="00D66E91" w:rsidRDefault="00D66E91" w:rsidP="00D66E91">
      <w:pPr>
        <w:rPr>
          <w:rFonts w:eastAsiaTheme="minorEastAsia" w:cs="Arial"/>
          <w:color w:val="000000" w:themeColor="text1"/>
          <w:kern w:val="24"/>
        </w:rPr>
      </w:pPr>
    </w:p>
    <w:p w14:paraId="228B63E2" w14:textId="77777777" w:rsidR="00D66E91" w:rsidRDefault="00D66E91" w:rsidP="00D66E91">
      <w:pPr>
        <w:rPr>
          <w:rFonts w:eastAsiaTheme="minorEastAsia" w:cs="Arial"/>
          <w:b/>
          <w:bCs/>
          <w:kern w:val="24"/>
        </w:rPr>
      </w:pPr>
      <w:r>
        <w:rPr>
          <w:rFonts w:eastAsiaTheme="minorEastAsia" w:cs="Arial"/>
          <w:b/>
          <w:bCs/>
          <w:kern w:val="24"/>
        </w:rPr>
        <w:t>Case Study Five</w:t>
      </w:r>
    </w:p>
    <w:p w14:paraId="5883A2CD" w14:textId="77777777" w:rsidR="00D66E91" w:rsidRDefault="00D66E91" w:rsidP="00D66E91">
      <w:pPr>
        <w:rPr>
          <w:rFonts w:eastAsiaTheme="minorEastAsia" w:cs="Arial"/>
          <w:b/>
          <w:bCs/>
          <w:kern w:val="24"/>
        </w:rPr>
      </w:pPr>
    </w:p>
    <w:p w14:paraId="4D097A2C" w14:textId="539FC867" w:rsidR="00D66E91" w:rsidRDefault="000D2F8F" w:rsidP="00D66E91">
      <w:pPr>
        <w:rPr>
          <w:rFonts w:eastAsiaTheme="minorEastAsia" w:cs="Arial"/>
          <w:b/>
          <w:color w:val="000000" w:themeColor="text1"/>
          <w:kern w:val="24"/>
        </w:rPr>
      </w:pPr>
      <w:r>
        <w:rPr>
          <w:rFonts w:eastAsiaTheme="minorEastAsia" w:cs="Arial"/>
          <w:b/>
          <w:kern w:val="24"/>
        </w:rPr>
        <w:t xml:space="preserve">A hospital patient (‘P’) </w:t>
      </w:r>
      <w:r w:rsidR="00D66E91">
        <w:rPr>
          <w:rFonts w:eastAsiaTheme="minorEastAsia" w:cs="Arial"/>
          <w:b/>
          <w:kern w:val="24"/>
        </w:rPr>
        <w:t xml:space="preserve">is an elderly lady with dementia who is constantly pulling out her nasogastric (NG) tube and the ward is struggling to maintain her nutritional status. The family want the ward to put in a PEG tube, but the MDT do not think it is in her best interest to do so.  P is 84 years </w:t>
      </w:r>
      <w:proofErr w:type="gramStart"/>
      <w:r w:rsidR="00D66E91">
        <w:rPr>
          <w:rFonts w:eastAsiaTheme="minorEastAsia" w:cs="Arial"/>
          <w:b/>
          <w:kern w:val="24"/>
        </w:rPr>
        <w:t>old,</w:t>
      </w:r>
      <w:proofErr w:type="gramEnd"/>
      <w:r w:rsidR="00D66E91">
        <w:rPr>
          <w:rFonts w:eastAsiaTheme="minorEastAsia" w:cs="Arial"/>
          <w:b/>
          <w:kern w:val="24"/>
        </w:rPr>
        <w:t xml:space="preserve"> she is deaf and has poor eyesight.  Her capacity assessments are difficult as a result of </w:t>
      </w:r>
      <w:proofErr w:type="gramStart"/>
      <w:r w:rsidR="00D66E91">
        <w:rPr>
          <w:rFonts w:eastAsiaTheme="minorEastAsia" w:cs="Arial"/>
          <w:b/>
          <w:kern w:val="24"/>
        </w:rPr>
        <w:t>this</w:t>
      </w:r>
      <w:proofErr w:type="gramEnd"/>
      <w:r w:rsidR="00D66E91">
        <w:rPr>
          <w:rFonts w:eastAsiaTheme="minorEastAsia" w:cs="Arial"/>
          <w:b/>
          <w:kern w:val="24"/>
        </w:rPr>
        <w:t xml:space="preserve"> and it is unclear whether she </w:t>
      </w:r>
      <w:r w:rsidR="00D66E91">
        <w:rPr>
          <w:rFonts w:eastAsiaTheme="minorEastAsia" w:cs="Arial"/>
          <w:b/>
          <w:color w:val="000000" w:themeColor="text1"/>
          <w:kern w:val="24"/>
        </w:rPr>
        <w:t xml:space="preserve">has capacity or lacks it with regard to this issue.  The nursing staff believe that she is pulling the tube out because she has “had enough”. The family maintain that she would have wanted everything done for her to hold onto life. The oldest daughter has LPA for health and </w:t>
      </w:r>
      <w:proofErr w:type="gramStart"/>
      <w:r w:rsidR="00D66E91">
        <w:rPr>
          <w:rFonts w:eastAsiaTheme="minorEastAsia" w:cs="Arial"/>
          <w:b/>
          <w:color w:val="000000" w:themeColor="text1"/>
          <w:kern w:val="24"/>
        </w:rPr>
        <w:t>welfare</w:t>
      </w:r>
      <w:proofErr w:type="gramEnd"/>
      <w:r w:rsidR="00D66E91">
        <w:rPr>
          <w:rFonts w:eastAsiaTheme="minorEastAsia" w:cs="Arial"/>
          <w:b/>
          <w:color w:val="000000" w:themeColor="text1"/>
          <w:kern w:val="24"/>
        </w:rPr>
        <w:t xml:space="preserve"> and she wants the medical staff to place a PEG.</w:t>
      </w:r>
    </w:p>
    <w:p w14:paraId="7FA0D2CE" w14:textId="77777777" w:rsidR="00D66E91" w:rsidRDefault="00D66E91" w:rsidP="00D66E91">
      <w:pPr>
        <w:pStyle w:val="ListParagraph"/>
        <w:rPr>
          <w:rFonts w:eastAsiaTheme="minorEastAsia" w:cs="Arial"/>
          <w:color w:val="000000" w:themeColor="text1"/>
          <w:kern w:val="24"/>
        </w:rPr>
      </w:pPr>
    </w:p>
    <w:p w14:paraId="57C42D75" w14:textId="77777777" w:rsidR="00D66E91" w:rsidRDefault="00D66E91" w:rsidP="00D66E91">
      <w:pPr>
        <w:pStyle w:val="ListParagraph"/>
        <w:rPr>
          <w:rFonts w:eastAsiaTheme="minorEastAsia" w:cs="Arial"/>
          <w:color w:val="000000" w:themeColor="text1"/>
          <w:kern w:val="24"/>
        </w:rPr>
      </w:pPr>
    </w:p>
    <w:p w14:paraId="1C10CED4"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The question of P’s mental capacity must be resolved as soon as possible </w:t>
      </w:r>
      <w:proofErr w:type="gramStart"/>
      <w:r>
        <w:rPr>
          <w:rFonts w:eastAsiaTheme="minorEastAsia" w:cs="Arial"/>
          <w:i/>
          <w:kern w:val="24"/>
        </w:rPr>
        <w:t>in light of</w:t>
      </w:r>
      <w:proofErr w:type="gramEnd"/>
      <w:r>
        <w:rPr>
          <w:rFonts w:eastAsiaTheme="minorEastAsia" w:cs="Arial"/>
          <w:i/>
          <w:kern w:val="24"/>
        </w:rPr>
        <w:t xml:space="preserve"> her behaviours.  Consider a second opinion/expert assessment by someone with specialist expertise in dementia, perhaps working jointly with a nutrition specialist.   Care will need to be taken to ensure P is best supported with decision making </w:t>
      </w:r>
      <w:proofErr w:type="gramStart"/>
      <w:r>
        <w:rPr>
          <w:rFonts w:eastAsiaTheme="minorEastAsia" w:cs="Arial"/>
          <w:i/>
          <w:kern w:val="24"/>
        </w:rPr>
        <w:t>in light of</w:t>
      </w:r>
      <w:proofErr w:type="gramEnd"/>
      <w:r>
        <w:rPr>
          <w:rFonts w:eastAsiaTheme="minorEastAsia" w:cs="Arial"/>
          <w:i/>
          <w:kern w:val="24"/>
        </w:rPr>
        <w:t xml:space="preserve"> her visual and hearing impairments.  All reasonably practicable steps must be taken to support P to take her own decision.  </w:t>
      </w:r>
    </w:p>
    <w:p w14:paraId="4BDB4F04" w14:textId="77777777" w:rsidR="00D66E91" w:rsidRDefault="00D66E91" w:rsidP="00D66E91">
      <w:pPr>
        <w:pStyle w:val="ListParagraph"/>
        <w:ind w:left="360"/>
        <w:rPr>
          <w:rFonts w:eastAsiaTheme="minorEastAsia" w:cs="Arial"/>
          <w:i/>
          <w:kern w:val="24"/>
        </w:rPr>
      </w:pPr>
    </w:p>
    <w:p w14:paraId="3773288A"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capacity remains in doubt the question of capacity may need to be the subject of an application to the Court of Protection for a decision to be taken.  This will need to be advanced quickly </w:t>
      </w:r>
      <w:proofErr w:type="gramStart"/>
      <w:r>
        <w:rPr>
          <w:rFonts w:eastAsiaTheme="minorEastAsia" w:cs="Arial"/>
          <w:i/>
          <w:kern w:val="24"/>
        </w:rPr>
        <w:t>in light of</w:t>
      </w:r>
      <w:proofErr w:type="gramEnd"/>
      <w:r>
        <w:rPr>
          <w:rFonts w:eastAsiaTheme="minorEastAsia" w:cs="Arial"/>
          <w:i/>
          <w:kern w:val="24"/>
        </w:rPr>
        <w:t xml:space="preserve"> P’s behaviours and the difficulties maintaining her nutritional status.</w:t>
      </w:r>
    </w:p>
    <w:p w14:paraId="57E71909" w14:textId="77777777" w:rsidR="00D66E91" w:rsidRDefault="00D66E91" w:rsidP="00D66E91">
      <w:pPr>
        <w:rPr>
          <w:rFonts w:eastAsiaTheme="minorEastAsia" w:cs="Arial"/>
          <w:i/>
          <w:kern w:val="24"/>
        </w:rPr>
      </w:pPr>
    </w:p>
    <w:p w14:paraId="57B8657B"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Practitioners will need to check that the LPA has been registered and grants the daughter the authority to take this decision in these circumstances.  The daughter should be asked to provide a copy and it should be placed with the clinical records.  </w:t>
      </w:r>
    </w:p>
    <w:p w14:paraId="5819F926" w14:textId="77777777" w:rsidR="00D66E91" w:rsidRDefault="00D66E91" w:rsidP="00D66E91">
      <w:pPr>
        <w:rPr>
          <w:rFonts w:eastAsiaTheme="minorEastAsia" w:cs="Arial"/>
          <w:i/>
          <w:kern w:val="24"/>
        </w:rPr>
      </w:pPr>
    </w:p>
    <w:p w14:paraId="7777FBFF"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daughter’s authority cannot be confirmed the daughter will not be entitled to take this decision if P lacks capacity and this issue will need to be addressed as a dispute with the family as to P’s best interests.  </w:t>
      </w:r>
    </w:p>
    <w:p w14:paraId="510B53A1" w14:textId="77777777" w:rsidR="00D66E91" w:rsidRDefault="00D66E91" w:rsidP="00D66E91">
      <w:pPr>
        <w:rPr>
          <w:rFonts w:eastAsiaTheme="minorEastAsia" w:cs="Arial"/>
          <w:i/>
          <w:kern w:val="24"/>
        </w:rPr>
      </w:pPr>
    </w:p>
    <w:p w14:paraId="3A943A34"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daughter has authority to take this decision as P’s LPA when P lacks capacity, and assuming P is found to lack capacity, the daughter will be the best </w:t>
      </w:r>
      <w:proofErr w:type="gramStart"/>
      <w:r>
        <w:rPr>
          <w:rFonts w:eastAsiaTheme="minorEastAsia" w:cs="Arial"/>
          <w:i/>
          <w:kern w:val="24"/>
        </w:rPr>
        <w:t>interests</w:t>
      </w:r>
      <w:proofErr w:type="gramEnd"/>
      <w:r>
        <w:rPr>
          <w:rFonts w:eastAsiaTheme="minorEastAsia" w:cs="Arial"/>
          <w:i/>
          <w:kern w:val="24"/>
        </w:rPr>
        <w:t xml:space="preserve"> decision maker.  However there remains a disagreement as to what would be in P’s best interests between the decision maker (daughter) and the clinical team.  </w:t>
      </w:r>
    </w:p>
    <w:p w14:paraId="6389BA40" w14:textId="77777777" w:rsidR="00D66E91" w:rsidRDefault="00D66E91" w:rsidP="00D66E91">
      <w:pPr>
        <w:rPr>
          <w:rFonts w:eastAsiaTheme="minorEastAsia" w:cs="Arial"/>
          <w:i/>
          <w:kern w:val="24"/>
        </w:rPr>
      </w:pPr>
    </w:p>
    <w:p w14:paraId="35BB0F87"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Efforts should be made to reach agreement as to the way forward.  Best interests must be considered in line with the MCA, especially section 4 and the principles in section 1.  P’s own past and present wishes, feelings, </w:t>
      </w:r>
      <w:proofErr w:type="gramStart"/>
      <w:r>
        <w:rPr>
          <w:rFonts w:eastAsiaTheme="minorEastAsia" w:cs="Arial"/>
          <w:i/>
          <w:kern w:val="24"/>
        </w:rPr>
        <w:t>beliefs</w:t>
      </w:r>
      <w:proofErr w:type="gramEnd"/>
      <w:r>
        <w:rPr>
          <w:rFonts w:eastAsiaTheme="minorEastAsia" w:cs="Arial"/>
          <w:i/>
          <w:kern w:val="24"/>
        </w:rPr>
        <w:t xml:space="preserve"> and values will need to be considered.  There may be evidence of this in her clinical records.  Her family are also a valuable source of information in that regard which will need to be </w:t>
      </w:r>
      <w:proofErr w:type="gramStart"/>
      <w:r>
        <w:rPr>
          <w:rFonts w:eastAsiaTheme="minorEastAsia" w:cs="Arial"/>
          <w:i/>
          <w:kern w:val="24"/>
        </w:rPr>
        <w:t>taken into account</w:t>
      </w:r>
      <w:proofErr w:type="gramEnd"/>
      <w:r>
        <w:rPr>
          <w:rFonts w:eastAsiaTheme="minorEastAsia" w:cs="Arial"/>
          <w:i/>
          <w:kern w:val="24"/>
        </w:rPr>
        <w:t>.  They are offering information as to what they say P would want for herself.</w:t>
      </w:r>
    </w:p>
    <w:p w14:paraId="644F858F" w14:textId="77777777" w:rsidR="00D66E91" w:rsidRDefault="00D66E91" w:rsidP="00D66E91">
      <w:pPr>
        <w:rPr>
          <w:rFonts w:eastAsiaTheme="minorEastAsia" w:cs="Arial"/>
          <w:i/>
          <w:kern w:val="24"/>
        </w:rPr>
      </w:pPr>
    </w:p>
    <w:p w14:paraId="59C39EC8"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Practitioners should consider carefully:</w:t>
      </w:r>
    </w:p>
    <w:p w14:paraId="40AF44B5" w14:textId="77777777" w:rsidR="00D66E91" w:rsidRDefault="00D66E91" w:rsidP="00D66E91">
      <w:pPr>
        <w:rPr>
          <w:rFonts w:eastAsiaTheme="minorEastAsia" w:cs="Arial"/>
          <w:i/>
          <w:kern w:val="24"/>
        </w:rPr>
      </w:pPr>
    </w:p>
    <w:p w14:paraId="1EEBBCBB" w14:textId="77777777" w:rsidR="00D66E91" w:rsidRDefault="00D66E91" w:rsidP="00D66E91">
      <w:pPr>
        <w:pStyle w:val="ListParagraph"/>
        <w:widowControl/>
        <w:numPr>
          <w:ilvl w:val="1"/>
          <w:numId w:val="10"/>
        </w:numPr>
        <w:jc w:val="left"/>
        <w:rPr>
          <w:rFonts w:eastAsiaTheme="minorEastAsia" w:cs="Arial"/>
          <w:i/>
          <w:kern w:val="24"/>
        </w:rPr>
      </w:pPr>
      <w:r>
        <w:rPr>
          <w:rFonts w:eastAsiaTheme="minorEastAsia" w:cs="Arial"/>
          <w:i/>
          <w:kern w:val="24"/>
        </w:rPr>
        <w:t xml:space="preserve">What the risks of PEG insertion may be and whether these have been adequately explained to the </w:t>
      </w:r>
      <w:proofErr w:type="gramStart"/>
      <w:r>
        <w:rPr>
          <w:rFonts w:eastAsiaTheme="minorEastAsia" w:cs="Arial"/>
          <w:i/>
          <w:kern w:val="24"/>
        </w:rPr>
        <w:t>family;</w:t>
      </w:r>
      <w:proofErr w:type="gramEnd"/>
    </w:p>
    <w:p w14:paraId="54B417C4" w14:textId="77777777" w:rsidR="00D66E91" w:rsidRDefault="00D66E91" w:rsidP="00D66E91">
      <w:pPr>
        <w:pStyle w:val="ListParagraph"/>
        <w:widowControl/>
        <w:numPr>
          <w:ilvl w:val="1"/>
          <w:numId w:val="10"/>
        </w:numPr>
        <w:jc w:val="left"/>
        <w:rPr>
          <w:rFonts w:eastAsiaTheme="minorEastAsia" w:cs="Arial"/>
          <w:i/>
          <w:kern w:val="24"/>
        </w:rPr>
      </w:pPr>
      <w:r>
        <w:rPr>
          <w:rFonts w:eastAsiaTheme="minorEastAsia" w:cs="Arial"/>
          <w:i/>
          <w:kern w:val="24"/>
        </w:rPr>
        <w:t xml:space="preserve">Why staff have reached the view that P would </w:t>
      </w:r>
      <w:r>
        <w:rPr>
          <w:rFonts w:eastAsiaTheme="minorEastAsia" w:cs="Arial"/>
          <w:i/>
          <w:kern w:val="24"/>
          <w:u w:val="single"/>
        </w:rPr>
        <w:t>not</w:t>
      </w:r>
      <w:r>
        <w:rPr>
          <w:rFonts w:eastAsiaTheme="minorEastAsia" w:cs="Arial"/>
          <w:i/>
          <w:kern w:val="24"/>
        </w:rPr>
        <w:t xml:space="preserve"> want to be fed via PEG when her family say that she </w:t>
      </w:r>
      <w:r>
        <w:rPr>
          <w:rFonts w:eastAsiaTheme="minorEastAsia" w:cs="Arial"/>
          <w:i/>
          <w:kern w:val="24"/>
          <w:u w:val="single"/>
        </w:rPr>
        <w:t>would</w:t>
      </w:r>
      <w:r>
        <w:rPr>
          <w:rFonts w:eastAsiaTheme="minorEastAsia" w:cs="Arial"/>
          <w:i/>
          <w:kern w:val="24"/>
        </w:rPr>
        <w:t xml:space="preserve"> want this.  What other evidence of P’s likely wishes is available?  Why is it thought that the fact that P removes the NG tube suggest she has “had enough”?  Would she be likely to behave the same way with a PEG tube?  Could there be other reasons for P’s behaviours?  Could something be done to make the NG tube more comfortable for P?  Would a PEG be more </w:t>
      </w:r>
      <w:proofErr w:type="gramStart"/>
      <w:r>
        <w:rPr>
          <w:rFonts w:eastAsiaTheme="minorEastAsia" w:cs="Arial"/>
          <w:i/>
          <w:kern w:val="24"/>
        </w:rPr>
        <w:t>comfortable</w:t>
      </w:r>
      <w:proofErr w:type="gramEnd"/>
      <w:r>
        <w:rPr>
          <w:rFonts w:eastAsiaTheme="minorEastAsia" w:cs="Arial"/>
          <w:i/>
          <w:kern w:val="24"/>
        </w:rPr>
        <w:t xml:space="preserve"> and could it be trialled to see how she tolerates it?  </w:t>
      </w:r>
    </w:p>
    <w:p w14:paraId="1C009F22" w14:textId="77777777" w:rsidR="00D66E91" w:rsidRDefault="00D66E91" w:rsidP="00D66E91">
      <w:pPr>
        <w:pStyle w:val="ListParagraph"/>
        <w:ind w:left="1080"/>
        <w:rPr>
          <w:rFonts w:eastAsiaTheme="minorEastAsia" w:cs="Arial"/>
          <w:i/>
          <w:kern w:val="24"/>
        </w:rPr>
      </w:pPr>
    </w:p>
    <w:p w14:paraId="5EE5A887"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A best interests meeting may well be useful so that all viewpoints can be </w:t>
      </w:r>
      <w:proofErr w:type="gramStart"/>
      <w:r>
        <w:rPr>
          <w:rFonts w:eastAsiaTheme="minorEastAsia" w:cs="Arial"/>
          <w:i/>
          <w:kern w:val="24"/>
        </w:rPr>
        <w:t>heard</w:t>
      </w:r>
      <w:proofErr w:type="gramEnd"/>
      <w:r>
        <w:rPr>
          <w:rFonts w:eastAsiaTheme="minorEastAsia" w:cs="Arial"/>
          <w:i/>
          <w:kern w:val="24"/>
        </w:rPr>
        <w:t xml:space="preserve"> and any questions answered.  Mediation should also be considered. </w:t>
      </w:r>
    </w:p>
    <w:p w14:paraId="2B7F2055" w14:textId="77777777" w:rsidR="00D66E91" w:rsidRDefault="00D66E91" w:rsidP="00D66E91">
      <w:pPr>
        <w:pStyle w:val="ListParagraph"/>
        <w:ind w:left="360"/>
        <w:rPr>
          <w:rFonts w:eastAsiaTheme="minorEastAsia" w:cs="Arial"/>
          <w:i/>
          <w:kern w:val="24"/>
        </w:rPr>
      </w:pPr>
    </w:p>
    <w:p w14:paraId="470815D3"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disagreement persists the case will need be taken to the Court of Protection for a decision as to P’s best interests.  </w:t>
      </w:r>
    </w:p>
    <w:p w14:paraId="1C3A1B4B" w14:textId="77777777" w:rsidR="00D66E91" w:rsidRDefault="00D66E91" w:rsidP="00D66E91">
      <w:pPr>
        <w:rPr>
          <w:rFonts w:eastAsiaTheme="minorHAnsi" w:cs="Arial"/>
        </w:rPr>
      </w:pPr>
    </w:p>
    <w:p w14:paraId="7C35C557" w14:textId="77777777" w:rsidR="00D66E91" w:rsidRDefault="00D66E91" w:rsidP="00D66E91">
      <w:pPr>
        <w:rPr>
          <w:rFonts w:cs="Arial"/>
        </w:rPr>
      </w:pPr>
    </w:p>
    <w:p w14:paraId="35E0842E" w14:textId="77777777" w:rsidR="00D66E91" w:rsidRDefault="00D66E91" w:rsidP="00D66E91">
      <w:pPr>
        <w:rPr>
          <w:rFonts w:cs="Arial"/>
          <w:b/>
          <w:bCs/>
        </w:rPr>
      </w:pPr>
      <w:r>
        <w:rPr>
          <w:rFonts w:cs="Arial"/>
          <w:b/>
          <w:bCs/>
        </w:rPr>
        <w:t xml:space="preserve">Case Study Six </w:t>
      </w:r>
    </w:p>
    <w:p w14:paraId="013BB002" w14:textId="77777777" w:rsidR="00D66E91" w:rsidRDefault="00D66E91" w:rsidP="00D66E91">
      <w:pPr>
        <w:rPr>
          <w:rFonts w:cs="Arial"/>
          <w:b/>
        </w:rPr>
      </w:pPr>
      <w:bookmarkStart w:id="1" w:name="para3"/>
    </w:p>
    <w:p w14:paraId="69DBE14A" w14:textId="4DFA2F86" w:rsidR="00D66E91" w:rsidRDefault="00DF1817" w:rsidP="00D66E91">
      <w:pPr>
        <w:rPr>
          <w:rFonts w:cs="Arial"/>
          <w:b/>
        </w:rPr>
      </w:pPr>
      <w:r>
        <w:rPr>
          <w:rFonts w:cs="Arial"/>
          <w:b/>
        </w:rPr>
        <w:t>A person (‘</w:t>
      </w:r>
      <w:r w:rsidR="00D66E91">
        <w:rPr>
          <w:rFonts w:cs="Arial"/>
          <w:b/>
        </w:rPr>
        <w:t>P</w:t>
      </w:r>
      <w:r>
        <w:rPr>
          <w:rFonts w:cs="Arial"/>
          <w:b/>
        </w:rPr>
        <w:t>’)</w:t>
      </w:r>
      <w:r w:rsidR="00D66E91">
        <w:rPr>
          <w:rFonts w:cs="Arial"/>
          <w:b/>
        </w:rPr>
        <w:t xml:space="preserve"> is a woman in her fifties with Down's Syndrome, learning disabilities and behavioural difficulties as well as some physical limitations. </w:t>
      </w:r>
      <w:r>
        <w:rPr>
          <w:rFonts w:cs="Arial"/>
          <w:b/>
        </w:rPr>
        <w:t>F</w:t>
      </w:r>
      <w:r w:rsidR="00D66E91">
        <w:rPr>
          <w:rFonts w:cs="Arial"/>
          <w:b/>
        </w:rPr>
        <w:t xml:space="preserve">or over 20 years she has lived in a residential care home where she is now subject to a DOLS standard authorisation.  </w:t>
      </w:r>
      <w:bookmarkStart w:id="2" w:name="para10"/>
      <w:r w:rsidR="00D66E91">
        <w:rPr>
          <w:rFonts w:cs="Arial"/>
          <w:b/>
        </w:rPr>
        <w:t>The home provide</w:t>
      </w:r>
      <w:r>
        <w:rPr>
          <w:rFonts w:cs="Arial"/>
          <w:b/>
        </w:rPr>
        <w:t>s</w:t>
      </w:r>
      <w:r w:rsidR="00D66E91">
        <w:rPr>
          <w:rFonts w:cs="Arial"/>
          <w:b/>
        </w:rPr>
        <w:t xml:space="preserve"> accommodation for people with learning difficulties who require personal care</w:t>
      </w:r>
      <w:bookmarkEnd w:id="2"/>
      <w:r w:rsidR="00D66E91">
        <w:rPr>
          <w:rFonts w:cs="Arial"/>
          <w:b/>
        </w:rPr>
        <w:t xml:space="preserve">.  P lacks insight into her needs and is </w:t>
      </w:r>
      <w:bookmarkStart w:id="3" w:name="para12"/>
      <w:r w:rsidR="00D66E91">
        <w:rPr>
          <w:rFonts w:cs="Arial"/>
          <w:b/>
        </w:rPr>
        <w:t>totally dependent on staff for her day-to-day care</w:t>
      </w:r>
      <w:bookmarkEnd w:id="3"/>
      <w:r w:rsidR="00D66E91">
        <w:rPr>
          <w:rFonts w:cs="Arial"/>
          <w:b/>
        </w:rPr>
        <w:t>.</w:t>
      </w:r>
    </w:p>
    <w:p w14:paraId="335EC64D" w14:textId="77777777" w:rsidR="00D66E91" w:rsidRDefault="00D66E91" w:rsidP="00D66E91">
      <w:pPr>
        <w:rPr>
          <w:rFonts w:cs="Arial"/>
          <w:b/>
        </w:rPr>
      </w:pPr>
    </w:p>
    <w:p w14:paraId="55EA44EC" w14:textId="3EB7C97E" w:rsidR="00D66E91" w:rsidRDefault="00D66E91" w:rsidP="00D66E91">
      <w:pPr>
        <w:rPr>
          <w:rFonts w:cs="Arial"/>
          <w:b/>
        </w:rPr>
      </w:pPr>
      <w:r>
        <w:rPr>
          <w:rFonts w:cs="Arial"/>
          <w:b/>
        </w:rPr>
        <w:t xml:space="preserve">P complains of </w:t>
      </w:r>
      <w:bookmarkStart w:id="4" w:name="para15"/>
      <w:r>
        <w:rPr>
          <w:rFonts w:cs="Arial"/>
          <w:b/>
        </w:rPr>
        <w:t>a sore throat and ha</w:t>
      </w:r>
      <w:r w:rsidR="00DF1817">
        <w:rPr>
          <w:rFonts w:cs="Arial"/>
          <w:b/>
        </w:rPr>
        <w:t>s</w:t>
      </w:r>
      <w:r>
        <w:rPr>
          <w:rFonts w:cs="Arial"/>
          <w:b/>
        </w:rPr>
        <w:t xml:space="preserve"> a limited appetite</w:t>
      </w:r>
      <w:bookmarkEnd w:id="4"/>
      <w:r>
        <w:rPr>
          <w:rFonts w:cs="Arial"/>
          <w:b/>
        </w:rPr>
        <w:t xml:space="preserve">.  She has a raised temperature, </w:t>
      </w:r>
      <w:proofErr w:type="gramStart"/>
      <w:r>
        <w:rPr>
          <w:rFonts w:cs="Arial"/>
          <w:b/>
        </w:rPr>
        <w:t>diarrhoea</w:t>
      </w:r>
      <w:proofErr w:type="gramEnd"/>
      <w:r>
        <w:rPr>
          <w:rFonts w:cs="Arial"/>
          <w:b/>
        </w:rPr>
        <w:t xml:space="preserve"> and vomiting. On Monday she asks to see a GP. </w:t>
      </w:r>
      <w:r w:rsidR="00DF1817">
        <w:rPr>
          <w:rFonts w:cs="Arial"/>
          <w:b/>
        </w:rPr>
        <w:t>However,</w:t>
      </w:r>
      <w:r>
        <w:rPr>
          <w:rFonts w:cs="Arial"/>
          <w:b/>
        </w:rPr>
        <w:t xml:space="preserve"> staff do not act on this that day.</w:t>
      </w:r>
    </w:p>
    <w:p w14:paraId="1763007B" w14:textId="77777777" w:rsidR="00D66E91" w:rsidRDefault="00D66E91" w:rsidP="00D66E91">
      <w:pPr>
        <w:rPr>
          <w:rFonts w:cs="Arial"/>
          <w:b/>
        </w:rPr>
      </w:pPr>
    </w:p>
    <w:p w14:paraId="4C1633FE" w14:textId="0F4A6248" w:rsidR="00D66E91" w:rsidRDefault="00D66E91" w:rsidP="00D66E91">
      <w:pPr>
        <w:rPr>
          <w:rFonts w:cs="Arial"/>
          <w:b/>
        </w:rPr>
      </w:pPr>
      <w:r>
        <w:rPr>
          <w:rFonts w:cs="Arial"/>
          <w:b/>
        </w:rPr>
        <w:t>On Tuesday afternoon staff call the GP and report further symptoms.  The GP advises over the telephone</w:t>
      </w:r>
      <w:r w:rsidR="00DF1817">
        <w:rPr>
          <w:rFonts w:cs="Arial"/>
          <w:b/>
        </w:rPr>
        <w:t>,</w:t>
      </w:r>
      <w:r>
        <w:rPr>
          <w:rFonts w:cs="Arial"/>
          <w:b/>
        </w:rPr>
        <w:t xml:space="preserve"> diagnoses </w:t>
      </w:r>
      <w:bookmarkStart w:id="5" w:name="para18"/>
      <w:r>
        <w:rPr>
          <w:rFonts w:cs="Arial"/>
          <w:b/>
        </w:rPr>
        <w:t>viral gastroenteritis and a urinary tract infection</w:t>
      </w:r>
      <w:bookmarkEnd w:id="5"/>
      <w:r w:rsidR="00DF1817">
        <w:rPr>
          <w:rFonts w:cs="Arial"/>
          <w:b/>
        </w:rPr>
        <w:t>,</w:t>
      </w:r>
      <w:r>
        <w:rPr>
          <w:rFonts w:cs="Arial"/>
          <w:b/>
        </w:rPr>
        <w:t xml:space="preserve"> and prescribes anti-sickness tablets and an antibiotic.</w:t>
      </w:r>
    </w:p>
    <w:p w14:paraId="0AD571CA" w14:textId="77777777" w:rsidR="00D66E91" w:rsidRDefault="00D66E91" w:rsidP="00D66E91">
      <w:pPr>
        <w:rPr>
          <w:rFonts w:cs="Arial"/>
          <w:b/>
        </w:rPr>
      </w:pPr>
    </w:p>
    <w:p w14:paraId="397B160B" w14:textId="3F1B7891" w:rsidR="00D66E91" w:rsidRDefault="00D66E91" w:rsidP="00D66E91">
      <w:pPr>
        <w:rPr>
          <w:rFonts w:cs="Arial"/>
          <w:b/>
        </w:rPr>
      </w:pPr>
      <w:r>
        <w:rPr>
          <w:rFonts w:cs="Arial"/>
          <w:b/>
        </w:rPr>
        <w:t xml:space="preserve">Staff remain concerned that evening and call NHS 111 which dispatches an ambulance.  </w:t>
      </w:r>
      <w:bookmarkStart w:id="6" w:name="para4"/>
      <w:r>
        <w:rPr>
          <w:rFonts w:cs="Arial"/>
          <w:b/>
        </w:rPr>
        <w:t xml:space="preserve"> The paramedics wish to transfer P to </w:t>
      </w:r>
      <w:r w:rsidR="00DF1817">
        <w:rPr>
          <w:rFonts w:cs="Arial"/>
          <w:b/>
        </w:rPr>
        <w:t>hospital,</w:t>
      </w:r>
      <w:r>
        <w:rPr>
          <w:rFonts w:cs="Arial"/>
          <w:b/>
        </w:rPr>
        <w:t xml:space="preserve"> but she will not co-operate.  They conclude that it </w:t>
      </w:r>
      <w:bookmarkStart w:id="7" w:name="para20"/>
      <w:r>
        <w:rPr>
          <w:rFonts w:cs="Arial"/>
          <w:b/>
        </w:rPr>
        <w:t>would be disproportionate to use physical force in the light of P’s apparently limited symptoms</w:t>
      </w:r>
      <w:bookmarkEnd w:id="7"/>
      <w:r>
        <w:rPr>
          <w:rFonts w:cs="Arial"/>
          <w:b/>
        </w:rPr>
        <w:t xml:space="preserve">.  They do not consider her life to be at immediate risk and the crew is not qualified to sedate P </w:t>
      </w:r>
      <w:proofErr w:type="gramStart"/>
      <w:r>
        <w:rPr>
          <w:rFonts w:cs="Arial"/>
          <w:b/>
        </w:rPr>
        <w:t>in order to</w:t>
      </w:r>
      <w:proofErr w:type="gramEnd"/>
      <w:r>
        <w:rPr>
          <w:rFonts w:cs="Arial"/>
          <w:b/>
        </w:rPr>
        <w:t xml:space="preserve"> convey her to the ambulance and to hospital.</w:t>
      </w:r>
    </w:p>
    <w:p w14:paraId="42097EA9" w14:textId="77777777" w:rsidR="00D66E91" w:rsidRDefault="00D66E91" w:rsidP="00D66E91">
      <w:pPr>
        <w:rPr>
          <w:rFonts w:cs="Arial"/>
          <w:b/>
        </w:rPr>
      </w:pPr>
    </w:p>
    <w:p w14:paraId="014CEAFF" w14:textId="77777777" w:rsidR="00D66E91" w:rsidRDefault="00D66E91" w:rsidP="00D66E91">
      <w:pPr>
        <w:rPr>
          <w:rFonts w:cs="Arial"/>
          <w:b/>
        </w:rPr>
      </w:pPr>
      <w:r>
        <w:rPr>
          <w:rFonts w:cs="Arial"/>
          <w:b/>
        </w:rPr>
        <w:t xml:space="preserve">An out of hours GP is called who advises that attempts should be made to persuade P to go to hospital but that if she refuses, force should not be </w:t>
      </w:r>
      <w:proofErr w:type="gramStart"/>
      <w:r>
        <w:rPr>
          <w:rFonts w:cs="Arial"/>
          <w:b/>
        </w:rPr>
        <w:t>used</w:t>
      </w:r>
      <w:proofErr w:type="gramEnd"/>
      <w:r>
        <w:rPr>
          <w:rFonts w:cs="Arial"/>
          <w:b/>
        </w:rPr>
        <w:t xml:space="preserve"> and she should stay in the care home and be monitored overnight.  This is what happens.  P cannot be persuaded and remains at the care home.</w:t>
      </w:r>
    </w:p>
    <w:p w14:paraId="7EDFE4B1" w14:textId="77777777" w:rsidR="00D66E91" w:rsidRDefault="00D66E91" w:rsidP="00D66E91">
      <w:pPr>
        <w:rPr>
          <w:rFonts w:cs="Arial"/>
          <w:b/>
        </w:rPr>
      </w:pPr>
    </w:p>
    <w:p w14:paraId="6E555302" w14:textId="77777777" w:rsidR="00D66E91" w:rsidRDefault="00D66E91" w:rsidP="00D66E91">
      <w:pPr>
        <w:rPr>
          <w:rFonts w:cs="Arial"/>
          <w:b/>
        </w:rPr>
      </w:pPr>
      <w:r>
        <w:rPr>
          <w:rFonts w:cs="Arial"/>
          <w:b/>
        </w:rPr>
        <w:t xml:space="preserve">The following morning P is found </w:t>
      </w:r>
      <w:bookmarkStart w:id="8" w:name="para22"/>
      <w:r>
        <w:rPr>
          <w:rFonts w:cs="Arial"/>
          <w:b/>
        </w:rPr>
        <w:t>lying soiled on the floor. While carers are assisting her to go to the toilet she collapse</w:t>
      </w:r>
      <w:bookmarkEnd w:id="8"/>
      <w:r>
        <w:rPr>
          <w:rFonts w:cs="Arial"/>
          <w:b/>
        </w:rPr>
        <w:t>s.  An ambulance attends and she is taken to hospital.  She is found to be severely dehydrated with kidney failure and metabolic acidosis. She has severe infection. She dies following a cardiac arrest later that day.</w:t>
      </w:r>
      <w:bookmarkEnd w:id="6"/>
    </w:p>
    <w:p w14:paraId="5A5E7115" w14:textId="77777777" w:rsidR="00D66E91" w:rsidRDefault="00D66E91" w:rsidP="00D66E91">
      <w:pPr>
        <w:rPr>
          <w:rFonts w:cs="Arial"/>
          <w:b/>
        </w:rPr>
      </w:pPr>
    </w:p>
    <w:p w14:paraId="7425081F" w14:textId="77777777" w:rsidR="00D66E91" w:rsidRDefault="00D66E91" w:rsidP="00D66E91">
      <w:pPr>
        <w:rPr>
          <w:rFonts w:cs="Arial"/>
          <w:b/>
        </w:rPr>
      </w:pPr>
    </w:p>
    <w:bookmarkEnd w:id="1"/>
    <w:p w14:paraId="4BB570C4" w14:textId="77777777" w:rsidR="00D66E91" w:rsidRDefault="00D66E91" w:rsidP="00D66E91">
      <w:pPr>
        <w:pStyle w:val="ListParagraph"/>
        <w:widowControl/>
        <w:numPr>
          <w:ilvl w:val="0"/>
          <w:numId w:val="11"/>
        </w:numPr>
        <w:jc w:val="left"/>
        <w:rPr>
          <w:rFonts w:cs="Arial"/>
          <w:i/>
        </w:rPr>
      </w:pPr>
      <w:r>
        <w:rPr>
          <w:rFonts w:cs="Arial"/>
          <w:i/>
        </w:rPr>
        <w:lastRenderedPageBreak/>
        <w:t xml:space="preserve">Given the evidence that P lacks capacity </w:t>
      </w:r>
      <w:proofErr w:type="gramStart"/>
      <w:r>
        <w:rPr>
          <w:rFonts w:cs="Arial"/>
          <w:i/>
        </w:rPr>
        <w:t>with regard to</w:t>
      </w:r>
      <w:proofErr w:type="gramEnd"/>
      <w:r>
        <w:rPr>
          <w:rFonts w:cs="Arial"/>
          <w:i/>
        </w:rPr>
        <w:t xml:space="preserve"> her residence, care and treatment and displays some behavioural difficulties this is a case which would have benefitted from advance care planning in the event of a need for transfer to hospital and P’s resistance.  P’s objections to going to hospital may have been foreseeable and it seems clear that her (apparently </w:t>
      </w:r>
      <w:proofErr w:type="spellStart"/>
      <w:r>
        <w:rPr>
          <w:rFonts w:cs="Arial"/>
          <w:i/>
        </w:rPr>
        <w:t>incapacitous</w:t>
      </w:r>
      <w:proofErr w:type="spellEnd"/>
      <w:r>
        <w:rPr>
          <w:rFonts w:cs="Arial"/>
          <w:i/>
        </w:rPr>
        <w:t xml:space="preserve">) resistance to transfer to hospital by ambulance has prevented her from accessing care and treatment which otherwise would have been recommended for someone presenting with her symptoms.  </w:t>
      </w:r>
    </w:p>
    <w:p w14:paraId="0AB3F170" w14:textId="77777777" w:rsidR="00D66E91" w:rsidRDefault="00D66E91" w:rsidP="00D66E91">
      <w:pPr>
        <w:pStyle w:val="ListParagraph"/>
        <w:ind w:left="360"/>
        <w:rPr>
          <w:rFonts w:cs="Arial"/>
          <w:i/>
        </w:rPr>
      </w:pPr>
    </w:p>
    <w:p w14:paraId="34420E2F" w14:textId="77777777" w:rsidR="00D66E91" w:rsidRDefault="00D66E91" w:rsidP="00D66E91">
      <w:pPr>
        <w:pStyle w:val="ListParagraph"/>
        <w:widowControl/>
        <w:numPr>
          <w:ilvl w:val="0"/>
          <w:numId w:val="11"/>
        </w:numPr>
        <w:jc w:val="left"/>
        <w:rPr>
          <w:rFonts w:cs="Arial"/>
          <w:i/>
        </w:rPr>
      </w:pPr>
      <w:r>
        <w:rPr>
          <w:rFonts w:cs="Arial"/>
          <w:i/>
        </w:rPr>
        <w:t xml:space="preserve">The Mental Capacity Act 2005 and Deprivation of Liberty Policy sets out steps to be taken when </w:t>
      </w:r>
      <w:proofErr w:type="gramStart"/>
      <w:r>
        <w:rPr>
          <w:rFonts w:cs="Arial"/>
          <w:i/>
        </w:rPr>
        <w:t>planning in advance</w:t>
      </w:r>
      <w:proofErr w:type="gramEnd"/>
      <w:r>
        <w:rPr>
          <w:rFonts w:cs="Arial"/>
          <w:i/>
        </w:rPr>
        <w:t xml:space="preserve"> for known/likely refusers of care.  Important elements of advance care planning will include:</w:t>
      </w:r>
    </w:p>
    <w:p w14:paraId="6526F943" w14:textId="77777777" w:rsidR="00D66E91" w:rsidRDefault="00D66E91" w:rsidP="00D66E91">
      <w:pPr>
        <w:pStyle w:val="ListParagraph"/>
        <w:ind w:left="360"/>
        <w:rPr>
          <w:rFonts w:cs="Arial"/>
          <w:i/>
        </w:rPr>
      </w:pPr>
    </w:p>
    <w:p w14:paraId="23357787" w14:textId="77777777" w:rsidR="00D66E91" w:rsidRDefault="00D66E91" w:rsidP="00D66E91">
      <w:pPr>
        <w:pStyle w:val="ListParagraph"/>
        <w:widowControl/>
        <w:numPr>
          <w:ilvl w:val="1"/>
          <w:numId w:val="11"/>
        </w:numPr>
        <w:jc w:val="left"/>
        <w:rPr>
          <w:rFonts w:cs="Arial"/>
          <w:i/>
        </w:rPr>
      </w:pPr>
      <w:r>
        <w:rPr>
          <w:rFonts w:cs="Arial"/>
          <w:i/>
        </w:rPr>
        <w:t xml:space="preserve">Identifying a lead practitioner with responsibility for developing the plan and keeping it under </w:t>
      </w:r>
      <w:proofErr w:type="gramStart"/>
      <w:r>
        <w:rPr>
          <w:rFonts w:cs="Arial"/>
          <w:i/>
        </w:rPr>
        <w:t>review;</w:t>
      </w:r>
      <w:proofErr w:type="gramEnd"/>
    </w:p>
    <w:p w14:paraId="55373701" w14:textId="77777777" w:rsidR="00D66E91" w:rsidRDefault="00D66E91" w:rsidP="00D66E91">
      <w:pPr>
        <w:pStyle w:val="ListParagraph"/>
        <w:widowControl/>
        <w:numPr>
          <w:ilvl w:val="1"/>
          <w:numId w:val="11"/>
        </w:numPr>
        <w:jc w:val="left"/>
        <w:rPr>
          <w:rFonts w:cs="Arial"/>
          <w:i/>
        </w:rPr>
      </w:pPr>
      <w:r>
        <w:rPr>
          <w:rFonts w:cs="Arial"/>
          <w:i/>
        </w:rPr>
        <w:t xml:space="preserve">Ensuring that where the person’s past and present wishes and feelings are known they are used to inform the development of the </w:t>
      </w:r>
      <w:proofErr w:type="gramStart"/>
      <w:r>
        <w:rPr>
          <w:rFonts w:cs="Arial"/>
          <w:i/>
        </w:rPr>
        <w:t>plan;</w:t>
      </w:r>
      <w:proofErr w:type="gramEnd"/>
    </w:p>
    <w:p w14:paraId="42460DB6" w14:textId="77777777" w:rsidR="00D66E91" w:rsidRDefault="00D66E91" w:rsidP="00D66E91">
      <w:pPr>
        <w:pStyle w:val="ListParagraph"/>
        <w:widowControl/>
        <w:numPr>
          <w:ilvl w:val="1"/>
          <w:numId w:val="11"/>
        </w:numPr>
        <w:jc w:val="left"/>
        <w:rPr>
          <w:rFonts w:cs="Arial"/>
          <w:i/>
        </w:rPr>
      </w:pPr>
      <w:r>
        <w:rPr>
          <w:rFonts w:cs="Arial"/>
          <w:i/>
        </w:rPr>
        <w:t xml:space="preserve">Supporting the person to contribute to the plan as far as they </w:t>
      </w:r>
      <w:proofErr w:type="gramStart"/>
      <w:r>
        <w:rPr>
          <w:rFonts w:cs="Arial"/>
          <w:i/>
        </w:rPr>
        <w:t>can;</w:t>
      </w:r>
      <w:proofErr w:type="gramEnd"/>
      <w:r>
        <w:rPr>
          <w:rFonts w:cs="Arial"/>
          <w:i/>
        </w:rPr>
        <w:t xml:space="preserve">  </w:t>
      </w:r>
    </w:p>
    <w:p w14:paraId="1488CB9F" w14:textId="77777777" w:rsidR="00D66E91" w:rsidRDefault="00D66E91" w:rsidP="00D66E91">
      <w:pPr>
        <w:pStyle w:val="ListParagraph"/>
        <w:widowControl/>
        <w:numPr>
          <w:ilvl w:val="1"/>
          <w:numId w:val="11"/>
        </w:numPr>
        <w:jc w:val="left"/>
        <w:rPr>
          <w:rFonts w:cs="Arial"/>
          <w:i/>
        </w:rPr>
      </w:pPr>
      <w:proofErr w:type="gramStart"/>
      <w:r>
        <w:rPr>
          <w:rFonts w:cs="Arial"/>
          <w:i/>
        </w:rPr>
        <w:t>A</w:t>
      </w:r>
      <w:proofErr w:type="gramEnd"/>
      <w:r>
        <w:rPr>
          <w:rFonts w:cs="Arial"/>
          <w:i/>
        </w:rPr>
        <w:t xml:space="preserve"> MDT</w:t>
      </w:r>
      <w:r w:rsidRPr="00BF0275">
        <w:rPr>
          <w:rFonts w:cs="Arial"/>
          <w:i/>
          <w:color w:val="C00000"/>
        </w:rPr>
        <w:t xml:space="preserve"> </w:t>
      </w:r>
      <w:r>
        <w:rPr>
          <w:rFonts w:cs="Arial"/>
          <w:i/>
        </w:rPr>
        <w:t xml:space="preserve">team approach involving all relevant practitioners plus those close to the person (family, friends) and any advocate;  </w:t>
      </w:r>
    </w:p>
    <w:p w14:paraId="5EF857B2" w14:textId="77777777" w:rsidR="00D66E91" w:rsidRDefault="00D66E91" w:rsidP="00D66E91">
      <w:pPr>
        <w:pStyle w:val="ListParagraph"/>
        <w:widowControl/>
        <w:numPr>
          <w:ilvl w:val="1"/>
          <w:numId w:val="11"/>
        </w:numPr>
        <w:jc w:val="left"/>
        <w:rPr>
          <w:rFonts w:cs="Arial"/>
          <w:i/>
        </w:rPr>
      </w:pPr>
      <w:r>
        <w:rPr>
          <w:rFonts w:cs="Arial"/>
          <w:i/>
        </w:rPr>
        <w:t xml:space="preserve">Ensuring that any planned use of restrictions or restraints are carefully recorded, and consideration given to whether they are necessary and </w:t>
      </w:r>
      <w:proofErr w:type="gramStart"/>
      <w:r>
        <w:rPr>
          <w:rFonts w:cs="Arial"/>
          <w:i/>
        </w:rPr>
        <w:t>proportionate;</w:t>
      </w:r>
      <w:proofErr w:type="gramEnd"/>
    </w:p>
    <w:p w14:paraId="784925B2" w14:textId="77777777" w:rsidR="00D66E91" w:rsidRDefault="00D66E91" w:rsidP="00D66E91">
      <w:pPr>
        <w:pStyle w:val="ListParagraph"/>
        <w:widowControl/>
        <w:numPr>
          <w:ilvl w:val="1"/>
          <w:numId w:val="11"/>
        </w:numPr>
        <w:jc w:val="left"/>
        <w:rPr>
          <w:rFonts w:cs="Arial"/>
          <w:i/>
        </w:rPr>
      </w:pPr>
      <w:r>
        <w:rPr>
          <w:rFonts w:cs="Arial"/>
          <w:i/>
        </w:rPr>
        <w:t>Appropriate sharing of the plan so that it is known about and understood by those who may need to follow it (which in this case would include the GP and ambulance service</w:t>
      </w:r>
      <w:proofErr w:type="gramStart"/>
      <w:r>
        <w:rPr>
          <w:rFonts w:cs="Arial"/>
          <w:i/>
        </w:rPr>
        <w:t>);</w:t>
      </w:r>
      <w:proofErr w:type="gramEnd"/>
    </w:p>
    <w:p w14:paraId="29381C4B" w14:textId="77777777" w:rsidR="00D66E91" w:rsidRDefault="00D66E91" w:rsidP="00D66E91">
      <w:pPr>
        <w:pStyle w:val="ListParagraph"/>
        <w:widowControl/>
        <w:numPr>
          <w:ilvl w:val="1"/>
          <w:numId w:val="11"/>
        </w:numPr>
        <w:jc w:val="left"/>
        <w:rPr>
          <w:rFonts w:cs="Arial"/>
          <w:i/>
        </w:rPr>
      </w:pPr>
      <w:r>
        <w:rPr>
          <w:rFonts w:cs="Arial"/>
          <w:i/>
        </w:rPr>
        <w:t xml:space="preserve">Regular review of the plan and updating/amendment as may be necessary when circumstances </w:t>
      </w:r>
      <w:proofErr w:type="gramStart"/>
      <w:r>
        <w:rPr>
          <w:rFonts w:cs="Arial"/>
          <w:i/>
        </w:rPr>
        <w:t>change;</w:t>
      </w:r>
      <w:proofErr w:type="gramEnd"/>
    </w:p>
    <w:p w14:paraId="68A2422F" w14:textId="77777777" w:rsidR="00D66E91" w:rsidRDefault="00D66E91" w:rsidP="00D66E91">
      <w:pPr>
        <w:pStyle w:val="ListParagraph"/>
        <w:widowControl/>
        <w:numPr>
          <w:ilvl w:val="1"/>
          <w:numId w:val="11"/>
        </w:numPr>
        <w:jc w:val="left"/>
        <w:rPr>
          <w:rFonts w:cs="Arial"/>
          <w:i/>
        </w:rPr>
      </w:pPr>
      <w:r>
        <w:rPr>
          <w:rFonts w:cs="Arial"/>
          <w:i/>
        </w:rPr>
        <w:t>Compliance with the MCA, including taking steps to obtain legal authorisation of the plan where necessary (for example where the plan may result in a deprivation of the person’s liberty, or where prior court authorisation of the plan may be required in a serious medical treatment case).</w:t>
      </w:r>
    </w:p>
    <w:p w14:paraId="33D1F638" w14:textId="77777777" w:rsidR="00D66E91" w:rsidRDefault="00D66E91" w:rsidP="00D66E91">
      <w:pPr>
        <w:rPr>
          <w:rFonts w:cs="Arial"/>
          <w:i/>
        </w:rPr>
      </w:pPr>
    </w:p>
    <w:p w14:paraId="18DF8076" w14:textId="77777777" w:rsidR="00D66E91" w:rsidRDefault="00D66E91" w:rsidP="00D66E91">
      <w:pPr>
        <w:rPr>
          <w:rFonts w:cs="Arial"/>
          <w:b/>
          <w:bCs/>
          <w:iCs/>
          <w:color w:val="FF0000"/>
        </w:rPr>
      </w:pPr>
    </w:p>
    <w:p w14:paraId="514FF899" w14:textId="77777777" w:rsidR="00D66E91" w:rsidRDefault="00D66E91" w:rsidP="00D66E91">
      <w:pPr>
        <w:rPr>
          <w:rFonts w:cs="Arial"/>
          <w:b/>
          <w:bCs/>
          <w:iCs/>
        </w:rPr>
      </w:pPr>
    </w:p>
    <w:p w14:paraId="0400D53C" w14:textId="77777777" w:rsidR="00D66E91" w:rsidRDefault="00D66E91" w:rsidP="00D66E91">
      <w:pPr>
        <w:rPr>
          <w:rFonts w:cs="Arial"/>
          <w:b/>
          <w:bCs/>
          <w:iCs/>
        </w:rPr>
      </w:pPr>
      <w:r>
        <w:rPr>
          <w:rFonts w:cs="Arial"/>
          <w:b/>
          <w:bCs/>
          <w:iCs/>
        </w:rPr>
        <w:t xml:space="preserve">Case Study Seven </w:t>
      </w:r>
    </w:p>
    <w:p w14:paraId="2F01157F" w14:textId="77777777" w:rsidR="00D66E91" w:rsidRDefault="00D66E91" w:rsidP="00D66E91">
      <w:pPr>
        <w:rPr>
          <w:rFonts w:cs="Arial"/>
          <w:b/>
          <w:bCs/>
          <w:iCs/>
        </w:rPr>
      </w:pPr>
    </w:p>
    <w:p w14:paraId="57A2738A" w14:textId="1AED5882" w:rsidR="00D66E91" w:rsidRDefault="00DF1817" w:rsidP="00D66E91">
      <w:pPr>
        <w:rPr>
          <w:rFonts w:cs="Arial"/>
          <w:b/>
          <w:bCs/>
        </w:rPr>
      </w:pPr>
      <w:r>
        <w:rPr>
          <w:rFonts w:cs="Arial"/>
          <w:b/>
          <w:bCs/>
        </w:rPr>
        <w:t>A person (‘</w:t>
      </w:r>
      <w:r w:rsidR="00D66E91">
        <w:rPr>
          <w:rFonts w:cs="Arial"/>
          <w:b/>
          <w:bCs/>
        </w:rPr>
        <w:t>P</w:t>
      </w:r>
      <w:r>
        <w:rPr>
          <w:rFonts w:cs="Arial"/>
          <w:b/>
          <w:bCs/>
        </w:rPr>
        <w:t>’)</w:t>
      </w:r>
      <w:r w:rsidR="00D66E91">
        <w:rPr>
          <w:rFonts w:cs="Arial"/>
          <w:b/>
          <w:bCs/>
        </w:rPr>
        <w:t xml:space="preserve"> is living in a supported living environment with some help from staff.  It is agreed that P lacks capacity to make care/treatment and accommodation decisions for himself, due to his learning disability.  P reports consistently that he is quite independent, and that he </w:t>
      </w:r>
      <w:proofErr w:type="gramStart"/>
      <w:r w:rsidR="00D66E91">
        <w:rPr>
          <w:rFonts w:cs="Arial"/>
          <w:b/>
          <w:bCs/>
        </w:rPr>
        <w:t>is able to</w:t>
      </w:r>
      <w:proofErr w:type="gramEnd"/>
      <w:r w:rsidR="00D66E91">
        <w:rPr>
          <w:rFonts w:cs="Arial"/>
          <w:b/>
          <w:bCs/>
        </w:rPr>
        <w:t xml:space="preserve"> self-care and to cook his own meals.  P feels he needs only limited help.      </w:t>
      </w:r>
    </w:p>
    <w:p w14:paraId="0E375D23" w14:textId="77777777" w:rsidR="00D66E91" w:rsidRDefault="00D66E91" w:rsidP="00D66E91">
      <w:pPr>
        <w:rPr>
          <w:rFonts w:cs="Arial"/>
          <w:b/>
          <w:bCs/>
        </w:rPr>
      </w:pPr>
    </w:p>
    <w:p w14:paraId="7CFCBFAF" w14:textId="77777777" w:rsidR="00D66E91" w:rsidRDefault="00D66E91" w:rsidP="00D66E91">
      <w:pPr>
        <w:rPr>
          <w:rFonts w:cs="Arial"/>
          <w:b/>
          <w:bCs/>
        </w:rPr>
      </w:pPr>
      <w:r>
        <w:rPr>
          <w:rFonts w:cs="Arial"/>
          <w:b/>
          <w:bCs/>
        </w:rPr>
        <w:t xml:space="preserve">P has </w:t>
      </w:r>
      <w:proofErr w:type="gramStart"/>
      <w:r>
        <w:rPr>
          <w:rFonts w:cs="Arial"/>
          <w:b/>
          <w:bCs/>
        </w:rPr>
        <w:t>a number of</w:t>
      </w:r>
      <w:proofErr w:type="gramEnd"/>
      <w:r>
        <w:rPr>
          <w:rFonts w:cs="Arial"/>
          <w:b/>
          <w:bCs/>
        </w:rPr>
        <w:t xml:space="preserve"> chronic conditions which he needs help to manage, including diabetes.  P’s diabetes requires that he attend his GP practice regularly for blood tests, and sometimes the local hospital as an outpatient for other dietary related tests. </w:t>
      </w:r>
    </w:p>
    <w:p w14:paraId="075290B8" w14:textId="77777777" w:rsidR="00D66E91" w:rsidRDefault="00D66E91" w:rsidP="00D66E91">
      <w:pPr>
        <w:rPr>
          <w:rFonts w:cs="Arial"/>
          <w:b/>
          <w:bCs/>
        </w:rPr>
      </w:pPr>
    </w:p>
    <w:p w14:paraId="058684F1" w14:textId="77777777" w:rsidR="00D66E91" w:rsidRDefault="00D66E91" w:rsidP="00D66E91">
      <w:pPr>
        <w:rPr>
          <w:rFonts w:cs="Arial"/>
          <w:b/>
          <w:bCs/>
        </w:rPr>
      </w:pPr>
      <w:r>
        <w:rPr>
          <w:rFonts w:cs="Arial"/>
          <w:b/>
          <w:bCs/>
        </w:rPr>
        <w:t xml:space="preserve">P begins losing weight.  Staff start to notice that there is rotten food left around in some areas.  When challenged about this, P denies that there is any problem and repeats that he </w:t>
      </w:r>
      <w:proofErr w:type="gramStart"/>
      <w:r>
        <w:rPr>
          <w:rFonts w:cs="Arial"/>
          <w:b/>
          <w:bCs/>
        </w:rPr>
        <w:t>is able to</w:t>
      </w:r>
      <w:proofErr w:type="gramEnd"/>
      <w:r>
        <w:rPr>
          <w:rFonts w:cs="Arial"/>
          <w:b/>
          <w:bCs/>
        </w:rPr>
        <w:t xml:space="preserve"> prepare meals for himself.  Staff at the supported living setting accept P’s self-reported ability to manage his nutritional needs.</w:t>
      </w:r>
    </w:p>
    <w:p w14:paraId="14A6B778" w14:textId="77777777" w:rsidR="00D66E91" w:rsidRDefault="00D66E91" w:rsidP="00D66E91">
      <w:pPr>
        <w:rPr>
          <w:rFonts w:cs="Arial"/>
          <w:b/>
          <w:bCs/>
        </w:rPr>
      </w:pPr>
    </w:p>
    <w:p w14:paraId="5AD9269F" w14:textId="77777777" w:rsidR="00D66E91" w:rsidRDefault="00D66E91" w:rsidP="00D66E91">
      <w:pPr>
        <w:rPr>
          <w:rFonts w:cs="Arial"/>
          <w:b/>
          <w:bCs/>
        </w:rPr>
      </w:pPr>
      <w:r>
        <w:rPr>
          <w:rFonts w:cs="Arial"/>
          <w:b/>
          <w:bCs/>
        </w:rPr>
        <w:t>P also says that he doesn’t want to attend his GP or the hospital when he is invited for routine tests to help manage his condition.    Staff accept P’s rejection of this routine help, as they are unclear whether or to what degree the tests are necessary.  P begins to become more and more unwell.  Staff fail to notice his deterioration.  P is eventually admitted to hospital very unwell, with suspected sepsis.</w:t>
      </w:r>
    </w:p>
    <w:p w14:paraId="57AB8C29" w14:textId="77777777" w:rsidR="00D66E91" w:rsidRDefault="00D66E91" w:rsidP="00D66E91">
      <w:pPr>
        <w:rPr>
          <w:rFonts w:cs="Arial"/>
        </w:rPr>
      </w:pPr>
    </w:p>
    <w:p w14:paraId="6B2CD809" w14:textId="77777777" w:rsidR="00D66E91" w:rsidRDefault="00D66E91" w:rsidP="00D66E91">
      <w:pPr>
        <w:pStyle w:val="ListParagraph"/>
        <w:widowControl/>
        <w:numPr>
          <w:ilvl w:val="0"/>
          <w:numId w:val="12"/>
        </w:numPr>
        <w:spacing w:after="160" w:line="256" w:lineRule="auto"/>
        <w:jc w:val="left"/>
        <w:rPr>
          <w:rFonts w:ascii="Calibri" w:hAnsi="Calibri" w:cs="Calibri"/>
          <w:i/>
          <w:iCs/>
          <w:sz w:val="22"/>
          <w:szCs w:val="22"/>
        </w:rPr>
      </w:pPr>
      <w:r>
        <w:rPr>
          <w:i/>
          <w:iCs/>
        </w:rPr>
        <w:t>P’s capacity in respect of each relevant decision should have been carefully assessed i.e., in respect of treatment (which it has already been noted above, he lacks) and in respect of nutrition.</w:t>
      </w:r>
    </w:p>
    <w:p w14:paraId="3268B4A0" w14:textId="77777777" w:rsidR="00D66E91" w:rsidRDefault="00D66E91" w:rsidP="00D66E91">
      <w:pPr>
        <w:pStyle w:val="ListParagraph"/>
        <w:spacing w:after="160" w:line="256" w:lineRule="auto"/>
        <w:rPr>
          <w:i/>
          <w:iCs/>
        </w:rPr>
      </w:pPr>
    </w:p>
    <w:p w14:paraId="75E63291" w14:textId="77777777" w:rsidR="00D66E91" w:rsidRDefault="00D66E91" w:rsidP="00D66E91">
      <w:pPr>
        <w:pStyle w:val="ListParagraph"/>
        <w:widowControl/>
        <w:numPr>
          <w:ilvl w:val="0"/>
          <w:numId w:val="12"/>
        </w:numPr>
        <w:spacing w:after="160" w:line="256" w:lineRule="auto"/>
        <w:jc w:val="left"/>
        <w:rPr>
          <w:i/>
          <w:iCs/>
        </w:rPr>
      </w:pPr>
      <w:r>
        <w:rPr>
          <w:i/>
          <w:iCs/>
        </w:rPr>
        <w:t xml:space="preserve">P’s claims about his own ability to care for himself, and access a good enough diet, should not have been accepted at face value.  For example, P could have been encouraged to engage in a shared cooking activity, which may have revealed his inability to cook or prepare food.  P could </w:t>
      </w:r>
      <w:r>
        <w:rPr>
          <w:i/>
          <w:iCs/>
        </w:rPr>
        <w:lastRenderedPageBreak/>
        <w:t xml:space="preserve">have been checked on at mealtimes, to establish what he was or was not able to provide for himself, and support given to ensure he was eating properly. It is concerning that staff seem to have been unclear as to whether P’s needs were really being met. </w:t>
      </w:r>
    </w:p>
    <w:p w14:paraId="1B2ED9B7" w14:textId="77777777" w:rsidR="00D66E91" w:rsidRDefault="00D66E91" w:rsidP="00D66E91">
      <w:pPr>
        <w:pStyle w:val="ListParagraph"/>
        <w:rPr>
          <w:i/>
          <w:iCs/>
        </w:rPr>
      </w:pPr>
    </w:p>
    <w:p w14:paraId="6F6310D4" w14:textId="31A113CE" w:rsidR="00D66E91" w:rsidRDefault="00D66E91" w:rsidP="00D66E91">
      <w:pPr>
        <w:pStyle w:val="ListParagraph"/>
        <w:widowControl/>
        <w:numPr>
          <w:ilvl w:val="0"/>
          <w:numId w:val="12"/>
        </w:numPr>
        <w:spacing w:after="160" w:line="256" w:lineRule="auto"/>
        <w:jc w:val="left"/>
        <w:rPr>
          <w:i/>
          <w:iCs/>
        </w:rPr>
      </w:pPr>
      <w:r>
        <w:rPr>
          <w:i/>
          <w:iCs/>
        </w:rPr>
        <w:t>In respect of P’s access to routine tests, staff should have explored why P was saying no to them.  Perhaps P had had negative experiences in the past which he could have been supported to overcome.  Perhaps P could have been supported to understand that the routine tests may not have been as bad as he was expecting, and/ or with preparation and support from GP or hospital colleagues, could have been arranged to be</w:t>
      </w:r>
      <w:r w:rsidR="00FA14AA">
        <w:rPr>
          <w:i/>
          <w:iCs/>
        </w:rPr>
        <w:t xml:space="preserve"> more</w:t>
      </w:r>
      <w:r>
        <w:rPr>
          <w:i/>
          <w:iCs/>
        </w:rPr>
        <w:t xml:space="preserve"> accessible for him</w:t>
      </w:r>
    </w:p>
    <w:p w14:paraId="46897C91" w14:textId="77777777" w:rsidR="00D66E91" w:rsidRDefault="00D66E91" w:rsidP="00D66E91">
      <w:pPr>
        <w:pStyle w:val="ListParagraph"/>
        <w:rPr>
          <w:i/>
          <w:iCs/>
        </w:rPr>
      </w:pPr>
    </w:p>
    <w:p w14:paraId="237CA1B7" w14:textId="77777777" w:rsidR="00D66E91" w:rsidRDefault="00D66E91" w:rsidP="00D66E91">
      <w:pPr>
        <w:pStyle w:val="ListParagraph"/>
        <w:widowControl/>
        <w:numPr>
          <w:ilvl w:val="0"/>
          <w:numId w:val="12"/>
        </w:numPr>
        <w:spacing w:after="160" w:line="256" w:lineRule="auto"/>
        <w:jc w:val="left"/>
        <w:rPr>
          <w:i/>
          <w:iCs/>
        </w:rPr>
      </w:pPr>
      <w:r>
        <w:rPr>
          <w:i/>
          <w:iCs/>
        </w:rPr>
        <w:t>Staff could have sought information from P’s family/others who knew him to check on the best way to support him, and to understand the likely implications of his refusals.  These may have been situations which family members or others had previously helped P to successfully navigate</w:t>
      </w:r>
    </w:p>
    <w:p w14:paraId="7F54B78D" w14:textId="77777777" w:rsidR="00D66E91" w:rsidRDefault="00D66E91" w:rsidP="00D66E91">
      <w:pPr>
        <w:pStyle w:val="ListParagraph"/>
        <w:rPr>
          <w:i/>
          <w:iCs/>
        </w:rPr>
      </w:pPr>
    </w:p>
    <w:p w14:paraId="7012A6C3" w14:textId="77777777" w:rsidR="00D66E91" w:rsidRDefault="00D66E91" w:rsidP="00D66E91">
      <w:pPr>
        <w:pStyle w:val="ListParagraph"/>
        <w:widowControl/>
        <w:numPr>
          <w:ilvl w:val="0"/>
          <w:numId w:val="12"/>
        </w:numPr>
        <w:spacing w:after="160" w:line="256" w:lineRule="auto"/>
        <w:jc w:val="left"/>
        <w:rPr>
          <w:i/>
          <w:iCs/>
        </w:rPr>
      </w:pPr>
      <w:r>
        <w:rPr>
          <w:i/>
          <w:iCs/>
        </w:rPr>
        <w:t xml:space="preserve">Staff should have sought confirmation from qualified professionals regarding the implications of P’s refusals.  P’s diabetes was clearly a key factor in ensuring both a suitable on-going diet, and access to regular monitoring to ensure that his condition was managed.  Given that P has been assessed as lacking capacity in these contexts those caring for him would be obliged to act in his best interests, which means being clear as to his needs and any interventions that may be recommended for him.  </w:t>
      </w:r>
    </w:p>
    <w:p w14:paraId="16948180" w14:textId="77777777" w:rsidR="00D66E91" w:rsidRDefault="00D66E91" w:rsidP="00D66E91">
      <w:pPr>
        <w:rPr>
          <w:rFonts w:cs="Arial"/>
          <w:color w:val="FF0000"/>
        </w:rPr>
      </w:pPr>
    </w:p>
    <w:p w14:paraId="5A38CC50" w14:textId="77777777" w:rsidR="00D66E91" w:rsidRDefault="00D66E91" w:rsidP="00D66E91">
      <w:pPr>
        <w:rPr>
          <w:rFonts w:cs="Arial"/>
          <w:b/>
          <w:bCs/>
          <w:iCs/>
          <w:color w:val="FF0000"/>
        </w:rPr>
      </w:pPr>
    </w:p>
    <w:p w14:paraId="1784DAC0" w14:textId="77777777" w:rsidR="00D66E91" w:rsidRPr="005F7245" w:rsidRDefault="00D66E91" w:rsidP="004E39C5">
      <w:pPr>
        <w:spacing w:line="312" w:lineRule="auto"/>
        <w:rPr>
          <w:color w:val="FF0000"/>
        </w:rPr>
      </w:pPr>
    </w:p>
    <w:sectPr w:rsidR="00D66E91" w:rsidRPr="005F7245">
      <w:footerReference w:type="default" r:id="rId19"/>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59503" w14:textId="77777777" w:rsidR="00FF297E" w:rsidRDefault="00FF297E" w:rsidP="000D0325">
      <w:r>
        <w:separator/>
      </w:r>
    </w:p>
  </w:endnote>
  <w:endnote w:type="continuationSeparator" w:id="0">
    <w:p w14:paraId="240DAB91" w14:textId="77777777" w:rsidR="00FF297E" w:rsidRDefault="00FF297E" w:rsidP="000D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503242"/>
      <w:docPartObj>
        <w:docPartGallery w:val="Page Numbers (Bottom of Page)"/>
        <w:docPartUnique/>
      </w:docPartObj>
    </w:sdtPr>
    <w:sdtEndPr>
      <w:rPr>
        <w:noProof/>
      </w:rPr>
    </w:sdtEndPr>
    <w:sdtContent>
      <w:p w14:paraId="106CB938" w14:textId="7F37644F" w:rsidR="005933B0" w:rsidRDefault="005933B0">
        <w:pPr>
          <w:pStyle w:val="Footer"/>
          <w:jc w:val="center"/>
        </w:pPr>
        <w:r>
          <w:fldChar w:fldCharType="begin"/>
        </w:r>
        <w:r>
          <w:instrText xml:space="preserve"> PAGE   \* MERGEFORMAT </w:instrText>
        </w:r>
        <w:r>
          <w:fldChar w:fldCharType="separate"/>
        </w:r>
        <w:r w:rsidR="00165365">
          <w:rPr>
            <w:noProof/>
          </w:rPr>
          <w:t>2</w:t>
        </w:r>
        <w:r>
          <w:rPr>
            <w:noProof/>
          </w:rPr>
          <w:fldChar w:fldCharType="end"/>
        </w:r>
      </w:p>
    </w:sdtContent>
  </w:sdt>
  <w:p w14:paraId="272FDC2D" w14:textId="77777777" w:rsidR="005933B0" w:rsidRDefault="0059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71EE1" w14:textId="77777777" w:rsidR="00FF297E" w:rsidRDefault="00FF297E" w:rsidP="000D0325">
      <w:r>
        <w:separator/>
      </w:r>
    </w:p>
  </w:footnote>
  <w:footnote w:type="continuationSeparator" w:id="0">
    <w:p w14:paraId="1C79B1DA" w14:textId="77777777" w:rsidR="00FF297E" w:rsidRDefault="00FF297E" w:rsidP="000D0325">
      <w:r>
        <w:continuationSeparator/>
      </w:r>
    </w:p>
  </w:footnote>
  <w:footnote w:id="1">
    <w:p w14:paraId="6BF8BCBC" w14:textId="77777777"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Mental Capacity Act 2005, section 1.</w:t>
      </w:r>
    </w:p>
  </w:footnote>
  <w:footnote w:id="2">
    <w:p w14:paraId="406D77AD" w14:textId="098EC0C8"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2 and 3 MCA set out the elements of the legal test for mental capacity.  Fu</w:t>
      </w:r>
      <w:r>
        <w:rPr>
          <w:sz w:val="18"/>
          <w:szCs w:val="18"/>
        </w:rPr>
        <w:t xml:space="preserve">rther guidance can be found in the </w:t>
      </w:r>
      <w:hyperlink r:id="rId1" w:history="1">
        <w:r w:rsidRPr="004F2EFC">
          <w:rPr>
            <w:rStyle w:val="Hyperlink"/>
            <w:sz w:val="18"/>
            <w:szCs w:val="18"/>
          </w:rPr>
          <w:t>Mental Capacity Act 2005 and Deprivation of Liberty Policy</w:t>
        </w:r>
      </w:hyperlink>
      <w:r>
        <w:rPr>
          <w:sz w:val="18"/>
          <w:szCs w:val="18"/>
        </w:rPr>
        <w:t xml:space="preserve"> and the </w:t>
      </w:r>
      <w:hyperlink r:id="rId2" w:history="1">
        <w:r w:rsidRPr="004F2EFC">
          <w:rPr>
            <w:rStyle w:val="Hyperlink"/>
            <w:sz w:val="18"/>
            <w:szCs w:val="18"/>
          </w:rPr>
          <w:t>guidance</w:t>
        </w:r>
      </w:hyperlink>
      <w:r>
        <w:rPr>
          <w:sz w:val="18"/>
          <w:szCs w:val="18"/>
        </w:rPr>
        <w:t xml:space="preserve"> produced by 39 Essex chambers.  </w:t>
      </w:r>
    </w:p>
  </w:footnote>
  <w:footnote w:id="3">
    <w:p w14:paraId="21E84C47" w14:textId="7FEC25F8" w:rsidR="005933B0" w:rsidRPr="0010697B" w:rsidRDefault="005933B0">
      <w:pPr>
        <w:pStyle w:val="FootnoteText"/>
        <w:rPr>
          <w:sz w:val="18"/>
          <w:szCs w:val="18"/>
        </w:rPr>
      </w:pPr>
      <w:r w:rsidRPr="004F2EFC">
        <w:rPr>
          <w:rStyle w:val="FootnoteReference"/>
          <w:sz w:val="18"/>
          <w:szCs w:val="18"/>
        </w:rPr>
        <w:footnoteRef/>
      </w:r>
      <w:r w:rsidRPr="004F2EFC">
        <w:rPr>
          <w:sz w:val="18"/>
          <w:szCs w:val="18"/>
        </w:rPr>
        <w:t xml:space="preserve"> See paragraph 4.2.2.1 of the </w:t>
      </w:r>
      <w:hyperlink r:id="rId3" w:history="1">
        <w:r w:rsidRPr="004F2EFC">
          <w:rPr>
            <w:rStyle w:val="Hyperlink"/>
            <w:sz w:val="18"/>
            <w:szCs w:val="18"/>
          </w:rPr>
          <w:t>Mental Capacity Act 2005 and Deprivation of Liberty Policy</w:t>
        </w:r>
      </w:hyperlink>
      <w:r w:rsidRPr="004F2EFC">
        <w:rPr>
          <w:sz w:val="18"/>
          <w:szCs w:val="18"/>
        </w:rPr>
        <w:t xml:space="preserve"> and para 10 of the </w:t>
      </w:r>
      <w:hyperlink r:id="rId4" w:history="1">
        <w:r w:rsidRPr="004F2EFC">
          <w:rPr>
            <w:rStyle w:val="Hyperlink"/>
            <w:sz w:val="18"/>
            <w:szCs w:val="18"/>
          </w:rPr>
          <w:t>39 Essex Chambers guidance</w:t>
        </w:r>
      </w:hyperlink>
      <w:r w:rsidRPr="004F2EFC">
        <w:rPr>
          <w:sz w:val="18"/>
          <w:szCs w:val="18"/>
        </w:rPr>
        <w:t xml:space="preserve"> on carrying out and recording capacity assessments</w:t>
      </w:r>
    </w:p>
  </w:footnote>
  <w:footnote w:id="4">
    <w:p w14:paraId="703B9F30" w14:textId="780A32AC"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This includes information about the reasonably foreseeable consequences of (a) deciding one way or another, or (b) failing to make the decision: section 3(4) MCA.</w:t>
      </w:r>
    </w:p>
  </w:footnote>
  <w:footnote w:id="5">
    <w:p w14:paraId="430334B9" w14:textId="5E2C7FD6" w:rsidR="005933B0" w:rsidRPr="00DB4F8A" w:rsidRDefault="005933B0">
      <w:pPr>
        <w:pStyle w:val="FootnoteText"/>
        <w:rPr>
          <w:sz w:val="18"/>
          <w:szCs w:val="18"/>
        </w:rPr>
      </w:pPr>
      <w:r w:rsidRPr="004F2EFC">
        <w:rPr>
          <w:rStyle w:val="FootnoteReference"/>
          <w:sz w:val="18"/>
          <w:szCs w:val="18"/>
        </w:rPr>
        <w:footnoteRef/>
      </w:r>
      <w:r w:rsidRPr="004F2EFC">
        <w:rPr>
          <w:sz w:val="18"/>
          <w:szCs w:val="18"/>
        </w:rPr>
        <w:t xml:space="preserve"> For example previous relevant capacity assessments, information in the person's care plan, the views of those that know the person well, or observing the person.</w:t>
      </w:r>
    </w:p>
  </w:footnote>
  <w:footnote w:id="6">
    <w:p w14:paraId="5C8840A0" w14:textId="310CA972"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1 MCA.</w:t>
      </w:r>
    </w:p>
  </w:footnote>
  <w:footnote w:id="7">
    <w:p w14:paraId="53DA8075" w14:textId="77777777" w:rsidR="005933B0" w:rsidRDefault="005933B0" w:rsidP="009E3D1B">
      <w:pPr>
        <w:pStyle w:val="FootnoteText"/>
      </w:pPr>
      <w:r w:rsidRPr="00CC3584">
        <w:rPr>
          <w:rStyle w:val="FootnoteReference"/>
          <w:sz w:val="18"/>
          <w:szCs w:val="18"/>
        </w:rPr>
        <w:footnoteRef/>
      </w:r>
      <w:r w:rsidRPr="00CC3584">
        <w:rPr>
          <w:sz w:val="18"/>
          <w:szCs w:val="18"/>
        </w:rPr>
        <w:t xml:space="preserve"> Which can be found at </w:t>
      </w:r>
      <w:hyperlink r:id="rId5" w:history="1">
        <w:r w:rsidRPr="00CC3584">
          <w:rPr>
            <w:rStyle w:val="Hyperlink"/>
            <w:sz w:val="18"/>
            <w:szCs w:val="18"/>
          </w:rPr>
          <w:t>https://www.gov.uk/government/publications/mental-capacity-act-code-of-practice</w:t>
        </w:r>
      </w:hyperlink>
      <w:r>
        <w:t xml:space="preserve"> </w:t>
      </w:r>
    </w:p>
  </w:footnote>
  <w:footnote w:id="8">
    <w:p w14:paraId="66AB50A4" w14:textId="407AB888"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1(6) MCA.</w:t>
      </w:r>
    </w:p>
  </w:footnote>
  <w:footnote w:id="9">
    <w:p w14:paraId="785F20D8" w14:textId="046D32B9" w:rsidR="005933B0" w:rsidRDefault="005933B0">
      <w:pPr>
        <w:pStyle w:val="FootnoteText"/>
      </w:pPr>
      <w:r>
        <w:rPr>
          <w:rStyle w:val="FootnoteReference"/>
        </w:rPr>
        <w:footnoteRef/>
      </w:r>
      <w:r>
        <w:t xml:space="preserve"> </w:t>
      </w:r>
      <w:r w:rsidRPr="00835662">
        <w:rPr>
          <w:sz w:val="18"/>
          <w:szCs w:val="18"/>
        </w:rPr>
        <w:t xml:space="preserve">Useful guidance on promoting less restrictive practice and reducing restrictions can be found at </w:t>
      </w:r>
      <w:hyperlink r:id="rId6" w:history="1">
        <w:r w:rsidRPr="00FF67C1">
          <w:rPr>
            <w:rStyle w:val="Hyperlink"/>
            <w:sz w:val="18"/>
            <w:szCs w:val="18"/>
          </w:rPr>
          <w:t>https://www.local.gov.uk/publications/promoting-less-restrictive-practice-reducing-restrictions-tool</w:t>
        </w:r>
      </w:hyperlink>
      <w:r>
        <w:rPr>
          <w:sz w:val="18"/>
          <w:szCs w:val="18"/>
        </w:rPr>
        <w:t xml:space="preserve"> and </w:t>
      </w:r>
      <w:hyperlink r:id="rId7" w:history="1">
        <w:r w:rsidRPr="00FF67C1">
          <w:rPr>
            <w:rStyle w:val="Hyperlink"/>
            <w:sz w:val="18"/>
            <w:szCs w:val="18"/>
          </w:rPr>
          <w:t>https://www.scie.org.uk/mca/practice/care-planning/key-principles-in-care-planning</w:t>
        </w:r>
      </w:hyperlink>
      <w:r>
        <w:rPr>
          <w:sz w:val="18"/>
          <w:szCs w:val="18"/>
        </w:rPr>
        <w:t xml:space="preserve"> </w:t>
      </w:r>
    </w:p>
  </w:footnote>
  <w:footnote w:id="10">
    <w:p w14:paraId="5936195D" w14:textId="5CF365BA"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You can find out whether a person has made and registered an LPA by lodging an enquiry with the Office of the Public Guardian (</w:t>
      </w:r>
      <w:hyperlink r:id="rId8" w:history="1">
        <w:r w:rsidRPr="00CC3584">
          <w:rPr>
            <w:rStyle w:val="Hyperlink"/>
            <w:sz w:val="18"/>
            <w:szCs w:val="18"/>
          </w:rPr>
          <w:t>https://www.gov.uk/government/publications/search-public-guardian-registers</w:t>
        </w:r>
      </w:hyperlink>
      <w:r w:rsidRPr="00CC3584">
        <w:rPr>
          <w:sz w:val="18"/>
          <w:szCs w:val="18"/>
        </w:rPr>
        <w:t xml:space="preserve">).  </w:t>
      </w:r>
      <w:r w:rsidR="004E10F1" w:rsidRPr="00CC3584">
        <w:rPr>
          <w:sz w:val="18"/>
          <w:szCs w:val="18"/>
        </w:rPr>
        <w:t>However,</w:t>
      </w:r>
      <w:r w:rsidRPr="00CC3584">
        <w:rPr>
          <w:sz w:val="18"/>
          <w:szCs w:val="18"/>
        </w:rPr>
        <w:t xml:space="preserve"> the LPA’s power can only be verified by seeing the registered document itself.</w:t>
      </w:r>
    </w:p>
  </w:footnote>
  <w:footnote w:id="11">
    <w:p w14:paraId="1C302798" w14:textId="3A05D7F0" w:rsidR="005933B0" w:rsidRDefault="005933B0">
      <w:pPr>
        <w:pStyle w:val="FootnoteText"/>
      </w:pPr>
      <w:r w:rsidRPr="00CC3584">
        <w:rPr>
          <w:rStyle w:val="FootnoteReference"/>
          <w:sz w:val="18"/>
          <w:szCs w:val="18"/>
        </w:rPr>
        <w:footnoteRef/>
      </w:r>
      <w:r w:rsidRPr="00CC3584">
        <w:rPr>
          <w:sz w:val="18"/>
          <w:szCs w:val="18"/>
        </w:rPr>
        <w:t xml:space="preserve"> Unless it would be either impractical or inappropriate to do so: see section 4(7) MCA.</w:t>
      </w:r>
    </w:p>
  </w:footnote>
  <w:footnote w:id="12">
    <w:p w14:paraId="61E8BA48" w14:textId="31A8281D" w:rsidR="005933B0" w:rsidRPr="00193C0B" w:rsidRDefault="005933B0">
      <w:pPr>
        <w:pStyle w:val="FootnoteText"/>
      </w:pPr>
      <w:r w:rsidRPr="00193C0B">
        <w:rPr>
          <w:rStyle w:val="FootnoteReference"/>
        </w:rPr>
        <w:footnoteRef/>
      </w:r>
      <w:r w:rsidRPr="00193C0B">
        <w:t xml:space="preserve"> </w:t>
      </w:r>
      <w:r w:rsidRPr="00193C0B">
        <w:rPr>
          <w:sz w:val="18"/>
          <w:szCs w:val="18"/>
        </w:rPr>
        <w:t>Further guidance can be found in the MCA Code, chapter 5</w:t>
      </w:r>
    </w:p>
  </w:footnote>
  <w:footnote w:id="13">
    <w:p w14:paraId="0518812B" w14:textId="1A4FE2C7" w:rsidR="005933B0" w:rsidRDefault="005933B0">
      <w:pPr>
        <w:pStyle w:val="FootnoteText"/>
      </w:pPr>
      <w:r>
        <w:rPr>
          <w:rStyle w:val="FootnoteReference"/>
        </w:rPr>
        <w:footnoteRef/>
      </w:r>
      <w:r>
        <w:t xml:space="preserve"> </w:t>
      </w:r>
      <w:r w:rsidRPr="00426234">
        <w:rPr>
          <w:sz w:val="18"/>
          <w:szCs w:val="18"/>
        </w:rPr>
        <w:t xml:space="preserve">For more information on raising a concern, go to </w:t>
      </w:r>
      <w:hyperlink r:id="rId9" w:history="1">
        <w:r w:rsidRPr="00FF67C1">
          <w:rPr>
            <w:rStyle w:val="Hyperlink"/>
            <w:sz w:val="18"/>
            <w:szCs w:val="18"/>
          </w:rPr>
          <w:t>https://www.gov.uk/report-concern-about-attorney-deputy-guardian</w:t>
        </w:r>
      </w:hyperlink>
      <w:r>
        <w:rPr>
          <w:sz w:val="18"/>
          <w:szCs w:val="18"/>
        </w:rPr>
        <w:t xml:space="preserve"> </w:t>
      </w:r>
    </w:p>
  </w:footnote>
  <w:footnote w:id="14">
    <w:p w14:paraId="77736A88" w14:textId="6FB50D50" w:rsidR="005933B0" w:rsidRPr="00792F1D" w:rsidRDefault="005933B0">
      <w:pPr>
        <w:pStyle w:val="FootnoteText"/>
        <w:rPr>
          <w:sz w:val="18"/>
          <w:szCs w:val="18"/>
        </w:rPr>
      </w:pPr>
      <w:r w:rsidRPr="00792F1D">
        <w:rPr>
          <w:rStyle w:val="FootnoteReference"/>
          <w:sz w:val="18"/>
          <w:szCs w:val="18"/>
        </w:rPr>
        <w:footnoteRef/>
      </w:r>
      <w:r w:rsidRPr="00792F1D">
        <w:rPr>
          <w:sz w:val="18"/>
          <w:szCs w:val="18"/>
        </w:rPr>
        <w:t xml:space="preserve"> See section 25 MCA and chapter 9 of the MCA Code for </w:t>
      </w:r>
      <w:r>
        <w:rPr>
          <w:sz w:val="18"/>
          <w:szCs w:val="18"/>
        </w:rPr>
        <w:t>more detail, including the impact of an LPA on an advance decision.</w:t>
      </w:r>
    </w:p>
  </w:footnote>
  <w:footnote w:id="15">
    <w:p w14:paraId="7C79DF06" w14:textId="5E6088B3" w:rsidR="005933B0" w:rsidRPr="00193C0B" w:rsidRDefault="005933B0">
      <w:pPr>
        <w:pStyle w:val="FootnoteText"/>
      </w:pPr>
      <w:r w:rsidRPr="00193C0B">
        <w:rPr>
          <w:rStyle w:val="FootnoteReference"/>
        </w:rPr>
        <w:footnoteRef/>
      </w:r>
      <w:r w:rsidRPr="00193C0B">
        <w:t xml:space="preserve"> </w:t>
      </w:r>
      <w:r w:rsidRPr="00193C0B">
        <w:rPr>
          <w:sz w:val="18"/>
          <w:szCs w:val="18"/>
        </w:rPr>
        <w:t xml:space="preserve">Further guidance on prescription and administration of medication for those lacking capacity can be found within the appendixes of </w:t>
      </w:r>
      <w:hyperlink r:id="rId10" w:history="1">
        <w:r w:rsidRPr="00F203DB">
          <w:rPr>
            <w:rStyle w:val="Hyperlink"/>
            <w:sz w:val="18"/>
            <w:szCs w:val="18"/>
          </w:rPr>
          <w:t>the local MCA policy</w:t>
        </w:r>
      </w:hyperlink>
      <w:r w:rsidRPr="00193C0B">
        <w:t xml:space="preserve"> </w:t>
      </w:r>
    </w:p>
  </w:footnote>
  <w:footnote w:id="16">
    <w:p w14:paraId="4D1E6326" w14:textId="11E1C7BE"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4(3) MCA.</w:t>
      </w:r>
    </w:p>
  </w:footnote>
  <w:footnote w:id="17">
    <w:p w14:paraId="7A54F4D4" w14:textId="13BCCA21" w:rsidR="00DA2F3F" w:rsidRPr="00DA2F3F" w:rsidRDefault="00DA2F3F">
      <w:pPr>
        <w:pStyle w:val="FootnoteText"/>
        <w:rPr>
          <w:sz w:val="18"/>
          <w:szCs w:val="18"/>
        </w:rPr>
      </w:pPr>
      <w:r w:rsidRPr="00DA2F3F">
        <w:rPr>
          <w:rStyle w:val="FootnoteReference"/>
          <w:sz w:val="18"/>
          <w:szCs w:val="18"/>
        </w:rPr>
        <w:footnoteRef/>
      </w:r>
      <w:r w:rsidRPr="00DA2F3F">
        <w:rPr>
          <w:sz w:val="18"/>
          <w:szCs w:val="18"/>
        </w:rPr>
        <w:t xml:space="preserve"> Single Point of Access (SPA)</w:t>
      </w:r>
      <w:r>
        <w:rPr>
          <w:sz w:val="18"/>
          <w:szCs w:val="18"/>
        </w:rPr>
        <w:t>:</w:t>
      </w:r>
      <w:r w:rsidRPr="00DA2F3F">
        <w:rPr>
          <w:sz w:val="18"/>
          <w:szCs w:val="18"/>
        </w:rPr>
        <w:t xml:space="preserve"> 01472 256256</w:t>
      </w:r>
      <w:r>
        <w:rPr>
          <w:sz w:val="18"/>
          <w:szCs w:val="18"/>
        </w:rPr>
        <w:t>,</w:t>
      </w:r>
      <w:r w:rsidRPr="00DA2F3F">
        <w:rPr>
          <w:sz w:val="18"/>
          <w:szCs w:val="18"/>
        </w:rPr>
        <w:t xml:space="preserve"> option 3</w:t>
      </w:r>
    </w:p>
  </w:footnote>
  <w:footnote w:id="18">
    <w:p w14:paraId="79244217" w14:textId="2F4BED6B" w:rsidR="005933B0" w:rsidRPr="00D66BF8" w:rsidRDefault="005933B0" w:rsidP="00D66BF8">
      <w:pPr>
        <w:pStyle w:val="CommentText"/>
        <w:jc w:val="left"/>
        <w:rPr>
          <w:sz w:val="18"/>
          <w:szCs w:val="18"/>
        </w:rPr>
      </w:pPr>
      <w:r w:rsidRPr="00197BB7">
        <w:rPr>
          <w:rStyle w:val="FootnoteReference"/>
          <w:sz w:val="18"/>
          <w:szCs w:val="18"/>
        </w:rPr>
        <w:footnoteRef/>
      </w:r>
      <w:r w:rsidRPr="00197BB7">
        <w:rPr>
          <w:sz w:val="18"/>
          <w:szCs w:val="18"/>
        </w:rPr>
        <w:t xml:space="preserve"> </w:t>
      </w:r>
      <w:r w:rsidR="00197BB7" w:rsidRPr="00197BB7">
        <w:rPr>
          <w:sz w:val="18"/>
          <w:szCs w:val="18"/>
        </w:rPr>
        <w:t xml:space="preserve">See  </w:t>
      </w:r>
      <w:hyperlink r:id="rId11" w:history="1">
        <w:r w:rsidR="00197BB7" w:rsidRPr="00197BB7">
          <w:rPr>
            <w:rStyle w:val="Hyperlink"/>
            <w:sz w:val="18"/>
            <w:szCs w:val="18"/>
          </w:rPr>
          <w:t>the local MCA policy</w:t>
        </w:r>
      </w:hyperlink>
      <w:r w:rsidR="00197BB7" w:rsidRPr="00197BB7">
        <w:rPr>
          <w:sz w:val="18"/>
          <w:szCs w:val="18"/>
        </w:rPr>
        <w:t xml:space="preserve"> and </w:t>
      </w:r>
      <w:hyperlink r:id="rId12" w:history="1">
        <w:r w:rsidR="00197BB7" w:rsidRPr="00197BB7">
          <w:rPr>
            <w:rStyle w:val="Hyperlink"/>
            <w:sz w:val="18"/>
            <w:szCs w:val="18"/>
          </w:rPr>
          <w:t>guidance</w:t>
        </w:r>
      </w:hyperlink>
      <w:r w:rsidR="00197BB7" w:rsidRPr="00197BB7">
        <w:rPr>
          <w:sz w:val="18"/>
          <w:szCs w:val="18"/>
        </w:rPr>
        <w:t xml:space="preserve"> produced by 39 Essex chambers for more on this.</w:t>
      </w:r>
    </w:p>
  </w:footnote>
  <w:footnote w:id="19">
    <w:p w14:paraId="532D3132" w14:textId="1B121CCB" w:rsidR="005933B0" w:rsidRPr="009135D8" w:rsidRDefault="005933B0">
      <w:pPr>
        <w:pStyle w:val="FootnoteText"/>
        <w:rPr>
          <w:sz w:val="18"/>
          <w:szCs w:val="18"/>
        </w:rPr>
      </w:pPr>
      <w:r w:rsidRPr="009135D8">
        <w:rPr>
          <w:rStyle w:val="FootnoteReference"/>
          <w:sz w:val="18"/>
          <w:szCs w:val="18"/>
        </w:rPr>
        <w:footnoteRef/>
      </w:r>
      <w:r w:rsidRPr="009135D8">
        <w:rPr>
          <w:sz w:val="18"/>
          <w:szCs w:val="18"/>
        </w:rPr>
        <w:t xml:space="preserve"> Practitioners may find it useful to record any best </w:t>
      </w:r>
      <w:proofErr w:type="gramStart"/>
      <w:r w:rsidRPr="009135D8">
        <w:rPr>
          <w:sz w:val="18"/>
          <w:szCs w:val="18"/>
        </w:rPr>
        <w:t>interests</w:t>
      </w:r>
      <w:proofErr w:type="gramEnd"/>
      <w:r w:rsidRPr="009135D8">
        <w:rPr>
          <w:sz w:val="18"/>
          <w:szCs w:val="18"/>
        </w:rPr>
        <w:t xml:space="preserve"> decision taken by an LPA or deputy using the template created for that purpose in North East Lincolnshire's MCA policy</w:t>
      </w:r>
    </w:p>
  </w:footnote>
  <w:footnote w:id="20">
    <w:p w14:paraId="05BFF14E" w14:textId="42F913FF" w:rsidR="005933B0" w:rsidRDefault="005933B0">
      <w:pPr>
        <w:pStyle w:val="FootnoteText"/>
      </w:pPr>
      <w:r w:rsidRPr="00CC3584">
        <w:rPr>
          <w:rStyle w:val="FootnoteReference"/>
          <w:sz w:val="18"/>
          <w:szCs w:val="18"/>
        </w:rPr>
        <w:footnoteRef/>
      </w:r>
      <w:r w:rsidRPr="00CC3584">
        <w:rPr>
          <w:sz w:val="18"/>
          <w:szCs w:val="18"/>
        </w:rPr>
        <w:t xml:space="preserve"> The guidance can be found at </w:t>
      </w:r>
      <w:hyperlink r:id="rId13" w:history="1">
        <w:r w:rsidRPr="00CC3584">
          <w:rPr>
            <w:rStyle w:val="Hyperlink"/>
            <w:sz w:val="18"/>
            <w:szCs w:val="18"/>
          </w:rPr>
          <w:t>https://www.bailii.org/ew/cases/EWCOP/2020/2.html</w:t>
        </w:r>
      </w:hyperlink>
      <w:r>
        <w:t xml:space="preserve"> </w:t>
      </w:r>
    </w:p>
  </w:footnote>
  <w:footnote w:id="21">
    <w:p w14:paraId="7BDDA3ED" w14:textId="51903AC5" w:rsidR="005933B0" w:rsidRPr="00BB2BEA" w:rsidRDefault="005933B0">
      <w:pPr>
        <w:pStyle w:val="FootnoteText"/>
        <w:rPr>
          <w:sz w:val="18"/>
          <w:szCs w:val="18"/>
        </w:rPr>
      </w:pPr>
      <w:r w:rsidRPr="00BB2BEA">
        <w:rPr>
          <w:rStyle w:val="FootnoteReference"/>
          <w:sz w:val="18"/>
          <w:szCs w:val="18"/>
        </w:rPr>
        <w:footnoteRef/>
      </w:r>
      <w:r w:rsidRPr="00BB2BEA">
        <w:rPr>
          <w:sz w:val="18"/>
          <w:szCs w:val="18"/>
        </w:rPr>
        <w:t xml:space="preserve"> Section 6 MCA.</w:t>
      </w:r>
    </w:p>
  </w:footnote>
  <w:footnote w:id="22">
    <w:p w14:paraId="1AD94483" w14:textId="0AB1F8E8" w:rsidR="005933B0" w:rsidRPr="00884E2C" w:rsidRDefault="005933B0">
      <w:pPr>
        <w:pStyle w:val="FootnoteText"/>
        <w:rPr>
          <w:sz w:val="18"/>
          <w:szCs w:val="18"/>
        </w:rPr>
      </w:pPr>
      <w:r w:rsidRPr="00884E2C">
        <w:rPr>
          <w:rStyle w:val="FootnoteReference"/>
          <w:sz w:val="18"/>
          <w:szCs w:val="18"/>
        </w:rPr>
        <w:footnoteRef/>
      </w:r>
      <w:r w:rsidRPr="00884E2C">
        <w:rPr>
          <w:sz w:val="18"/>
          <w:szCs w:val="18"/>
        </w:rPr>
        <w:t xml:space="preserve"> Section 6 MCA.</w:t>
      </w:r>
    </w:p>
  </w:footnote>
  <w:footnote w:id="23">
    <w:p w14:paraId="796831AD" w14:textId="653F55CB" w:rsidR="005933B0" w:rsidRPr="004F2EFC" w:rsidRDefault="005933B0">
      <w:pPr>
        <w:pStyle w:val="FootnoteText"/>
        <w:rPr>
          <w:sz w:val="18"/>
          <w:szCs w:val="18"/>
        </w:rPr>
      </w:pPr>
      <w:r w:rsidRPr="004F2EFC">
        <w:rPr>
          <w:rStyle w:val="FootnoteReference"/>
          <w:sz w:val="18"/>
          <w:szCs w:val="18"/>
        </w:rPr>
        <w:footnoteRef/>
      </w:r>
      <w:r w:rsidRPr="004F2EFC">
        <w:rPr>
          <w:sz w:val="18"/>
          <w:szCs w:val="18"/>
        </w:rPr>
        <w:t xml:space="preserve"> This is the “acid test” identified </w:t>
      </w:r>
      <w:r>
        <w:rPr>
          <w:sz w:val="18"/>
          <w:szCs w:val="18"/>
        </w:rPr>
        <w:t xml:space="preserve">by the Supreme Court </w:t>
      </w:r>
      <w:r w:rsidRPr="004F2EFC">
        <w:rPr>
          <w:sz w:val="18"/>
          <w:szCs w:val="18"/>
        </w:rPr>
        <w:t xml:space="preserve">in the case of </w:t>
      </w:r>
      <w:hyperlink r:id="rId14" w:history="1">
        <w:r w:rsidRPr="004F2EFC">
          <w:rPr>
            <w:rStyle w:val="Hyperlink"/>
            <w:i/>
            <w:sz w:val="18"/>
            <w:szCs w:val="18"/>
          </w:rPr>
          <w:t>P (by his litigation friend the Official Solicitor) (FC) (Appellant) v Cheshire West and Chester Council and another (Respondents)</w:t>
        </w:r>
        <w:r w:rsidRPr="004F2EFC">
          <w:rPr>
            <w:rStyle w:val="Hyperlink"/>
            <w:sz w:val="18"/>
            <w:szCs w:val="18"/>
          </w:rPr>
          <w:t xml:space="preserve"> [2014] UKSC 19</w:t>
        </w:r>
      </w:hyperlink>
      <w:r w:rsidRPr="004F2EFC">
        <w:rPr>
          <w:sz w:val="18"/>
          <w:szCs w:val="18"/>
        </w:rPr>
        <w:t>, generally referred to as “Cheshire West”.</w:t>
      </w:r>
    </w:p>
  </w:footnote>
  <w:footnote w:id="24">
    <w:p w14:paraId="4E0ED90C" w14:textId="748B6FBA" w:rsidR="005933B0" w:rsidRDefault="005933B0">
      <w:pPr>
        <w:pStyle w:val="FootnoteText"/>
      </w:pPr>
      <w:r>
        <w:rPr>
          <w:rStyle w:val="FootnoteReference"/>
        </w:rPr>
        <w:footnoteRef/>
      </w:r>
      <w:r>
        <w:t xml:space="preserve"> </w:t>
      </w:r>
      <w:r w:rsidRPr="0097586E">
        <w:rPr>
          <w:sz w:val="18"/>
          <w:szCs w:val="18"/>
        </w:rPr>
        <w:t xml:space="preserve">The guidance can be found at </w:t>
      </w:r>
      <w:hyperlink r:id="rId15" w:history="1">
        <w:r w:rsidRPr="0097586E">
          <w:rPr>
            <w:rStyle w:val="Hyperlink"/>
            <w:sz w:val="18"/>
            <w:szCs w:val="18"/>
          </w:rPr>
          <w:t>https://www.bailii.org/ew/cases/EWCOP/2020/2.html</w:t>
        </w:r>
      </w:hyperlink>
      <w:r w:rsidRPr="00744FCB">
        <w:t xml:space="preserve"> </w:t>
      </w:r>
    </w:p>
  </w:footnote>
  <w:footnote w:id="25">
    <w:p w14:paraId="21C0497C" w14:textId="75268BB4" w:rsidR="00116AF0" w:rsidRPr="00607032" w:rsidRDefault="00116AF0">
      <w:pPr>
        <w:pStyle w:val="FootnoteText"/>
        <w:rPr>
          <w:sz w:val="18"/>
          <w:szCs w:val="18"/>
        </w:rPr>
      </w:pPr>
      <w:r w:rsidRPr="00607032">
        <w:rPr>
          <w:rStyle w:val="FootnoteReference"/>
          <w:sz w:val="18"/>
          <w:szCs w:val="18"/>
        </w:rPr>
        <w:footnoteRef/>
      </w:r>
      <w:r w:rsidRPr="00607032">
        <w:rPr>
          <w:sz w:val="18"/>
          <w:szCs w:val="18"/>
        </w:rPr>
        <w:t xml:space="preserve"> For example by way of an urgent DOLS authorisation or an application to court.</w:t>
      </w:r>
    </w:p>
  </w:footnote>
  <w:footnote w:id="26">
    <w:p w14:paraId="0B9B703C" w14:textId="70BDC8B0" w:rsidR="00670771" w:rsidRDefault="00670771">
      <w:pPr>
        <w:pStyle w:val="FootnoteText"/>
      </w:pPr>
      <w:r>
        <w:rPr>
          <w:rStyle w:val="FootnoteReference"/>
        </w:rPr>
        <w:footnoteRef/>
      </w:r>
      <w:r>
        <w:t xml:space="preserve"> </w:t>
      </w:r>
      <w:r w:rsidR="007031B5" w:rsidRPr="00CC3584">
        <w:rPr>
          <w:sz w:val="18"/>
          <w:szCs w:val="18"/>
        </w:rPr>
        <w:t xml:space="preserve">The guidance can be found at </w:t>
      </w:r>
      <w:hyperlink r:id="rId16" w:history="1">
        <w:r w:rsidR="007031B5" w:rsidRPr="00CC3584">
          <w:rPr>
            <w:rStyle w:val="Hyperlink"/>
            <w:sz w:val="18"/>
            <w:szCs w:val="18"/>
          </w:rPr>
          <w:t>https://www.bailii.org/ew/cases/EWCOP/2020/2.html</w:t>
        </w:r>
      </w:hyperlink>
      <w:r w:rsidR="007031B5">
        <w:rPr>
          <w:rStyle w:val="Hyperlink"/>
          <w:sz w:val="18"/>
          <w:szCs w:val="18"/>
        </w:rPr>
        <w:t xml:space="preserve"> </w:t>
      </w:r>
    </w:p>
  </w:footnote>
  <w:footnote w:id="27">
    <w:p w14:paraId="503870BC" w14:textId="44534A01" w:rsidR="005933B0" w:rsidRPr="00F203DB" w:rsidRDefault="005933B0">
      <w:pPr>
        <w:pStyle w:val="FootnoteText"/>
        <w:rPr>
          <w:sz w:val="18"/>
          <w:szCs w:val="18"/>
        </w:rPr>
      </w:pPr>
      <w:r w:rsidRPr="00F203DB">
        <w:rPr>
          <w:rStyle w:val="FootnoteReference"/>
          <w:sz w:val="18"/>
          <w:szCs w:val="18"/>
        </w:rPr>
        <w:footnoteRef/>
      </w:r>
      <w:r w:rsidRPr="00F203DB">
        <w:rPr>
          <w:sz w:val="18"/>
          <w:szCs w:val="18"/>
        </w:rPr>
        <w:t xml:space="preserve"> </w:t>
      </w:r>
      <w:hyperlink r:id="rId17" w:history="1">
        <w:r w:rsidRPr="00F203DB">
          <w:rPr>
            <w:rStyle w:val="Hyperlink"/>
            <w:sz w:val="18"/>
            <w:szCs w:val="18"/>
          </w:rPr>
          <w:t>https://www.northeastlincolnshireccg.nhs.uk/publications/</w:t>
        </w:r>
      </w:hyperlink>
      <w:r w:rsidRPr="00F203D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39B48CF"/>
    <w:multiLevelType w:val="hybridMultilevel"/>
    <w:tmpl w:val="F782CFF0"/>
    <w:lvl w:ilvl="0" w:tplc="08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D36583F"/>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A4327A"/>
    <w:multiLevelType w:val="hybridMultilevel"/>
    <w:tmpl w:val="143A4EA0"/>
    <w:lvl w:ilvl="0" w:tplc="7A6040F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E91215"/>
    <w:multiLevelType w:val="hybridMultilevel"/>
    <w:tmpl w:val="A86A8B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BD0AF7"/>
    <w:multiLevelType w:val="hybridMultilevel"/>
    <w:tmpl w:val="C8A63C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081509"/>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02F7B60"/>
    <w:multiLevelType w:val="hybridMultilevel"/>
    <w:tmpl w:val="EE526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42D42F6"/>
    <w:multiLevelType w:val="hybridMultilevel"/>
    <w:tmpl w:val="55F631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EAD7634"/>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FA376BA"/>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94308260">
    <w:abstractNumId w:val="0"/>
  </w:num>
  <w:num w:numId="2" w16cid:durableId="1104224226">
    <w:abstractNumId w:val="0"/>
  </w:num>
  <w:num w:numId="3" w16cid:durableId="795369650">
    <w:abstractNumId w:val="3"/>
  </w:num>
  <w:num w:numId="4" w16cid:durableId="1000427056">
    <w:abstractNumId w:val="5"/>
  </w:num>
  <w:num w:numId="5" w16cid:durableId="1411850655">
    <w:abstractNumId w:val="4"/>
  </w:num>
  <w:num w:numId="6" w16cid:durableId="372772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632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93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587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143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384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4213489">
    <w:abstractNumId w:val="1"/>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C5"/>
    <w:rsid w:val="00002F5E"/>
    <w:rsid w:val="00006C44"/>
    <w:rsid w:val="000070DB"/>
    <w:rsid w:val="0001117C"/>
    <w:rsid w:val="00012E2A"/>
    <w:rsid w:val="00015D29"/>
    <w:rsid w:val="0003298D"/>
    <w:rsid w:val="00032AC3"/>
    <w:rsid w:val="000407E2"/>
    <w:rsid w:val="00047AC8"/>
    <w:rsid w:val="00051C14"/>
    <w:rsid w:val="0005543A"/>
    <w:rsid w:val="0006065F"/>
    <w:rsid w:val="00064022"/>
    <w:rsid w:val="00065B4F"/>
    <w:rsid w:val="000676F4"/>
    <w:rsid w:val="000713EE"/>
    <w:rsid w:val="000776CA"/>
    <w:rsid w:val="00081278"/>
    <w:rsid w:val="0008388C"/>
    <w:rsid w:val="000844B1"/>
    <w:rsid w:val="0008490E"/>
    <w:rsid w:val="00091FA6"/>
    <w:rsid w:val="0009365C"/>
    <w:rsid w:val="00093BE2"/>
    <w:rsid w:val="0009703C"/>
    <w:rsid w:val="00097B7B"/>
    <w:rsid w:val="000B2374"/>
    <w:rsid w:val="000B2A4C"/>
    <w:rsid w:val="000C2BC4"/>
    <w:rsid w:val="000C4F06"/>
    <w:rsid w:val="000C6C0A"/>
    <w:rsid w:val="000D0325"/>
    <w:rsid w:val="000D2F8F"/>
    <w:rsid w:val="000D3225"/>
    <w:rsid w:val="000D4303"/>
    <w:rsid w:val="000D7CF9"/>
    <w:rsid w:val="000E195B"/>
    <w:rsid w:val="000E796C"/>
    <w:rsid w:val="000F4FCF"/>
    <w:rsid w:val="000F553C"/>
    <w:rsid w:val="000F57F7"/>
    <w:rsid w:val="000F7C88"/>
    <w:rsid w:val="0010697B"/>
    <w:rsid w:val="0011184C"/>
    <w:rsid w:val="0011397B"/>
    <w:rsid w:val="00116AF0"/>
    <w:rsid w:val="00117A82"/>
    <w:rsid w:val="00124E82"/>
    <w:rsid w:val="00132FFF"/>
    <w:rsid w:val="00135CF5"/>
    <w:rsid w:val="00140382"/>
    <w:rsid w:val="001419F4"/>
    <w:rsid w:val="0014422B"/>
    <w:rsid w:val="001443E6"/>
    <w:rsid w:val="00144E42"/>
    <w:rsid w:val="001450E8"/>
    <w:rsid w:val="001478CB"/>
    <w:rsid w:val="00160BCC"/>
    <w:rsid w:val="00165365"/>
    <w:rsid w:val="00167C1B"/>
    <w:rsid w:val="00171C4E"/>
    <w:rsid w:val="00173E93"/>
    <w:rsid w:val="00175092"/>
    <w:rsid w:val="001753A6"/>
    <w:rsid w:val="00175FDD"/>
    <w:rsid w:val="00181124"/>
    <w:rsid w:val="00181663"/>
    <w:rsid w:val="00182E47"/>
    <w:rsid w:val="00193C0B"/>
    <w:rsid w:val="00195E0E"/>
    <w:rsid w:val="00197BB7"/>
    <w:rsid w:val="001A1C7F"/>
    <w:rsid w:val="001A435C"/>
    <w:rsid w:val="001A6F84"/>
    <w:rsid w:val="001C1C61"/>
    <w:rsid w:val="001C3E13"/>
    <w:rsid w:val="001C647A"/>
    <w:rsid w:val="001D177B"/>
    <w:rsid w:val="001D6810"/>
    <w:rsid w:val="001E22D6"/>
    <w:rsid w:val="001E31E4"/>
    <w:rsid w:val="001F0076"/>
    <w:rsid w:val="001F3573"/>
    <w:rsid w:val="001F4441"/>
    <w:rsid w:val="0020211C"/>
    <w:rsid w:val="00206105"/>
    <w:rsid w:val="00207138"/>
    <w:rsid w:val="002121B7"/>
    <w:rsid w:val="0021272D"/>
    <w:rsid w:val="002202F8"/>
    <w:rsid w:val="002302CB"/>
    <w:rsid w:val="00242F4A"/>
    <w:rsid w:val="00243B37"/>
    <w:rsid w:val="002554FF"/>
    <w:rsid w:val="00256735"/>
    <w:rsid w:val="002603A2"/>
    <w:rsid w:val="00272855"/>
    <w:rsid w:val="00281B84"/>
    <w:rsid w:val="002830D9"/>
    <w:rsid w:val="0028350A"/>
    <w:rsid w:val="0028458F"/>
    <w:rsid w:val="002924B2"/>
    <w:rsid w:val="002925CC"/>
    <w:rsid w:val="00292F37"/>
    <w:rsid w:val="00295A35"/>
    <w:rsid w:val="002A446A"/>
    <w:rsid w:val="002A548C"/>
    <w:rsid w:val="002A586A"/>
    <w:rsid w:val="002B1A67"/>
    <w:rsid w:val="002B3E41"/>
    <w:rsid w:val="002B5D6F"/>
    <w:rsid w:val="002C246F"/>
    <w:rsid w:val="002C2B29"/>
    <w:rsid w:val="002C4E08"/>
    <w:rsid w:val="002D05DA"/>
    <w:rsid w:val="002D461A"/>
    <w:rsid w:val="002D59FB"/>
    <w:rsid w:val="002E058D"/>
    <w:rsid w:val="002F0310"/>
    <w:rsid w:val="003021B6"/>
    <w:rsid w:val="00316D38"/>
    <w:rsid w:val="0032003A"/>
    <w:rsid w:val="00321533"/>
    <w:rsid w:val="00321E88"/>
    <w:rsid w:val="0032300C"/>
    <w:rsid w:val="003265D9"/>
    <w:rsid w:val="00327C11"/>
    <w:rsid w:val="00332A58"/>
    <w:rsid w:val="0033531B"/>
    <w:rsid w:val="00337C37"/>
    <w:rsid w:val="00337FCE"/>
    <w:rsid w:val="003408E7"/>
    <w:rsid w:val="00342334"/>
    <w:rsid w:val="0035659B"/>
    <w:rsid w:val="00360EE3"/>
    <w:rsid w:val="003620A2"/>
    <w:rsid w:val="0036212B"/>
    <w:rsid w:val="00365B66"/>
    <w:rsid w:val="0037148A"/>
    <w:rsid w:val="00376AD0"/>
    <w:rsid w:val="0037769D"/>
    <w:rsid w:val="003776E6"/>
    <w:rsid w:val="003804D4"/>
    <w:rsid w:val="00383A10"/>
    <w:rsid w:val="00393CF5"/>
    <w:rsid w:val="00394346"/>
    <w:rsid w:val="003A40B7"/>
    <w:rsid w:val="003A5362"/>
    <w:rsid w:val="003A5878"/>
    <w:rsid w:val="003B13CB"/>
    <w:rsid w:val="003B7C03"/>
    <w:rsid w:val="003C0AFF"/>
    <w:rsid w:val="003D04AC"/>
    <w:rsid w:val="003D0DCE"/>
    <w:rsid w:val="003D683F"/>
    <w:rsid w:val="003D6C56"/>
    <w:rsid w:val="003D7BD7"/>
    <w:rsid w:val="003E46B0"/>
    <w:rsid w:val="003F1236"/>
    <w:rsid w:val="003F1B3D"/>
    <w:rsid w:val="00404A75"/>
    <w:rsid w:val="00405D15"/>
    <w:rsid w:val="00416E8B"/>
    <w:rsid w:val="0042030F"/>
    <w:rsid w:val="00425BC3"/>
    <w:rsid w:val="00426234"/>
    <w:rsid w:val="00440797"/>
    <w:rsid w:val="00441ABD"/>
    <w:rsid w:val="00441D78"/>
    <w:rsid w:val="00442C45"/>
    <w:rsid w:val="00442C5C"/>
    <w:rsid w:val="0045009B"/>
    <w:rsid w:val="004524A0"/>
    <w:rsid w:val="00457BAB"/>
    <w:rsid w:val="00457F1F"/>
    <w:rsid w:val="004701CA"/>
    <w:rsid w:val="004827A8"/>
    <w:rsid w:val="00482C43"/>
    <w:rsid w:val="00482FC5"/>
    <w:rsid w:val="004917BA"/>
    <w:rsid w:val="00492F62"/>
    <w:rsid w:val="00494A9E"/>
    <w:rsid w:val="004C0D23"/>
    <w:rsid w:val="004C49B8"/>
    <w:rsid w:val="004D2552"/>
    <w:rsid w:val="004D452A"/>
    <w:rsid w:val="004D4F86"/>
    <w:rsid w:val="004E10F1"/>
    <w:rsid w:val="004E13EA"/>
    <w:rsid w:val="004E39C5"/>
    <w:rsid w:val="004E7E41"/>
    <w:rsid w:val="004F0E6A"/>
    <w:rsid w:val="004F20A6"/>
    <w:rsid w:val="004F2EFC"/>
    <w:rsid w:val="004F7652"/>
    <w:rsid w:val="00500132"/>
    <w:rsid w:val="0050652F"/>
    <w:rsid w:val="005102BA"/>
    <w:rsid w:val="00510396"/>
    <w:rsid w:val="0051220B"/>
    <w:rsid w:val="005162A2"/>
    <w:rsid w:val="00517B2D"/>
    <w:rsid w:val="00532A2D"/>
    <w:rsid w:val="00532BF6"/>
    <w:rsid w:val="005334C8"/>
    <w:rsid w:val="005334E8"/>
    <w:rsid w:val="0053481E"/>
    <w:rsid w:val="00536108"/>
    <w:rsid w:val="0054132B"/>
    <w:rsid w:val="00543503"/>
    <w:rsid w:val="00543F8A"/>
    <w:rsid w:val="005447ED"/>
    <w:rsid w:val="00545BEA"/>
    <w:rsid w:val="005503FB"/>
    <w:rsid w:val="00560CAC"/>
    <w:rsid w:val="00561A1D"/>
    <w:rsid w:val="00562B20"/>
    <w:rsid w:val="005823CD"/>
    <w:rsid w:val="00582F61"/>
    <w:rsid w:val="0058506D"/>
    <w:rsid w:val="005933B0"/>
    <w:rsid w:val="005A15CA"/>
    <w:rsid w:val="005B05C1"/>
    <w:rsid w:val="005C0AD5"/>
    <w:rsid w:val="005C6014"/>
    <w:rsid w:val="005D1DDE"/>
    <w:rsid w:val="005D1E46"/>
    <w:rsid w:val="005F1427"/>
    <w:rsid w:val="005F398B"/>
    <w:rsid w:val="005F7245"/>
    <w:rsid w:val="00600EB0"/>
    <w:rsid w:val="006027FD"/>
    <w:rsid w:val="00604E84"/>
    <w:rsid w:val="00607032"/>
    <w:rsid w:val="00611C59"/>
    <w:rsid w:val="00612C4A"/>
    <w:rsid w:val="00613B1D"/>
    <w:rsid w:val="00615B96"/>
    <w:rsid w:val="00617AA0"/>
    <w:rsid w:val="0062086F"/>
    <w:rsid w:val="00626DB4"/>
    <w:rsid w:val="00631299"/>
    <w:rsid w:val="00631DF3"/>
    <w:rsid w:val="0063333D"/>
    <w:rsid w:val="00633377"/>
    <w:rsid w:val="00637939"/>
    <w:rsid w:val="00645FE9"/>
    <w:rsid w:val="00653357"/>
    <w:rsid w:val="00653E4C"/>
    <w:rsid w:val="006615C2"/>
    <w:rsid w:val="00662F7D"/>
    <w:rsid w:val="0066519D"/>
    <w:rsid w:val="00666B14"/>
    <w:rsid w:val="00667105"/>
    <w:rsid w:val="00670771"/>
    <w:rsid w:val="00676963"/>
    <w:rsid w:val="006775A1"/>
    <w:rsid w:val="0068474E"/>
    <w:rsid w:val="006850DB"/>
    <w:rsid w:val="0068560A"/>
    <w:rsid w:val="00686114"/>
    <w:rsid w:val="00691D25"/>
    <w:rsid w:val="00695AE6"/>
    <w:rsid w:val="00695BBF"/>
    <w:rsid w:val="00696685"/>
    <w:rsid w:val="006A123A"/>
    <w:rsid w:val="006B1FD7"/>
    <w:rsid w:val="006B28EF"/>
    <w:rsid w:val="006B2D11"/>
    <w:rsid w:val="006B686C"/>
    <w:rsid w:val="006B6CFC"/>
    <w:rsid w:val="006C132B"/>
    <w:rsid w:val="006C57AE"/>
    <w:rsid w:val="006D478B"/>
    <w:rsid w:val="006E2E95"/>
    <w:rsid w:val="006E73ED"/>
    <w:rsid w:val="006E7513"/>
    <w:rsid w:val="006F7A45"/>
    <w:rsid w:val="007031B5"/>
    <w:rsid w:val="007069B8"/>
    <w:rsid w:val="00707456"/>
    <w:rsid w:val="00712A38"/>
    <w:rsid w:val="007135DE"/>
    <w:rsid w:val="00717B7D"/>
    <w:rsid w:val="00720496"/>
    <w:rsid w:val="00721A49"/>
    <w:rsid w:val="00722315"/>
    <w:rsid w:val="007225B5"/>
    <w:rsid w:val="0072318B"/>
    <w:rsid w:val="00726235"/>
    <w:rsid w:val="007269DA"/>
    <w:rsid w:val="0072746A"/>
    <w:rsid w:val="00727F93"/>
    <w:rsid w:val="00737CFB"/>
    <w:rsid w:val="00744FCB"/>
    <w:rsid w:val="00746527"/>
    <w:rsid w:val="00746666"/>
    <w:rsid w:val="00756050"/>
    <w:rsid w:val="007627AA"/>
    <w:rsid w:val="00771436"/>
    <w:rsid w:val="00771669"/>
    <w:rsid w:val="00780BC3"/>
    <w:rsid w:val="00782414"/>
    <w:rsid w:val="00787257"/>
    <w:rsid w:val="007914C8"/>
    <w:rsid w:val="00792F1D"/>
    <w:rsid w:val="007940FE"/>
    <w:rsid w:val="007A1164"/>
    <w:rsid w:val="007A367A"/>
    <w:rsid w:val="007A7CB6"/>
    <w:rsid w:val="007C3A7D"/>
    <w:rsid w:val="007C6768"/>
    <w:rsid w:val="007D36BF"/>
    <w:rsid w:val="007D773D"/>
    <w:rsid w:val="007E3A57"/>
    <w:rsid w:val="007E4566"/>
    <w:rsid w:val="007E5DC3"/>
    <w:rsid w:val="007F257D"/>
    <w:rsid w:val="007F40DC"/>
    <w:rsid w:val="007F72C2"/>
    <w:rsid w:val="00800362"/>
    <w:rsid w:val="0080704A"/>
    <w:rsid w:val="00811780"/>
    <w:rsid w:val="00812641"/>
    <w:rsid w:val="0081744F"/>
    <w:rsid w:val="0082242D"/>
    <w:rsid w:val="00822B6D"/>
    <w:rsid w:val="008238F7"/>
    <w:rsid w:val="00831107"/>
    <w:rsid w:val="008332A8"/>
    <w:rsid w:val="008346A5"/>
    <w:rsid w:val="00835662"/>
    <w:rsid w:val="00835C8B"/>
    <w:rsid w:val="00840B2D"/>
    <w:rsid w:val="008426BB"/>
    <w:rsid w:val="008458B0"/>
    <w:rsid w:val="00847641"/>
    <w:rsid w:val="00856154"/>
    <w:rsid w:val="00863F58"/>
    <w:rsid w:val="00863FD0"/>
    <w:rsid w:val="00870F9B"/>
    <w:rsid w:val="00873F80"/>
    <w:rsid w:val="008761EA"/>
    <w:rsid w:val="0088092D"/>
    <w:rsid w:val="00881A29"/>
    <w:rsid w:val="00883618"/>
    <w:rsid w:val="00883C0A"/>
    <w:rsid w:val="00884721"/>
    <w:rsid w:val="00884E2C"/>
    <w:rsid w:val="00887250"/>
    <w:rsid w:val="00894E7E"/>
    <w:rsid w:val="008A136E"/>
    <w:rsid w:val="008A4A0E"/>
    <w:rsid w:val="008C76E8"/>
    <w:rsid w:val="008C7DEA"/>
    <w:rsid w:val="008D11EB"/>
    <w:rsid w:val="008D6E8B"/>
    <w:rsid w:val="008D7394"/>
    <w:rsid w:val="008D7B2A"/>
    <w:rsid w:val="008E07D8"/>
    <w:rsid w:val="008E0A45"/>
    <w:rsid w:val="008E1744"/>
    <w:rsid w:val="008E4869"/>
    <w:rsid w:val="008E65A9"/>
    <w:rsid w:val="008E7990"/>
    <w:rsid w:val="008F0AA3"/>
    <w:rsid w:val="008F4111"/>
    <w:rsid w:val="008F6334"/>
    <w:rsid w:val="008F7969"/>
    <w:rsid w:val="0090129C"/>
    <w:rsid w:val="00902D64"/>
    <w:rsid w:val="009072EE"/>
    <w:rsid w:val="009135D8"/>
    <w:rsid w:val="00915ABA"/>
    <w:rsid w:val="009200E8"/>
    <w:rsid w:val="00923179"/>
    <w:rsid w:val="009244E2"/>
    <w:rsid w:val="00925416"/>
    <w:rsid w:val="00934996"/>
    <w:rsid w:val="00934E67"/>
    <w:rsid w:val="00940BC9"/>
    <w:rsid w:val="009417BE"/>
    <w:rsid w:val="00941C9D"/>
    <w:rsid w:val="00945361"/>
    <w:rsid w:val="00945F05"/>
    <w:rsid w:val="0095199A"/>
    <w:rsid w:val="009618A0"/>
    <w:rsid w:val="0097467F"/>
    <w:rsid w:val="0097586E"/>
    <w:rsid w:val="00977E92"/>
    <w:rsid w:val="009869D9"/>
    <w:rsid w:val="009A1F0A"/>
    <w:rsid w:val="009A765C"/>
    <w:rsid w:val="009B4032"/>
    <w:rsid w:val="009B7BC8"/>
    <w:rsid w:val="009C1D2C"/>
    <w:rsid w:val="009C54DD"/>
    <w:rsid w:val="009C74C9"/>
    <w:rsid w:val="009D2B94"/>
    <w:rsid w:val="009D3459"/>
    <w:rsid w:val="009D37D6"/>
    <w:rsid w:val="009D62BB"/>
    <w:rsid w:val="009E0D14"/>
    <w:rsid w:val="009E3D1B"/>
    <w:rsid w:val="009E71BF"/>
    <w:rsid w:val="009F37DB"/>
    <w:rsid w:val="009F3946"/>
    <w:rsid w:val="009F656F"/>
    <w:rsid w:val="00A00CB9"/>
    <w:rsid w:val="00A00FFF"/>
    <w:rsid w:val="00A012B0"/>
    <w:rsid w:val="00A02F0B"/>
    <w:rsid w:val="00A03837"/>
    <w:rsid w:val="00A0442B"/>
    <w:rsid w:val="00A051B4"/>
    <w:rsid w:val="00A15E3C"/>
    <w:rsid w:val="00A2041E"/>
    <w:rsid w:val="00A205AF"/>
    <w:rsid w:val="00A24EE2"/>
    <w:rsid w:val="00A337B6"/>
    <w:rsid w:val="00A4466D"/>
    <w:rsid w:val="00A461D7"/>
    <w:rsid w:val="00A57A58"/>
    <w:rsid w:val="00A60244"/>
    <w:rsid w:val="00A73245"/>
    <w:rsid w:val="00A74918"/>
    <w:rsid w:val="00A81E94"/>
    <w:rsid w:val="00A82E83"/>
    <w:rsid w:val="00A858C2"/>
    <w:rsid w:val="00A90235"/>
    <w:rsid w:val="00A960A0"/>
    <w:rsid w:val="00A969B1"/>
    <w:rsid w:val="00AA2D97"/>
    <w:rsid w:val="00AA44AB"/>
    <w:rsid w:val="00AA5A20"/>
    <w:rsid w:val="00AB12AF"/>
    <w:rsid w:val="00AB5558"/>
    <w:rsid w:val="00AC0A7B"/>
    <w:rsid w:val="00AC3367"/>
    <w:rsid w:val="00AC5C59"/>
    <w:rsid w:val="00AD01AE"/>
    <w:rsid w:val="00AD0A55"/>
    <w:rsid w:val="00AD3368"/>
    <w:rsid w:val="00AD4EAD"/>
    <w:rsid w:val="00AD67F4"/>
    <w:rsid w:val="00AD7B47"/>
    <w:rsid w:val="00AE0F2A"/>
    <w:rsid w:val="00AE2C7A"/>
    <w:rsid w:val="00AF044A"/>
    <w:rsid w:val="00AF0A90"/>
    <w:rsid w:val="00B0336E"/>
    <w:rsid w:val="00B03A51"/>
    <w:rsid w:val="00B14B8B"/>
    <w:rsid w:val="00B158E5"/>
    <w:rsid w:val="00B17C0D"/>
    <w:rsid w:val="00B24B13"/>
    <w:rsid w:val="00B36279"/>
    <w:rsid w:val="00B4005B"/>
    <w:rsid w:val="00B45076"/>
    <w:rsid w:val="00B47D89"/>
    <w:rsid w:val="00B5132C"/>
    <w:rsid w:val="00B5553F"/>
    <w:rsid w:val="00B60AE3"/>
    <w:rsid w:val="00B722D3"/>
    <w:rsid w:val="00B751A9"/>
    <w:rsid w:val="00B77E41"/>
    <w:rsid w:val="00B845BB"/>
    <w:rsid w:val="00B85064"/>
    <w:rsid w:val="00B87133"/>
    <w:rsid w:val="00B904C4"/>
    <w:rsid w:val="00B90C60"/>
    <w:rsid w:val="00B95B85"/>
    <w:rsid w:val="00B95D0D"/>
    <w:rsid w:val="00B962D3"/>
    <w:rsid w:val="00B96B0B"/>
    <w:rsid w:val="00B972DB"/>
    <w:rsid w:val="00BA7B55"/>
    <w:rsid w:val="00BB261E"/>
    <w:rsid w:val="00BB2BEA"/>
    <w:rsid w:val="00BC3436"/>
    <w:rsid w:val="00BD2958"/>
    <w:rsid w:val="00BD49AA"/>
    <w:rsid w:val="00BE4ED4"/>
    <w:rsid w:val="00BF0275"/>
    <w:rsid w:val="00BF5EF2"/>
    <w:rsid w:val="00BF6B5E"/>
    <w:rsid w:val="00C022AE"/>
    <w:rsid w:val="00C04950"/>
    <w:rsid w:val="00C14BB2"/>
    <w:rsid w:val="00C1700D"/>
    <w:rsid w:val="00C209FE"/>
    <w:rsid w:val="00C21625"/>
    <w:rsid w:val="00C334C2"/>
    <w:rsid w:val="00C3422D"/>
    <w:rsid w:val="00C3626F"/>
    <w:rsid w:val="00C450A7"/>
    <w:rsid w:val="00C47530"/>
    <w:rsid w:val="00C5212B"/>
    <w:rsid w:val="00C52C87"/>
    <w:rsid w:val="00C83F40"/>
    <w:rsid w:val="00C856CE"/>
    <w:rsid w:val="00C85829"/>
    <w:rsid w:val="00C953DD"/>
    <w:rsid w:val="00CA301A"/>
    <w:rsid w:val="00CA3E81"/>
    <w:rsid w:val="00CA472F"/>
    <w:rsid w:val="00CA6ACC"/>
    <w:rsid w:val="00CB67AD"/>
    <w:rsid w:val="00CC13CB"/>
    <w:rsid w:val="00CC13E7"/>
    <w:rsid w:val="00CC2110"/>
    <w:rsid w:val="00CC3584"/>
    <w:rsid w:val="00CD5647"/>
    <w:rsid w:val="00CD64EF"/>
    <w:rsid w:val="00CE1CE0"/>
    <w:rsid w:val="00CE6EFE"/>
    <w:rsid w:val="00CF0F2C"/>
    <w:rsid w:val="00CF36D6"/>
    <w:rsid w:val="00CF74AA"/>
    <w:rsid w:val="00D166BE"/>
    <w:rsid w:val="00D20A92"/>
    <w:rsid w:val="00D27B4F"/>
    <w:rsid w:val="00D36481"/>
    <w:rsid w:val="00D36834"/>
    <w:rsid w:val="00D5454D"/>
    <w:rsid w:val="00D57387"/>
    <w:rsid w:val="00D66BF8"/>
    <w:rsid w:val="00D66E62"/>
    <w:rsid w:val="00D66E91"/>
    <w:rsid w:val="00D70498"/>
    <w:rsid w:val="00D81711"/>
    <w:rsid w:val="00D86612"/>
    <w:rsid w:val="00D93A47"/>
    <w:rsid w:val="00D95FF5"/>
    <w:rsid w:val="00DA2F3F"/>
    <w:rsid w:val="00DA33F3"/>
    <w:rsid w:val="00DA421A"/>
    <w:rsid w:val="00DA43F2"/>
    <w:rsid w:val="00DA64BE"/>
    <w:rsid w:val="00DB38D8"/>
    <w:rsid w:val="00DB3CBD"/>
    <w:rsid w:val="00DB4F8A"/>
    <w:rsid w:val="00DB6F04"/>
    <w:rsid w:val="00DC7195"/>
    <w:rsid w:val="00DC7A9A"/>
    <w:rsid w:val="00DD57E6"/>
    <w:rsid w:val="00DE0947"/>
    <w:rsid w:val="00DE11AC"/>
    <w:rsid w:val="00DE17EB"/>
    <w:rsid w:val="00DE580B"/>
    <w:rsid w:val="00DE71D8"/>
    <w:rsid w:val="00DF1817"/>
    <w:rsid w:val="00DF2FC1"/>
    <w:rsid w:val="00DF5700"/>
    <w:rsid w:val="00DF7988"/>
    <w:rsid w:val="00E06650"/>
    <w:rsid w:val="00E106E7"/>
    <w:rsid w:val="00E12DEA"/>
    <w:rsid w:val="00E12E26"/>
    <w:rsid w:val="00E25DDA"/>
    <w:rsid w:val="00E31020"/>
    <w:rsid w:val="00E40DA5"/>
    <w:rsid w:val="00E435D8"/>
    <w:rsid w:val="00E479D3"/>
    <w:rsid w:val="00E662FA"/>
    <w:rsid w:val="00E670AC"/>
    <w:rsid w:val="00E67963"/>
    <w:rsid w:val="00E67D36"/>
    <w:rsid w:val="00E71016"/>
    <w:rsid w:val="00E71EE3"/>
    <w:rsid w:val="00E9100E"/>
    <w:rsid w:val="00EA4682"/>
    <w:rsid w:val="00EA7FF6"/>
    <w:rsid w:val="00EB1CD5"/>
    <w:rsid w:val="00EB7B63"/>
    <w:rsid w:val="00EC046E"/>
    <w:rsid w:val="00EC62B1"/>
    <w:rsid w:val="00EC6DEF"/>
    <w:rsid w:val="00ED3F35"/>
    <w:rsid w:val="00ED439D"/>
    <w:rsid w:val="00EE18CA"/>
    <w:rsid w:val="00EE33C6"/>
    <w:rsid w:val="00EE6EDE"/>
    <w:rsid w:val="00EF3F69"/>
    <w:rsid w:val="00F06540"/>
    <w:rsid w:val="00F10E1D"/>
    <w:rsid w:val="00F11BBD"/>
    <w:rsid w:val="00F137FA"/>
    <w:rsid w:val="00F203DB"/>
    <w:rsid w:val="00F25CE1"/>
    <w:rsid w:val="00F40873"/>
    <w:rsid w:val="00F43D94"/>
    <w:rsid w:val="00F6311E"/>
    <w:rsid w:val="00F64081"/>
    <w:rsid w:val="00F655D7"/>
    <w:rsid w:val="00F71C29"/>
    <w:rsid w:val="00F7625D"/>
    <w:rsid w:val="00F83FCE"/>
    <w:rsid w:val="00F85459"/>
    <w:rsid w:val="00F93FB5"/>
    <w:rsid w:val="00F949BE"/>
    <w:rsid w:val="00F9500E"/>
    <w:rsid w:val="00FA02B9"/>
    <w:rsid w:val="00FA14AA"/>
    <w:rsid w:val="00FB0B10"/>
    <w:rsid w:val="00FC748B"/>
    <w:rsid w:val="00FD0E99"/>
    <w:rsid w:val="00FD49F0"/>
    <w:rsid w:val="00FD5B35"/>
    <w:rsid w:val="00FD5F7A"/>
    <w:rsid w:val="00FE4598"/>
    <w:rsid w:val="00FF297E"/>
    <w:rsid w:val="00FF4473"/>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D2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link w:val="Heading2Char"/>
    <w:uiPriority w:val="9"/>
    <w:qFormat/>
    <w:rsid w:val="00746527"/>
    <w:pPr>
      <w:tabs>
        <w:tab w:val="left" w:pos="2268"/>
      </w:tabs>
      <w:spacing w:before="200" w:after="60"/>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ListParagraph">
    <w:name w:val="List Paragraph"/>
    <w:basedOn w:val="Normal"/>
    <w:uiPriority w:val="34"/>
    <w:qFormat/>
    <w:rsid w:val="004E39C5"/>
    <w:pPr>
      <w:ind w:left="720"/>
      <w:contextualSpacing/>
    </w:pPr>
  </w:style>
  <w:style w:type="character" w:styleId="CommentReference">
    <w:name w:val="annotation reference"/>
    <w:basedOn w:val="DefaultParagraphFont"/>
    <w:semiHidden/>
    <w:unhideWhenUsed/>
    <w:rsid w:val="00B845BB"/>
    <w:rPr>
      <w:sz w:val="16"/>
      <w:szCs w:val="16"/>
    </w:rPr>
  </w:style>
  <w:style w:type="paragraph" w:styleId="CommentText">
    <w:name w:val="annotation text"/>
    <w:basedOn w:val="Normal"/>
    <w:link w:val="CommentTextChar"/>
    <w:unhideWhenUsed/>
    <w:rsid w:val="00B845BB"/>
  </w:style>
  <w:style w:type="character" w:customStyle="1" w:styleId="CommentTextChar">
    <w:name w:val="Comment Text Char"/>
    <w:basedOn w:val="DefaultParagraphFont"/>
    <w:link w:val="CommentText"/>
    <w:rsid w:val="00B845BB"/>
    <w:rPr>
      <w:rFonts w:ascii="Arial" w:hAnsi="Arial"/>
    </w:rPr>
  </w:style>
  <w:style w:type="paragraph" w:styleId="CommentSubject">
    <w:name w:val="annotation subject"/>
    <w:basedOn w:val="CommentText"/>
    <w:next w:val="CommentText"/>
    <w:link w:val="CommentSubjectChar"/>
    <w:semiHidden/>
    <w:unhideWhenUsed/>
    <w:rsid w:val="00B845BB"/>
    <w:rPr>
      <w:b/>
      <w:bCs/>
    </w:rPr>
  </w:style>
  <w:style w:type="character" w:customStyle="1" w:styleId="CommentSubjectChar">
    <w:name w:val="Comment Subject Char"/>
    <w:basedOn w:val="CommentTextChar"/>
    <w:link w:val="CommentSubject"/>
    <w:semiHidden/>
    <w:rsid w:val="00B845BB"/>
    <w:rPr>
      <w:rFonts w:ascii="Arial" w:hAnsi="Arial"/>
      <w:b/>
      <w:bCs/>
    </w:rPr>
  </w:style>
  <w:style w:type="paragraph" w:styleId="BalloonText">
    <w:name w:val="Balloon Text"/>
    <w:basedOn w:val="Normal"/>
    <w:link w:val="BalloonTextChar"/>
    <w:semiHidden/>
    <w:unhideWhenUsed/>
    <w:rsid w:val="00B845BB"/>
    <w:rPr>
      <w:rFonts w:ascii="Segoe UI" w:hAnsi="Segoe UI" w:cs="Segoe UI"/>
      <w:sz w:val="18"/>
      <w:szCs w:val="18"/>
    </w:rPr>
  </w:style>
  <w:style w:type="character" w:customStyle="1" w:styleId="BalloonTextChar">
    <w:name w:val="Balloon Text Char"/>
    <w:basedOn w:val="DefaultParagraphFont"/>
    <w:link w:val="BalloonText"/>
    <w:semiHidden/>
    <w:rsid w:val="00B845BB"/>
    <w:rPr>
      <w:rFonts w:ascii="Segoe UI" w:hAnsi="Segoe UI" w:cs="Segoe UI"/>
      <w:sz w:val="18"/>
      <w:szCs w:val="18"/>
    </w:rPr>
  </w:style>
  <w:style w:type="paragraph" w:styleId="FootnoteText">
    <w:name w:val="footnote text"/>
    <w:basedOn w:val="Normal"/>
    <w:link w:val="FootnoteTextChar"/>
    <w:semiHidden/>
    <w:unhideWhenUsed/>
    <w:rsid w:val="000D0325"/>
  </w:style>
  <w:style w:type="character" w:customStyle="1" w:styleId="FootnoteTextChar">
    <w:name w:val="Footnote Text Char"/>
    <w:basedOn w:val="DefaultParagraphFont"/>
    <w:link w:val="FootnoteText"/>
    <w:semiHidden/>
    <w:rsid w:val="000D0325"/>
    <w:rPr>
      <w:rFonts w:ascii="Arial" w:hAnsi="Arial"/>
    </w:rPr>
  </w:style>
  <w:style w:type="character" w:styleId="FootnoteReference">
    <w:name w:val="footnote reference"/>
    <w:basedOn w:val="DefaultParagraphFont"/>
    <w:semiHidden/>
    <w:unhideWhenUsed/>
    <w:rsid w:val="000D0325"/>
    <w:rPr>
      <w:vertAlign w:val="superscript"/>
    </w:rPr>
  </w:style>
  <w:style w:type="paragraph" w:styleId="NormalWeb">
    <w:name w:val="Normal (Web)"/>
    <w:basedOn w:val="Normal"/>
    <w:semiHidden/>
    <w:unhideWhenUsed/>
    <w:rsid w:val="00ED439D"/>
    <w:rPr>
      <w:rFonts w:ascii="Times New Roman" w:hAnsi="Times New Roman"/>
      <w:sz w:val="24"/>
      <w:szCs w:val="24"/>
    </w:rPr>
  </w:style>
  <w:style w:type="character" w:styleId="Hyperlink">
    <w:name w:val="Hyperlink"/>
    <w:basedOn w:val="DefaultParagraphFont"/>
    <w:unhideWhenUsed/>
    <w:rsid w:val="002A586A"/>
    <w:rPr>
      <w:color w:val="0000FF" w:themeColor="hyperlink"/>
      <w:u w:val="single"/>
    </w:rPr>
  </w:style>
  <w:style w:type="character" w:styleId="FollowedHyperlink">
    <w:name w:val="FollowedHyperlink"/>
    <w:basedOn w:val="DefaultParagraphFont"/>
    <w:semiHidden/>
    <w:unhideWhenUsed/>
    <w:rsid w:val="003A5878"/>
    <w:rPr>
      <w:color w:val="800080" w:themeColor="followedHyperlink"/>
      <w:u w:val="single"/>
    </w:rPr>
  </w:style>
  <w:style w:type="table" w:styleId="TableGrid">
    <w:name w:val="Table Grid"/>
    <w:basedOn w:val="TableNormal"/>
    <w:rsid w:val="00AF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2F1D"/>
    <w:pPr>
      <w:tabs>
        <w:tab w:val="center" w:pos="4513"/>
        <w:tab w:val="right" w:pos="9026"/>
      </w:tabs>
    </w:pPr>
  </w:style>
  <w:style w:type="character" w:customStyle="1" w:styleId="HeaderChar">
    <w:name w:val="Header Char"/>
    <w:basedOn w:val="DefaultParagraphFont"/>
    <w:link w:val="Header"/>
    <w:rsid w:val="00792F1D"/>
    <w:rPr>
      <w:rFonts w:ascii="Arial" w:hAnsi="Arial"/>
    </w:rPr>
  </w:style>
  <w:style w:type="paragraph" w:styleId="Footer">
    <w:name w:val="footer"/>
    <w:basedOn w:val="Normal"/>
    <w:link w:val="FooterChar"/>
    <w:uiPriority w:val="99"/>
    <w:unhideWhenUsed/>
    <w:rsid w:val="00792F1D"/>
    <w:pPr>
      <w:tabs>
        <w:tab w:val="center" w:pos="4513"/>
        <w:tab w:val="right" w:pos="9026"/>
      </w:tabs>
    </w:pPr>
  </w:style>
  <w:style w:type="character" w:customStyle="1" w:styleId="FooterChar">
    <w:name w:val="Footer Char"/>
    <w:basedOn w:val="DefaultParagraphFont"/>
    <w:link w:val="Footer"/>
    <w:uiPriority w:val="99"/>
    <w:rsid w:val="00792F1D"/>
    <w:rPr>
      <w:rFonts w:ascii="Arial" w:hAnsi="Arial"/>
    </w:rPr>
  </w:style>
  <w:style w:type="character" w:customStyle="1" w:styleId="UnresolvedMention1">
    <w:name w:val="Unresolved Mention1"/>
    <w:basedOn w:val="DefaultParagraphFont"/>
    <w:uiPriority w:val="99"/>
    <w:semiHidden/>
    <w:unhideWhenUsed/>
    <w:rsid w:val="00426234"/>
    <w:rPr>
      <w:color w:val="605E5C"/>
      <w:shd w:val="clear" w:color="auto" w:fill="E1DFDD"/>
    </w:rPr>
  </w:style>
  <w:style w:type="character" w:customStyle="1" w:styleId="cf01">
    <w:name w:val="cf01"/>
    <w:basedOn w:val="DefaultParagraphFont"/>
    <w:rsid w:val="002302CB"/>
    <w:rPr>
      <w:rFonts w:ascii="Segoe UI" w:hAnsi="Segoe UI" w:cs="Segoe UI" w:hint="default"/>
      <w:sz w:val="18"/>
      <w:szCs w:val="18"/>
    </w:rPr>
  </w:style>
  <w:style w:type="character" w:customStyle="1" w:styleId="Heading2Char">
    <w:name w:val="Heading 2 Char"/>
    <w:basedOn w:val="DefaultParagraphFont"/>
    <w:link w:val="Heading2"/>
    <w:uiPriority w:val="9"/>
    <w:rsid w:val="00B8713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2388">
      <w:bodyDiv w:val="1"/>
      <w:marLeft w:val="0"/>
      <w:marRight w:val="0"/>
      <w:marTop w:val="0"/>
      <w:marBottom w:val="0"/>
      <w:divBdr>
        <w:top w:val="none" w:sz="0" w:space="0" w:color="auto"/>
        <w:left w:val="none" w:sz="0" w:space="0" w:color="auto"/>
        <w:bottom w:val="none" w:sz="0" w:space="0" w:color="auto"/>
        <w:right w:val="none" w:sz="0" w:space="0" w:color="auto"/>
      </w:divBdr>
    </w:div>
    <w:div w:id="249117422">
      <w:bodyDiv w:val="1"/>
      <w:marLeft w:val="0"/>
      <w:marRight w:val="0"/>
      <w:marTop w:val="0"/>
      <w:marBottom w:val="0"/>
      <w:divBdr>
        <w:top w:val="none" w:sz="0" w:space="0" w:color="auto"/>
        <w:left w:val="none" w:sz="0" w:space="0" w:color="auto"/>
        <w:bottom w:val="none" w:sz="0" w:space="0" w:color="auto"/>
        <w:right w:val="none" w:sz="0" w:space="0" w:color="auto"/>
      </w:divBdr>
    </w:div>
    <w:div w:id="686178637">
      <w:bodyDiv w:val="1"/>
      <w:marLeft w:val="0"/>
      <w:marRight w:val="0"/>
      <w:marTop w:val="0"/>
      <w:marBottom w:val="0"/>
      <w:divBdr>
        <w:top w:val="none" w:sz="0" w:space="0" w:color="auto"/>
        <w:left w:val="none" w:sz="0" w:space="0" w:color="auto"/>
        <w:bottom w:val="none" w:sz="0" w:space="0" w:color="auto"/>
        <w:right w:val="none" w:sz="0" w:space="0" w:color="auto"/>
      </w:divBdr>
    </w:div>
    <w:div w:id="1192692173">
      <w:bodyDiv w:val="1"/>
      <w:marLeft w:val="0"/>
      <w:marRight w:val="0"/>
      <w:marTop w:val="0"/>
      <w:marBottom w:val="0"/>
      <w:divBdr>
        <w:top w:val="none" w:sz="0" w:space="0" w:color="auto"/>
        <w:left w:val="none" w:sz="0" w:space="0" w:color="auto"/>
        <w:bottom w:val="none" w:sz="0" w:space="0" w:color="auto"/>
        <w:right w:val="none" w:sz="0" w:space="0" w:color="auto"/>
      </w:divBdr>
      <w:divsChild>
        <w:div w:id="1479154662">
          <w:marLeft w:val="0"/>
          <w:marRight w:val="0"/>
          <w:marTop w:val="0"/>
          <w:marBottom w:val="0"/>
          <w:divBdr>
            <w:top w:val="none" w:sz="0" w:space="0" w:color="auto"/>
            <w:left w:val="none" w:sz="0" w:space="0" w:color="auto"/>
            <w:bottom w:val="none" w:sz="0" w:space="0" w:color="auto"/>
            <w:right w:val="none" w:sz="0" w:space="0" w:color="auto"/>
          </w:divBdr>
          <w:divsChild>
            <w:div w:id="362637819">
              <w:marLeft w:val="0"/>
              <w:marRight w:val="0"/>
              <w:marTop w:val="0"/>
              <w:marBottom w:val="0"/>
              <w:divBdr>
                <w:top w:val="none" w:sz="0" w:space="0" w:color="auto"/>
                <w:left w:val="none" w:sz="0" w:space="0" w:color="auto"/>
                <w:bottom w:val="none" w:sz="0" w:space="0" w:color="auto"/>
                <w:right w:val="none" w:sz="0" w:space="0" w:color="auto"/>
              </w:divBdr>
              <w:divsChild>
                <w:div w:id="10631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1233">
      <w:bodyDiv w:val="1"/>
      <w:marLeft w:val="0"/>
      <w:marRight w:val="0"/>
      <w:marTop w:val="0"/>
      <w:marBottom w:val="0"/>
      <w:divBdr>
        <w:top w:val="none" w:sz="0" w:space="0" w:color="auto"/>
        <w:left w:val="none" w:sz="0" w:space="0" w:color="auto"/>
        <w:bottom w:val="none" w:sz="0" w:space="0" w:color="auto"/>
        <w:right w:val="none" w:sz="0" w:space="0" w:color="auto"/>
      </w:divBdr>
      <w:divsChild>
        <w:div w:id="514686527">
          <w:marLeft w:val="0"/>
          <w:marRight w:val="0"/>
          <w:marTop w:val="0"/>
          <w:marBottom w:val="0"/>
          <w:divBdr>
            <w:top w:val="none" w:sz="0" w:space="0" w:color="auto"/>
            <w:left w:val="none" w:sz="0" w:space="0" w:color="auto"/>
            <w:bottom w:val="none" w:sz="0" w:space="0" w:color="auto"/>
            <w:right w:val="none" w:sz="0" w:space="0" w:color="auto"/>
          </w:divBdr>
          <w:divsChild>
            <w:div w:id="1437019477">
              <w:marLeft w:val="0"/>
              <w:marRight w:val="0"/>
              <w:marTop w:val="0"/>
              <w:marBottom w:val="0"/>
              <w:divBdr>
                <w:top w:val="none" w:sz="0" w:space="0" w:color="auto"/>
                <w:left w:val="none" w:sz="0" w:space="0" w:color="auto"/>
                <w:bottom w:val="none" w:sz="0" w:space="0" w:color="auto"/>
                <w:right w:val="none" w:sz="0" w:space="0" w:color="auto"/>
              </w:divBdr>
              <w:divsChild>
                <w:div w:id="53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5/9/contents" TargetMode="External"/><Relationship Id="rId13" Type="http://schemas.openxmlformats.org/officeDocument/2006/relationships/hyperlink" Target="https://www.gov.uk/government/publications/mental-capacity-act-code-of-practice" TargetMode="External"/><Relationship Id="rId18" Type="http://schemas.openxmlformats.org/officeDocument/2006/relationships/hyperlink" Target="https://www.northeastlincolnshireccg.nhs.uk/publica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lation.gov.uk/ukpga/2005/9/contents" TargetMode="External"/><Relationship Id="rId12" Type="http://schemas.openxmlformats.org/officeDocument/2006/relationships/hyperlink" Target="https://www.safernel.co.uk/information-for-practitioners/safeguarding-adults/" TargetMode="External"/><Relationship Id="rId17" Type="http://schemas.openxmlformats.org/officeDocument/2006/relationships/hyperlink" Target="https://www.northeastlincolnshireccg.nhs.uk/publications/" TargetMode="External"/><Relationship Id="rId2" Type="http://schemas.openxmlformats.org/officeDocument/2006/relationships/styles" Target="styles.xml"/><Relationship Id="rId16" Type="http://schemas.openxmlformats.org/officeDocument/2006/relationships/hyperlink" Target="https://www.39essex.com/mental-capacity-guidance-note-best-interes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9/18/enacted" TargetMode="External"/><Relationship Id="rId5" Type="http://schemas.openxmlformats.org/officeDocument/2006/relationships/footnotes" Target="footnotes.xml"/><Relationship Id="rId15" Type="http://schemas.openxmlformats.org/officeDocument/2006/relationships/hyperlink" Target="https://www.39essex.com/mental-capacity-guidance-note-assessment/" TargetMode="External"/><Relationship Id="rId10" Type="http://schemas.openxmlformats.org/officeDocument/2006/relationships/hyperlink" Target="https://www.legislation.gov.uk/ukpga/1983/20/cont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mental-capacity-act-code-of-practice" TargetMode="External"/><Relationship Id="rId14" Type="http://schemas.openxmlformats.org/officeDocument/2006/relationships/hyperlink" Target="https://www.cqc.org.uk/files/deprivation-liberty-safeguards-code-practi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earch-public-guardian-registers" TargetMode="External"/><Relationship Id="rId13" Type="http://schemas.openxmlformats.org/officeDocument/2006/relationships/hyperlink" Target="https://www.bailii.org/ew/cases/EWCOP/2020/2.html" TargetMode="External"/><Relationship Id="rId3" Type="http://schemas.openxmlformats.org/officeDocument/2006/relationships/hyperlink" Target="https://www.northeastlincolnshireccg.nhs.uk/publications/" TargetMode="External"/><Relationship Id="rId7" Type="http://schemas.openxmlformats.org/officeDocument/2006/relationships/hyperlink" Target="https://www.scie.org.uk/mca/practice/care-planning/key-principles-in-care-planning" TargetMode="External"/><Relationship Id="rId12" Type="http://schemas.openxmlformats.org/officeDocument/2006/relationships/hyperlink" Target="https://www.39essex.com/mental-capacity-guidance-note-assessment/" TargetMode="External"/><Relationship Id="rId17" Type="http://schemas.openxmlformats.org/officeDocument/2006/relationships/hyperlink" Target="https://www.northeastlincolnshireccg.nhs.uk/publications/" TargetMode="External"/><Relationship Id="rId2" Type="http://schemas.openxmlformats.org/officeDocument/2006/relationships/hyperlink" Target="https://www.39essex.com/mental-capacity-guidance-note-assessment/" TargetMode="External"/><Relationship Id="rId16" Type="http://schemas.openxmlformats.org/officeDocument/2006/relationships/hyperlink" Target="https://www.bailii.org/ew/cases/EWCOP/2020/2.html" TargetMode="External"/><Relationship Id="rId1" Type="http://schemas.openxmlformats.org/officeDocument/2006/relationships/hyperlink" Target="https://www.northeastlincolnshireccg.nhs.uk/publications/" TargetMode="External"/><Relationship Id="rId6" Type="http://schemas.openxmlformats.org/officeDocument/2006/relationships/hyperlink" Target="https://www.local.gov.uk/publications/promoting-less-restrictive-practice-reducing-restrictions-tool" TargetMode="External"/><Relationship Id="rId11" Type="http://schemas.openxmlformats.org/officeDocument/2006/relationships/hyperlink" Target="https://www.northeastlincolnshireccg.nhs.uk/publications/" TargetMode="External"/><Relationship Id="rId5" Type="http://schemas.openxmlformats.org/officeDocument/2006/relationships/hyperlink" Target="https://www.gov.uk/government/publications/mental-capacity-act-code-of-practice" TargetMode="External"/><Relationship Id="rId15" Type="http://schemas.openxmlformats.org/officeDocument/2006/relationships/hyperlink" Target="https://www.bailii.org/ew/cases/EWCOP/2020/2.html" TargetMode="External"/><Relationship Id="rId10" Type="http://schemas.openxmlformats.org/officeDocument/2006/relationships/hyperlink" Target="https://www.northeastlincolnshireccg.nhs.uk/publications/" TargetMode="External"/><Relationship Id="rId4" Type="http://schemas.openxmlformats.org/officeDocument/2006/relationships/hyperlink" Target="https://www.39essex.com/mental-capacity-guidance-note-assessment/" TargetMode="External"/><Relationship Id="rId9" Type="http://schemas.openxmlformats.org/officeDocument/2006/relationships/hyperlink" Target="https://www.gov.uk/report-concern-about-attorney-deputy-guardian" TargetMode="External"/><Relationship Id="rId14" Type="http://schemas.openxmlformats.org/officeDocument/2006/relationships/hyperlink" Target="https://www.supremecourt.uk/cases/docs/uksc-2012-0068-judg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8179</Words>
  <Characters>46624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2024-07-11T11:32:00Z</dcterms:created>
  <dcterms:modified xsi:type="dcterms:W3CDTF">2024-07-11T11:33:00Z</dcterms:modified>
</cp:coreProperties>
</file>