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9F488" w14:textId="3175D090" w:rsidR="004C66A4" w:rsidRDefault="008F79EB" w:rsidP="00E10FB0">
      <w:pPr>
        <w:pStyle w:val="Heading1"/>
        <w:jc w:val="center"/>
        <w:rPr>
          <w:b/>
          <w:bCs/>
          <w:color w:val="auto"/>
          <w:u w:val="single"/>
        </w:rPr>
      </w:pPr>
      <w:r w:rsidRPr="00E10FB0">
        <w:rPr>
          <w:b/>
          <w:bCs/>
          <w:color w:val="auto"/>
          <w:u w:val="single"/>
        </w:rPr>
        <w:t>Non</w:t>
      </w:r>
      <w:r w:rsidR="00F44DFE" w:rsidRPr="00E10FB0">
        <w:rPr>
          <w:b/>
          <w:bCs/>
          <w:color w:val="auto"/>
          <w:u w:val="single"/>
        </w:rPr>
        <w:t>-</w:t>
      </w:r>
      <w:r w:rsidRPr="00E10FB0">
        <w:rPr>
          <w:b/>
          <w:bCs/>
          <w:color w:val="auto"/>
          <w:u w:val="single"/>
        </w:rPr>
        <w:t>Standard</w:t>
      </w:r>
      <w:r w:rsidR="00043B6C" w:rsidRPr="00E10FB0">
        <w:rPr>
          <w:b/>
          <w:bCs/>
          <w:color w:val="auto"/>
          <w:u w:val="single"/>
        </w:rPr>
        <w:t>/ Community</w:t>
      </w:r>
      <w:r w:rsidRPr="00E10FB0">
        <w:rPr>
          <w:b/>
          <w:bCs/>
          <w:color w:val="auto"/>
          <w:u w:val="single"/>
        </w:rPr>
        <w:t xml:space="preserve"> DoL Process</w:t>
      </w:r>
    </w:p>
    <w:p w14:paraId="3C67B3EF" w14:textId="77777777" w:rsidR="00E10FB0" w:rsidRPr="00E10FB0" w:rsidRDefault="00E10FB0" w:rsidP="00E10FB0"/>
    <w:p w14:paraId="51AAEC18" w14:textId="38A2013C" w:rsidR="008F79EB" w:rsidRPr="00E10FB0" w:rsidRDefault="008F79EB" w:rsidP="00E10FB0">
      <w:pPr>
        <w:pStyle w:val="Heading2"/>
        <w:numPr>
          <w:ilvl w:val="0"/>
          <w:numId w:val="13"/>
        </w:numPr>
        <w:rPr>
          <w:b/>
          <w:bCs/>
          <w:color w:val="auto"/>
        </w:rPr>
      </w:pPr>
      <w:r w:rsidRPr="00E10FB0">
        <w:rPr>
          <w:b/>
          <w:bCs/>
          <w:color w:val="auto"/>
          <w:u w:val="single"/>
        </w:rPr>
        <w:t>Identification</w:t>
      </w:r>
      <w:r w:rsidR="0066299B" w:rsidRPr="00E10FB0">
        <w:rPr>
          <w:b/>
          <w:bCs/>
          <w:color w:val="auto"/>
          <w:u w:val="single"/>
        </w:rPr>
        <w:t xml:space="preserve"> </w:t>
      </w:r>
      <w:r w:rsidR="0066299B" w:rsidRPr="00E10FB0">
        <w:rPr>
          <w:b/>
          <w:bCs/>
          <w:color w:val="auto"/>
        </w:rPr>
        <w:t>(a DoL may be taking place)</w:t>
      </w:r>
    </w:p>
    <w:p w14:paraId="39AE5F90" w14:textId="67A60386" w:rsidR="008F79EB" w:rsidRPr="00F44DFE" w:rsidRDefault="00C56B7A" w:rsidP="008F79EB">
      <w:r w:rsidRPr="00F44DFE">
        <w:t xml:space="preserve">A </w:t>
      </w:r>
      <w:r w:rsidR="00043B6C" w:rsidRPr="00F44DFE">
        <w:t>d</w:t>
      </w:r>
      <w:r w:rsidRPr="00F44DFE">
        <w:t xml:space="preserve">eprivation of </w:t>
      </w:r>
      <w:r w:rsidR="00043B6C" w:rsidRPr="00F44DFE">
        <w:t>l</w:t>
      </w:r>
      <w:r w:rsidRPr="00F44DFE">
        <w:t xml:space="preserve">iberty </w:t>
      </w:r>
      <w:r w:rsidR="00043B6C" w:rsidRPr="00F44DFE">
        <w:t xml:space="preserve">(DoL) </w:t>
      </w:r>
      <w:r w:rsidRPr="00F44DFE">
        <w:t>consists of 3 key elements</w:t>
      </w:r>
      <w:r w:rsidR="000E78E0" w:rsidRPr="00F44DFE">
        <w:t>:</w:t>
      </w:r>
      <w:r w:rsidRPr="00F44DFE">
        <w:t xml:space="preserve"> </w:t>
      </w:r>
    </w:p>
    <w:p w14:paraId="1099CE96" w14:textId="03ED5061" w:rsidR="00C56B7A" w:rsidRPr="00F44DFE" w:rsidRDefault="00C56B7A" w:rsidP="00C56B7A">
      <w:pPr>
        <w:pStyle w:val="ListParagraph"/>
        <w:numPr>
          <w:ilvl w:val="0"/>
          <w:numId w:val="2"/>
        </w:numPr>
      </w:pPr>
      <w:r w:rsidRPr="00F44DFE">
        <w:t>A package of care (</w:t>
      </w:r>
      <w:r w:rsidR="00043B6C" w:rsidRPr="00F44DFE">
        <w:t xml:space="preserve">which may be </w:t>
      </w:r>
      <w:r w:rsidRPr="00F44DFE">
        <w:t xml:space="preserve">provided by the </w:t>
      </w:r>
      <w:r w:rsidR="00043B6C" w:rsidRPr="00F44DFE">
        <w:t>l</w:t>
      </w:r>
      <w:r w:rsidRPr="00F44DFE">
        <w:t xml:space="preserve">ocal </w:t>
      </w:r>
      <w:r w:rsidR="00043B6C" w:rsidRPr="00F44DFE">
        <w:t>a</w:t>
      </w:r>
      <w:r w:rsidRPr="00F44DFE">
        <w:t>uthority</w:t>
      </w:r>
      <w:r w:rsidR="00043B6C" w:rsidRPr="00F44DFE">
        <w:t>, continuing healthcare</w:t>
      </w:r>
      <w:r w:rsidRPr="00F44DFE">
        <w:t xml:space="preserve"> or family/</w:t>
      </w:r>
      <w:r w:rsidR="00043B6C" w:rsidRPr="00F44DFE">
        <w:t xml:space="preserve"> </w:t>
      </w:r>
      <w:r w:rsidRPr="00F44DFE">
        <w:t>carers</w:t>
      </w:r>
      <w:r w:rsidR="00043B6C" w:rsidRPr="00F44DFE">
        <w:t>, for example</w:t>
      </w:r>
      <w:r w:rsidRPr="00F44DFE">
        <w:t xml:space="preserve">) consisting of </w:t>
      </w:r>
      <w:r w:rsidR="00043B6C" w:rsidRPr="00F44DFE">
        <w:t>continuous</w:t>
      </w:r>
      <w:r w:rsidRPr="00F44DFE">
        <w:t xml:space="preserve"> supervision</w:t>
      </w:r>
      <w:r w:rsidR="00043B6C" w:rsidRPr="00F44DFE">
        <w:t xml:space="preserve"> and control</w:t>
      </w:r>
      <w:r w:rsidRPr="00F44DFE">
        <w:t xml:space="preserve">, </w:t>
      </w:r>
      <w:r w:rsidRPr="00F44DFE">
        <w:rPr>
          <w:b/>
          <w:bCs/>
        </w:rPr>
        <w:t>and</w:t>
      </w:r>
    </w:p>
    <w:p w14:paraId="22F56B65" w14:textId="76707BD7" w:rsidR="00C56B7A" w:rsidRPr="00F44DFE" w:rsidRDefault="00C56B7A" w:rsidP="00C56B7A">
      <w:pPr>
        <w:pStyle w:val="ListParagraph"/>
        <w:numPr>
          <w:ilvl w:val="0"/>
          <w:numId w:val="2"/>
        </w:numPr>
      </w:pPr>
      <w:r w:rsidRPr="00F44DFE">
        <w:t>The person</w:t>
      </w:r>
      <w:r w:rsidR="001001D9" w:rsidRPr="00F44DFE">
        <w:t xml:space="preserve"> (‘P’)</w:t>
      </w:r>
      <w:r w:rsidRPr="00F44DFE">
        <w:t xml:space="preserve"> being cared for is </w:t>
      </w:r>
      <w:r w:rsidR="00043B6C" w:rsidRPr="00F44DFE">
        <w:t>not free</w:t>
      </w:r>
      <w:r w:rsidRPr="00F44DFE">
        <w:t xml:space="preserve"> to leave the </w:t>
      </w:r>
      <w:r w:rsidR="00043B6C" w:rsidRPr="00F44DFE">
        <w:t>place where they are receiving care</w:t>
      </w:r>
      <w:r w:rsidR="00EB0185" w:rsidRPr="00F44DFE">
        <w:t xml:space="preserve">, </w:t>
      </w:r>
      <w:r w:rsidR="00EB0185" w:rsidRPr="00F44DFE">
        <w:rPr>
          <w:b/>
          <w:bCs/>
        </w:rPr>
        <w:t xml:space="preserve">and </w:t>
      </w:r>
    </w:p>
    <w:p w14:paraId="313EE8CB" w14:textId="24E5BB60" w:rsidR="00EB0185" w:rsidRPr="00F44DFE" w:rsidRDefault="00D909B9" w:rsidP="00C56B7A">
      <w:pPr>
        <w:pStyle w:val="ListParagraph"/>
        <w:numPr>
          <w:ilvl w:val="0"/>
          <w:numId w:val="2"/>
        </w:numPr>
      </w:pPr>
      <w:r w:rsidRPr="00F44DFE">
        <w:t>P</w:t>
      </w:r>
      <w:r w:rsidR="00EB0185" w:rsidRPr="00F44DFE">
        <w:t xml:space="preserve"> lacks capacity to consent to these arrangements due to a</w:t>
      </w:r>
      <w:r w:rsidR="00BC5526" w:rsidRPr="00F44DFE">
        <w:t>n impairment or disturbance in the functioning of the mind or</w:t>
      </w:r>
      <w:r w:rsidR="00BC761B" w:rsidRPr="00F44DFE">
        <w:t xml:space="preserve"> brain. </w:t>
      </w:r>
    </w:p>
    <w:p w14:paraId="41B94909" w14:textId="24DB19CE" w:rsidR="00BC761B" w:rsidRPr="00F44DFE" w:rsidRDefault="00BC761B" w:rsidP="00BC761B">
      <w:r w:rsidRPr="00F44DFE">
        <w:t>Non-standard</w:t>
      </w:r>
      <w:r w:rsidR="00043B6C" w:rsidRPr="00F44DFE">
        <w:t xml:space="preserve"> or community</w:t>
      </w:r>
      <w:r w:rsidRPr="00F44DFE">
        <w:t xml:space="preserve"> DoL will exist only in environments OUTSIDE care homes and </w:t>
      </w:r>
      <w:r w:rsidR="00606AEA" w:rsidRPr="00F44DFE">
        <w:t>hospitals</w:t>
      </w:r>
      <w:r w:rsidRPr="00F44DFE">
        <w:t>. This include</w:t>
      </w:r>
      <w:r w:rsidR="00043B6C" w:rsidRPr="00F44DFE">
        <w:t>s</w:t>
      </w:r>
      <w:r w:rsidRPr="00F44DFE">
        <w:t xml:space="preserve"> </w:t>
      </w:r>
      <w:r w:rsidR="00D909B9" w:rsidRPr="00F44DFE">
        <w:t>P</w:t>
      </w:r>
      <w:r w:rsidR="00043B6C" w:rsidRPr="00F44DFE">
        <w:t>’</w:t>
      </w:r>
      <w:r w:rsidRPr="00F44DFE">
        <w:t>s own home</w:t>
      </w:r>
      <w:r w:rsidR="00606AEA" w:rsidRPr="00F44DFE">
        <w:t>, supported living, extra care housing, educational</w:t>
      </w:r>
      <w:r w:rsidR="00377046" w:rsidRPr="00F44DFE">
        <w:t>/</w:t>
      </w:r>
      <w:r w:rsidR="00043B6C" w:rsidRPr="00F44DFE">
        <w:t xml:space="preserve"> </w:t>
      </w:r>
      <w:r w:rsidR="00377046" w:rsidRPr="00F44DFE">
        <w:t xml:space="preserve">residential placements (regulated by Ofsted) or any other environment that is not CQC regulated. </w:t>
      </w:r>
      <w:r w:rsidR="00E73EBA" w:rsidRPr="00F44DFE">
        <w:t xml:space="preserve"> </w:t>
      </w:r>
    </w:p>
    <w:p w14:paraId="27CA101A" w14:textId="6231353E" w:rsidR="00D909B9" w:rsidRPr="00F44DFE" w:rsidRDefault="00377046" w:rsidP="00D909B9">
      <w:r w:rsidRPr="00F44DFE">
        <w:t xml:space="preserve">Any individual can </w:t>
      </w:r>
      <w:r w:rsidR="001D4963" w:rsidRPr="00F44DFE">
        <w:t>report a potential</w:t>
      </w:r>
      <w:r w:rsidRPr="00F44DFE">
        <w:t xml:space="preserve"> </w:t>
      </w:r>
      <w:r w:rsidR="00043B6C" w:rsidRPr="00F44DFE">
        <w:t>DoL</w:t>
      </w:r>
      <w:r w:rsidR="001D4963" w:rsidRPr="00F44DFE">
        <w:t xml:space="preserve"> including carers, district nurses</w:t>
      </w:r>
      <w:r w:rsidR="008266AC" w:rsidRPr="00F44DFE">
        <w:t xml:space="preserve"> or other community support workers</w:t>
      </w:r>
      <w:r w:rsidRPr="00F44DFE">
        <w:t>.</w:t>
      </w:r>
      <w:r w:rsidR="00D909B9" w:rsidRPr="00F44DFE">
        <w:t xml:space="preserve"> </w:t>
      </w:r>
      <w:r w:rsidRPr="00F44DFE">
        <w:t xml:space="preserve"> If the </w:t>
      </w:r>
      <w:r w:rsidR="00D909B9" w:rsidRPr="00F44DFE">
        <w:t>individual</w:t>
      </w:r>
      <w:r w:rsidRPr="00F44DFE">
        <w:t xml:space="preserve"> is not employed by Focus, they can re</w:t>
      </w:r>
      <w:r w:rsidR="00043B6C" w:rsidRPr="00F44DFE">
        <w:t>port a potential DoL</w:t>
      </w:r>
      <w:r w:rsidR="00D909B9" w:rsidRPr="00F44DFE">
        <w:t xml:space="preserve"> either:</w:t>
      </w:r>
      <w:r w:rsidR="00043B6C" w:rsidRPr="00F44DFE">
        <w:t xml:space="preserve"> </w:t>
      </w:r>
    </w:p>
    <w:p w14:paraId="54B2DEE4" w14:textId="1B70B715" w:rsidR="00D909B9" w:rsidRPr="00BA6300" w:rsidRDefault="00F51EEC" w:rsidP="005D537E">
      <w:pPr>
        <w:pStyle w:val="ListParagraph"/>
        <w:numPr>
          <w:ilvl w:val="0"/>
          <w:numId w:val="9"/>
        </w:numPr>
      </w:pPr>
      <w:r w:rsidRPr="00694A24">
        <w:t>by m</w:t>
      </w:r>
      <w:r w:rsidR="00D909B9" w:rsidRPr="00694A24">
        <w:t xml:space="preserve">aking a direct referral through </w:t>
      </w:r>
      <w:r w:rsidR="00D909B9" w:rsidRPr="00BA6300">
        <w:t>Systm</w:t>
      </w:r>
      <w:r w:rsidRPr="00BA6300">
        <w:t>O</w:t>
      </w:r>
      <w:r w:rsidR="00D909B9" w:rsidRPr="00BA6300">
        <w:t>ne (Navigo</w:t>
      </w:r>
      <w:r w:rsidR="00A50712">
        <w:t>,</w:t>
      </w:r>
      <w:r w:rsidR="00D909B9" w:rsidRPr="00BA6300">
        <w:t xml:space="preserve"> </w:t>
      </w:r>
      <w:r w:rsidR="00A50712">
        <w:t xml:space="preserve">CHC (Continuing Healthcare) </w:t>
      </w:r>
      <w:r w:rsidR="00D909B9" w:rsidRPr="00BA6300">
        <w:t xml:space="preserve">and Care </w:t>
      </w:r>
      <w:r w:rsidR="005E5170" w:rsidRPr="00BA6300">
        <w:t>P</w:t>
      </w:r>
      <w:r w:rsidR="00D909B9" w:rsidRPr="00BA6300">
        <w:t xml:space="preserve">lus </w:t>
      </w:r>
      <w:r w:rsidR="005E5170" w:rsidRPr="00BA6300">
        <w:t xml:space="preserve">Group </w:t>
      </w:r>
      <w:r w:rsidR="00264965">
        <w:t xml:space="preserve">(CPG) </w:t>
      </w:r>
      <w:r w:rsidR="00D909B9" w:rsidRPr="00BA6300">
        <w:t>staff only); or</w:t>
      </w:r>
    </w:p>
    <w:p w14:paraId="5606FFE6" w14:textId="5386A8FB" w:rsidR="00D909B9" w:rsidRPr="00BA6300" w:rsidRDefault="00D909B9" w:rsidP="005D537E">
      <w:pPr>
        <w:pStyle w:val="ListParagraph"/>
        <w:numPr>
          <w:ilvl w:val="0"/>
          <w:numId w:val="9"/>
        </w:numPr>
      </w:pPr>
      <w:r w:rsidRPr="00BA6300">
        <w:t xml:space="preserve">by </w:t>
      </w:r>
      <w:r w:rsidR="00682360" w:rsidRPr="00BA6300">
        <w:t xml:space="preserve">contacting the </w:t>
      </w:r>
      <w:r w:rsidR="00264965" w:rsidRPr="00172402">
        <w:rPr>
          <w:rFonts w:ascii="Calibri" w:eastAsia="Times New Roman" w:hAnsi="Calibri" w:cs="Calibri"/>
          <w:lang w:eastAsia="en-GB"/>
        </w:rPr>
        <w:t>all relevant capacity assessments and best interest decisions are undertaken and recorded relating to all areas of P’s care</w:t>
      </w:r>
      <w:r w:rsidR="00682360" w:rsidRPr="00BA6300">
        <w:t xml:space="preserve"> </w:t>
      </w:r>
      <w:r w:rsidR="005E5170" w:rsidRPr="00BA6300">
        <w:t xml:space="preserve">(SPA) </w:t>
      </w:r>
      <w:r w:rsidR="00682360" w:rsidRPr="00BA6300">
        <w:t>on 01472 256256</w:t>
      </w:r>
      <w:r w:rsidR="00CE4B9D" w:rsidRPr="00BA6300">
        <w:t>.</w:t>
      </w:r>
      <w:r w:rsidR="00043B6C" w:rsidRPr="00BA6300">
        <w:t xml:space="preserve">  </w:t>
      </w:r>
    </w:p>
    <w:p w14:paraId="247F9391" w14:textId="4089AC4F" w:rsidR="00694A24" w:rsidRPr="00694A24" w:rsidRDefault="005E5170" w:rsidP="00D909B9">
      <w:r w:rsidRPr="00694A24">
        <w:t xml:space="preserve">It is expected that </w:t>
      </w:r>
      <w:r w:rsidR="005D3922">
        <w:t>reports</w:t>
      </w:r>
      <w:r w:rsidRPr="00694A24">
        <w:t xml:space="preserve"> from Focus, Navigo</w:t>
      </w:r>
      <w:r w:rsidR="00A50712">
        <w:t xml:space="preserve">, CHC </w:t>
      </w:r>
      <w:r w:rsidRPr="00694A24">
        <w:t>or C</w:t>
      </w:r>
      <w:r w:rsidR="00264965">
        <w:t>PG</w:t>
      </w:r>
      <w:r w:rsidRPr="00694A24">
        <w:t xml:space="preserve"> will be accurate and comprehensive.  </w:t>
      </w:r>
    </w:p>
    <w:p w14:paraId="41288C83" w14:textId="1F643D9C" w:rsidR="00694A24" w:rsidRPr="00694A24" w:rsidRDefault="005D3922" w:rsidP="00694A24">
      <w:r>
        <w:t>When a report is received via SPA</w:t>
      </w:r>
      <w:r w:rsidR="00694A24" w:rsidRPr="00694A24">
        <w:t xml:space="preserve">, staff at SPA ask questions which support identification of risk, and priority for investigation.  </w:t>
      </w:r>
      <w:r>
        <w:t xml:space="preserve">Where indicated, </w:t>
      </w:r>
      <w:r w:rsidR="00694A24" w:rsidRPr="00694A24">
        <w:t>SPA staff pass the matter to the Maintenance Team at Focus, for further investigation</w:t>
      </w:r>
      <w:r w:rsidR="00694A24" w:rsidRPr="008E73C6">
        <w:t>, as directed by Advance</w:t>
      </w:r>
      <w:r w:rsidR="008D227F">
        <w:t>d</w:t>
      </w:r>
      <w:r w:rsidR="00694A24" w:rsidRPr="008E73C6">
        <w:t xml:space="preserve"> Practitioners.</w:t>
      </w:r>
      <w:r w:rsidR="00694A24" w:rsidRPr="00694A24">
        <w:t xml:space="preserve">   </w:t>
      </w:r>
    </w:p>
    <w:p w14:paraId="257F6A72" w14:textId="1A76740C" w:rsidR="00694A24" w:rsidRPr="00694A24" w:rsidRDefault="00694A24" w:rsidP="00694A24">
      <w:r w:rsidRPr="00694A24">
        <w:t>The Maintenance Team investigates, and decides whether there is or is likely to be a DoL.  The Maintenance Tea</w:t>
      </w:r>
      <w:r w:rsidR="0066299B">
        <w:t>m</w:t>
      </w:r>
      <w:r w:rsidRPr="00694A24">
        <w:t xml:space="preserve"> will utilise guidance on prioritisation at Appendix A to ensure all relevant information is available, at the same time as the confirmed DoL is moved to the referral stage.</w:t>
      </w:r>
    </w:p>
    <w:p w14:paraId="154DB48D" w14:textId="6910DF68" w:rsidR="00682360" w:rsidRPr="005D3922" w:rsidRDefault="00682360" w:rsidP="005D3922">
      <w:pPr>
        <w:pStyle w:val="Heading2"/>
        <w:numPr>
          <w:ilvl w:val="0"/>
          <w:numId w:val="13"/>
        </w:numPr>
        <w:rPr>
          <w:b/>
          <w:bCs/>
          <w:color w:val="auto"/>
        </w:rPr>
      </w:pPr>
      <w:r w:rsidRPr="005D3922">
        <w:rPr>
          <w:b/>
          <w:bCs/>
          <w:color w:val="auto"/>
          <w:u w:val="single"/>
        </w:rPr>
        <w:t>Referral</w:t>
      </w:r>
      <w:r w:rsidR="0066299B" w:rsidRPr="005D3922">
        <w:rPr>
          <w:b/>
          <w:bCs/>
          <w:color w:val="auto"/>
          <w:u w:val="single"/>
        </w:rPr>
        <w:t xml:space="preserve"> </w:t>
      </w:r>
      <w:r w:rsidR="0066299B" w:rsidRPr="005D3922">
        <w:rPr>
          <w:b/>
          <w:bCs/>
          <w:color w:val="auto"/>
        </w:rPr>
        <w:t>(a DoL is confirmed)</w:t>
      </w:r>
    </w:p>
    <w:p w14:paraId="37292133" w14:textId="4FAAFB82" w:rsidR="005E5170" w:rsidRPr="0066299B" w:rsidRDefault="00682360" w:rsidP="00BD275A">
      <w:pPr>
        <w:spacing w:line="256" w:lineRule="auto"/>
      </w:pPr>
      <w:r w:rsidRPr="0066299B">
        <w:t>When the need for a</w:t>
      </w:r>
      <w:r w:rsidR="00EC2ADD" w:rsidRPr="0066299B">
        <w:t>n</w:t>
      </w:r>
      <w:r w:rsidRPr="0066299B">
        <w:t xml:space="preserve"> authorisation has been </w:t>
      </w:r>
      <w:r w:rsidR="005D537E" w:rsidRPr="0066299B">
        <w:t>confirm</w:t>
      </w:r>
      <w:r w:rsidRPr="0066299B">
        <w:t xml:space="preserve">ed, the </w:t>
      </w:r>
      <w:r w:rsidR="00AE0B9D" w:rsidRPr="0066299B">
        <w:t xml:space="preserve">case </w:t>
      </w:r>
      <w:r w:rsidRPr="0066299B">
        <w:t xml:space="preserve">worker </w:t>
      </w:r>
      <w:r w:rsidR="005D537E" w:rsidRPr="0066299B">
        <w:t>(</w:t>
      </w:r>
      <w:r w:rsidR="005E5170" w:rsidRPr="0066299B">
        <w:t xml:space="preserve">either P’s </w:t>
      </w:r>
      <w:r w:rsidR="005D537E" w:rsidRPr="0066299B">
        <w:t xml:space="preserve">existing </w:t>
      </w:r>
      <w:r w:rsidR="005E5170" w:rsidRPr="0066299B">
        <w:t xml:space="preserve">worker at </w:t>
      </w:r>
      <w:r w:rsidR="005D537E" w:rsidRPr="0066299B">
        <w:t>Navigo</w:t>
      </w:r>
      <w:r w:rsidR="00A50712">
        <w:t xml:space="preserve">, </w:t>
      </w:r>
      <w:r w:rsidR="00A50712" w:rsidRPr="0066299B">
        <w:t xml:space="preserve">Focus, </w:t>
      </w:r>
      <w:r w:rsidR="00A50712">
        <w:t xml:space="preserve">CHC </w:t>
      </w:r>
      <w:r w:rsidR="005E5170" w:rsidRPr="0066299B">
        <w:t xml:space="preserve">or </w:t>
      </w:r>
      <w:r w:rsidR="00264965">
        <w:t>CPG</w:t>
      </w:r>
      <w:r w:rsidR="005D537E" w:rsidRPr="0066299B">
        <w:t xml:space="preserve">, or </w:t>
      </w:r>
      <w:r w:rsidR="005E5170" w:rsidRPr="0066299B">
        <w:t xml:space="preserve">otherwise the worker </w:t>
      </w:r>
      <w:r w:rsidR="005D537E" w:rsidRPr="0066299B">
        <w:t xml:space="preserve">allocated </w:t>
      </w:r>
      <w:r w:rsidR="005E5170" w:rsidRPr="0066299B">
        <w:t>to consider the DoL)</w:t>
      </w:r>
      <w:r w:rsidR="005D537E" w:rsidRPr="0066299B">
        <w:t xml:space="preserve"> </w:t>
      </w:r>
      <w:r w:rsidRPr="0066299B">
        <w:t>will complete part 1 of the questionnaire on SystmOne and add this to the e-workflow.</w:t>
      </w:r>
      <w:r w:rsidR="005E5170" w:rsidRPr="0066299B">
        <w:t xml:space="preserve">  The questionnaire includes the </w:t>
      </w:r>
      <w:r w:rsidR="00293642" w:rsidRPr="0066299B">
        <w:t xml:space="preserve">case </w:t>
      </w:r>
      <w:r w:rsidR="005E5170" w:rsidRPr="0066299B">
        <w:t xml:space="preserve">worker’s initial view of P’s </w:t>
      </w:r>
      <w:r w:rsidR="005E5170" w:rsidRPr="0066299B">
        <w:rPr>
          <w:rFonts w:ascii="Calibri" w:eastAsia="Calibri" w:hAnsi="Calibri" w:cs="Times New Roman"/>
        </w:rPr>
        <w:t xml:space="preserve">appropriate level of prioritisation, in accordance with ADASS guidance (see Appendix A).  </w:t>
      </w:r>
    </w:p>
    <w:p w14:paraId="7DBD25B4" w14:textId="12C139BC" w:rsidR="00BA6300" w:rsidRPr="0066299B" w:rsidRDefault="00BD275A" w:rsidP="0066299B">
      <w:pPr>
        <w:spacing w:line="256" w:lineRule="auto"/>
        <w:rPr>
          <w:rFonts w:ascii="Calibri" w:eastAsia="Calibri" w:hAnsi="Calibri" w:cs="Times New Roman"/>
        </w:rPr>
      </w:pPr>
      <w:r w:rsidRPr="0066299B">
        <w:t xml:space="preserve">The DoLS team </w:t>
      </w:r>
      <w:r w:rsidRPr="0066299B">
        <w:rPr>
          <w:rFonts w:ascii="Calibri" w:eastAsia="Calibri" w:hAnsi="Calibri" w:cs="Times New Roman"/>
        </w:rPr>
        <w:t>receives</w:t>
      </w:r>
      <w:r w:rsidR="00C1220B" w:rsidRPr="0066299B">
        <w:rPr>
          <w:rFonts w:ascii="Calibri" w:eastAsia="Calibri" w:hAnsi="Calibri" w:cs="Times New Roman"/>
        </w:rPr>
        <w:t xml:space="preserve"> the</w:t>
      </w:r>
      <w:r w:rsidRPr="0066299B">
        <w:rPr>
          <w:rFonts w:ascii="Calibri" w:eastAsia="Calibri" w:hAnsi="Calibri" w:cs="Times New Roman"/>
        </w:rPr>
        <w:t xml:space="preserve"> referral</w:t>
      </w:r>
      <w:r w:rsidR="00043B6C" w:rsidRPr="0066299B">
        <w:rPr>
          <w:rFonts w:ascii="Calibri" w:eastAsia="Calibri" w:hAnsi="Calibri" w:cs="Times New Roman"/>
        </w:rPr>
        <w:t xml:space="preserve"> and</w:t>
      </w:r>
      <w:r w:rsidRPr="0066299B">
        <w:rPr>
          <w:rFonts w:ascii="Calibri" w:eastAsia="Calibri" w:hAnsi="Calibri" w:cs="Times New Roman"/>
        </w:rPr>
        <w:t xml:space="preserve"> checks it is completed </w:t>
      </w:r>
      <w:r w:rsidR="00C1220B" w:rsidRPr="0066299B">
        <w:rPr>
          <w:rFonts w:ascii="Calibri" w:eastAsia="Calibri" w:hAnsi="Calibri" w:cs="Times New Roman"/>
        </w:rPr>
        <w:t>appropriately</w:t>
      </w:r>
      <w:r w:rsidRPr="0066299B">
        <w:rPr>
          <w:rFonts w:ascii="Calibri" w:eastAsia="Calibri" w:hAnsi="Calibri" w:cs="Times New Roman"/>
        </w:rPr>
        <w:t>.</w:t>
      </w:r>
      <w:r w:rsidR="00A32E63" w:rsidRPr="0066299B">
        <w:rPr>
          <w:rFonts w:ascii="Calibri" w:eastAsia="Calibri" w:hAnsi="Calibri" w:cs="Times New Roman"/>
        </w:rPr>
        <w:t xml:space="preserve">  In particular, the </w:t>
      </w:r>
      <w:r w:rsidR="00403742" w:rsidRPr="0066299B">
        <w:rPr>
          <w:rFonts w:ascii="Calibri" w:eastAsia="Calibri" w:hAnsi="Calibri" w:cs="Times New Roman"/>
        </w:rPr>
        <w:t xml:space="preserve">DoLS Team </w:t>
      </w:r>
      <w:r w:rsidR="005E5170" w:rsidRPr="0066299B">
        <w:rPr>
          <w:rFonts w:ascii="Calibri" w:eastAsia="Calibri" w:hAnsi="Calibri" w:cs="Times New Roman"/>
        </w:rPr>
        <w:t xml:space="preserve">may challenge whether the </w:t>
      </w:r>
      <w:r w:rsidR="00293642" w:rsidRPr="0066299B">
        <w:rPr>
          <w:rFonts w:ascii="Calibri" w:eastAsia="Calibri" w:hAnsi="Calibri" w:cs="Times New Roman"/>
        </w:rPr>
        <w:t xml:space="preserve">case </w:t>
      </w:r>
      <w:r w:rsidR="005E5170" w:rsidRPr="0066299B">
        <w:rPr>
          <w:rFonts w:ascii="Calibri" w:eastAsia="Calibri" w:hAnsi="Calibri" w:cs="Times New Roman"/>
        </w:rPr>
        <w:t xml:space="preserve">worker’s view of prioritisation can be substantiated.  </w:t>
      </w:r>
      <w:r w:rsidR="007A5A22" w:rsidRPr="0066299B">
        <w:rPr>
          <w:rFonts w:ascii="Calibri" w:eastAsia="Calibri" w:hAnsi="Calibri" w:cs="Times New Roman"/>
        </w:rPr>
        <w:t xml:space="preserve">If the DoLS Team directs that </w:t>
      </w:r>
      <w:r w:rsidR="0064370B" w:rsidRPr="0066299B">
        <w:rPr>
          <w:rFonts w:ascii="Calibri" w:eastAsia="Calibri" w:hAnsi="Calibri" w:cs="Times New Roman"/>
        </w:rPr>
        <w:t>the referral requires amendment</w:t>
      </w:r>
      <w:r w:rsidR="007A5A22" w:rsidRPr="0066299B">
        <w:rPr>
          <w:rFonts w:ascii="Calibri" w:eastAsia="Calibri" w:hAnsi="Calibri" w:cs="Times New Roman"/>
        </w:rPr>
        <w:t>, the case worker will address deficits promptly.</w:t>
      </w:r>
      <w:r w:rsidR="0066299B">
        <w:rPr>
          <w:rFonts w:ascii="Calibri" w:eastAsia="Calibri" w:hAnsi="Calibri" w:cs="Times New Roman"/>
        </w:rPr>
        <w:t xml:space="preserve">  </w:t>
      </w:r>
      <w:r w:rsidR="007A5A22" w:rsidRPr="0066299B">
        <w:rPr>
          <w:rFonts w:ascii="Calibri" w:eastAsia="Calibri" w:hAnsi="Calibri" w:cs="Times New Roman"/>
        </w:rPr>
        <w:t>When</w:t>
      </w:r>
      <w:r w:rsidR="00C1220B" w:rsidRPr="0066299B">
        <w:rPr>
          <w:rFonts w:ascii="Calibri" w:eastAsia="Calibri" w:hAnsi="Calibri" w:cs="Times New Roman"/>
        </w:rPr>
        <w:t xml:space="preserve"> all required information is </w:t>
      </w:r>
      <w:r w:rsidR="00E16DCB" w:rsidRPr="0066299B">
        <w:rPr>
          <w:rFonts w:ascii="Calibri" w:eastAsia="Calibri" w:hAnsi="Calibri" w:cs="Times New Roman"/>
        </w:rPr>
        <w:t>submitted and correct</w:t>
      </w:r>
      <w:r w:rsidR="00C1220B" w:rsidRPr="0066299B">
        <w:rPr>
          <w:rFonts w:ascii="Calibri" w:eastAsia="Calibri" w:hAnsi="Calibri" w:cs="Times New Roman"/>
        </w:rPr>
        <w:t xml:space="preserve">, the </w:t>
      </w:r>
      <w:r w:rsidRPr="0066299B">
        <w:rPr>
          <w:rFonts w:ascii="Calibri" w:eastAsia="Calibri" w:hAnsi="Calibri" w:cs="Times New Roman"/>
        </w:rPr>
        <w:t>referral</w:t>
      </w:r>
      <w:r w:rsidR="00C1220B" w:rsidRPr="0066299B">
        <w:rPr>
          <w:rFonts w:ascii="Calibri" w:eastAsia="Calibri" w:hAnsi="Calibri" w:cs="Times New Roman"/>
        </w:rPr>
        <w:t xml:space="preserve"> </w:t>
      </w:r>
      <w:r w:rsidR="00E16DCB" w:rsidRPr="0066299B">
        <w:rPr>
          <w:rFonts w:ascii="Calibri" w:eastAsia="Calibri" w:hAnsi="Calibri" w:cs="Times New Roman"/>
        </w:rPr>
        <w:t>will be</w:t>
      </w:r>
      <w:r w:rsidR="00C1220B" w:rsidRPr="0066299B">
        <w:rPr>
          <w:rFonts w:ascii="Calibri" w:eastAsia="Calibri" w:hAnsi="Calibri" w:cs="Times New Roman"/>
        </w:rPr>
        <w:t xml:space="preserve"> accepted </w:t>
      </w:r>
      <w:r w:rsidRPr="0066299B">
        <w:rPr>
          <w:rFonts w:ascii="Calibri" w:eastAsia="Calibri" w:hAnsi="Calibri" w:cs="Times New Roman"/>
        </w:rPr>
        <w:t>and add</w:t>
      </w:r>
      <w:r w:rsidR="00C1220B" w:rsidRPr="0066299B">
        <w:rPr>
          <w:rFonts w:ascii="Calibri" w:eastAsia="Calibri" w:hAnsi="Calibri" w:cs="Times New Roman"/>
        </w:rPr>
        <w:t>ed</w:t>
      </w:r>
      <w:r w:rsidRPr="0066299B">
        <w:rPr>
          <w:rFonts w:ascii="Calibri" w:eastAsia="Calibri" w:hAnsi="Calibri" w:cs="Times New Roman"/>
        </w:rPr>
        <w:t xml:space="preserve"> to </w:t>
      </w:r>
      <w:r w:rsidR="00043B6C" w:rsidRPr="0066299B">
        <w:rPr>
          <w:rFonts w:ascii="Calibri" w:eastAsia="Calibri" w:hAnsi="Calibri" w:cs="Times New Roman"/>
        </w:rPr>
        <w:t xml:space="preserve">the </w:t>
      </w:r>
      <w:r w:rsidRPr="0066299B">
        <w:rPr>
          <w:rFonts w:ascii="Calibri" w:eastAsia="Calibri" w:hAnsi="Calibri" w:cs="Times New Roman"/>
        </w:rPr>
        <w:t>waiting list</w:t>
      </w:r>
      <w:r w:rsidR="0066299B" w:rsidRPr="0066299B">
        <w:rPr>
          <w:rFonts w:ascii="Calibri" w:eastAsia="Calibri" w:hAnsi="Calibri" w:cs="Times New Roman"/>
        </w:rPr>
        <w:t>, taking account of</w:t>
      </w:r>
      <w:r w:rsidR="007A5A22" w:rsidRPr="0066299B">
        <w:rPr>
          <w:rFonts w:ascii="Calibri" w:eastAsia="Calibri" w:hAnsi="Calibri" w:cs="Times New Roman"/>
        </w:rPr>
        <w:t xml:space="preserve"> ADASS guidance</w:t>
      </w:r>
      <w:r w:rsidR="0066299B">
        <w:rPr>
          <w:rFonts w:ascii="Calibri" w:eastAsia="Calibri" w:hAnsi="Calibri" w:cs="Times New Roman"/>
        </w:rPr>
        <w:t xml:space="preserve">, and </w:t>
      </w:r>
      <w:r w:rsidR="00BA6300" w:rsidRPr="0066299B">
        <w:t xml:space="preserve">in date order.  </w:t>
      </w:r>
    </w:p>
    <w:p w14:paraId="23D4996F" w14:textId="03814C8E" w:rsidR="005D3922" w:rsidRPr="005D3922" w:rsidRDefault="005D3922" w:rsidP="00BD275A">
      <w:pPr>
        <w:pStyle w:val="ListParagraph"/>
        <w:ind w:left="0"/>
        <w:rPr>
          <w:rFonts w:ascii="Calibri" w:eastAsia="Calibri" w:hAnsi="Calibri" w:cs="Times New Roman"/>
          <w:b/>
        </w:rPr>
      </w:pPr>
      <w:r>
        <w:rPr>
          <w:rFonts w:ascii="Calibri" w:eastAsia="Calibri" w:hAnsi="Calibri" w:cs="Times New Roman"/>
          <w:b/>
        </w:rPr>
        <w:t>A</w:t>
      </w:r>
      <w:r w:rsidR="007C0865" w:rsidRPr="0066299B">
        <w:rPr>
          <w:rFonts w:ascii="Calibri" w:eastAsia="Calibri" w:hAnsi="Calibri" w:cs="Times New Roman"/>
          <w:b/>
        </w:rPr>
        <w:t xml:space="preserve"> </w:t>
      </w:r>
      <w:r w:rsidR="00BD275A" w:rsidRPr="0066299B">
        <w:rPr>
          <w:rFonts w:ascii="Calibri" w:eastAsia="Calibri" w:hAnsi="Calibri" w:cs="Times New Roman"/>
          <w:b/>
        </w:rPr>
        <w:t xml:space="preserve">case may sit on </w:t>
      </w:r>
      <w:r w:rsidR="0008127F" w:rsidRPr="0066299B">
        <w:rPr>
          <w:rFonts w:ascii="Calibri" w:eastAsia="Calibri" w:hAnsi="Calibri" w:cs="Times New Roman"/>
          <w:b/>
        </w:rPr>
        <w:t xml:space="preserve">the </w:t>
      </w:r>
      <w:r w:rsidR="00BD275A" w:rsidRPr="0066299B">
        <w:rPr>
          <w:rFonts w:ascii="Calibri" w:eastAsia="Calibri" w:hAnsi="Calibri" w:cs="Times New Roman"/>
          <w:b/>
        </w:rPr>
        <w:t xml:space="preserve">waiting list for some time before </w:t>
      </w:r>
      <w:r w:rsidR="0008127F" w:rsidRPr="0066299B">
        <w:rPr>
          <w:rFonts w:ascii="Calibri" w:eastAsia="Calibri" w:hAnsi="Calibri" w:cs="Times New Roman"/>
          <w:b/>
        </w:rPr>
        <w:t xml:space="preserve">a </w:t>
      </w:r>
      <w:r w:rsidR="00BD275A" w:rsidRPr="0066299B">
        <w:rPr>
          <w:rFonts w:ascii="Calibri" w:eastAsia="Calibri" w:hAnsi="Calibri" w:cs="Times New Roman"/>
          <w:b/>
        </w:rPr>
        <w:t>decision is made to progress</w:t>
      </w:r>
      <w:r w:rsidR="00827C1F" w:rsidRPr="0066299B">
        <w:rPr>
          <w:rFonts w:ascii="Calibri" w:eastAsia="Calibri" w:hAnsi="Calibri" w:cs="Times New Roman"/>
          <w:b/>
        </w:rPr>
        <w:t xml:space="preserve"> it</w:t>
      </w:r>
      <w:r w:rsidR="00C1220B" w:rsidRPr="0066299B">
        <w:rPr>
          <w:rFonts w:ascii="Calibri" w:eastAsia="Calibri" w:hAnsi="Calibri" w:cs="Times New Roman"/>
          <w:b/>
        </w:rPr>
        <w:t>.</w:t>
      </w:r>
      <w:r w:rsidR="00827C1F" w:rsidRPr="0066299B">
        <w:rPr>
          <w:rFonts w:ascii="Calibri" w:eastAsia="Calibri" w:hAnsi="Calibri" w:cs="Times New Roman"/>
          <w:b/>
        </w:rPr>
        <w:t xml:space="preserve">  </w:t>
      </w:r>
      <w:r w:rsidR="008E73C6">
        <w:rPr>
          <w:rFonts w:ascii="Calibri" w:eastAsia="Calibri" w:hAnsi="Calibri" w:cs="Times New Roman"/>
          <w:b/>
        </w:rPr>
        <w:t>A</w:t>
      </w:r>
      <w:r w:rsidR="00C1220B" w:rsidRPr="0066299B">
        <w:rPr>
          <w:rFonts w:ascii="Calibri" w:eastAsia="Calibri" w:hAnsi="Calibri" w:cs="Times New Roman"/>
          <w:b/>
        </w:rPr>
        <w:t xml:space="preserve">ny </w:t>
      </w:r>
      <w:r w:rsidR="008E15EE" w:rsidRPr="0066299B">
        <w:rPr>
          <w:rFonts w:ascii="Calibri" w:eastAsia="Calibri" w:hAnsi="Calibri" w:cs="Times New Roman"/>
          <w:b/>
        </w:rPr>
        <w:t xml:space="preserve">significant changes in </w:t>
      </w:r>
      <w:r w:rsidR="001001D9" w:rsidRPr="0066299B">
        <w:rPr>
          <w:rFonts w:ascii="Calibri" w:eastAsia="Calibri" w:hAnsi="Calibri" w:cs="Times New Roman"/>
          <w:b/>
        </w:rPr>
        <w:t>P’</w:t>
      </w:r>
      <w:r w:rsidR="008E15EE" w:rsidRPr="0066299B">
        <w:rPr>
          <w:rFonts w:ascii="Calibri" w:eastAsia="Calibri" w:hAnsi="Calibri" w:cs="Times New Roman"/>
          <w:b/>
        </w:rPr>
        <w:t>s presentation</w:t>
      </w:r>
      <w:r w:rsidR="007C0865" w:rsidRPr="0066299B">
        <w:rPr>
          <w:rFonts w:ascii="Calibri" w:eastAsia="Calibri" w:hAnsi="Calibri" w:cs="Times New Roman"/>
          <w:b/>
        </w:rPr>
        <w:t xml:space="preserve">, </w:t>
      </w:r>
      <w:r w:rsidR="008E15EE" w:rsidRPr="0066299B">
        <w:rPr>
          <w:rFonts w:ascii="Calibri" w:eastAsia="Calibri" w:hAnsi="Calibri" w:cs="Times New Roman"/>
          <w:b/>
        </w:rPr>
        <w:t>their priority</w:t>
      </w:r>
      <w:r w:rsidR="007C0865" w:rsidRPr="0066299B">
        <w:rPr>
          <w:rFonts w:ascii="Calibri" w:eastAsia="Calibri" w:hAnsi="Calibri" w:cs="Times New Roman"/>
          <w:b/>
        </w:rPr>
        <w:t xml:space="preserve"> or any objections must</w:t>
      </w:r>
      <w:r w:rsidR="008E15EE" w:rsidRPr="0066299B">
        <w:rPr>
          <w:rFonts w:ascii="Calibri" w:eastAsia="Calibri" w:hAnsi="Calibri" w:cs="Times New Roman"/>
          <w:b/>
        </w:rPr>
        <w:t xml:space="preserve"> be reported to the </w:t>
      </w:r>
      <w:r w:rsidR="008E15EE" w:rsidRPr="0066299B">
        <w:rPr>
          <w:rFonts w:ascii="Calibri" w:eastAsia="Calibri" w:hAnsi="Calibri" w:cs="Times New Roman"/>
          <w:b/>
        </w:rPr>
        <w:lastRenderedPageBreak/>
        <w:t>DoL</w:t>
      </w:r>
      <w:r w:rsidR="00043B6C" w:rsidRPr="0066299B">
        <w:rPr>
          <w:rFonts w:ascii="Calibri" w:eastAsia="Calibri" w:hAnsi="Calibri" w:cs="Times New Roman"/>
          <w:b/>
        </w:rPr>
        <w:t>S</w:t>
      </w:r>
      <w:r w:rsidR="008E15EE" w:rsidRPr="0066299B">
        <w:rPr>
          <w:rFonts w:ascii="Calibri" w:eastAsia="Calibri" w:hAnsi="Calibri" w:cs="Times New Roman"/>
          <w:b/>
        </w:rPr>
        <w:t xml:space="preserve"> team </w:t>
      </w:r>
      <w:r w:rsidR="007C0865" w:rsidRPr="0066299B">
        <w:rPr>
          <w:rFonts w:ascii="Calibri" w:eastAsia="Calibri" w:hAnsi="Calibri" w:cs="Times New Roman"/>
          <w:b/>
        </w:rPr>
        <w:t xml:space="preserve">urgently </w:t>
      </w:r>
      <w:r w:rsidR="008E15EE" w:rsidRPr="0066299B">
        <w:rPr>
          <w:rFonts w:ascii="Calibri" w:eastAsia="Calibri" w:hAnsi="Calibri" w:cs="Times New Roman"/>
          <w:b/>
        </w:rPr>
        <w:t xml:space="preserve">so </w:t>
      </w:r>
      <w:r w:rsidR="0064370B" w:rsidRPr="0066299B">
        <w:rPr>
          <w:rFonts w:ascii="Calibri" w:eastAsia="Calibri" w:hAnsi="Calibri" w:cs="Times New Roman"/>
          <w:b/>
        </w:rPr>
        <w:t>P’s</w:t>
      </w:r>
      <w:r w:rsidR="008E15EE" w:rsidRPr="0066299B">
        <w:rPr>
          <w:rFonts w:ascii="Calibri" w:eastAsia="Calibri" w:hAnsi="Calibri" w:cs="Times New Roman"/>
          <w:b/>
        </w:rPr>
        <w:t xml:space="preserve"> </w:t>
      </w:r>
      <w:r w:rsidR="008E73C6">
        <w:rPr>
          <w:rFonts w:ascii="Calibri" w:eastAsia="Calibri" w:hAnsi="Calibri" w:cs="Times New Roman"/>
          <w:b/>
        </w:rPr>
        <w:t>prioritisation</w:t>
      </w:r>
      <w:r w:rsidR="008E15EE" w:rsidRPr="0066299B">
        <w:rPr>
          <w:rFonts w:ascii="Calibri" w:eastAsia="Calibri" w:hAnsi="Calibri" w:cs="Times New Roman"/>
          <w:b/>
        </w:rPr>
        <w:t xml:space="preserve"> can be reconsidered.</w:t>
      </w:r>
      <w:r w:rsidR="0066299B" w:rsidRPr="0066299B">
        <w:rPr>
          <w:rFonts w:ascii="Calibri" w:eastAsia="Calibri" w:hAnsi="Calibri" w:cs="Times New Roman"/>
          <w:b/>
        </w:rPr>
        <w:t xml:space="preserve">  </w:t>
      </w:r>
      <w:r w:rsidR="008E15EE" w:rsidRPr="0066299B">
        <w:rPr>
          <w:rFonts w:ascii="Calibri" w:eastAsia="Calibri" w:hAnsi="Calibri" w:cs="Times New Roman"/>
          <w:b/>
        </w:rPr>
        <w:t xml:space="preserve"> </w:t>
      </w:r>
      <w:r w:rsidR="0066299B" w:rsidRPr="0066299B">
        <w:rPr>
          <w:rFonts w:ascii="Calibri" w:eastAsia="Calibri" w:hAnsi="Calibri" w:cs="Times New Roman"/>
          <w:b/>
        </w:rPr>
        <w:t xml:space="preserve">Workers will utilise the guidance at Appendix A to identify </w:t>
      </w:r>
      <w:r w:rsidR="008E73C6">
        <w:rPr>
          <w:rFonts w:ascii="Calibri" w:eastAsia="Calibri" w:hAnsi="Calibri" w:cs="Times New Roman"/>
          <w:b/>
        </w:rPr>
        <w:t xml:space="preserve">which changes may be </w:t>
      </w:r>
      <w:r w:rsidR="0066299B" w:rsidRPr="0066299B">
        <w:rPr>
          <w:rFonts w:ascii="Calibri" w:eastAsia="Calibri" w:hAnsi="Calibri" w:cs="Times New Roman"/>
          <w:b/>
        </w:rPr>
        <w:t xml:space="preserve">significant for P, and report these to the DoLS Team. </w:t>
      </w:r>
      <w:r w:rsidR="0065435F" w:rsidRPr="0066299B">
        <w:rPr>
          <w:rFonts w:ascii="Calibri" w:eastAsia="Calibri" w:hAnsi="Calibri" w:cs="Times New Roman"/>
          <w:b/>
        </w:rPr>
        <w:t xml:space="preserve"> </w:t>
      </w:r>
    </w:p>
    <w:p w14:paraId="1B1CFE11" w14:textId="35E33314" w:rsidR="008E15EE" w:rsidRPr="005D3922" w:rsidRDefault="008E15EE" w:rsidP="005D3922">
      <w:pPr>
        <w:pStyle w:val="Heading2"/>
        <w:numPr>
          <w:ilvl w:val="0"/>
          <w:numId w:val="13"/>
        </w:numPr>
        <w:rPr>
          <w:b/>
          <w:bCs/>
          <w:color w:val="auto"/>
          <w:u w:val="single"/>
        </w:rPr>
      </w:pPr>
      <w:r w:rsidRPr="005D3922">
        <w:rPr>
          <w:rFonts w:eastAsia="Calibri"/>
          <w:b/>
          <w:bCs/>
          <w:color w:val="auto"/>
          <w:u w:val="single"/>
        </w:rPr>
        <w:t>Decision Stage</w:t>
      </w:r>
    </w:p>
    <w:p w14:paraId="6780F6F4" w14:textId="77777777" w:rsidR="00E10FB0" w:rsidRDefault="007C0865" w:rsidP="00AA4AC8">
      <w:pPr>
        <w:rPr>
          <w:rFonts w:ascii="Calibri" w:eastAsia="Calibri" w:hAnsi="Calibri" w:cs="Times New Roman"/>
        </w:rPr>
      </w:pPr>
      <w:r w:rsidRPr="00E10FB0">
        <w:rPr>
          <w:rFonts w:ascii="Calibri" w:eastAsia="Calibri" w:hAnsi="Calibri" w:cs="Times New Roman"/>
        </w:rPr>
        <w:t>Each month a Court of Protection meeting is held</w:t>
      </w:r>
      <w:r w:rsidR="00835120" w:rsidRPr="00E10FB0">
        <w:rPr>
          <w:rFonts w:ascii="Calibri" w:eastAsia="Calibri" w:hAnsi="Calibri" w:cs="Times New Roman"/>
        </w:rPr>
        <w:t xml:space="preserve">. </w:t>
      </w:r>
      <w:r w:rsidR="00827C1F" w:rsidRPr="00E10FB0">
        <w:rPr>
          <w:rFonts w:ascii="Calibri" w:eastAsia="Calibri" w:hAnsi="Calibri" w:cs="Times New Roman"/>
        </w:rPr>
        <w:t xml:space="preserve"> </w:t>
      </w:r>
      <w:r w:rsidR="00835120" w:rsidRPr="00E10FB0">
        <w:rPr>
          <w:rFonts w:ascii="Calibri" w:eastAsia="Calibri" w:hAnsi="Calibri" w:cs="Times New Roman"/>
        </w:rPr>
        <w:t xml:space="preserve">This is </w:t>
      </w:r>
      <w:r w:rsidRPr="00E10FB0">
        <w:rPr>
          <w:rFonts w:ascii="Calibri" w:eastAsia="Calibri" w:hAnsi="Calibri" w:cs="Times New Roman"/>
        </w:rPr>
        <w:t xml:space="preserve">attended by </w:t>
      </w:r>
      <w:r w:rsidR="0065435F" w:rsidRPr="00E10FB0">
        <w:rPr>
          <w:rFonts w:ascii="Calibri" w:eastAsia="Calibri" w:hAnsi="Calibri" w:cs="Times New Roman"/>
        </w:rPr>
        <w:t xml:space="preserve">the </w:t>
      </w:r>
      <w:r w:rsidRPr="00E10FB0">
        <w:rPr>
          <w:rFonts w:ascii="Calibri" w:eastAsia="Calibri" w:hAnsi="Calibri" w:cs="Times New Roman"/>
        </w:rPr>
        <w:t>DoLS team</w:t>
      </w:r>
      <w:r w:rsidR="00835120" w:rsidRPr="00E10FB0">
        <w:rPr>
          <w:rFonts w:ascii="Calibri" w:eastAsia="Calibri" w:hAnsi="Calibri" w:cs="Times New Roman"/>
        </w:rPr>
        <w:t xml:space="preserve">, </w:t>
      </w:r>
      <w:r w:rsidRPr="00E10FB0">
        <w:rPr>
          <w:rFonts w:ascii="Calibri" w:eastAsia="Calibri" w:hAnsi="Calibri" w:cs="Times New Roman"/>
        </w:rPr>
        <w:t>Legal</w:t>
      </w:r>
      <w:r w:rsidR="00835120" w:rsidRPr="00E10FB0">
        <w:rPr>
          <w:rFonts w:ascii="Calibri" w:eastAsia="Calibri" w:hAnsi="Calibri" w:cs="Times New Roman"/>
        </w:rPr>
        <w:t xml:space="preserve"> Services</w:t>
      </w:r>
      <w:r w:rsidRPr="00E10FB0">
        <w:rPr>
          <w:rFonts w:ascii="Calibri" w:eastAsia="Calibri" w:hAnsi="Calibri" w:cs="Times New Roman"/>
        </w:rPr>
        <w:t xml:space="preserve"> and </w:t>
      </w:r>
      <w:r w:rsidR="0065435F" w:rsidRPr="00E10FB0">
        <w:rPr>
          <w:rFonts w:ascii="Calibri" w:eastAsia="Calibri" w:hAnsi="Calibri" w:cs="Times New Roman"/>
        </w:rPr>
        <w:t>a</w:t>
      </w:r>
      <w:r w:rsidR="00835120" w:rsidRPr="00E10FB0">
        <w:rPr>
          <w:rFonts w:ascii="Calibri" w:eastAsia="Calibri" w:hAnsi="Calibri" w:cs="Times New Roman"/>
        </w:rPr>
        <w:t xml:space="preserve">dvanced </w:t>
      </w:r>
      <w:r w:rsidR="0065435F" w:rsidRPr="00E10FB0">
        <w:rPr>
          <w:rFonts w:ascii="Calibri" w:eastAsia="Calibri" w:hAnsi="Calibri" w:cs="Times New Roman"/>
        </w:rPr>
        <w:t>p</w:t>
      </w:r>
      <w:r w:rsidR="00835120" w:rsidRPr="00E10FB0">
        <w:rPr>
          <w:rFonts w:ascii="Calibri" w:eastAsia="Calibri" w:hAnsi="Calibri" w:cs="Times New Roman"/>
        </w:rPr>
        <w:t>ractitioners.</w:t>
      </w:r>
      <w:r w:rsidR="00827C1F" w:rsidRPr="00E10FB0">
        <w:rPr>
          <w:rFonts w:ascii="Calibri" w:eastAsia="Calibri" w:hAnsi="Calibri" w:cs="Times New Roman"/>
        </w:rPr>
        <w:t xml:space="preserve">  </w:t>
      </w:r>
      <w:r w:rsidR="00835120" w:rsidRPr="00E10FB0">
        <w:rPr>
          <w:rFonts w:ascii="Calibri" w:eastAsia="Calibri" w:hAnsi="Calibri" w:cs="Times New Roman"/>
        </w:rPr>
        <w:t>A</w:t>
      </w:r>
      <w:r w:rsidRPr="00E10FB0">
        <w:rPr>
          <w:rFonts w:ascii="Calibri" w:eastAsia="Calibri" w:hAnsi="Calibri" w:cs="Times New Roman"/>
        </w:rPr>
        <w:t>t this meeting</w:t>
      </w:r>
      <w:r w:rsidR="00835120" w:rsidRPr="00E10FB0">
        <w:rPr>
          <w:rFonts w:ascii="Calibri" w:eastAsia="Calibri" w:hAnsi="Calibri" w:cs="Times New Roman"/>
        </w:rPr>
        <w:t>,</w:t>
      </w:r>
      <w:r w:rsidRPr="00E10FB0">
        <w:rPr>
          <w:rFonts w:ascii="Calibri" w:eastAsia="Calibri" w:hAnsi="Calibri" w:cs="Times New Roman"/>
        </w:rPr>
        <w:t xml:space="preserve"> cases</w:t>
      </w:r>
      <w:r w:rsidR="00835120" w:rsidRPr="00E10FB0">
        <w:rPr>
          <w:rFonts w:ascii="Calibri" w:eastAsia="Calibri" w:hAnsi="Calibri" w:cs="Times New Roman"/>
        </w:rPr>
        <w:t xml:space="preserve"> on the waiting list</w:t>
      </w:r>
      <w:r w:rsidRPr="00E10FB0">
        <w:rPr>
          <w:rFonts w:ascii="Calibri" w:eastAsia="Calibri" w:hAnsi="Calibri" w:cs="Times New Roman"/>
        </w:rPr>
        <w:t xml:space="preserve"> are discussed and decisions made</w:t>
      </w:r>
      <w:r w:rsidR="0065435F" w:rsidRPr="00E10FB0">
        <w:rPr>
          <w:rFonts w:ascii="Calibri" w:eastAsia="Calibri" w:hAnsi="Calibri" w:cs="Times New Roman"/>
        </w:rPr>
        <w:t xml:space="preserve"> on</w:t>
      </w:r>
      <w:r w:rsidRPr="00E10FB0">
        <w:rPr>
          <w:rFonts w:ascii="Calibri" w:eastAsia="Calibri" w:hAnsi="Calibri" w:cs="Times New Roman"/>
        </w:rPr>
        <w:t xml:space="preserve"> </w:t>
      </w:r>
      <w:r w:rsidR="002A1816" w:rsidRPr="00E10FB0">
        <w:rPr>
          <w:rFonts w:ascii="Calibri" w:eastAsia="Calibri" w:hAnsi="Calibri" w:cs="Times New Roman"/>
        </w:rPr>
        <w:t>the order in which</w:t>
      </w:r>
      <w:r w:rsidRPr="00E10FB0">
        <w:rPr>
          <w:rFonts w:ascii="Calibri" w:eastAsia="Calibri" w:hAnsi="Calibri" w:cs="Times New Roman"/>
        </w:rPr>
        <w:t xml:space="preserve"> to progress </w:t>
      </w:r>
      <w:r w:rsidR="000E78E0" w:rsidRPr="00E10FB0">
        <w:rPr>
          <w:rFonts w:ascii="Calibri" w:eastAsia="Calibri" w:hAnsi="Calibri" w:cs="Times New Roman"/>
        </w:rPr>
        <w:t>them</w:t>
      </w:r>
      <w:r w:rsidR="00B07468" w:rsidRPr="00E10FB0">
        <w:rPr>
          <w:rFonts w:ascii="Calibri" w:eastAsia="Calibri" w:hAnsi="Calibri" w:cs="Times New Roman"/>
        </w:rPr>
        <w:t>.</w:t>
      </w:r>
      <w:r w:rsidR="000E78E0" w:rsidRPr="00E10FB0">
        <w:rPr>
          <w:rFonts w:ascii="Calibri" w:eastAsia="Calibri" w:hAnsi="Calibri" w:cs="Times New Roman"/>
        </w:rPr>
        <w:t xml:space="preserve">  </w:t>
      </w:r>
    </w:p>
    <w:p w14:paraId="5C9445D2" w14:textId="1B43D0F6" w:rsidR="00E10FB0" w:rsidRPr="005D3922" w:rsidRDefault="005D3922" w:rsidP="005D3922">
      <w:pPr>
        <w:pStyle w:val="Heading3"/>
        <w:rPr>
          <w:rFonts w:eastAsia="Calibri"/>
          <w:b/>
          <w:bCs/>
          <w:color w:val="auto"/>
        </w:rPr>
      </w:pPr>
      <w:r>
        <w:rPr>
          <w:rFonts w:eastAsia="Calibri"/>
          <w:b/>
          <w:bCs/>
          <w:color w:val="auto"/>
        </w:rPr>
        <w:t>Prioritisation of</w:t>
      </w:r>
      <w:r w:rsidR="00E10FB0" w:rsidRPr="005D3922">
        <w:rPr>
          <w:rFonts w:eastAsia="Calibri"/>
          <w:b/>
          <w:bCs/>
          <w:color w:val="auto"/>
        </w:rPr>
        <w:t xml:space="preserve"> cases</w:t>
      </w:r>
    </w:p>
    <w:p w14:paraId="5BCAC786" w14:textId="5D7B41B3" w:rsidR="00E10FB0" w:rsidRPr="00E10FB0" w:rsidRDefault="002A1816" w:rsidP="00AA4AC8">
      <w:pPr>
        <w:rPr>
          <w:rFonts w:ascii="Calibri" w:eastAsia="Calibri" w:hAnsi="Calibri" w:cs="Times New Roman"/>
        </w:rPr>
      </w:pPr>
      <w:r w:rsidRPr="00E10FB0">
        <w:rPr>
          <w:rFonts w:ascii="Calibri" w:eastAsia="Calibri" w:hAnsi="Calibri" w:cs="Times New Roman"/>
        </w:rPr>
        <w:t>Broadly, decisions are made based on the level of risk</w:t>
      </w:r>
      <w:r w:rsidR="0064370B" w:rsidRPr="00E10FB0">
        <w:rPr>
          <w:rFonts w:ascii="Calibri" w:eastAsia="Calibri" w:hAnsi="Calibri" w:cs="Times New Roman"/>
        </w:rPr>
        <w:t>,</w:t>
      </w:r>
      <w:r w:rsidR="008502CD" w:rsidRPr="00E10FB0">
        <w:rPr>
          <w:rFonts w:ascii="Calibri" w:eastAsia="Calibri" w:hAnsi="Calibri" w:cs="Times New Roman"/>
        </w:rPr>
        <w:t xml:space="preserve"> </w:t>
      </w:r>
      <w:r w:rsidR="0064370B" w:rsidRPr="00E10FB0">
        <w:rPr>
          <w:rFonts w:ascii="Calibri" w:eastAsia="Calibri" w:hAnsi="Calibri" w:cs="Times New Roman"/>
        </w:rPr>
        <w:t xml:space="preserve">taking into account ADASS guidance.  </w:t>
      </w:r>
      <w:r w:rsidRPr="00E10FB0">
        <w:rPr>
          <w:rFonts w:ascii="Calibri" w:eastAsia="Calibri" w:hAnsi="Calibri" w:cs="Times New Roman"/>
        </w:rPr>
        <w:t>High</w:t>
      </w:r>
      <w:r w:rsidR="00EA7E37" w:rsidRPr="00E10FB0">
        <w:rPr>
          <w:rFonts w:ascii="Calibri" w:eastAsia="Calibri" w:hAnsi="Calibri" w:cs="Times New Roman"/>
        </w:rPr>
        <w:t>est</w:t>
      </w:r>
      <w:r w:rsidRPr="00E10FB0">
        <w:rPr>
          <w:rFonts w:ascii="Calibri" w:eastAsia="Calibri" w:hAnsi="Calibri" w:cs="Times New Roman"/>
        </w:rPr>
        <w:t xml:space="preserve"> risk</w:t>
      </w:r>
      <w:r w:rsidR="00EA7E37" w:rsidRPr="00E10FB0">
        <w:rPr>
          <w:rFonts w:ascii="Calibri" w:eastAsia="Calibri" w:hAnsi="Calibri" w:cs="Times New Roman"/>
        </w:rPr>
        <w:t xml:space="preserve"> and</w:t>
      </w:r>
      <w:r w:rsidRPr="00E10FB0">
        <w:rPr>
          <w:rFonts w:ascii="Calibri" w:eastAsia="Calibri" w:hAnsi="Calibri" w:cs="Times New Roman"/>
        </w:rPr>
        <w:t xml:space="preserve"> mental health cases are prioritised.</w:t>
      </w:r>
      <w:r w:rsidR="008502CD" w:rsidRPr="00E10FB0">
        <w:rPr>
          <w:rFonts w:ascii="Calibri" w:eastAsia="Calibri" w:hAnsi="Calibri" w:cs="Times New Roman"/>
        </w:rPr>
        <w:t xml:space="preserve">  </w:t>
      </w:r>
    </w:p>
    <w:p w14:paraId="175CA288" w14:textId="43CB3886" w:rsidR="00E10FB0" w:rsidRPr="00E10FB0" w:rsidRDefault="008502CD" w:rsidP="00E10FB0">
      <w:pPr>
        <w:spacing w:line="256" w:lineRule="auto"/>
        <w:rPr>
          <w:rFonts w:ascii="Calibri" w:eastAsia="Calibri" w:hAnsi="Calibri" w:cs="Times New Roman"/>
        </w:rPr>
      </w:pPr>
      <w:r w:rsidRPr="00E10FB0">
        <w:rPr>
          <w:rFonts w:ascii="Calibri" w:eastAsia="Calibri" w:hAnsi="Calibri" w:cs="Times New Roman"/>
        </w:rPr>
        <w:t xml:space="preserve">Where there appears to be no material difference between cases on the basis of </w:t>
      </w:r>
      <w:r w:rsidR="00EA7E37" w:rsidRPr="00E10FB0">
        <w:rPr>
          <w:rFonts w:ascii="Calibri" w:eastAsia="Calibri" w:hAnsi="Calibri" w:cs="Times New Roman"/>
        </w:rPr>
        <w:t xml:space="preserve">ADASS guidance </w:t>
      </w:r>
      <w:r w:rsidR="00F44DFE" w:rsidRPr="00E10FB0">
        <w:rPr>
          <w:rFonts w:ascii="Calibri" w:eastAsia="Calibri" w:hAnsi="Calibri" w:cs="Times New Roman"/>
        </w:rPr>
        <w:t>e.g</w:t>
      </w:r>
      <w:r w:rsidRPr="00E10FB0">
        <w:rPr>
          <w:rFonts w:ascii="Calibri" w:eastAsia="Calibri" w:hAnsi="Calibri" w:cs="Times New Roman"/>
        </w:rPr>
        <w:t xml:space="preserve">., neither seems </w:t>
      </w:r>
      <w:r w:rsidR="0064370B" w:rsidRPr="00E10FB0">
        <w:rPr>
          <w:rFonts w:ascii="Calibri" w:eastAsia="Calibri" w:hAnsi="Calibri" w:cs="Times New Roman"/>
        </w:rPr>
        <w:t>riskier</w:t>
      </w:r>
      <w:r w:rsidRPr="00E10FB0">
        <w:rPr>
          <w:rFonts w:ascii="Calibri" w:eastAsia="Calibri" w:hAnsi="Calibri" w:cs="Times New Roman"/>
        </w:rPr>
        <w:t xml:space="preserve"> than the other, </w:t>
      </w:r>
      <w:r w:rsidR="00E10FB0" w:rsidRPr="00E10FB0">
        <w:t>the following will be taken into account:</w:t>
      </w:r>
    </w:p>
    <w:p w14:paraId="0F5C2085" w14:textId="1DA4424E" w:rsidR="000625AD" w:rsidRPr="00F44DFE" w:rsidRDefault="000625AD" w:rsidP="000625AD">
      <w:pPr>
        <w:pStyle w:val="ListParagraph"/>
        <w:numPr>
          <w:ilvl w:val="0"/>
          <w:numId w:val="12"/>
        </w:numPr>
      </w:pPr>
      <w:r>
        <w:t>Which</w:t>
      </w:r>
      <w:r w:rsidRPr="00F44DFE">
        <w:t xml:space="preserve"> P </w:t>
      </w:r>
      <w:r>
        <w:t>is</w:t>
      </w:r>
      <w:r w:rsidRPr="00F44DFE">
        <w:t xml:space="preserve"> experiencing the highest level of state interference</w:t>
      </w:r>
      <w:r>
        <w:t xml:space="preserve"> (the higher the level of interference, the higher the priority)</w:t>
      </w:r>
      <w:r w:rsidRPr="00F44DFE">
        <w:t xml:space="preserve">    </w:t>
      </w:r>
    </w:p>
    <w:p w14:paraId="57D3EFC8" w14:textId="77777777" w:rsidR="00E10FB0" w:rsidRPr="00E10FB0" w:rsidRDefault="00E10FB0" w:rsidP="00E10FB0">
      <w:pPr>
        <w:pStyle w:val="ListParagraph"/>
        <w:numPr>
          <w:ilvl w:val="0"/>
          <w:numId w:val="12"/>
        </w:numPr>
        <w:spacing w:line="256" w:lineRule="auto"/>
        <w:rPr>
          <w:rFonts w:ascii="Calibri" w:eastAsia="Calibri" w:hAnsi="Calibri" w:cs="Times New Roman"/>
        </w:rPr>
      </w:pPr>
      <w:r w:rsidRPr="00E10FB0">
        <w:rPr>
          <w:rFonts w:ascii="Calibri" w:eastAsia="Calibri" w:hAnsi="Calibri" w:cs="Times New Roman"/>
        </w:rPr>
        <w:t>The date a case was lodged on the system (the earliest lodged cases will be managed first)</w:t>
      </w:r>
    </w:p>
    <w:p w14:paraId="78A2A438" w14:textId="1054BC7B" w:rsidR="00E10FB0" w:rsidRPr="00E10FB0" w:rsidRDefault="00E10FB0" w:rsidP="00E10FB0">
      <w:pPr>
        <w:pStyle w:val="ListParagraph"/>
        <w:numPr>
          <w:ilvl w:val="0"/>
          <w:numId w:val="12"/>
        </w:numPr>
        <w:spacing w:line="256" w:lineRule="auto"/>
        <w:rPr>
          <w:rFonts w:ascii="Calibri" w:eastAsia="Calibri" w:hAnsi="Calibri" w:cs="Times New Roman"/>
        </w:rPr>
      </w:pPr>
      <w:r w:rsidRPr="00E10FB0">
        <w:rPr>
          <w:rFonts w:ascii="Calibri" w:eastAsia="Calibri" w:hAnsi="Calibri" w:cs="Times New Roman"/>
        </w:rPr>
        <w:t>Staff capacity i.e., the number of court cases which that worker is already managing (there may be some cases where waiting for availability of a worker who knows P best to manage the case, is beneficial for P).</w:t>
      </w:r>
    </w:p>
    <w:p w14:paraId="3A7AA332" w14:textId="77777777" w:rsidR="00E10FB0" w:rsidRPr="00E10FB0" w:rsidRDefault="00E10FB0" w:rsidP="00E10FB0">
      <w:pPr>
        <w:rPr>
          <w:rFonts w:ascii="Calibri" w:eastAsia="Calibri" w:hAnsi="Calibri" w:cs="Times New Roman"/>
        </w:rPr>
      </w:pPr>
      <w:r w:rsidRPr="00E10FB0">
        <w:rPr>
          <w:rFonts w:ascii="Calibri" w:eastAsia="Calibri" w:hAnsi="Calibri" w:cs="Times New Roman"/>
        </w:rPr>
        <w:t xml:space="preserve">Renewal cases are also considered at the Court of Protection meeting.  If the case is a renewal, the DoLS team will notify the case worker and ask them to start the necessary paperwork (see Preparation, below). The caseworker will complete part 1 of the questionnaire on Systmone. </w:t>
      </w:r>
    </w:p>
    <w:p w14:paraId="2CD503DC" w14:textId="19413452" w:rsidR="00E10FB0" w:rsidRPr="005D3922" w:rsidRDefault="00E10FB0" w:rsidP="005D3922">
      <w:pPr>
        <w:pStyle w:val="Heading3"/>
        <w:rPr>
          <w:rStyle w:val="cf01"/>
          <w:rFonts w:asciiTheme="majorHAnsi" w:hAnsiTheme="majorHAnsi" w:cstheme="majorBidi"/>
          <w:b/>
          <w:bCs/>
          <w:color w:val="auto"/>
          <w:sz w:val="24"/>
          <w:szCs w:val="24"/>
        </w:rPr>
      </w:pPr>
      <w:r w:rsidRPr="005D3922">
        <w:rPr>
          <w:rStyle w:val="cf01"/>
          <w:rFonts w:asciiTheme="majorHAnsi" w:hAnsiTheme="majorHAnsi" w:cstheme="majorBidi"/>
          <w:b/>
          <w:bCs/>
          <w:color w:val="auto"/>
          <w:sz w:val="24"/>
          <w:szCs w:val="24"/>
        </w:rPr>
        <w:t>Othe</w:t>
      </w:r>
      <w:r w:rsidR="008E73C6">
        <w:rPr>
          <w:rStyle w:val="cf01"/>
          <w:rFonts w:asciiTheme="majorHAnsi" w:hAnsiTheme="majorHAnsi" w:cstheme="majorBidi"/>
          <w:b/>
          <w:bCs/>
          <w:color w:val="auto"/>
          <w:sz w:val="24"/>
          <w:szCs w:val="24"/>
        </w:rPr>
        <w:t>r</w:t>
      </w:r>
      <w:r w:rsidRPr="005D3922">
        <w:rPr>
          <w:rStyle w:val="cf01"/>
          <w:rFonts w:asciiTheme="majorHAnsi" w:hAnsiTheme="majorHAnsi" w:cstheme="majorBidi"/>
          <w:b/>
          <w:bCs/>
          <w:color w:val="auto"/>
          <w:sz w:val="24"/>
          <w:szCs w:val="24"/>
        </w:rPr>
        <w:t xml:space="preserve"> consideration</w:t>
      </w:r>
      <w:r w:rsidR="008E73C6">
        <w:rPr>
          <w:rStyle w:val="cf01"/>
          <w:rFonts w:asciiTheme="majorHAnsi" w:hAnsiTheme="majorHAnsi" w:cstheme="majorBidi"/>
          <w:b/>
          <w:bCs/>
          <w:color w:val="auto"/>
          <w:sz w:val="24"/>
          <w:szCs w:val="24"/>
        </w:rPr>
        <w:t>s at decision stage</w:t>
      </w:r>
    </w:p>
    <w:p w14:paraId="3AC4A0ED" w14:textId="77156301" w:rsidR="00E10FB0" w:rsidRPr="00E10FB0" w:rsidRDefault="00E10FB0" w:rsidP="00293642">
      <w:pPr>
        <w:rPr>
          <w:rFonts w:ascii="Calibri" w:eastAsia="Calibri" w:hAnsi="Calibri" w:cs="Times New Roman"/>
        </w:rPr>
      </w:pPr>
      <w:r w:rsidRPr="00E10FB0">
        <w:rPr>
          <w:rStyle w:val="cf01"/>
          <w:rFonts w:asciiTheme="minorHAnsi" w:eastAsia="Calibri" w:hAnsiTheme="minorHAnsi" w:cstheme="minorHAnsi"/>
          <w:sz w:val="22"/>
          <w:szCs w:val="22"/>
        </w:rPr>
        <w:t>A</w:t>
      </w:r>
      <w:r w:rsidR="0064370B" w:rsidRPr="00E10FB0">
        <w:rPr>
          <w:rStyle w:val="cf01"/>
          <w:rFonts w:asciiTheme="minorHAnsi" w:eastAsia="Calibri" w:hAnsiTheme="minorHAnsi" w:cstheme="minorHAnsi"/>
          <w:sz w:val="22"/>
          <w:szCs w:val="22"/>
        </w:rPr>
        <w:t>ttendees will consider w</w:t>
      </w:r>
      <w:r w:rsidR="0064370B" w:rsidRPr="00E10FB0">
        <w:rPr>
          <w:rStyle w:val="cf01"/>
          <w:rFonts w:asciiTheme="minorHAnsi" w:hAnsiTheme="minorHAnsi" w:cstheme="minorHAnsi"/>
          <w:sz w:val="22"/>
          <w:szCs w:val="22"/>
        </w:rPr>
        <w:t xml:space="preserve">hether there are any key changes in P’s circumstances since referral.  </w:t>
      </w:r>
      <w:r w:rsidR="0064370B" w:rsidRPr="00E10FB0">
        <w:rPr>
          <w:rFonts w:ascii="Calibri" w:eastAsia="Calibri" w:hAnsi="Calibri" w:cs="Times New Roman"/>
        </w:rPr>
        <w:t xml:space="preserve">Any changes, such as objections or a move to a higher priority, will be </w:t>
      </w:r>
      <w:r w:rsidR="00293642" w:rsidRPr="00E10FB0">
        <w:rPr>
          <w:rFonts w:ascii="Calibri" w:eastAsia="Calibri" w:hAnsi="Calibri" w:cs="Times New Roman"/>
        </w:rPr>
        <w:t>followed up</w:t>
      </w:r>
      <w:r w:rsidR="0064370B" w:rsidRPr="00E10FB0">
        <w:rPr>
          <w:rFonts w:ascii="Calibri" w:eastAsia="Calibri" w:hAnsi="Calibri" w:cs="Times New Roman"/>
        </w:rPr>
        <w:t xml:space="preserve"> if necessary</w:t>
      </w:r>
      <w:r w:rsidR="00293642" w:rsidRPr="00E10FB0">
        <w:rPr>
          <w:rFonts w:ascii="Calibri" w:eastAsia="Calibri" w:hAnsi="Calibri" w:cs="Times New Roman"/>
        </w:rPr>
        <w:t xml:space="preserve">.  </w:t>
      </w:r>
    </w:p>
    <w:p w14:paraId="0F92F965" w14:textId="77777777" w:rsidR="00E10FB0" w:rsidRPr="00E10FB0" w:rsidRDefault="00E10FB0" w:rsidP="00293642">
      <w:pPr>
        <w:rPr>
          <w:rFonts w:ascii="Calibri" w:eastAsia="Calibri" w:hAnsi="Calibri" w:cs="Times New Roman"/>
        </w:rPr>
      </w:pPr>
      <w:r w:rsidRPr="00E10FB0">
        <w:rPr>
          <w:rFonts w:ascii="Calibri" w:eastAsia="Calibri" w:hAnsi="Calibri" w:cs="Times New Roman"/>
        </w:rPr>
        <w:t>F</w:t>
      </w:r>
      <w:r w:rsidR="0064370B" w:rsidRPr="00E10FB0">
        <w:rPr>
          <w:rFonts w:ascii="Calibri" w:eastAsia="Calibri" w:hAnsi="Calibri" w:cs="Times New Roman"/>
        </w:rPr>
        <w:t>urther information may be sought about cases which have been on the waiting list for a considerable time.</w:t>
      </w:r>
      <w:r w:rsidRPr="00E10FB0">
        <w:rPr>
          <w:rFonts w:ascii="Calibri" w:eastAsia="Calibri" w:hAnsi="Calibri" w:cs="Times New Roman"/>
        </w:rPr>
        <w:t xml:space="preserve">  Attendees will utilise the guidance at Appendix A to support check and challenge.   </w:t>
      </w:r>
    </w:p>
    <w:p w14:paraId="521CC346" w14:textId="33861C43" w:rsidR="0064370B" w:rsidRPr="005D3922" w:rsidRDefault="00293642" w:rsidP="00293642">
      <w:pPr>
        <w:rPr>
          <w:rStyle w:val="cf01"/>
          <w:rFonts w:ascii="Calibri" w:eastAsia="Calibri" w:hAnsi="Calibri" w:cs="Times New Roman"/>
          <w:sz w:val="22"/>
          <w:szCs w:val="22"/>
        </w:rPr>
      </w:pPr>
      <w:r w:rsidRPr="00E10FB0">
        <w:rPr>
          <w:rFonts w:ascii="Calibri" w:eastAsia="Calibri" w:hAnsi="Calibri" w:cs="Times New Roman"/>
        </w:rPr>
        <w:t xml:space="preserve">In the absence of information which prompts it earlier, workers will reconsider P’s DoL no less than once per annum, at the time of their usual review (for example, P’s annual Care Act review).    </w:t>
      </w:r>
      <w:r w:rsidR="0064370B" w:rsidRPr="00E10FB0">
        <w:rPr>
          <w:rFonts w:ascii="Calibri" w:eastAsia="Calibri" w:hAnsi="Calibri" w:cs="Times New Roman"/>
        </w:rPr>
        <w:t xml:space="preserve">  </w:t>
      </w:r>
    </w:p>
    <w:p w14:paraId="22AA0C7C" w14:textId="334D4DD4" w:rsidR="00B81E68" w:rsidRPr="005D3922" w:rsidRDefault="00B81E68" w:rsidP="005D3922">
      <w:pPr>
        <w:pStyle w:val="Heading2"/>
        <w:numPr>
          <w:ilvl w:val="0"/>
          <w:numId w:val="13"/>
        </w:numPr>
        <w:rPr>
          <w:rFonts w:eastAsia="Calibri"/>
          <w:b/>
          <w:bCs/>
          <w:color w:val="auto"/>
          <w:u w:val="single"/>
        </w:rPr>
      </w:pPr>
      <w:r w:rsidRPr="005D3922">
        <w:rPr>
          <w:rFonts w:eastAsia="Calibri"/>
          <w:b/>
          <w:bCs/>
          <w:color w:val="auto"/>
          <w:u w:val="single"/>
        </w:rPr>
        <w:t>Immediate Next Steps</w:t>
      </w:r>
    </w:p>
    <w:p w14:paraId="7ADA89E3" w14:textId="77777777" w:rsidR="00B81E68" w:rsidRPr="005D3922" w:rsidRDefault="00B81E68" w:rsidP="005D3922">
      <w:pPr>
        <w:pStyle w:val="Heading3"/>
        <w:rPr>
          <w:rFonts w:eastAsia="Calibri"/>
          <w:b/>
          <w:bCs/>
          <w:color w:val="auto"/>
        </w:rPr>
      </w:pPr>
      <w:r w:rsidRPr="005D3922">
        <w:rPr>
          <w:rFonts w:eastAsia="Calibri"/>
          <w:b/>
          <w:bCs/>
          <w:color w:val="auto"/>
        </w:rPr>
        <w:t>New cases</w:t>
      </w:r>
    </w:p>
    <w:p w14:paraId="2CE8D3DC" w14:textId="77777777" w:rsidR="00B81E68" w:rsidRPr="005D3922" w:rsidRDefault="00B81E68" w:rsidP="00B81E68">
      <w:pPr>
        <w:rPr>
          <w:rFonts w:ascii="Calibri" w:eastAsia="Calibri" w:hAnsi="Calibri" w:cs="Times New Roman"/>
          <w:strike/>
        </w:rPr>
      </w:pPr>
      <w:r w:rsidRPr="005D3922">
        <w:rPr>
          <w:rFonts w:ascii="Calibri" w:eastAsia="Calibri" w:hAnsi="Calibri" w:cs="Times New Roman"/>
        </w:rPr>
        <w:t>Once the next new cases for processing are decided on, Legal Services will action the case to the appropriate case worker for processing.  The DoLS team will move the case to ‘in process’ on the waiting list.</w:t>
      </w:r>
    </w:p>
    <w:p w14:paraId="7B146547" w14:textId="77777777" w:rsidR="00B81E68" w:rsidRPr="005D3922" w:rsidRDefault="00B81E68" w:rsidP="00B81E68">
      <w:pPr>
        <w:rPr>
          <w:rFonts w:ascii="Calibri" w:eastAsia="Calibri" w:hAnsi="Calibri" w:cs="Times New Roman"/>
        </w:rPr>
      </w:pPr>
      <w:r w:rsidRPr="005D3922">
        <w:rPr>
          <w:rFonts w:ascii="Calibri" w:eastAsia="Calibri" w:hAnsi="Calibri" w:cs="Times New Roman"/>
        </w:rPr>
        <w:t>The worker will have 3 months to complete the paperwork (see ‘Preparation’ below).  Any delays in completing in this timeframe should be communicated to the DoLS Team as soon as possible.</w:t>
      </w:r>
    </w:p>
    <w:p w14:paraId="587E4423" w14:textId="77777777" w:rsidR="00B81E68" w:rsidRPr="005D3922" w:rsidRDefault="00B81E68" w:rsidP="005D3922">
      <w:pPr>
        <w:pStyle w:val="Heading3"/>
        <w:rPr>
          <w:rFonts w:eastAsia="Calibri"/>
          <w:b/>
          <w:bCs/>
          <w:color w:val="auto"/>
        </w:rPr>
      </w:pPr>
      <w:r w:rsidRPr="005D3922">
        <w:rPr>
          <w:rFonts w:eastAsia="Calibri"/>
          <w:b/>
          <w:bCs/>
          <w:color w:val="auto"/>
        </w:rPr>
        <w:t>Renewals</w:t>
      </w:r>
    </w:p>
    <w:p w14:paraId="7F08C98E" w14:textId="77777777" w:rsidR="00B81E68" w:rsidRPr="00F44DFE" w:rsidRDefault="00B81E68" w:rsidP="00B81E68">
      <w:pPr>
        <w:rPr>
          <w:rFonts w:ascii="Calibri" w:eastAsia="Calibri" w:hAnsi="Calibri" w:cs="Times New Roman"/>
        </w:rPr>
      </w:pPr>
      <w:r w:rsidRPr="00B81E68">
        <w:rPr>
          <w:rFonts w:ascii="Calibri" w:eastAsia="Calibri" w:hAnsi="Calibri" w:cs="Times New Roman"/>
        </w:rPr>
        <w:t xml:space="preserve">The DoLS team will notify the case worker and ask them to start the necessary paperwork (see </w:t>
      </w:r>
      <w:r w:rsidRPr="00F44DFE">
        <w:rPr>
          <w:rFonts w:ascii="Calibri" w:eastAsia="Calibri" w:hAnsi="Calibri" w:cs="Times New Roman"/>
        </w:rPr>
        <w:t xml:space="preserve">Preparation, below). The case worker will complete part 1 of the questionnaire on Systmone. </w:t>
      </w:r>
    </w:p>
    <w:p w14:paraId="6545E6CA" w14:textId="4668B1D5" w:rsidR="00B81E68" w:rsidRPr="00F44DFE" w:rsidRDefault="00B81E68" w:rsidP="00B81E68">
      <w:pPr>
        <w:rPr>
          <w:rFonts w:ascii="Calibri" w:eastAsia="Calibri" w:hAnsi="Calibri" w:cs="Times New Roman"/>
        </w:rPr>
      </w:pPr>
      <w:r w:rsidRPr="00F44DFE">
        <w:rPr>
          <w:rFonts w:ascii="Calibri" w:eastAsia="Calibri" w:hAnsi="Calibri" w:cs="Times New Roman"/>
        </w:rPr>
        <w:t>The worker will be notified 4 months before the order expires but will still have 3 months to complete the paperwork as it is required to be issued at Court one month before the order expires.  Court renewal return dates are not moveable.</w:t>
      </w:r>
    </w:p>
    <w:p w14:paraId="51E05E05" w14:textId="2BF60F38" w:rsidR="00533FD9" w:rsidRPr="005D3922" w:rsidRDefault="00533FD9" w:rsidP="005D3922">
      <w:pPr>
        <w:pStyle w:val="Heading2"/>
        <w:numPr>
          <w:ilvl w:val="0"/>
          <w:numId w:val="13"/>
        </w:numPr>
        <w:rPr>
          <w:rFonts w:eastAsia="Calibri"/>
          <w:b/>
          <w:bCs/>
          <w:color w:val="auto"/>
          <w:u w:val="single"/>
        </w:rPr>
      </w:pPr>
      <w:r w:rsidRPr="005D3922">
        <w:rPr>
          <w:rFonts w:eastAsia="Calibri"/>
          <w:b/>
          <w:bCs/>
          <w:color w:val="auto"/>
          <w:u w:val="single"/>
        </w:rPr>
        <w:lastRenderedPageBreak/>
        <w:t>Preparation</w:t>
      </w:r>
      <w:r w:rsidR="00DE5F25" w:rsidRPr="005D3922">
        <w:rPr>
          <w:rFonts w:eastAsia="Calibri"/>
          <w:b/>
          <w:bCs/>
          <w:color w:val="auto"/>
          <w:u w:val="single"/>
        </w:rPr>
        <w:t xml:space="preserve"> (regardless of new case or renewal)</w:t>
      </w:r>
    </w:p>
    <w:p w14:paraId="2DB34CBD" w14:textId="6BADC69D" w:rsidR="00B81E68" w:rsidRPr="00D436EB" w:rsidRDefault="00B81E68" w:rsidP="00B81E68">
      <w:pPr>
        <w:ind w:left="-76"/>
        <w:rPr>
          <w:rFonts w:ascii="Calibri" w:eastAsia="Calibri" w:hAnsi="Calibri" w:cs="Times New Roman"/>
        </w:rPr>
      </w:pPr>
      <w:r>
        <w:rPr>
          <w:rFonts w:ascii="Calibri" w:eastAsia="Calibri" w:hAnsi="Calibri" w:cs="Times New Roman"/>
        </w:rPr>
        <w:t>The case worker will complete the followin</w:t>
      </w:r>
      <w:r w:rsidRPr="00D436EB">
        <w:rPr>
          <w:rFonts w:ascii="Calibri" w:eastAsia="Calibri" w:hAnsi="Calibri" w:cs="Times New Roman"/>
        </w:rPr>
        <w:t xml:space="preserve">g (within the </w:t>
      </w:r>
      <w:r w:rsidR="008E73C6">
        <w:rPr>
          <w:rFonts w:ascii="Calibri" w:eastAsia="Calibri" w:hAnsi="Calibri" w:cs="Times New Roman"/>
        </w:rPr>
        <w:t>S</w:t>
      </w:r>
      <w:r w:rsidRPr="00D436EB">
        <w:rPr>
          <w:rFonts w:ascii="Calibri" w:eastAsia="Calibri" w:hAnsi="Calibri" w:cs="Times New Roman"/>
        </w:rPr>
        <w:t>ystmone record)</w:t>
      </w:r>
      <w:r>
        <w:rPr>
          <w:rFonts w:ascii="Calibri" w:eastAsia="Calibri" w:hAnsi="Calibri" w:cs="Times New Roman"/>
        </w:rPr>
        <w:t>:</w:t>
      </w:r>
      <w:r w:rsidRPr="00D436EB">
        <w:rPr>
          <w:rFonts w:ascii="Calibri" w:eastAsia="Calibri" w:hAnsi="Calibri" w:cs="Times New Roman"/>
        </w:rPr>
        <w:t xml:space="preserve"> </w:t>
      </w:r>
    </w:p>
    <w:p w14:paraId="5293C068" w14:textId="77777777" w:rsidR="00B81E68" w:rsidRPr="00D436EB" w:rsidRDefault="00B81E68" w:rsidP="00B81E68">
      <w:pPr>
        <w:pStyle w:val="ListParagraph"/>
        <w:numPr>
          <w:ilvl w:val="0"/>
          <w:numId w:val="5"/>
        </w:numPr>
        <w:rPr>
          <w:rFonts w:ascii="Calibri" w:eastAsia="Calibri" w:hAnsi="Calibri" w:cs="Times New Roman"/>
        </w:rPr>
      </w:pPr>
      <w:r w:rsidRPr="00D436EB">
        <w:rPr>
          <w:rFonts w:ascii="Calibri" w:eastAsia="Calibri" w:hAnsi="Calibri" w:cs="Times New Roman"/>
        </w:rPr>
        <w:t>Part 2 of the Systmone questionnaire;</w:t>
      </w:r>
    </w:p>
    <w:p w14:paraId="09493625" w14:textId="77777777" w:rsidR="00B81E68" w:rsidRPr="00D436EB" w:rsidRDefault="00B81E68" w:rsidP="00B81E68">
      <w:pPr>
        <w:pStyle w:val="ListParagraph"/>
        <w:numPr>
          <w:ilvl w:val="0"/>
          <w:numId w:val="5"/>
        </w:numPr>
        <w:rPr>
          <w:rFonts w:ascii="Calibri" w:eastAsia="Calibri" w:hAnsi="Calibri" w:cs="Times New Roman"/>
        </w:rPr>
      </w:pPr>
      <w:r w:rsidRPr="00D436EB">
        <w:rPr>
          <w:rFonts w:ascii="Calibri" w:eastAsia="Calibri" w:hAnsi="Calibri" w:cs="Times New Roman"/>
        </w:rPr>
        <w:t>A statement;</w:t>
      </w:r>
    </w:p>
    <w:p w14:paraId="58AECD2E" w14:textId="77777777" w:rsidR="00B81E68" w:rsidRPr="00D436EB" w:rsidRDefault="00B81E68" w:rsidP="00B81E68">
      <w:pPr>
        <w:pStyle w:val="ListParagraph"/>
        <w:numPr>
          <w:ilvl w:val="0"/>
          <w:numId w:val="5"/>
        </w:numPr>
        <w:rPr>
          <w:rFonts w:ascii="Calibri" w:eastAsia="Calibri" w:hAnsi="Calibri" w:cs="Times New Roman"/>
        </w:rPr>
      </w:pPr>
      <w:r w:rsidRPr="00D436EB">
        <w:rPr>
          <w:rFonts w:ascii="Calibri" w:eastAsia="Calibri" w:hAnsi="Calibri" w:cs="Times New Roman"/>
        </w:rPr>
        <w:t>A capacity assessment (no older than 3 months); and</w:t>
      </w:r>
    </w:p>
    <w:p w14:paraId="45025034" w14:textId="77777777" w:rsidR="00B81E68" w:rsidRDefault="00B81E68" w:rsidP="00B81E68">
      <w:pPr>
        <w:pStyle w:val="ListParagraph"/>
        <w:numPr>
          <w:ilvl w:val="0"/>
          <w:numId w:val="5"/>
        </w:numPr>
        <w:rPr>
          <w:rFonts w:ascii="Calibri" w:eastAsia="Calibri" w:hAnsi="Calibri" w:cs="Times New Roman"/>
        </w:rPr>
      </w:pPr>
      <w:r w:rsidRPr="00D436EB">
        <w:rPr>
          <w:rFonts w:ascii="Calibri" w:eastAsia="Calibri" w:hAnsi="Calibri" w:cs="Times New Roman"/>
        </w:rPr>
        <w:t>A care/</w:t>
      </w:r>
      <w:r>
        <w:rPr>
          <w:rFonts w:ascii="Calibri" w:eastAsia="Calibri" w:hAnsi="Calibri" w:cs="Times New Roman"/>
        </w:rPr>
        <w:t xml:space="preserve"> </w:t>
      </w:r>
      <w:r w:rsidRPr="00D436EB">
        <w:rPr>
          <w:rFonts w:ascii="Calibri" w:eastAsia="Calibri" w:hAnsi="Calibri" w:cs="Times New Roman"/>
        </w:rPr>
        <w:t>support plan (no older than 3 months).</w:t>
      </w:r>
    </w:p>
    <w:p w14:paraId="04CBA35A" w14:textId="77777777" w:rsidR="00B81E68" w:rsidRPr="005D3922" w:rsidRDefault="00B81E68" w:rsidP="00B81E68">
      <w:pPr>
        <w:rPr>
          <w:rFonts w:ascii="Calibri" w:eastAsia="Calibri" w:hAnsi="Calibri" w:cs="Times New Roman"/>
        </w:rPr>
      </w:pPr>
      <w:r w:rsidRPr="005D3922">
        <w:rPr>
          <w:rFonts w:ascii="Calibri" w:eastAsia="Calibri" w:hAnsi="Calibri" w:cs="Times New Roman"/>
        </w:rPr>
        <w:t xml:space="preserve">The case worker will also consider whether any other court authority is required in respect of P, for example, to manage P’s finances, or to sign P’s tenancy which could feasibly be applied for along with the DoL authorisation.  </w:t>
      </w:r>
    </w:p>
    <w:p w14:paraId="19B2ACFD" w14:textId="0C3597C1" w:rsidR="00B81E68" w:rsidRPr="005D3922" w:rsidRDefault="00B81E68" w:rsidP="00F44DFE">
      <w:pPr>
        <w:rPr>
          <w:rFonts w:ascii="Calibri" w:eastAsia="Calibri" w:hAnsi="Calibri" w:cs="Times New Roman"/>
        </w:rPr>
      </w:pPr>
      <w:r w:rsidRPr="005D3922">
        <w:rPr>
          <w:rFonts w:ascii="Calibri" w:eastAsia="Calibri" w:hAnsi="Calibri" w:cs="Times New Roman"/>
        </w:rPr>
        <w:t xml:space="preserve">The DoLS team will complete and send the request to P’s GP for confirmation of their diagnosis. The DoLS team will chase this if overdue.  </w:t>
      </w:r>
    </w:p>
    <w:p w14:paraId="2CB1A990" w14:textId="78589ECC" w:rsidR="00E20BF5" w:rsidRPr="0050280F" w:rsidRDefault="00ED0B69" w:rsidP="005D3922">
      <w:pPr>
        <w:pStyle w:val="Heading2"/>
        <w:numPr>
          <w:ilvl w:val="0"/>
          <w:numId w:val="13"/>
        </w:numPr>
        <w:rPr>
          <w:rFonts w:eastAsia="Calibri"/>
          <w:b/>
          <w:bCs/>
          <w:color w:val="auto"/>
          <w:u w:val="single"/>
        </w:rPr>
      </w:pPr>
      <w:r w:rsidRPr="0050280F">
        <w:rPr>
          <w:rFonts w:eastAsia="Calibri"/>
          <w:b/>
          <w:bCs/>
          <w:color w:val="auto"/>
          <w:u w:val="single"/>
        </w:rPr>
        <w:t xml:space="preserve">Legal Review </w:t>
      </w:r>
    </w:p>
    <w:p w14:paraId="41C63660" w14:textId="77777777" w:rsidR="00264965" w:rsidRDefault="00356383" w:rsidP="00D040DC">
      <w:pPr>
        <w:rPr>
          <w:rFonts w:ascii="Calibri" w:eastAsia="Calibri" w:hAnsi="Calibri" w:cs="Times New Roman"/>
        </w:rPr>
      </w:pPr>
      <w:r w:rsidRPr="0050280F">
        <w:rPr>
          <w:rFonts w:ascii="Calibri" w:eastAsia="Calibri" w:hAnsi="Calibri" w:cs="Times New Roman"/>
        </w:rPr>
        <w:t>When the documents are completed, they will be reviewed by Legal Services.  Legal Services will liaise with the case worker and suggest amendments or alterations if necessary.  When the capacity assessment, statement and support plan are agreed, Legal Services will forward them to Panel (see Panel, below) for review.  Legal Services will then complete Annex A of the COPDOL11 form and contact the proposed/ appointed S1.2 representative to complete a COP24 statement.  Legal Services will also request that the worker completes Annex B and C of the COPDOL11 form</w:t>
      </w:r>
      <w:r w:rsidR="00D040DC">
        <w:rPr>
          <w:rFonts w:ascii="Calibri" w:eastAsia="Calibri" w:hAnsi="Calibri" w:cs="Times New Roman"/>
        </w:rPr>
        <w:t xml:space="preserve"> </w:t>
      </w:r>
      <w:r w:rsidR="00264965">
        <w:rPr>
          <w:rFonts w:ascii="Calibri" w:eastAsia="Calibri" w:hAnsi="Calibri" w:cs="Times New Roman"/>
        </w:rPr>
        <w:t xml:space="preserve">and </w:t>
      </w:r>
      <w:r w:rsidR="00D040DC">
        <w:rPr>
          <w:rFonts w:ascii="Calibri" w:eastAsia="Calibri" w:hAnsi="Calibri" w:cs="Times New Roman"/>
        </w:rPr>
        <w:t>a COP3 capacity form.</w:t>
      </w:r>
    </w:p>
    <w:p w14:paraId="1F95839A" w14:textId="7CA42FAF" w:rsidR="00BD35AF" w:rsidRPr="00264965" w:rsidRDefault="00356383" w:rsidP="00264965">
      <w:pPr>
        <w:pStyle w:val="Heading2"/>
        <w:numPr>
          <w:ilvl w:val="0"/>
          <w:numId w:val="13"/>
        </w:numPr>
        <w:rPr>
          <w:rFonts w:eastAsia="Calibri"/>
          <w:b/>
          <w:bCs/>
          <w:color w:val="auto"/>
          <w:u w:val="single"/>
        </w:rPr>
      </w:pPr>
      <w:r w:rsidRPr="00264965">
        <w:rPr>
          <w:rFonts w:eastAsia="Calibri"/>
          <w:b/>
          <w:bCs/>
          <w:color w:val="auto"/>
          <w:u w:val="single"/>
        </w:rPr>
        <w:t xml:space="preserve">Pre-authorisation Review </w:t>
      </w:r>
      <w:r w:rsidR="00BD35AF" w:rsidRPr="00264965">
        <w:rPr>
          <w:rFonts w:eastAsia="Calibri"/>
          <w:b/>
          <w:bCs/>
          <w:color w:val="auto"/>
          <w:u w:val="single"/>
        </w:rPr>
        <w:t>Panel</w:t>
      </w:r>
    </w:p>
    <w:p w14:paraId="74BEEE3E" w14:textId="527C5D0A" w:rsidR="00356383" w:rsidRPr="0050280F" w:rsidRDefault="00356383" w:rsidP="00356383">
      <w:pPr>
        <w:rPr>
          <w:rFonts w:ascii="Calibri" w:eastAsia="Calibri" w:hAnsi="Calibri" w:cs="Times New Roman"/>
        </w:rPr>
      </w:pPr>
      <w:r w:rsidRPr="0050280F">
        <w:rPr>
          <w:rFonts w:ascii="Calibri" w:eastAsia="Calibri" w:hAnsi="Calibri" w:cs="Times New Roman"/>
        </w:rPr>
        <w:t>The Panel is made up of qualified BIAs from across Navigo, Focus</w:t>
      </w:r>
      <w:r w:rsidR="00A50712">
        <w:rPr>
          <w:rFonts w:ascii="Calibri" w:eastAsia="Calibri" w:hAnsi="Calibri" w:cs="Times New Roman"/>
        </w:rPr>
        <w:t xml:space="preserve">, CHC </w:t>
      </w:r>
      <w:r w:rsidRPr="0050280F">
        <w:rPr>
          <w:rFonts w:ascii="Calibri" w:eastAsia="Calibri" w:hAnsi="Calibri" w:cs="Times New Roman"/>
        </w:rPr>
        <w:t xml:space="preserve">and CPG and sits once a week.  The Panel reviews the documents and may recommend any further actions/ considerations.  If amendments are needed, the Panel will task the case worker with data quality actions.  The case worker will action these promptly, and ideally within 24 hours.  </w:t>
      </w:r>
    </w:p>
    <w:p w14:paraId="1B808018" w14:textId="4C1DCD96" w:rsidR="00356383" w:rsidRPr="0050280F" w:rsidRDefault="00356383" w:rsidP="00356383">
      <w:pPr>
        <w:rPr>
          <w:rFonts w:ascii="Calibri" w:eastAsia="Calibri" w:hAnsi="Calibri" w:cs="Times New Roman"/>
        </w:rPr>
      </w:pPr>
      <w:r w:rsidRPr="0050280F">
        <w:rPr>
          <w:rFonts w:ascii="Calibri" w:eastAsia="Calibri" w:hAnsi="Calibri" w:cs="Times New Roman"/>
        </w:rPr>
        <w:t xml:space="preserve">When the amendments are complete, the case worker will re-task to the Panel for review.  When approved, or should no amendments be required, the reviewing Panel member will sign the worker statement and action the documents to a signatory for final approval. </w:t>
      </w:r>
    </w:p>
    <w:p w14:paraId="44EB26F1" w14:textId="5902C020" w:rsidR="00356383" w:rsidRPr="0050280F" w:rsidRDefault="005F0610" w:rsidP="0050280F">
      <w:pPr>
        <w:pStyle w:val="Heading2"/>
        <w:numPr>
          <w:ilvl w:val="0"/>
          <w:numId w:val="13"/>
        </w:numPr>
        <w:rPr>
          <w:rFonts w:eastAsia="Calibri"/>
          <w:b/>
          <w:bCs/>
          <w:color w:val="auto"/>
          <w:u w:val="single"/>
        </w:rPr>
      </w:pPr>
      <w:r w:rsidRPr="0050280F">
        <w:rPr>
          <w:rFonts w:eastAsia="Calibri"/>
          <w:b/>
          <w:bCs/>
          <w:color w:val="auto"/>
          <w:u w:val="single"/>
        </w:rPr>
        <w:t>Signatory</w:t>
      </w:r>
    </w:p>
    <w:p w14:paraId="4AA88583" w14:textId="7F293344" w:rsidR="00356383" w:rsidRPr="00F44DFE" w:rsidRDefault="00356383" w:rsidP="00F44DFE">
      <w:pPr>
        <w:rPr>
          <w:rFonts w:ascii="Calibri" w:eastAsia="Calibri" w:hAnsi="Calibri" w:cs="Times New Roman"/>
        </w:rPr>
      </w:pPr>
      <w:r w:rsidRPr="00F44DFE">
        <w:rPr>
          <w:rFonts w:ascii="Calibri" w:eastAsia="Calibri" w:hAnsi="Calibri" w:cs="Times New Roman"/>
        </w:rPr>
        <w:t xml:space="preserve">The signatory will review the paperwork.  If amendments are required, the same process will be used as is used by the Panel.  When the documents are approved, the signatory will sign off the case and task back to the DoLS team.  The DoLS team will then notify Legal Services that the final documents are ready and available and update part 3 of the Systmone questionnaire. </w:t>
      </w:r>
    </w:p>
    <w:p w14:paraId="4011BE36" w14:textId="5BC22C1B" w:rsidR="00ED0B69" w:rsidRPr="0050280F" w:rsidRDefault="00ED0B69" w:rsidP="0050280F">
      <w:pPr>
        <w:pStyle w:val="Heading2"/>
        <w:numPr>
          <w:ilvl w:val="0"/>
          <w:numId w:val="13"/>
        </w:numPr>
        <w:rPr>
          <w:rFonts w:eastAsia="Calibri"/>
          <w:b/>
          <w:bCs/>
          <w:color w:val="auto"/>
          <w:u w:val="single"/>
        </w:rPr>
      </w:pPr>
      <w:r w:rsidRPr="0050280F">
        <w:rPr>
          <w:rFonts w:eastAsia="Calibri"/>
          <w:b/>
          <w:bCs/>
          <w:color w:val="auto"/>
          <w:u w:val="single"/>
        </w:rPr>
        <w:t>Submission to Court</w:t>
      </w:r>
    </w:p>
    <w:p w14:paraId="5DD88EFE" w14:textId="62FFB13C" w:rsidR="00356383" w:rsidRPr="00F44DFE" w:rsidRDefault="00356383" w:rsidP="00356383">
      <w:pPr>
        <w:pStyle w:val="ListParagraph"/>
        <w:ind w:left="0"/>
        <w:rPr>
          <w:rFonts w:ascii="Calibri" w:eastAsia="Calibri" w:hAnsi="Calibri" w:cs="Times New Roman"/>
        </w:rPr>
      </w:pPr>
      <w:r w:rsidRPr="00F44DFE">
        <w:rPr>
          <w:rFonts w:ascii="Calibri" w:eastAsia="Calibri" w:hAnsi="Calibri" w:cs="Times New Roman"/>
        </w:rPr>
        <w:t xml:space="preserve">Legal Services will produce a draft order to accompany the COPDOL11 application, statement, capacity assessment, </w:t>
      </w:r>
      <w:r w:rsidR="00D040DC">
        <w:rPr>
          <w:rFonts w:ascii="Calibri" w:eastAsia="Calibri" w:hAnsi="Calibri" w:cs="Times New Roman"/>
        </w:rPr>
        <w:t xml:space="preserve">COP3, </w:t>
      </w:r>
      <w:r w:rsidRPr="00F44DFE">
        <w:rPr>
          <w:rFonts w:ascii="Calibri" w:eastAsia="Calibri" w:hAnsi="Calibri" w:cs="Times New Roman"/>
        </w:rPr>
        <w:t xml:space="preserve">support plan, GP diagnosis letter and COP24 statement from the Rule 1.2 representative.  Legal Services will create an indexed court bundle and send this electronically to the Court of Protection. Legal Services will send the DoLS team a copy of the completed COPDOL11 and draft order.  The DoLS team will upload these to Systmone and update the waiting list. </w:t>
      </w:r>
    </w:p>
    <w:p w14:paraId="2BF40D1D" w14:textId="77777777" w:rsidR="00356383" w:rsidRPr="00F44DFE" w:rsidRDefault="00356383" w:rsidP="00356383">
      <w:pPr>
        <w:pStyle w:val="ListParagraph"/>
        <w:ind w:left="284"/>
        <w:rPr>
          <w:rFonts w:ascii="Calibri" w:eastAsia="Calibri" w:hAnsi="Calibri" w:cs="Times New Roman"/>
          <w:u w:val="single"/>
        </w:rPr>
      </w:pPr>
    </w:p>
    <w:p w14:paraId="2FE3A6E2" w14:textId="1B5EB925" w:rsidR="003905D7" w:rsidRPr="0050280F" w:rsidRDefault="003905D7" w:rsidP="0050280F">
      <w:pPr>
        <w:pStyle w:val="Heading2"/>
        <w:numPr>
          <w:ilvl w:val="0"/>
          <w:numId w:val="13"/>
        </w:numPr>
        <w:rPr>
          <w:rFonts w:eastAsia="Calibri"/>
          <w:b/>
          <w:bCs/>
          <w:color w:val="auto"/>
          <w:u w:val="single"/>
        </w:rPr>
      </w:pPr>
      <w:r w:rsidRPr="0050280F">
        <w:rPr>
          <w:rFonts w:eastAsia="Calibri"/>
          <w:b/>
          <w:bCs/>
          <w:color w:val="auto"/>
          <w:u w:val="single"/>
        </w:rPr>
        <w:t>Final Order and Closure</w:t>
      </w:r>
    </w:p>
    <w:p w14:paraId="0428DE90" w14:textId="1B76F356" w:rsidR="00A32E63" w:rsidRDefault="001001D9" w:rsidP="0050280F">
      <w:pPr>
        <w:pStyle w:val="ListParagraph"/>
        <w:ind w:left="0"/>
        <w:rPr>
          <w:rFonts w:ascii="Calibri" w:eastAsia="Calibri" w:hAnsi="Calibri" w:cs="Times New Roman"/>
        </w:rPr>
      </w:pPr>
      <w:r w:rsidRPr="0050280F">
        <w:rPr>
          <w:rFonts w:ascii="Calibri" w:eastAsia="Calibri" w:hAnsi="Calibri" w:cs="Times New Roman"/>
        </w:rPr>
        <w:t>L</w:t>
      </w:r>
      <w:r w:rsidR="00EB542D" w:rsidRPr="0050280F">
        <w:rPr>
          <w:rFonts w:ascii="Calibri" w:eastAsia="Calibri" w:hAnsi="Calibri" w:cs="Times New Roman"/>
        </w:rPr>
        <w:t xml:space="preserve">egal </w:t>
      </w:r>
      <w:r w:rsidRPr="0050280F">
        <w:rPr>
          <w:rFonts w:ascii="Calibri" w:eastAsia="Calibri" w:hAnsi="Calibri" w:cs="Times New Roman"/>
        </w:rPr>
        <w:t>Services</w:t>
      </w:r>
      <w:r w:rsidR="00EB542D" w:rsidRPr="0050280F">
        <w:rPr>
          <w:rFonts w:ascii="Calibri" w:eastAsia="Calibri" w:hAnsi="Calibri" w:cs="Times New Roman"/>
        </w:rPr>
        <w:t xml:space="preserve"> will forward the final order to the DoLS team</w:t>
      </w:r>
      <w:r w:rsidR="00C46310" w:rsidRPr="0050280F">
        <w:rPr>
          <w:rFonts w:ascii="Calibri" w:eastAsia="Calibri" w:hAnsi="Calibri" w:cs="Times New Roman"/>
        </w:rPr>
        <w:t xml:space="preserve"> and the </w:t>
      </w:r>
      <w:r w:rsidR="00827C1F" w:rsidRPr="0050280F">
        <w:rPr>
          <w:rFonts w:ascii="Calibri" w:eastAsia="Calibri" w:hAnsi="Calibri" w:cs="Times New Roman"/>
        </w:rPr>
        <w:t xml:space="preserve">Rule </w:t>
      </w:r>
      <w:r w:rsidR="00C46310" w:rsidRPr="0050280F">
        <w:rPr>
          <w:rFonts w:ascii="Calibri" w:eastAsia="Calibri" w:hAnsi="Calibri" w:cs="Times New Roman"/>
        </w:rPr>
        <w:t>1.2 representative</w:t>
      </w:r>
      <w:r w:rsidR="00EB542D" w:rsidRPr="0050280F">
        <w:rPr>
          <w:rFonts w:ascii="Calibri" w:eastAsia="Calibri" w:hAnsi="Calibri" w:cs="Times New Roman"/>
        </w:rPr>
        <w:t xml:space="preserve"> on receipt</w:t>
      </w:r>
      <w:r w:rsidR="00827C1F" w:rsidRPr="0050280F">
        <w:rPr>
          <w:rFonts w:ascii="Calibri" w:eastAsia="Calibri" w:hAnsi="Calibri" w:cs="Times New Roman"/>
        </w:rPr>
        <w:t xml:space="preserve"> from the Court</w:t>
      </w:r>
      <w:r w:rsidR="00EB542D" w:rsidRPr="0050280F">
        <w:rPr>
          <w:rFonts w:ascii="Calibri" w:eastAsia="Calibri" w:hAnsi="Calibri" w:cs="Times New Roman"/>
        </w:rPr>
        <w:t xml:space="preserve">. </w:t>
      </w:r>
      <w:r w:rsidR="00827C1F" w:rsidRPr="0050280F">
        <w:rPr>
          <w:rFonts w:ascii="Calibri" w:eastAsia="Calibri" w:hAnsi="Calibri" w:cs="Times New Roman"/>
        </w:rPr>
        <w:t xml:space="preserve"> </w:t>
      </w:r>
      <w:r w:rsidR="00EB542D" w:rsidRPr="0050280F">
        <w:rPr>
          <w:rFonts w:ascii="Calibri" w:eastAsia="Calibri" w:hAnsi="Calibri" w:cs="Times New Roman"/>
        </w:rPr>
        <w:t>The DoLS team</w:t>
      </w:r>
      <w:r w:rsidR="00FF5E91" w:rsidRPr="0050280F">
        <w:rPr>
          <w:rFonts w:ascii="Calibri" w:eastAsia="Calibri" w:hAnsi="Calibri" w:cs="Times New Roman"/>
        </w:rPr>
        <w:t xml:space="preserve"> will upload the order to Systmone and complete part 4 of the questionnaire. </w:t>
      </w:r>
      <w:r w:rsidR="004437AB" w:rsidRPr="0050280F">
        <w:rPr>
          <w:rFonts w:ascii="Calibri" w:eastAsia="Calibri" w:hAnsi="Calibri" w:cs="Times New Roman"/>
        </w:rPr>
        <w:t xml:space="preserve">The DoLS team will move the case to the active </w:t>
      </w:r>
      <w:r w:rsidR="00AA4AC8" w:rsidRPr="0050280F">
        <w:rPr>
          <w:rFonts w:ascii="Calibri" w:eastAsia="Calibri" w:hAnsi="Calibri" w:cs="Times New Roman"/>
        </w:rPr>
        <w:t>authorisation</w:t>
      </w:r>
      <w:r w:rsidR="004437AB" w:rsidRPr="0050280F">
        <w:rPr>
          <w:rFonts w:ascii="Calibri" w:eastAsia="Calibri" w:hAnsi="Calibri" w:cs="Times New Roman"/>
        </w:rPr>
        <w:t xml:space="preserve"> list. </w:t>
      </w:r>
    </w:p>
    <w:p w14:paraId="740EF663" w14:textId="77777777" w:rsidR="008E73C6" w:rsidRDefault="008E73C6" w:rsidP="00B011A5">
      <w:pPr>
        <w:spacing w:after="0" w:line="240" w:lineRule="auto"/>
        <w:rPr>
          <w:rFonts w:eastAsiaTheme="minorEastAsia" w:cs="Times New Roman"/>
          <w:u w:val="single"/>
        </w:rPr>
      </w:pPr>
    </w:p>
    <w:p w14:paraId="057D7525" w14:textId="7D0F2A33" w:rsidR="00B011A5" w:rsidRPr="00861783" w:rsidRDefault="00B011A5" w:rsidP="00861783">
      <w:pPr>
        <w:pStyle w:val="Heading2"/>
        <w:rPr>
          <w:rFonts w:eastAsiaTheme="minorEastAsia"/>
          <w:b/>
          <w:bCs/>
          <w:color w:val="auto"/>
        </w:rPr>
      </w:pPr>
      <w:r w:rsidRPr="00861783">
        <w:rPr>
          <w:rFonts w:eastAsiaTheme="minorEastAsia"/>
          <w:b/>
          <w:bCs/>
          <w:color w:val="auto"/>
        </w:rPr>
        <w:t xml:space="preserve">Appendix A - ADASS GUIDANCE RE PRIORISATION </w:t>
      </w:r>
    </w:p>
    <w:p w14:paraId="3903B8A6" w14:textId="77777777" w:rsidR="00B011A5" w:rsidRPr="00F44DFE" w:rsidRDefault="00B011A5" w:rsidP="00B011A5">
      <w:pPr>
        <w:spacing w:after="0" w:line="240" w:lineRule="auto"/>
        <w:rPr>
          <w:rFonts w:eastAsiaTheme="minorEastAsia" w:cs="Times New Roman"/>
          <w:b/>
        </w:rPr>
      </w:pPr>
    </w:p>
    <w:p w14:paraId="5ECF9896" w14:textId="77777777" w:rsidR="00B011A5" w:rsidRPr="00F44DFE" w:rsidRDefault="00B011A5" w:rsidP="00B011A5">
      <w:pPr>
        <w:spacing w:after="0" w:line="240" w:lineRule="auto"/>
        <w:rPr>
          <w:rFonts w:eastAsiaTheme="minorEastAsia" w:cs="Times New Roman"/>
          <w:b/>
        </w:rPr>
      </w:pPr>
      <w:r w:rsidRPr="00F44DFE">
        <w:rPr>
          <w:rFonts w:eastAsiaTheme="minorEastAsia" w:cs="Times New Roman"/>
          <w:b/>
        </w:rPr>
        <w:t xml:space="preserve">N.B. This guidance has been adapted from ADASS Advice Note, November 2014 </w:t>
      </w:r>
    </w:p>
    <w:p w14:paraId="5D1D9BFD" w14:textId="77777777" w:rsidR="00B011A5" w:rsidRPr="00F44DFE" w:rsidRDefault="00B011A5" w:rsidP="00B011A5">
      <w:pPr>
        <w:spacing w:after="0" w:line="240" w:lineRule="auto"/>
        <w:rPr>
          <w:rFonts w:eastAsiaTheme="minorEastAsia" w:cs="Times New Roman"/>
        </w:rPr>
      </w:pPr>
    </w:p>
    <w:p w14:paraId="53F62F85" w14:textId="0E586859" w:rsidR="00B011A5" w:rsidRPr="00F44DFE" w:rsidRDefault="00B011A5" w:rsidP="00B011A5">
      <w:pPr>
        <w:spacing w:after="0" w:line="240" w:lineRule="auto"/>
        <w:rPr>
          <w:rFonts w:eastAsiaTheme="minorEastAsia" w:cs="Times New Roman"/>
        </w:rPr>
      </w:pPr>
      <w:r w:rsidRPr="00F44DFE">
        <w:rPr>
          <w:rFonts w:eastAsiaTheme="minorEastAsia" w:cs="Times New Roman"/>
        </w:rPr>
        <w:t xml:space="preserve">A screening tool to prioritise the allocation of requests to authorise a deprivation of liberty has been developed, due to the vast increase in demand for assessments under the DoLS following the ruling in Cheshire West and the establishment of the “acid test”.  The ADASS task force members shared practice in relation to prioritisation and produced </w:t>
      </w:r>
      <w:r w:rsidR="0050280F">
        <w:rPr>
          <w:rFonts w:eastAsiaTheme="minorEastAsia" w:cs="Times New Roman"/>
        </w:rPr>
        <w:t>a</w:t>
      </w:r>
      <w:r w:rsidRPr="00F44DFE">
        <w:rPr>
          <w:rFonts w:eastAsiaTheme="minorEastAsia" w:cs="Times New Roman"/>
        </w:rPr>
        <w:t xml:space="preserve"> screening tool.  The aim of the tool is to assist Councils to respond in a timely manner to </w:t>
      </w:r>
      <w:r w:rsidR="0050280F">
        <w:rPr>
          <w:rFonts w:eastAsiaTheme="minorEastAsia" w:cs="Times New Roman"/>
        </w:rPr>
        <w:t xml:space="preserve">DoLS </w:t>
      </w:r>
      <w:r w:rsidRPr="00F44DFE">
        <w:rPr>
          <w:rFonts w:eastAsiaTheme="minorEastAsia" w:cs="Times New Roman"/>
        </w:rPr>
        <w:t xml:space="preserve">requests which have the highest priority.  The tool sets out the criteria most commonly applied which indicates that an urgent response may be needed so as to safeguard the individuals concerned.  The use of this tool must be balanced against the legal criteria for the DoLS which remains unchanged. </w:t>
      </w:r>
    </w:p>
    <w:p w14:paraId="2689EFC3" w14:textId="77777777" w:rsidR="00B011A5" w:rsidRPr="00F44DFE" w:rsidRDefault="00B011A5" w:rsidP="00B011A5">
      <w:pPr>
        <w:spacing w:after="0" w:line="240" w:lineRule="auto"/>
        <w:rPr>
          <w:rFonts w:eastAsiaTheme="minorEastAsia" w:cs="Times New Roman"/>
        </w:rPr>
      </w:pPr>
    </w:p>
    <w:p w14:paraId="14BFDBA4" w14:textId="594793BC" w:rsidR="00B011A5" w:rsidRPr="00F44DFE" w:rsidRDefault="00B011A5" w:rsidP="00B011A5">
      <w:r w:rsidRPr="00F44DFE">
        <w:t xml:space="preserve">Due to the number and complexity of </w:t>
      </w:r>
      <w:r w:rsidR="0050280F">
        <w:t xml:space="preserve">DoL requiring a </w:t>
      </w:r>
      <w:r w:rsidRPr="00F44DFE">
        <w:t>court application</w:t>
      </w:r>
      <w:r w:rsidR="0050280F">
        <w:t>,</w:t>
      </w:r>
      <w:r w:rsidRPr="00F44DFE">
        <w:t xml:space="preserve"> and limited resources, </w:t>
      </w:r>
      <w:r w:rsidR="0050280F">
        <w:t xml:space="preserve">such </w:t>
      </w:r>
      <w:r w:rsidRPr="00F44DFE">
        <w:t>applications also need to be prioritised. The following list has been adapted from the ADASS DoLS guidance to ensure it</w:t>
      </w:r>
      <w:r w:rsidR="0050280F">
        <w:t xml:space="preserve"> i</w:t>
      </w:r>
      <w:r w:rsidRPr="00F44DFE">
        <w:t>s relevant to settings other than hospitals and care homes.</w:t>
      </w:r>
    </w:p>
    <w:p w14:paraId="1F59E737" w14:textId="53B22E59" w:rsidR="00B011A5" w:rsidRPr="00F44DFE" w:rsidRDefault="00B011A5" w:rsidP="00B011A5">
      <w:r w:rsidRPr="00F44DFE">
        <w:t>If P fits any one or more of the criteria below, the court application should be prioritised:</w:t>
      </w:r>
    </w:p>
    <w:p w14:paraId="5707EB24" w14:textId="7252982B" w:rsidR="00B011A5" w:rsidRPr="00F44DFE" w:rsidRDefault="00B011A5" w:rsidP="0050280F">
      <w:pPr>
        <w:pStyle w:val="ListParagraph"/>
        <w:numPr>
          <w:ilvl w:val="0"/>
          <w:numId w:val="14"/>
        </w:numPr>
        <w:spacing w:after="200" w:line="276" w:lineRule="auto"/>
      </w:pPr>
      <w:r w:rsidRPr="00F44DFE">
        <w:t xml:space="preserve">P or any other relevant person is objecting to circumstances related to the </w:t>
      </w:r>
      <w:r w:rsidR="0050280F">
        <w:t>DoL</w:t>
      </w:r>
    </w:p>
    <w:p w14:paraId="65D4ACD3" w14:textId="373175BE" w:rsidR="00B011A5" w:rsidRPr="00F44DFE" w:rsidRDefault="00B011A5" w:rsidP="0050280F">
      <w:pPr>
        <w:pStyle w:val="ListParagraph"/>
        <w:numPr>
          <w:ilvl w:val="0"/>
          <w:numId w:val="14"/>
        </w:numPr>
        <w:spacing w:after="200" w:line="276" w:lineRule="auto"/>
      </w:pPr>
      <w:r w:rsidRPr="00F44DFE">
        <w:t xml:space="preserve">There is doubt or dispute about P’s mental capacity to consent to where to be accommodated for care and treatment </w:t>
      </w:r>
      <w:r w:rsidR="0050280F">
        <w:t>amounting</w:t>
      </w:r>
      <w:r w:rsidRPr="00F44DFE">
        <w:t xml:space="preserve"> to a DoL</w:t>
      </w:r>
    </w:p>
    <w:p w14:paraId="2AF7184F" w14:textId="53C31355" w:rsidR="00B011A5" w:rsidRPr="00F44DFE" w:rsidRDefault="00B011A5" w:rsidP="0050280F">
      <w:pPr>
        <w:pStyle w:val="ListParagraph"/>
        <w:numPr>
          <w:ilvl w:val="0"/>
          <w:numId w:val="14"/>
        </w:numPr>
        <w:spacing w:after="200" w:line="276" w:lineRule="auto"/>
      </w:pPr>
      <w:r w:rsidRPr="00F44DFE">
        <w:t>P receives continuous (24/7) care that is fully or partly funded through health or social care</w:t>
      </w:r>
    </w:p>
    <w:p w14:paraId="646C59A0" w14:textId="42703718" w:rsidR="00B011A5" w:rsidRPr="00F44DFE" w:rsidRDefault="00B011A5" w:rsidP="0050280F">
      <w:pPr>
        <w:pStyle w:val="ListParagraph"/>
        <w:numPr>
          <w:ilvl w:val="0"/>
          <w:numId w:val="14"/>
        </w:numPr>
        <w:spacing w:after="200" w:line="276" w:lineRule="auto"/>
      </w:pPr>
      <w:r w:rsidRPr="00F44DFE">
        <w:t xml:space="preserve">P receives sedation/medication frequently to control their behaviour </w:t>
      </w:r>
    </w:p>
    <w:p w14:paraId="2BB7418B" w14:textId="01313013" w:rsidR="00B011A5" w:rsidRPr="00F44DFE" w:rsidRDefault="00B011A5" w:rsidP="0050280F">
      <w:pPr>
        <w:pStyle w:val="ListParagraph"/>
        <w:numPr>
          <w:ilvl w:val="0"/>
          <w:numId w:val="14"/>
        </w:numPr>
        <w:spacing w:after="200" w:line="276" w:lineRule="auto"/>
      </w:pPr>
      <w:r w:rsidRPr="00F44DFE">
        <w:t xml:space="preserve">Physical restraint </w:t>
      </w:r>
      <w:r w:rsidR="007778C0" w:rsidRPr="00F44DFE">
        <w:t xml:space="preserve">is </w:t>
      </w:r>
      <w:r w:rsidRPr="00F44DFE">
        <w:t xml:space="preserve">used regularly </w:t>
      </w:r>
      <w:r w:rsidR="007778C0">
        <w:t xml:space="preserve">(using </w:t>
      </w:r>
      <w:r w:rsidRPr="00F44DFE">
        <w:t xml:space="preserve">equipment or </w:t>
      </w:r>
      <w:r w:rsidR="007778C0">
        <w:t xml:space="preserve">by </w:t>
      </w:r>
      <w:r w:rsidRPr="00F44DFE">
        <w:t>persons</w:t>
      </w:r>
      <w:r w:rsidR="007778C0">
        <w:t>)</w:t>
      </w:r>
    </w:p>
    <w:p w14:paraId="305A32FC" w14:textId="39E75F59" w:rsidR="00B011A5" w:rsidRPr="00F44DFE" w:rsidRDefault="00B011A5" w:rsidP="0050280F">
      <w:pPr>
        <w:pStyle w:val="ListParagraph"/>
        <w:numPr>
          <w:ilvl w:val="0"/>
          <w:numId w:val="14"/>
        </w:numPr>
        <w:spacing w:after="200" w:line="276" w:lineRule="auto"/>
      </w:pPr>
      <w:r w:rsidRPr="00F44DFE">
        <w:t>There are restrictions on family/ friend contact (or other Article 8 issue)</w:t>
      </w:r>
    </w:p>
    <w:p w14:paraId="0F62BDF3" w14:textId="3D97CA74" w:rsidR="00B011A5" w:rsidRPr="00F44DFE" w:rsidRDefault="00B011A5" w:rsidP="0050280F">
      <w:pPr>
        <w:pStyle w:val="ListParagraph"/>
        <w:numPr>
          <w:ilvl w:val="0"/>
          <w:numId w:val="14"/>
        </w:numPr>
        <w:spacing w:after="200" w:line="276" w:lineRule="auto"/>
      </w:pPr>
      <w:r w:rsidRPr="00F44DFE">
        <w:t xml:space="preserve">P is making attempts to leave, or any other relevant person wishes to remove them </w:t>
      </w:r>
    </w:p>
    <w:p w14:paraId="5A1DC2EE" w14:textId="3BF77300" w:rsidR="00B011A5" w:rsidRPr="00F44DFE" w:rsidRDefault="00B011A5" w:rsidP="0050280F">
      <w:pPr>
        <w:pStyle w:val="ListParagraph"/>
        <w:numPr>
          <w:ilvl w:val="0"/>
          <w:numId w:val="14"/>
        </w:numPr>
        <w:spacing w:after="200" w:line="276" w:lineRule="auto"/>
      </w:pPr>
      <w:r w:rsidRPr="00F44DFE">
        <w:t xml:space="preserve">P is confined to a particular part of the establishment for considerable period of time </w:t>
      </w:r>
    </w:p>
    <w:p w14:paraId="42CC1262" w14:textId="5B8B808C" w:rsidR="00B011A5" w:rsidRPr="00F44DFE" w:rsidRDefault="00B011A5" w:rsidP="0050280F">
      <w:pPr>
        <w:pStyle w:val="ListParagraph"/>
        <w:numPr>
          <w:ilvl w:val="0"/>
          <w:numId w:val="14"/>
        </w:numPr>
        <w:spacing w:after="200" w:line="276" w:lineRule="auto"/>
      </w:pPr>
      <w:r w:rsidRPr="00F44DFE">
        <w:t>P’s placement is new or unstable</w:t>
      </w:r>
    </w:p>
    <w:p w14:paraId="29E9FEFD" w14:textId="7304D87B" w:rsidR="00B011A5" w:rsidRPr="00F44DFE" w:rsidRDefault="00B011A5" w:rsidP="0050280F">
      <w:pPr>
        <w:pStyle w:val="ListParagraph"/>
        <w:numPr>
          <w:ilvl w:val="0"/>
          <w:numId w:val="14"/>
        </w:numPr>
        <w:spacing w:after="200" w:line="276" w:lineRule="auto"/>
      </w:pPr>
      <w:r w:rsidRPr="00F44DFE">
        <w:t xml:space="preserve">There is a possible challenge to Court of Protection, or a complaint </w:t>
      </w:r>
    </w:p>
    <w:p w14:paraId="10E7EB08" w14:textId="38C615B1" w:rsidR="00B011A5" w:rsidRPr="00F44DFE" w:rsidRDefault="00B011A5" w:rsidP="00861783">
      <w:pPr>
        <w:pStyle w:val="ListParagraph"/>
        <w:numPr>
          <w:ilvl w:val="0"/>
          <w:numId w:val="14"/>
        </w:numPr>
        <w:spacing w:after="0" w:line="240" w:lineRule="auto"/>
      </w:pPr>
      <w:r w:rsidRPr="00F44DFE">
        <w:t>P is already subject to a DoL authorisation which is about to expire.</w:t>
      </w:r>
    </w:p>
    <w:p w14:paraId="2C305172" w14:textId="77777777" w:rsidR="00B011A5" w:rsidRPr="00F44DFE" w:rsidRDefault="00B011A5" w:rsidP="00861783">
      <w:pPr>
        <w:pStyle w:val="ListParagraph"/>
        <w:spacing w:after="0" w:line="240" w:lineRule="auto"/>
      </w:pPr>
    </w:p>
    <w:p w14:paraId="7186DA94" w14:textId="77777777" w:rsidR="000625AD" w:rsidRPr="00E10FB0" w:rsidRDefault="000625AD" w:rsidP="00861783">
      <w:pPr>
        <w:spacing w:after="0" w:line="240" w:lineRule="auto"/>
        <w:rPr>
          <w:rFonts w:ascii="Calibri" w:eastAsia="Calibri" w:hAnsi="Calibri" w:cs="Times New Roman"/>
        </w:rPr>
      </w:pPr>
      <w:r w:rsidRPr="00E10FB0">
        <w:rPr>
          <w:rFonts w:ascii="Calibri" w:eastAsia="Calibri" w:hAnsi="Calibri" w:cs="Times New Roman"/>
        </w:rPr>
        <w:t xml:space="preserve">Where there appears to be no material difference between cases on the basis of ADASS guidance e.g., neither seems riskier than the other, </w:t>
      </w:r>
      <w:r w:rsidRPr="00E10FB0">
        <w:t>the following will be taken into account:</w:t>
      </w:r>
    </w:p>
    <w:p w14:paraId="5D7C4332" w14:textId="686B9915" w:rsidR="000625AD" w:rsidRPr="00F44DFE" w:rsidRDefault="000625AD" w:rsidP="000625AD">
      <w:pPr>
        <w:pStyle w:val="ListParagraph"/>
        <w:numPr>
          <w:ilvl w:val="0"/>
          <w:numId w:val="12"/>
        </w:numPr>
      </w:pPr>
      <w:r>
        <w:t>Which</w:t>
      </w:r>
      <w:r w:rsidRPr="00F44DFE">
        <w:t xml:space="preserve"> P </w:t>
      </w:r>
      <w:r>
        <w:t>is</w:t>
      </w:r>
      <w:r w:rsidRPr="00F44DFE">
        <w:t xml:space="preserve"> experiencing the highest level of state interference</w:t>
      </w:r>
      <w:r>
        <w:t xml:space="preserve"> e.g. higher levels of restraint or higher levels of controlling medication (the higher the level of interference, the higher the priority)</w:t>
      </w:r>
      <w:r w:rsidRPr="00F44DFE">
        <w:t xml:space="preserve">    </w:t>
      </w:r>
    </w:p>
    <w:p w14:paraId="032AB081" w14:textId="77777777" w:rsidR="000625AD" w:rsidRPr="00E10FB0" w:rsidRDefault="000625AD" w:rsidP="000625AD">
      <w:pPr>
        <w:pStyle w:val="ListParagraph"/>
        <w:numPr>
          <w:ilvl w:val="0"/>
          <w:numId w:val="12"/>
        </w:numPr>
        <w:spacing w:line="256" w:lineRule="auto"/>
        <w:rPr>
          <w:rFonts w:ascii="Calibri" w:eastAsia="Calibri" w:hAnsi="Calibri" w:cs="Times New Roman"/>
        </w:rPr>
      </w:pPr>
      <w:r w:rsidRPr="00E10FB0">
        <w:rPr>
          <w:rFonts w:ascii="Calibri" w:eastAsia="Calibri" w:hAnsi="Calibri" w:cs="Times New Roman"/>
        </w:rPr>
        <w:t>The date a case was lodged on the system (the earliest lodged cases will be managed first)</w:t>
      </w:r>
    </w:p>
    <w:p w14:paraId="17C20874" w14:textId="77777777" w:rsidR="000625AD" w:rsidRPr="00E10FB0" w:rsidRDefault="000625AD" w:rsidP="000625AD">
      <w:pPr>
        <w:pStyle w:val="ListParagraph"/>
        <w:numPr>
          <w:ilvl w:val="0"/>
          <w:numId w:val="12"/>
        </w:numPr>
        <w:spacing w:line="256" w:lineRule="auto"/>
        <w:rPr>
          <w:rFonts w:ascii="Calibri" w:eastAsia="Calibri" w:hAnsi="Calibri" w:cs="Times New Roman"/>
        </w:rPr>
      </w:pPr>
      <w:r w:rsidRPr="00E10FB0">
        <w:rPr>
          <w:rFonts w:ascii="Calibri" w:eastAsia="Calibri" w:hAnsi="Calibri" w:cs="Times New Roman"/>
        </w:rPr>
        <w:t>Staff capacity i.e., the number of court cases which that worker is already managing (there may be some cases where waiting for availability of a worker who knows P best to manage the case, is beneficial for P).</w:t>
      </w:r>
    </w:p>
    <w:p w14:paraId="44179729" w14:textId="6D2CFA2F" w:rsidR="00B011A5" w:rsidRPr="00F44DFE" w:rsidRDefault="00B011A5" w:rsidP="00B011A5">
      <w:pPr>
        <w:spacing w:after="0" w:line="240" w:lineRule="auto"/>
        <w:rPr>
          <w:rFonts w:eastAsiaTheme="minorEastAsia" w:cs="Times New Roman"/>
          <w:b/>
        </w:rPr>
      </w:pPr>
      <w:r w:rsidRPr="00F44DFE">
        <w:rPr>
          <w:rFonts w:eastAsiaTheme="minorEastAsia" w:cs="Times New Roman"/>
        </w:rPr>
        <w:t xml:space="preserve">This criteria should be used as an </w:t>
      </w:r>
      <w:r w:rsidRPr="00F44DFE">
        <w:rPr>
          <w:rFonts w:eastAsiaTheme="minorEastAsia" w:cs="Times New Roman"/>
          <w:b/>
        </w:rPr>
        <w:t>indicative guide only; each case must be judged on its own facts</w:t>
      </w:r>
      <w:r w:rsidR="000625AD">
        <w:rPr>
          <w:rFonts w:eastAsiaTheme="minorEastAsia" w:cs="Times New Roman"/>
          <w:b/>
        </w:rPr>
        <w:t xml:space="preserve">.  </w:t>
      </w:r>
    </w:p>
    <w:p w14:paraId="366A84EE" w14:textId="77777777" w:rsidR="00B011A5" w:rsidRPr="00861783" w:rsidRDefault="00B011A5" w:rsidP="00861783">
      <w:pPr>
        <w:rPr>
          <w:rFonts w:ascii="Calibri" w:eastAsia="Calibri" w:hAnsi="Calibri" w:cs="Times New Roman"/>
        </w:rPr>
      </w:pPr>
    </w:p>
    <w:sectPr w:rsidR="00B011A5" w:rsidRPr="00861783">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AEF8" w14:textId="77777777" w:rsidR="000D7EBC" w:rsidRDefault="000D7EBC" w:rsidP="00827C1F">
      <w:pPr>
        <w:spacing w:after="0" w:line="240" w:lineRule="auto"/>
      </w:pPr>
      <w:r>
        <w:separator/>
      </w:r>
    </w:p>
  </w:endnote>
  <w:endnote w:type="continuationSeparator" w:id="0">
    <w:p w14:paraId="41E7C124" w14:textId="77777777" w:rsidR="000D7EBC" w:rsidRDefault="000D7EBC" w:rsidP="0082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404704"/>
      <w:docPartObj>
        <w:docPartGallery w:val="Page Numbers (Bottom of Page)"/>
        <w:docPartUnique/>
      </w:docPartObj>
    </w:sdtPr>
    <w:sdtEndPr>
      <w:rPr>
        <w:noProof/>
      </w:rPr>
    </w:sdtEndPr>
    <w:sdtContent>
      <w:p w14:paraId="329E8B54" w14:textId="6964E9AD" w:rsidR="00827C1F" w:rsidRDefault="00827C1F">
        <w:pPr>
          <w:pStyle w:val="Footer"/>
          <w:jc w:val="center"/>
        </w:pPr>
        <w:r>
          <w:fldChar w:fldCharType="begin"/>
        </w:r>
        <w:r>
          <w:instrText xml:space="preserve"> PAGE   \* MERGEFORMAT </w:instrText>
        </w:r>
        <w:r>
          <w:fldChar w:fldCharType="separate"/>
        </w:r>
        <w:r w:rsidR="008D227F">
          <w:rPr>
            <w:noProof/>
          </w:rPr>
          <w:t>4</w:t>
        </w:r>
        <w:r>
          <w:rPr>
            <w:noProof/>
          </w:rPr>
          <w:fldChar w:fldCharType="end"/>
        </w:r>
      </w:p>
    </w:sdtContent>
  </w:sdt>
  <w:p w14:paraId="6FDFECC1" w14:textId="77777777" w:rsidR="00827C1F" w:rsidRDefault="00827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C40F" w14:textId="77777777" w:rsidR="000D7EBC" w:rsidRDefault="000D7EBC" w:rsidP="00827C1F">
      <w:pPr>
        <w:spacing w:after="0" w:line="240" w:lineRule="auto"/>
      </w:pPr>
      <w:r>
        <w:separator/>
      </w:r>
    </w:p>
  </w:footnote>
  <w:footnote w:type="continuationSeparator" w:id="0">
    <w:p w14:paraId="3931F537" w14:textId="77777777" w:rsidR="000D7EBC" w:rsidRDefault="000D7EBC" w:rsidP="00827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ECE5" w14:textId="1FDFA04D" w:rsidR="005F10DA" w:rsidRDefault="00141919">
    <w:pPr>
      <w:pStyle w:val="Header"/>
    </w:pPr>
    <w:r>
      <w:rPr>
        <w:noProof/>
      </w:rPr>
      <mc:AlternateContent>
        <mc:Choice Requires="wps">
          <w:drawing>
            <wp:anchor distT="0" distB="0" distL="0" distR="0" simplePos="0" relativeHeight="251659264" behindDoc="0" locked="0" layoutInCell="1" allowOverlap="1" wp14:anchorId="61156DC8" wp14:editId="0366747A">
              <wp:simplePos x="635" y="635"/>
              <wp:positionH relativeFrom="page">
                <wp:align>left</wp:align>
              </wp:positionH>
              <wp:positionV relativeFrom="page">
                <wp:align>top</wp:align>
              </wp:positionV>
              <wp:extent cx="1187450" cy="357505"/>
              <wp:effectExtent l="0" t="0" r="12700" b="4445"/>
              <wp:wrapNone/>
              <wp:docPr id="1727681191"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355BFF55" w14:textId="255F330D" w:rsidR="00141919" w:rsidRPr="00141919" w:rsidRDefault="00141919" w:rsidP="00141919">
                          <w:pPr>
                            <w:spacing w:after="0"/>
                            <w:rPr>
                              <w:rFonts w:ascii="Calibri" w:eastAsia="Calibri" w:hAnsi="Calibri" w:cs="Calibri"/>
                              <w:noProof/>
                              <w:color w:val="000000"/>
                              <w:sz w:val="20"/>
                              <w:szCs w:val="20"/>
                            </w:rPr>
                          </w:pPr>
                          <w:r w:rsidRPr="00141919">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156DC8" id="_x0000_t202" coordsize="21600,21600" o:spt="202" path="m,l,21600r21600,l21600,xe">
              <v:stroke joinstyle="miter"/>
              <v:path gradientshapeok="t" o:connecttype="rect"/>
            </v:shapetype>
            <v:shape id="Text Box 5" o:spid="_x0000_s1026" type="#_x0000_t202" alt="NO RESTRICTIONS" style="position:absolute;margin-left:0;margin-top:0;width:93.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" filled="f" stroked="f">
              <v:fill o:detectmouseclick="t"/>
              <v:textbox style="mso-fit-shape-to-text:t" inset="20pt,15pt,0,0">
                <w:txbxContent>
                  <w:p w14:paraId="355BFF55" w14:textId="255F330D" w:rsidR="00141919" w:rsidRPr="00141919" w:rsidRDefault="00141919" w:rsidP="00141919">
                    <w:pPr>
                      <w:spacing w:after="0"/>
                      <w:rPr>
                        <w:rFonts w:ascii="Calibri" w:eastAsia="Calibri" w:hAnsi="Calibri" w:cs="Calibri"/>
                        <w:noProof/>
                        <w:color w:val="000000"/>
                        <w:sz w:val="20"/>
                        <w:szCs w:val="20"/>
                      </w:rPr>
                    </w:pPr>
                    <w:r w:rsidRPr="00141919">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11B8" w14:textId="66BE6991" w:rsidR="005F10DA" w:rsidRDefault="00141919">
    <w:pPr>
      <w:pStyle w:val="Header"/>
    </w:pPr>
    <w:r>
      <w:rPr>
        <w:noProof/>
      </w:rPr>
      <mc:AlternateContent>
        <mc:Choice Requires="wps">
          <w:drawing>
            <wp:anchor distT="0" distB="0" distL="0" distR="0" simplePos="0" relativeHeight="251660288" behindDoc="0" locked="0" layoutInCell="1" allowOverlap="1" wp14:anchorId="31E4DB75" wp14:editId="1EE387F8">
              <wp:simplePos x="635" y="635"/>
              <wp:positionH relativeFrom="page">
                <wp:align>left</wp:align>
              </wp:positionH>
              <wp:positionV relativeFrom="page">
                <wp:align>top</wp:align>
              </wp:positionV>
              <wp:extent cx="1187450" cy="357505"/>
              <wp:effectExtent l="0" t="0" r="12700" b="4445"/>
              <wp:wrapNone/>
              <wp:docPr id="457738852"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7F7609FB" w14:textId="6E69E707" w:rsidR="00141919" w:rsidRPr="00141919" w:rsidRDefault="00141919" w:rsidP="00141919">
                          <w:pPr>
                            <w:spacing w:after="0"/>
                            <w:rPr>
                              <w:rFonts w:ascii="Calibri" w:eastAsia="Calibri" w:hAnsi="Calibri" w:cs="Calibri"/>
                              <w:noProof/>
                              <w:color w:val="000000"/>
                              <w:sz w:val="20"/>
                              <w:szCs w:val="20"/>
                            </w:rPr>
                          </w:pPr>
                          <w:r w:rsidRPr="00141919">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E4DB75" id="_x0000_t202" coordsize="21600,21600" o:spt="202" path="m,l,21600r21600,l21600,xe">
              <v:stroke joinstyle="miter"/>
              <v:path gradientshapeok="t" o:connecttype="rect"/>
            </v:shapetype>
            <v:shape id="Text Box 6" o:spid="_x0000_s1027" type="#_x0000_t202" alt="NO RESTRICTIONS" style="position:absolute;margin-left:0;margin-top:0;width:93.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" filled="f" stroked="f">
              <v:fill o:detectmouseclick="t"/>
              <v:textbox style="mso-fit-shape-to-text:t" inset="20pt,15pt,0,0">
                <w:txbxContent>
                  <w:p w14:paraId="7F7609FB" w14:textId="6E69E707" w:rsidR="00141919" w:rsidRPr="00141919" w:rsidRDefault="00141919" w:rsidP="00141919">
                    <w:pPr>
                      <w:spacing w:after="0"/>
                      <w:rPr>
                        <w:rFonts w:ascii="Calibri" w:eastAsia="Calibri" w:hAnsi="Calibri" w:cs="Calibri"/>
                        <w:noProof/>
                        <w:color w:val="000000"/>
                        <w:sz w:val="20"/>
                        <w:szCs w:val="20"/>
                      </w:rPr>
                    </w:pPr>
                    <w:r w:rsidRPr="00141919">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A819" w14:textId="6F18F39B" w:rsidR="005F10DA" w:rsidRDefault="00141919">
    <w:pPr>
      <w:pStyle w:val="Header"/>
    </w:pPr>
    <w:r>
      <w:rPr>
        <w:noProof/>
      </w:rPr>
      <mc:AlternateContent>
        <mc:Choice Requires="wps">
          <w:drawing>
            <wp:anchor distT="0" distB="0" distL="0" distR="0" simplePos="0" relativeHeight="251658240" behindDoc="0" locked="0" layoutInCell="1" allowOverlap="1" wp14:anchorId="2B467F57" wp14:editId="2B28DB52">
              <wp:simplePos x="635" y="635"/>
              <wp:positionH relativeFrom="page">
                <wp:align>left</wp:align>
              </wp:positionH>
              <wp:positionV relativeFrom="page">
                <wp:align>top</wp:align>
              </wp:positionV>
              <wp:extent cx="1187450" cy="357505"/>
              <wp:effectExtent l="0" t="0" r="12700" b="4445"/>
              <wp:wrapNone/>
              <wp:docPr id="1102676261"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0F96B4A5" w14:textId="239CD910" w:rsidR="00141919" w:rsidRPr="00141919" w:rsidRDefault="00141919" w:rsidP="00141919">
                          <w:pPr>
                            <w:spacing w:after="0"/>
                            <w:rPr>
                              <w:rFonts w:ascii="Calibri" w:eastAsia="Calibri" w:hAnsi="Calibri" w:cs="Calibri"/>
                              <w:noProof/>
                              <w:color w:val="000000"/>
                              <w:sz w:val="20"/>
                              <w:szCs w:val="20"/>
                            </w:rPr>
                          </w:pPr>
                          <w:r w:rsidRPr="00141919">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467F57" id="_x0000_t202" coordsize="21600,21600" o:spt="202" path="m,l,21600r21600,l21600,xe">
              <v:stroke joinstyle="miter"/>
              <v:path gradientshapeok="t" o:connecttype="rect"/>
            </v:shapetype>
            <v:shape id="Text Box 4" o:spid="_x0000_s1028" type="#_x0000_t202" alt="NO RESTRICTIONS" style="position:absolute;margin-left:0;margin-top:0;width:93.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" filled="f" stroked="f">
              <v:fill o:detectmouseclick="t"/>
              <v:textbox style="mso-fit-shape-to-text:t" inset="20pt,15pt,0,0">
                <w:txbxContent>
                  <w:p w14:paraId="0F96B4A5" w14:textId="239CD910" w:rsidR="00141919" w:rsidRPr="00141919" w:rsidRDefault="00141919" w:rsidP="00141919">
                    <w:pPr>
                      <w:spacing w:after="0"/>
                      <w:rPr>
                        <w:rFonts w:ascii="Calibri" w:eastAsia="Calibri" w:hAnsi="Calibri" w:cs="Calibri"/>
                        <w:noProof/>
                        <w:color w:val="000000"/>
                        <w:sz w:val="20"/>
                        <w:szCs w:val="20"/>
                      </w:rPr>
                    </w:pPr>
                    <w:r w:rsidRPr="00141919">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9F9"/>
    <w:multiLevelType w:val="hybridMultilevel"/>
    <w:tmpl w:val="3272B1B2"/>
    <w:lvl w:ilvl="0" w:tplc="EDCA0A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47C2A"/>
    <w:multiLevelType w:val="hybridMultilevel"/>
    <w:tmpl w:val="389C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249FD"/>
    <w:multiLevelType w:val="hybridMultilevel"/>
    <w:tmpl w:val="5486F620"/>
    <w:lvl w:ilvl="0" w:tplc="27762D4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D67F2C"/>
    <w:multiLevelType w:val="hybridMultilevel"/>
    <w:tmpl w:val="3BF200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7532E5"/>
    <w:multiLevelType w:val="hybridMultilevel"/>
    <w:tmpl w:val="7474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60DED"/>
    <w:multiLevelType w:val="hybridMultilevel"/>
    <w:tmpl w:val="E8B287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407166C9"/>
    <w:multiLevelType w:val="hybridMultilevel"/>
    <w:tmpl w:val="08A041F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4909107B"/>
    <w:multiLevelType w:val="hybridMultilevel"/>
    <w:tmpl w:val="3272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45234C"/>
    <w:multiLevelType w:val="hybridMultilevel"/>
    <w:tmpl w:val="A4FCDD2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46D0442"/>
    <w:multiLevelType w:val="hybridMultilevel"/>
    <w:tmpl w:val="08CE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E3201"/>
    <w:multiLevelType w:val="hybridMultilevel"/>
    <w:tmpl w:val="1C346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631276"/>
    <w:multiLevelType w:val="hybridMultilevel"/>
    <w:tmpl w:val="50DECA5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BF0CEE"/>
    <w:multiLevelType w:val="hybridMultilevel"/>
    <w:tmpl w:val="54B40524"/>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num w:numId="1" w16cid:durableId="1085149194">
    <w:abstractNumId w:val="0"/>
  </w:num>
  <w:num w:numId="2" w16cid:durableId="1374037539">
    <w:abstractNumId w:val="4"/>
  </w:num>
  <w:num w:numId="3" w16cid:durableId="2042900455">
    <w:abstractNumId w:val="2"/>
  </w:num>
  <w:num w:numId="4" w16cid:durableId="549997398">
    <w:abstractNumId w:val="2"/>
  </w:num>
  <w:num w:numId="5" w16cid:durableId="2099791700">
    <w:abstractNumId w:val="6"/>
  </w:num>
  <w:num w:numId="6" w16cid:durableId="47609966">
    <w:abstractNumId w:val="9"/>
  </w:num>
  <w:num w:numId="7" w16cid:durableId="976299737">
    <w:abstractNumId w:val="1"/>
  </w:num>
  <w:num w:numId="8" w16cid:durableId="1917284681">
    <w:abstractNumId w:val="5"/>
  </w:num>
  <w:num w:numId="9" w16cid:durableId="1146967058">
    <w:abstractNumId w:val="11"/>
  </w:num>
  <w:num w:numId="10" w16cid:durableId="936402748">
    <w:abstractNumId w:val="7"/>
  </w:num>
  <w:num w:numId="11" w16cid:durableId="406998913">
    <w:abstractNumId w:val="10"/>
  </w:num>
  <w:num w:numId="12" w16cid:durableId="298387530">
    <w:abstractNumId w:val="12"/>
  </w:num>
  <w:num w:numId="13" w16cid:durableId="1305236339">
    <w:abstractNumId w:val="3"/>
  </w:num>
  <w:num w:numId="14" w16cid:durableId="4206859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9EB"/>
    <w:rsid w:val="00043B6C"/>
    <w:rsid w:val="000625AD"/>
    <w:rsid w:val="0008127F"/>
    <w:rsid w:val="000D7EBC"/>
    <w:rsid w:val="000E78E0"/>
    <w:rsid w:val="001001D9"/>
    <w:rsid w:val="00141919"/>
    <w:rsid w:val="001D4963"/>
    <w:rsid w:val="00264965"/>
    <w:rsid w:val="00293642"/>
    <w:rsid w:val="002A1816"/>
    <w:rsid w:val="00356383"/>
    <w:rsid w:val="00377046"/>
    <w:rsid w:val="003905D7"/>
    <w:rsid w:val="00403742"/>
    <w:rsid w:val="004437AB"/>
    <w:rsid w:val="004C66A4"/>
    <w:rsid w:val="004E30BF"/>
    <w:rsid w:val="0050280F"/>
    <w:rsid w:val="00523FBE"/>
    <w:rsid w:val="00533FD9"/>
    <w:rsid w:val="00542A5D"/>
    <w:rsid w:val="00593D75"/>
    <w:rsid w:val="005977E9"/>
    <w:rsid w:val="005D3922"/>
    <w:rsid w:val="005D537E"/>
    <w:rsid w:val="005E5170"/>
    <w:rsid w:val="005F0610"/>
    <w:rsid w:val="005F10DA"/>
    <w:rsid w:val="00606AEA"/>
    <w:rsid w:val="0064370B"/>
    <w:rsid w:val="0065435F"/>
    <w:rsid w:val="0066299B"/>
    <w:rsid w:val="00682360"/>
    <w:rsid w:val="00694A24"/>
    <w:rsid w:val="006C02F2"/>
    <w:rsid w:val="006C15DD"/>
    <w:rsid w:val="007778C0"/>
    <w:rsid w:val="007A5A22"/>
    <w:rsid w:val="007C0865"/>
    <w:rsid w:val="007C3EF1"/>
    <w:rsid w:val="00804345"/>
    <w:rsid w:val="008266AC"/>
    <w:rsid w:val="00827C1F"/>
    <w:rsid w:val="00835120"/>
    <w:rsid w:val="008502CD"/>
    <w:rsid w:val="00861783"/>
    <w:rsid w:val="008A3811"/>
    <w:rsid w:val="008D227F"/>
    <w:rsid w:val="008E15EE"/>
    <w:rsid w:val="008E73C6"/>
    <w:rsid w:val="008F79EB"/>
    <w:rsid w:val="00933545"/>
    <w:rsid w:val="00A32E63"/>
    <w:rsid w:val="00A50712"/>
    <w:rsid w:val="00A62636"/>
    <w:rsid w:val="00A73D95"/>
    <w:rsid w:val="00AA4AC8"/>
    <w:rsid w:val="00AE0B9D"/>
    <w:rsid w:val="00B011A5"/>
    <w:rsid w:val="00B07468"/>
    <w:rsid w:val="00B81E68"/>
    <w:rsid w:val="00B928A0"/>
    <w:rsid w:val="00BA6300"/>
    <w:rsid w:val="00BC5526"/>
    <w:rsid w:val="00BC761B"/>
    <w:rsid w:val="00BD275A"/>
    <w:rsid w:val="00BD35AF"/>
    <w:rsid w:val="00C1220B"/>
    <w:rsid w:val="00C46310"/>
    <w:rsid w:val="00C56B7A"/>
    <w:rsid w:val="00C608DC"/>
    <w:rsid w:val="00CE4B9D"/>
    <w:rsid w:val="00CE6A58"/>
    <w:rsid w:val="00D040DC"/>
    <w:rsid w:val="00D436EB"/>
    <w:rsid w:val="00D6759F"/>
    <w:rsid w:val="00D826B9"/>
    <w:rsid w:val="00D909B9"/>
    <w:rsid w:val="00DE5F25"/>
    <w:rsid w:val="00E10FB0"/>
    <w:rsid w:val="00E16DCB"/>
    <w:rsid w:val="00E20BF5"/>
    <w:rsid w:val="00E73EBA"/>
    <w:rsid w:val="00EA7E37"/>
    <w:rsid w:val="00EB0185"/>
    <w:rsid w:val="00EB542D"/>
    <w:rsid w:val="00EC2ADD"/>
    <w:rsid w:val="00ED0B69"/>
    <w:rsid w:val="00ED3E42"/>
    <w:rsid w:val="00F075BC"/>
    <w:rsid w:val="00F44DFE"/>
    <w:rsid w:val="00F51EEC"/>
    <w:rsid w:val="00FD0E70"/>
    <w:rsid w:val="00FE5AF7"/>
    <w:rsid w:val="00FF5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0C5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F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0F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39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9EB"/>
    <w:pPr>
      <w:ind w:left="720"/>
      <w:contextualSpacing/>
    </w:pPr>
  </w:style>
  <w:style w:type="table" w:styleId="TableGrid">
    <w:name w:val="Table Grid"/>
    <w:basedOn w:val="TableNormal"/>
    <w:uiPriority w:val="39"/>
    <w:rsid w:val="007C0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435F"/>
    <w:rPr>
      <w:sz w:val="16"/>
      <w:szCs w:val="16"/>
    </w:rPr>
  </w:style>
  <w:style w:type="paragraph" w:styleId="CommentText">
    <w:name w:val="annotation text"/>
    <w:basedOn w:val="Normal"/>
    <w:link w:val="CommentTextChar"/>
    <w:uiPriority w:val="99"/>
    <w:unhideWhenUsed/>
    <w:rsid w:val="0065435F"/>
    <w:pPr>
      <w:spacing w:line="240" w:lineRule="auto"/>
    </w:pPr>
    <w:rPr>
      <w:sz w:val="20"/>
      <w:szCs w:val="20"/>
    </w:rPr>
  </w:style>
  <w:style w:type="character" w:customStyle="1" w:styleId="CommentTextChar">
    <w:name w:val="Comment Text Char"/>
    <w:basedOn w:val="DefaultParagraphFont"/>
    <w:link w:val="CommentText"/>
    <w:uiPriority w:val="99"/>
    <w:rsid w:val="0065435F"/>
    <w:rPr>
      <w:sz w:val="20"/>
      <w:szCs w:val="20"/>
    </w:rPr>
  </w:style>
  <w:style w:type="paragraph" w:styleId="CommentSubject">
    <w:name w:val="annotation subject"/>
    <w:basedOn w:val="CommentText"/>
    <w:next w:val="CommentText"/>
    <w:link w:val="CommentSubjectChar"/>
    <w:uiPriority w:val="99"/>
    <w:semiHidden/>
    <w:unhideWhenUsed/>
    <w:rsid w:val="0065435F"/>
    <w:rPr>
      <w:b/>
      <w:bCs/>
    </w:rPr>
  </w:style>
  <w:style w:type="character" w:customStyle="1" w:styleId="CommentSubjectChar">
    <w:name w:val="Comment Subject Char"/>
    <w:basedOn w:val="CommentTextChar"/>
    <w:link w:val="CommentSubject"/>
    <w:uiPriority w:val="99"/>
    <w:semiHidden/>
    <w:rsid w:val="0065435F"/>
    <w:rPr>
      <w:b/>
      <w:bCs/>
      <w:sz w:val="20"/>
      <w:szCs w:val="20"/>
    </w:rPr>
  </w:style>
  <w:style w:type="paragraph" w:styleId="Header">
    <w:name w:val="header"/>
    <w:basedOn w:val="Normal"/>
    <w:link w:val="HeaderChar"/>
    <w:uiPriority w:val="99"/>
    <w:unhideWhenUsed/>
    <w:rsid w:val="00827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C1F"/>
  </w:style>
  <w:style w:type="paragraph" w:styleId="Footer">
    <w:name w:val="footer"/>
    <w:basedOn w:val="Normal"/>
    <w:link w:val="FooterChar"/>
    <w:uiPriority w:val="99"/>
    <w:unhideWhenUsed/>
    <w:rsid w:val="00827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C1F"/>
  </w:style>
  <w:style w:type="paragraph" w:styleId="FootnoteText">
    <w:name w:val="footnote text"/>
    <w:basedOn w:val="Normal"/>
    <w:link w:val="FootnoteTextChar"/>
    <w:uiPriority w:val="99"/>
    <w:semiHidden/>
    <w:unhideWhenUsed/>
    <w:rsid w:val="00B011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11A5"/>
    <w:rPr>
      <w:sz w:val="20"/>
      <w:szCs w:val="20"/>
    </w:rPr>
  </w:style>
  <w:style w:type="character" w:styleId="FootnoteReference">
    <w:name w:val="footnote reference"/>
    <w:basedOn w:val="DefaultParagraphFont"/>
    <w:uiPriority w:val="99"/>
    <w:semiHidden/>
    <w:unhideWhenUsed/>
    <w:rsid w:val="00B011A5"/>
    <w:rPr>
      <w:vertAlign w:val="superscript"/>
    </w:rPr>
  </w:style>
  <w:style w:type="character" w:customStyle="1" w:styleId="cf01">
    <w:name w:val="cf01"/>
    <w:basedOn w:val="DefaultParagraphFont"/>
    <w:rsid w:val="000E78E0"/>
    <w:rPr>
      <w:rFonts w:ascii="Segoe UI" w:hAnsi="Segoe UI" w:cs="Segoe UI" w:hint="default"/>
      <w:sz w:val="18"/>
      <w:szCs w:val="18"/>
    </w:rPr>
  </w:style>
  <w:style w:type="character" w:customStyle="1" w:styleId="Heading1Char">
    <w:name w:val="Heading 1 Char"/>
    <w:basedOn w:val="DefaultParagraphFont"/>
    <w:link w:val="Heading1"/>
    <w:uiPriority w:val="9"/>
    <w:rsid w:val="00E10FB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10FB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D392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8D2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27F"/>
    <w:rPr>
      <w:rFonts w:ascii="Segoe UI" w:hAnsi="Segoe UI" w:cs="Segoe UI"/>
      <w:sz w:val="18"/>
      <w:szCs w:val="18"/>
    </w:rPr>
  </w:style>
  <w:style w:type="paragraph" w:styleId="Revision">
    <w:name w:val="Revision"/>
    <w:hidden/>
    <w:uiPriority w:val="99"/>
    <w:semiHidden/>
    <w:rsid w:val="00D0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54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1807</Words>
  <Characters>10304</Characters>
  <Application>Microsoft Office Word</Application>
  <DocSecurity>0</DocSecurity>
  <Lines>85</Lines>
  <Paragraphs>24</Paragraphs>
  <ScaleCrop>false</ScaleCrop>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2025-09-02T12:23:00Z</dcterms:created>
  <dcterms:modified xsi:type="dcterms:W3CDTF">2025-09-02T12:23:00Z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41b98125,66fa52a7,1b488a64</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2025-09-02T12:23:56Z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1837e16f-84a8-4363-8d44-fa5b515a1515</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