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FFEF" w14:textId="16E87140" w:rsidR="00C375B7" w:rsidRDefault="006A57CA" w:rsidP="00C375B7">
      <w:pPr>
        <w:pStyle w:val="Heading1"/>
        <w:spacing w:before="0"/>
        <w:jc w:val="center"/>
        <w:rPr>
          <w:b/>
          <w:bCs/>
          <w:color w:val="auto"/>
          <w:u w:val="single"/>
        </w:rPr>
      </w:pPr>
      <w:r w:rsidRPr="00CD4BF2">
        <w:rPr>
          <w:b/>
          <w:bCs/>
          <w:color w:val="auto"/>
          <w:u w:val="single"/>
        </w:rPr>
        <w:t xml:space="preserve">Challenges to Deprivation of Liberty </w:t>
      </w:r>
      <w:r w:rsidR="00C375B7">
        <w:rPr>
          <w:b/>
          <w:bCs/>
          <w:color w:val="auto"/>
          <w:u w:val="single"/>
        </w:rPr>
        <w:t>via</w:t>
      </w:r>
      <w:r w:rsidRPr="00CD4BF2">
        <w:rPr>
          <w:b/>
          <w:bCs/>
          <w:color w:val="auto"/>
          <w:u w:val="single"/>
        </w:rPr>
        <w:t xml:space="preserve"> </w:t>
      </w:r>
      <w:r w:rsidR="00C375B7">
        <w:rPr>
          <w:b/>
          <w:bCs/>
          <w:color w:val="auto"/>
          <w:u w:val="single"/>
        </w:rPr>
        <w:t>the Mental Capacity Act 2005 (</w:t>
      </w:r>
      <w:r w:rsidRPr="00CD4BF2">
        <w:rPr>
          <w:b/>
          <w:bCs/>
          <w:color w:val="auto"/>
          <w:u w:val="single"/>
        </w:rPr>
        <w:t>MCA</w:t>
      </w:r>
      <w:r w:rsidR="00C375B7">
        <w:rPr>
          <w:b/>
          <w:bCs/>
          <w:color w:val="auto"/>
          <w:u w:val="single"/>
        </w:rPr>
        <w:t>),</w:t>
      </w:r>
      <w:r w:rsidRPr="00CD4BF2">
        <w:rPr>
          <w:b/>
          <w:bCs/>
          <w:color w:val="auto"/>
          <w:u w:val="single"/>
        </w:rPr>
        <w:t xml:space="preserve"> s21A</w:t>
      </w:r>
    </w:p>
    <w:p w14:paraId="3C46C0D8" w14:textId="51E5041A" w:rsidR="006A57CA" w:rsidRPr="00CD4BF2" w:rsidRDefault="00BA0208" w:rsidP="00C375B7">
      <w:pPr>
        <w:pStyle w:val="Heading1"/>
        <w:spacing w:before="0"/>
        <w:jc w:val="center"/>
        <w:rPr>
          <w:b/>
          <w:bCs/>
          <w:color w:val="auto"/>
          <w:u w:val="single"/>
        </w:rPr>
      </w:pPr>
      <w:r>
        <w:rPr>
          <w:b/>
          <w:bCs/>
          <w:color w:val="auto"/>
          <w:u w:val="single"/>
        </w:rPr>
        <w:t>Considerations for Managing Authorities</w:t>
      </w:r>
    </w:p>
    <w:p w14:paraId="0160F863" w14:textId="77777777" w:rsidR="006A57CA" w:rsidRPr="00DD1F31" w:rsidRDefault="006A57CA" w:rsidP="006A57CA">
      <w:pPr>
        <w:spacing w:after="0" w:line="240" w:lineRule="auto"/>
      </w:pPr>
    </w:p>
    <w:p w14:paraId="57A672F4" w14:textId="65ABDFEF" w:rsidR="00791B5F" w:rsidRPr="00306F1B" w:rsidRDefault="000F318D" w:rsidP="00791B5F">
      <w:pPr>
        <w:pStyle w:val="Heading2"/>
        <w:rPr>
          <w:b/>
          <w:bCs/>
          <w:color w:val="auto"/>
        </w:rPr>
      </w:pPr>
      <w:r w:rsidRPr="00306F1B">
        <w:rPr>
          <w:b/>
          <w:bCs/>
          <w:color w:val="auto"/>
        </w:rPr>
        <w:t xml:space="preserve">The </w:t>
      </w:r>
      <w:r w:rsidR="00791B5F" w:rsidRPr="00306F1B">
        <w:rPr>
          <w:b/>
          <w:bCs/>
          <w:color w:val="auto"/>
        </w:rPr>
        <w:t xml:space="preserve">rights </w:t>
      </w:r>
      <w:r w:rsidRPr="00306F1B">
        <w:rPr>
          <w:b/>
          <w:bCs/>
          <w:color w:val="auto"/>
        </w:rPr>
        <w:t>of</w:t>
      </w:r>
      <w:r w:rsidR="00791B5F" w:rsidRPr="00306F1B">
        <w:rPr>
          <w:b/>
          <w:bCs/>
          <w:color w:val="auto"/>
        </w:rPr>
        <w:t xml:space="preserve"> those </w:t>
      </w:r>
      <w:r w:rsidRPr="00306F1B">
        <w:rPr>
          <w:b/>
          <w:bCs/>
          <w:color w:val="auto"/>
        </w:rPr>
        <w:t xml:space="preserve">who are </w:t>
      </w:r>
      <w:r w:rsidR="00791B5F" w:rsidRPr="00306F1B">
        <w:rPr>
          <w:b/>
          <w:bCs/>
          <w:color w:val="auto"/>
        </w:rPr>
        <w:t xml:space="preserve">deprived of </w:t>
      </w:r>
      <w:r w:rsidRPr="00306F1B">
        <w:rPr>
          <w:b/>
          <w:bCs/>
          <w:color w:val="auto"/>
        </w:rPr>
        <w:t xml:space="preserve">their </w:t>
      </w:r>
      <w:r w:rsidR="00791B5F" w:rsidRPr="00306F1B">
        <w:rPr>
          <w:b/>
          <w:bCs/>
          <w:color w:val="auto"/>
        </w:rPr>
        <w:t>liberty</w:t>
      </w:r>
    </w:p>
    <w:p w14:paraId="6DBBF203" w14:textId="0192BD35" w:rsidR="000F318D" w:rsidRPr="00306F1B" w:rsidRDefault="00791B5F" w:rsidP="00791B5F">
      <w:r w:rsidRPr="00306F1B">
        <w:t>Managing authorities</w:t>
      </w:r>
      <w:r w:rsidR="000F318D" w:rsidRPr="00306F1B">
        <w:t xml:space="preserve"> (MAs)</w:t>
      </w:r>
      <w:r w:rsidRPr="00306F1B">
        <w:t xml:space="preserve"> – </w:t>
      </w:r>
      <w:r w:rsidR="000F318D" w:rsidRPr="00306F1B">
        <w:t>the</w:t>
      </w:r>
      <w:r w:rsidRPr="00306F1B">
        <w:t xml:space="preserve"> hospital or care home wh</w:t>
      </w:r>
      <w:r w:rsidR="000F318D" w:rsidRPr="00306F1B">
        <w:t xml:space="preserve">ere the person who is deprived of their liberty is staying – have a number of legal duties.  These duties include telling the person – </w:t>
      </w:r>
      <w:r w:rsidR="00963B8C" w:rsidRPr="00306F1B">
        <w:t>‘</w:t>
      </w:r>
      <w:r w:rsidR="000F318D" w:rsidRPr="00306F1B">
        <w:t>P</w:t>
      </w:r>
      <w:r w:rsidR="00963B8C" w:rsidRPr="00306F1B">
        <w:t>’</w:t>
      </w:r>
      <w:r w:rsidR="000F318D" w:rsidRPr="00306F1B">
        <w:t xml:space="preserve"> – about their rights, both verbally and in writing.  MAs must take all practicable steps to help P understand their rights.  The information which must be given to P includes details about:</w:t>
      </w:r>
    </w:p>
    <w:p w14:paraId="4AFDB89D" w14:textId="5558FF1F" w:rsidR="000F318D" w:rsidRPr="00306F1B" w:rsidRDefault="000F318D" w:rsidP="00963B8C">
      <w:pPr>
        <w:pStyle w:val="ListParagraph"/>
        <w:numPr>
          <w:ilvl w:val="0"/>
          <w:numId w:val="27"/>
        </w:numPr>
      </w:pPr>
      <w:r w:rsidRPr="00306F1B">
        <w:t>the effect of a</w:t>
      </w:r>
      <w:r w:rsidR="00963B8C" w:rsidRPr="00306F1B">
        <w:t xml:space="preserve"> Deprivation of Liberty Safeguards (DoLS) </w:t>
      </w:r>
      <w:r w:rsidRPr="00306F1B">
        <w:t xml:space="preserve">authorisation </w:t>
      </w:r>
    </w:p>
    <w:p w14:paraId="53499939" w14:textId="24879CC1" w:rsidR="00791B5F" w:rsidRPr="00306F1B" w:rsidRDefault="000F318D" w:rsidP="00963B8C">
      <w:pPr>
        <w:pStyle w:val="ListParagraph"/>
        <w:numPr>
          <w:ilvl w:val="0"/>
          <w:numId w:val="27"/>
        </w:numPr>
      </w:pPr>
      <w:r w:rsidRPr="00306F1B">
        <w:t>the right to appeal</w:t>
      </w:r>
      <w:r w:rsidR="00AC42AF" w:rsidRPr="00306F1B">
        <w:t xml:space="preserve"> against an authorisation,</w:t>
      </w:r>
      <w:r w:rsidRPr="00306F1B">
        <w:t xml:space="preserve"> to the Court of Protection (CoP)  </w:t>
      </w:r>
      <w:r w:rsidR="00791B5F" w:rsidRPr="00306F1B">
        <w:t xml:space="preserve"> </w:t>
      </w:r>
    </w:p>
    <w:p w14:paraId="1B1F9B5C" w14:textId="6660644A" w:rsidR="000F318D" w:rsidRPr="00306F1B" w:rsidRDefault="000F318D" w:rsidP="00963B8C">
      <w:pPr>
        <w:pStyle w:val="ListParagraph"/>
        <w:numPr>
          <w:ilvl w:val="0"/>
          <w:numId w:val="27"/>
        </w:numPr>
      </w:pPr>
      <w:r w:rsidRPr="00306F1B">
        <w:t xml:space="preserve">the right to request </w:t>
      </w:r>
      <w:r w:rsidR="00963B8C" w:rsidRPr="00306F1B">
        <w:t xml:space="preserve">a </w:t>
      </w:r>
      <w:r w:rsidRPr="00306F1B">
        <w:t>review of a standard authorisation</w:t>
      </w:r>
      <w:r w:rsidR="00AC42AF" w:rsidRPr="00306F1B">
        <w:t xml:space="preserve">, by the council </w:t>
      </w:r>
    </w:p>
    <w:p w14:paraId="323E74E3" w14:textId="70AFB470" w:rsidR="000F318D" w:rsidRPr="00306F1B" w:rsidRDefault="000F318D" w:rsidP="00963B8C">
      <w:pPr>
        <w:pStyle w:val="ListParagraph"/>
        <w:numPr>
          <w:ilvl w:val="0"/>
          <w:numId w:val="27"/>
        </w:numPr>
      </w:pPr>
      <w:r w:rsidRPr="00306F1B">
        <w:t xml:space="preserve">the right to </w:t>
      </w:r>
      <w:r w:rsidR="00963B8C" w:rsidRPr="00306F1B">
        <w:t xml:space="preserve">have an advocate support them with a standard authorisation, and </w:t>
      </w:r>
      <w:r w:rsidRPr="00306F1B">
        <w:t xml:space="preserve">how to get </w:t>
      </w:r>
      <w:r w:rsidR="00AC42AF" w:rsidRPr="00306F1B">
        <w:t>an advocat</w:t>
      </w:r>
      <w:r w:rsidRPr="00306F1B">
        <w:t>e</w:t>
      </w:r>
      <w:r w:rsidR="00D85ED2">
        <w:t xml:space="preserve"> (</w:t>
      </w:r>
      <w:hyperlink r:id="rId8" w:history="1">
        <w:r w:rsidR="00D85ED2" w:rsidRPr="00D85ED2">
          <w:rPr>
            <w:color w:val="0000FF"/>
            <w:u w:val="single"/>
          </w:rPr>
          <w:t>Advocacy (nelincs.gov.uk)</w:t>
        </w:r>
      </w:hyperlink>
      <w:r w:rsidRPr="00306F1B">
        <w:t xml:space="preserve">. </w:t>
      </w:r>
    </w:p>
    <w:p w14:paraId="3BB581B5" w14:textId="1D7038FD" w:rsidR="00963B8C" w:rsidRPr="00306F1B" w:rsidRDefault="00963B8C" w:rsidP="00963B8C">
      <w:r w:rsidRPr="00306F1B">
        <w:t>This note concentrates on the right to appeal, and the right to request a review.</w:t>
      </w:r>
      <w:r w:rsidR="00982BB5" w:rsidRPr="00306F1B">
        <w:t xml:space="preserve">  If P – and anyone supporting them – is not informed of these rights</w:t>
      </w:r>
      <w:r w:rsidR="005D4DDF" w:rsidRPr="00306F1B">
        <w:t>,</w:t>
      </w:r>
      <w:r w:rsidR="00982BB5" w:rsidRPr="00306F1B">
        <w:t xml:space="preserve"> they will not be able to </w:t>
      </w:r>
      <w:r w:rsidR="005D4DDF" w:rsidRPr="00306F1B">
        <w:t>use them</w:t>
      </w:r>
      <w:r w:rsidR="00982BB5" w:rsidRPr="00306F1B">
        <w:t>.</w:t>
      </w:r>
    </w:p>
    <w:p w14:paraId="0025A03F" w14:textId="52403D99" w:rsidR="00B7088C" w:rsidRPr="00306F1B" w:rsidRDefault="00963B8C" w:rsidP="00CD4BF2">
      <w:pPr>
        <w:pStyle w:val="Heading2"/>
        <w:rPr>
          <w:b/>
          <w:bCs/>
          <w:color w:val="auto"/>
        </w:rPr>
      </w:pPr>
      <w:r w:rsidRPr="00306F1B">
        <w:rPr>
          <w:b/>
          <w:bCs/>
          <w:color w:val="auto"/>
        </w:rPr>
        <w:t xml:space="preserve">The right to appeal: </w:t>
      </w:r>
      <w:r w:rsidR="00B7088C" w:rsidRPr="00306F1B">
        <w:rPr>
          <w:b/>
          <w:bCs/>
          <w:color w:val="auto"/>
        </w:rPr>
        <w:t xml:space="preserve">the </w:t>
      </w:r>
      <w:r w:rsidR="00BA0208" w:rsidRPr="00306F1B">
        <w:rPr>
          <w:b/>
          <w:bCs/>
          <w:color w:val="auto"/>
        </w:rPr>
        <w:t>purpose</w:t>
      </w:r>
      <w:r w:rsidR="00B7088C" w:rsidRPr="00306F1B">
        <w:rPr>
          <w:b/>
          <w:bCs/>
          <w:color w:val="auto"/>
        </w:rPr>
        <w:t xml:space="preserve"> of s21A</w:t>
      </w:r>
    </w:p>
    <w:p w14:paraId="34494B25" w14:textId="76FF414D" w:rsidR="00BA0208" w:rsidRPr="00306F1B" w:rsidRDefault="00BA0208" w:rsidP="00B7088C">
      <w:pPr>
        <w:spacing w:after="0" w:line="240" w:lineRule="auto"/>
      </w:pPr>
      <w:r w:rsidRPr="00306F1B">
        <w:t>"There is an obligation on the State to ensure that a person deprived of liberty is not only entitled but enabled to have the lawfulness of his detention reviewed speedily by a court"</w:t>
      </w:r>
      <w:r w:rsidR="00C375B7" w:rsidRPr="00306F1B">
        <w:rPr>
          <w:rStyle w:val="EndnoteReference"/>
        </w:rPr>
        <w:endnoteReference w:id="1"/>
      </w:r>
      <w:r w:rsidRPr="00306F1B">
        <w:t xml:space="preserve">. </w:t>
      </w:r>
    </w:p>
    <w:p w14:paraId="476AB576" w14:textId="77777777" w:rsidR="00BA0208" w:rsidRPr="00306F1B" w:rsidRDefault="00BA0208" w:rsidP="00B7088C">
      <w:pPr>
        <w:spacing w:after="0" w:line="240" w:lineRule="auto"/>
      </w:pPr>
    </w:p>
    <w:p w14:paraId="3E813FCB" w14:textId="45DF7118" w:rsidR="00B7088C" w:rsidRPr="00306F1B" w:rsidRDefault="00B7088C" w:rsidP="00B7088C">
      <w:pPr>
        <w:spacing w:after="0" w:line="240" w:lineRule="auto"/>
      </w:pPr>
      <w:r w:rsidRPr="00306F1B">
        <w:t xml:space="preserve">The MCA’s s21A </w:t>
      </w:r>
      <w:r w:rsidR="00C375B7" w:rsidRPr="00306F1B">
        <w:t xml:space="preserve">provides </w:t>
      </w:r>
      <w:r w:rsidR="00AC42AF" w:rsidRPr="00306F1B">
        <w:t>the</w:t>
      </w:r>
      <w:r w:rsidR="00C375B7" w:rsidRPr="00306F1B">
        <w:t xml:space="preserve"> mechanism</w:t>
      </w:r>
      <w:r w:rsidRPr="00306F1B">
        <w:t xml:space="preserve"> </w:t>
      </w:r>
      <w:r w:rsidR="00AC42AF" w:rsidRPr="00306F1B">
        <w:t xml:space="preserve">by which the lawfulness of a </w:t>
      </w:r>
      <w:r w:rsidRPr="00306F1B">
        <w:t xml:space="preserve">standard </w:t>
      </w:r>
      <w:r w:rsidR="00AC42AF" w:rsidRPr="00306F1B">
        <w:t xml:space="preserve">or </w:t>
      </w:r>
      <w:r w:rsidRPr="00306F1B">
        <w:t xml:space="preserve">urgent </w:t>
      </w:r>
      <w:r w:rsidR="00C375B7" w:rsidRPr="00306F1B">
        <w:t xml:space="preserve">DoLS </w:t>
      </w:r>
      <w:r w:rsidRPr="00306F1B">
        <w:t>authorisation</w:t>
      </w:r>
      <w:r w:rsidR="00AC42AF" w:rsidRPr="00306F1B">
        <w:t xml:space="preserve"> can be considered by the CoP</w:t>
      </w:r>
      <w:r w:rsidRPr="00306F1B">
        <w:t xml:space="preserve">.  </w:t>
      </w:r>
      <w:r w:rsidR="00BA0208" w:rsidRPr="00306F1B">
        <w:t>This</w:t>
      </w:r>
      <w:r w:rsidRPr="00306F1B">
        <w:t xml:space="preserve"> </w:t>
      </w:r>
      <w:r w:rsidR="00C375B7" w:rsidRPr="00306F1B">
        <w:t>note</w:t>
      </w:r>
      <w:r w:rsidR="00AC42AF" w:rsidRPr="00306F1B">
        <w:t xml:space="preserve"> consider</w:t>
      </w:r>
      <w:r w:rsidR="00BA0208" w:rsidRPr="00306F1B">
        <w:t>s</w:t>
      </w:r>
      <w:r w:rsidRPr="00306F1B">
        <w:t xml:space="preserve"> standard authorisations </w:t>
      </w:r>
      <w:r w:rsidR="00BA0208" w:rsidRPr="00306F1B">
        <w:t>only</w:t>
      </w:r>
      <w:r w:rsidRPr="00306F1B">
        <w:t xml:space="preserve">.     </w:t>
      </w:r>
    </w:p>
    <w:p w14:paraId="7F7928D7" w14:textId="77777777" w:rsidR="00B7088C" w:rsidRPr="00306F1B" w:rsidRDefault="00B7088C" w:rsidP="00B7088C">
      <w:pPr>
        <w:spacing w:after="0" w:line="240" w:lineRule="auto"/>
      </w:pPr>
    </w:p>
    <w:p w14:paraId="592B67B7" w14:textId="10B02B02" w:rsidR="00C375B7" w:rsidRPr="00306F1B" w:rsidRDefault="00C375B7" w:rsidP="00C375B7">
      <w:pPr>
        <w:pStyle w:val="Heading2"/>
        <w:rPr>
          <w:b/>
          <w:bCs/>
          <w:color w:val="auto"/>
        </w:rPr>
      </w:pPr>
      <w:r w:rsidRPr="00306F1B">
        <w:rPr>
          <w:b/>
          <w:bCs/>
          <w:color w:val="auto"/>
        </w:rPr>
        <w:t xml:space="preserve">When s21A is used to challenge a DoLS authorisation, what can the Court consider? </w:t>
      </w:r>
    </w:p>
    <w:p w14:paraId="6620CF97" w14:textId="36A59EA7" w:rsidR="00B7088C" w:rsidRPr="00306F1B" w:rsidRDefault="001620E9" w:rsidP="00B7088C">
      <w:pPr>
        <w:spacing w:after="0" w:line="240" w:lineRule="auto"/>
      </w:pPr>
      <w:r w:rsidRPr="00306F1B">
        <w:t>T</w:t>
      </w:r>
      <w:r w:rsidR="00B7088C" w:rsidRPr="00306F1B">
        <w:t xml:space="preserve">he CoP </w:t>
      </w:r>
      <w:r w:rsidR="00D85ED2">
        <w:t>can</w:t>
      </w:r>
      <w:r w:rsidR="00B7088C" w:rsidRPr="00306F1B">
        <w:t xml:space="preserve"> </w:t>
      </w:r>
      <w:r w:rsidR="00D85ED2">
        <w:t>decid</w:t>
      </w:r>
      <w:r w:rsidR="00B7088C" w:rsidRPr="00306F1B">
        <w:t xml:space="preserve">e any question relating to any of the following matters – </w:t>
      </w:r>
    </w:p>
    <w:p w14:paraId="13C8CE11" w14:textId="1D9292A3" w:rsidR="00B7088C" w:rsidRPr="00306F1B" w:rsidRDefault="00B7088C" w:rsidP="00B7088C">
      <w:pPr>
        <w:pStyle w:val="ListParagraph"/>
        <w:numPr>
          <w:ilvl w:val="0"/>
          <w:numId w:val="3"/>
        </w:numPr>
        <w:spacing w:after="0" w:line="240" w:lineRule="auto"/>
      </w:pPr>
      <w:r w:rsidRPr="00306F1B">
        <w:t>whether P meets one or more of the qualifying requirements</w:t>
      </w:r>
      <w:r w:rsidR="005D4DDF" w:rsidRPr="00306F1B">
        <w:t xml:space="preserve"> for DoLS</w:t>
      </w:r>
    </w:p>
    <w:p w14:paraId="19961F78" w14:textId="77777777" w:rsidR="00B7088C" w:rsidRPr="00306F1B" w:rsidRDefault="00B7088C" w:rsidP="00B7088C">
      <w:pPr>
        <w:pStyle w:val="ListParagraph"/>
        <w:numPr>
          <w:ilvl w:val="0"/>
          <w:numId w:val="3"/>
        </w:numPr>
        <w:spacing w:after="0" w:line="240" w:lineRule="auto"/>
      </w:pPr>
      <w:r w:rsidRPr="00306F1B">
        <w:t xml:space="preserve">the duration of the standard authorisation </w:t>
      </w:r>
    </w:p>
    <w:p w14:paraId="2F420866" w14:textId="77777777" w:rsidR="00B7088C" w:rsidRPr="00306F1B" w:rsidRDefault="00B7088C" w:rsidP="00B7088C">
      <w:pPr>
        <w:pStyle w:val="ListParagraph"/>
        <w:numPr>
          <w:ilvl w:val="0"/>
          <w:numId w:val="3"/>
        </w:numPr>
        <w:spacing w:after="0" w:line="240" w:lineRule="auto"/>
      </w:pPr>
      <w:r w:rsidRPr="00306F1B">
        <w:t>the purpose for which the standard authorisation is given</w:t>
      </w:r>
    </w:p>
    <w:p w14:paraId="134907AD" w14:textId="77777777" w:rsidR="00B7088C" w:rsidRPr="00306F1B" w:rsidRDefault="00B7088C" w:rsidP="00B7088C">
      <w:pPr>
        <w:pStyle w:val="ListParagraph"/>
        <w:numPr>
          <w:ilvl w:val="0"/>
          <w:numId w:val="3"/>
        </w:numPr>
        <w:spacing w:after="0" w:line="240" w:lineRule="auto"/>
      </w:pPr>
      <w:r w:rsidRPr="00306F1B">
        <w:t>the conditions to which the standard authorisation is subject</w:t>
      </w:r>
      <w:r w:rsidR="008A4D8F" w:rsidRPr="00306F1B">
        <w:t>.</w:t>
      </w:r>
      <w:r w:rsidRPr="00306F1B">
        <w:t xml:space="preserve"> </w:t>
      </w:r>
    </w:p>
    <w:p w14:paraId="73B82A6C" w14:textId="77777777" w:rsidR="00B7088C" w:rsidRPr="00306F1B" w:rsidRDefault="00B7088C" w:rsidP="00B7088C">
      <w:pPr>
        <w:pStyle w:val="ListParagraph"/>
        <w:spacing w:after="0" w:line="240" w:lineRule="auto"/>
      </w:pPr>
    </w:p>
    <w:p w14:paraId="7B40625F" w14:textId="5EA1B154" w:rsidR="00B7088C" w:rsidRPr="00306F1B" w:rsidRDefault="00C375B7" w:rsidP="00B7088C">
      <w:pPr>
        <w:spacing w:after="0" w:line="240" w:lineRule="auto"/>
      </w:pPr>
      <w:r w:rsidRPr="00306F1B">
        <w:t>The CoP can</w:t>
      </w:r>
      <w:r w:rsidR="00B7088C" w:rsidRPr="00306F1B">
        <w:t xml:space="preserve"> make an order to vary or terminate the standard authorisation, or direct the supervisory body (SB)</w:t>
      </w:r>
      <w:r w:rsidR="00AC42AF" w:rsidRPr="00306F1B">
        <w:t xml:space="preserve"> – the council -</w:t>
      </w:r>
      <w:r w:rsidR="00B7088C" w:rsidRPr="00306F1B">
        <w:t xml:space="preserve"> to </w:t>
      </w:r>
      <w:r w:rsidRPr="00306F1B">
        <w:t>do so</w:t>
      </w:r>
      <w:r w:rsidR="00B7088C" w:rsidRPr="00306F1B">
        <w:t>.  It can also make an order about a person's</w:t>
      </w:r>
      <w:r w:rsidR="00843C51" w:rsidRPr="00306F1B">
        <w:t xml:space="preserve"> </w:t>
      </w:r>
      <w:r w:rsidR="00B7088C" w:rsidRPr="00306F1B">
        <w:t>liability for any act done in connection with the authorisation prior to its variation or termination.</w:t>
      </w:r>
    </w:p>
    <w:p w14:paraId="700AE180" w14:textId="77777777" w:rsidR="00B7088C" w:rsidRPr="00306F1B" w:rsidRDefault="00B7088C" w:rsidP="00B05028">
      <w:pPr>
        <w:spacing w:after="0" w:line="240" w:lineRule="auto"/>
      </w:pPr>
    </w:p>
    <w:p w14:paraId="135AC49D" w14:textId="1B930B0F" w:rsidR="00F15017" w:rsidRPr="00306F1B" w:rsidRDefault="00B7088C" w:rsidP="00B05028">
      <w:pPr>
        <w:spacing w:after="0" w:line="240" w:lineRule="auto"/>
      </w:pPr>
      <w:r w:rsidRPr="00306F1B">
        <w:t>Once it</w:t>
      </w:r>
      <w:r w:rsidR="00556F75" w:rsidRPr="00306F1B">
        <w:t>s jurisdiction</w:t>
      </w:r>
      <w:r w:rsidR="00D85ED2">
        <w:t xml:space="preserve"> (power)</w:t>
      </w:r>
      <w:r w:rsidR="00556F75" w:rsidRPr="00306F1B">
        <w:t xml:space="preserve"> is invoked, the C</w:t>
      </w:r>
      <w:r w:rsidRPr="00306F1B">
        <w:t>oP</w:t>
      </w:r>
      <w:r w:rsidR="00556F75" w:rsidRPr="00306F1B">
        <w:t xml:space="preserve"> has discretion to </w:t>
      </w:r>
      <w:r w:rsidR="001620E9" w:rsidRPr="00306F1B">
        <w:t>decide</w:t>
      </w:r>
      <w:r w:rsidR="00556F75" w:rsidRPr="00306F1B">
        <w:t xml:space="preserve"> whether P has/ lacks capacity to make particular decisions.  Where P lacks capacity, the CoP may make further decisions regarding P’s health and welfare and property and affairs (in respect of acts done, or proposed). </w:t>
      </w:r>
    </w:p>
    <w:p w14:paraId="0A34ADDB" w14:textId="22107806" w:rsidR="00E65CB8" w:rsidRPr="00306F1B" w:rsidRDefault="00E65CB8" w:rsidP="00B05028">
      <w:pPr>
        <w:spacing w:after="0" w:line="240" w:lineRule="auto"/>
      </w:pPr>
    </w:p>
    <w:p w14:paraId="6CD93BEB" w14:textId="32F48117" w:rsidR="00E65CB8" w:rsidRPr="00306F1B" w:rsidRDefault="00C375B7" w:rsidP="00CD4BF2">
      <w:pPr>
        <w:pStyle w:val="Heading2"/>
        <w:rPr>
          <w:b/>
          <w:bCs/>
          <w:color w:val="auto"/>
        </w:rPr>
      </w:pPr>
      <w:r w:rsidRPr="00306F1B">
        <w:rPr>
          <w:b/>
          <w:bCs/>
          <w:color w:val="auto"/>
        </w:rPr>
        <w:t>When should</w:t>
      </w:r>
      <w:r w:rsidR="00E65CB8" w:rsidRPr="00306F1B">
        <w:rPr>
          <w:b/>
          <w:bCs/>
          <w:color w:val="auto"/>
        </w:rPr>
        <w:t xml:space="preserve"> a s21A </w:t>
      </w:r>
      <w:r w:rsidR="00F07744">
        <w:rPr>
          <w:b/>
          <w:bCs/>
          <w:color w:val="auto"/>
        </w:rPr>
        <w:t>application</w:t>
      </w:r>
      <w:r w:rsidR="00E65CB8" w:rsidRPr="00306F1B">
        <w:rPr>
          <w:b/>
          <w:bCs/>
          <w:color w:val="auto"/>
        </w:rPr>
        <w:t xml:space="preserve"> be made</w:t>
      </w:r>
      <w:r w:rsidRPr="00306F1B">
        <w:rPr>
          <w:b/>
          <w:bCs/>
          <w:color w:val="auto"/>
        </w:rPr>
        <w:t>?</w:t>
      </w:r>
    </w:p>
    <w:p w14:paraId="06FAF95A" w14:textId="0391CCE6" w:rsidR="00E65CB8" w:rsidRPr="00306F1B" w:rsidRDefault="00E65CB8" w:rsidP="00B05028">
      <w:pPr>
        <w:spacing w:after="0" w:line="240" w:lineRule="auto"/>
      </w:pPr>
      <w:r w:rsidRPr="00306F1B">
        <w:t xml:space="preserve">In </w:t>
      </w:r>
      <w:r w:rsidR="00AC10AD" w:rsidRPr="00306F1B">
        <w:t xml:space="preserve">very basic </w:t>
      </w:r>
      <w:r w:rsidRPr="00306F1B">
        <w:t xml:space="preserve">summary, a s21A </w:t>
      </w:r>
      <w:r w:rsidR="00F07744">
        <w:t>application</w:t>
      </w:r>
      <w:r w:rsidRPr="00306F1B">
        <w:t xml:space="preserve"> should be </w:t>
      </w:r>
      <w:r w:rsidR="00F07744">
        <w:t>made to</w:t>
      </w:r>
      <w:r w:rsidRPr="00306F1B">
        <w:t xml:space="preserve"> the CoP where:</w:t>
      </w:r>
    </w:p>
    <w:p w14:paraId="3C07EBA0" w14:textId="5E9D865E" w:rsidR="00E65CB8" w:rsidRPr="00306F1B" w:rsidRDefault="00E65CB8" w:rsidP="00E65CB8">
      <w:pPr>
        <w:pStyle w:val="ListParagraph"/>
        <w:numPr>
          <w:ilvl w:val="0"/>
          <w:numId w:val="16"/>
        </w:numPr>
        <w:spacing w:after="0" w:line="240" w:lineRule="auto"/>
      </w:pPr>
      <w:r w:rsidRPr="00306F1B">
        <w:t xml:space="preserve">P has capacity to </w:t>
      </w:r>
      <w:r w:rsidR="004B68A3" w:rsidRPr="00306F1B">
        <w:t>ask</w:t>
      </w:r>
      <w:r w:rsidR="00D177DF" w:rsidRPr="00306F1B">
        <w:t xml:space="preserve"> to </w:t>
      </w:r>
      <w:r w:rsidR="00FA658D" w:rsidRPr="00306F1B">
        <w:t xml:space="preserve">apply to the CoP </w:t>
      </w:r>
      <w:r w:rsidRPr="00306F1B">
        <w:t>and wishes to do so</w:t>
      </w:r>
      <w:r w:rsidR="00CE1901" w:rsidRPr="00306F1B">
        <w:t xml:space="preserve"> </w:t>
      </w:r>
    </w:p>
    <w:p w14:paraId="757D4DC8" w14:textId="5581326F" w:rsidR="00E65CB8" w:rsidRPr="00306F1B" w:rsidRDefault="00E65CB8" w:rsidP="00E65CB8">
      <w:pPr>
        <w:pStyle w:val="ListParagraph"/>
        <w:numPr>
          <w:ilvl w:val="0"/>
          <w:numId w:val="16"/>
        </w:numPr>
        <w:spacing w:after="0" w:line="240" w:lineRule="auto"/>
      </w:pPr>
      <w:r w:rsidRPr="00306F1B">
        <w:t xml:space="preserve">P does not have capacity to </w:t>
      </w:r>
      <w:r w:rsidR="004B68A3" w:rsidRPr="00306F1B">
        <w:t xml:space="preserve">ask to </w:t>
      </w:r>
      <w:r w:rsidRPr="00306F1B">
        <w:t>ap</w:t>
      </w:r>
      <w:r w:rsidR="00FA658D" w:rsidRPr="00306F1B">
        <w:t>ply</w:t>
      </w:r>
      <w:r w:rsidRPr="00306F1B">
        <w:t xml:space="preserve">, but indicates by </w:t>
      </w:r>
      <w:r w:rsidR="00CE1901" w:rsidRPr="00306F1B">
        <w:t xml:space="preserve">their words or behaviour (currently or previously) </w:t>
      </w:r>
      <w:r w:rsidRPr="00306F1B">
        <w:t>that they would wish to app</w:t>
      </w:r>
      <w:r w:rsidR="00FA658D" w:rsidRPr="00306F1B">
        <w:t>ly</w:t>
      </w:r>
      <w:r w:rsidRPr="00306F1B">
        <w:t xml:space="preserve"> if they had capacity </w:t>
      </w:r>
      <w:r w:rsidR="00AC10AD" w:rsidRPr="00306F1B">
        <w:t>to do so</w:t>
      </w:r>
    </w:p>
    <w:p w14:paraId="10E9D6AB" w14:textId="210E128A" w:rsidR="00E65CB8" w:rsidRPr="00306F1B" w:rsidRDefault="00E65CB8" w:rsidP="00E65CB8">
      <w:pPr>
        <w:pStyle w:val="ListParagraph"/>
        <w:numPr>
          <w:ilvl w:val="0"/>
          <w:numId w:val="16"/>
        </w:numPr>
        <w:spacing w:after="0" w:line="240" w:lineRule="auto"/>
      </w:pPr>
      <w:r w:rsidRPr="00306F1B">
        <w:t xml:space="preserve">P does not have capacity to </w:t>
      </w:r>
      <w:r w:rsidR="004B68A3" w:rsidRPr="00306F1B">
        <w:t xml:space="preserve">ask to </w:t>
      </w:r>
      <w:r w:rsidRPr="00306F1B">
        <w:t>app</w:t>
      </w:r>
      <w:r w:rsidR="00FA658D" w:rsidRPr="00306F1B">
        <w:t>ly</w:t>
      </w:r>
      <w:r w:rsidRPr="00306F1B">
        <w:t xml:space="preserve"> and is not indicating that they wish to do so, but their RPR</w:t>
      </w:r>
      <w:r w:rsidR="00843C51" w:rsidRPr="00306F1B">
        <w:t xml:space="preserve"> (Relevant Person’s Representative)</w:t>
      </w:r>
      <w:r w:rsidRPr="00306F1B">
        <w:t xml:space="preserve"> considers that it is in P’s best interests to appl</w:t>
      </w:r>
      <w:r w:rsidR="00FA658D" w:rsidRPr="00306F1B">
        <w:t>y</w:t>
      </w:r>
      <w:r w:rsidRPr="00306F1B">
        <w:t xml:space="preserve">.  </w:t>
      </w:r>
    </w:p>
    <w:p w14:paraId="2B978A5B" w14:textId="77777777" w:rsidR="009346E5" w:rsidRPr="00306F1B" w:rsidRDefault="009346E5" w:rsidP="009346E5">
      <w:pPr>
        <w:spacing w:after="0" w:line="240" w:lineRule="auto"/>
      </w:pPr>
    </w:p>
    <w:p w14:paraId="557BE822" w14:textId="437E119C" w:rsidR="00A7644E" w:rsidRPr="00306F1B" w:rsidRDefault="00A7644E" w:rsidP="00A7644E">
      <w:pPr>
        <w:pStyle w:val="Heading2"/>
        <w:rPr>
          <w:b/>
          <w:bCs/>
          <w:color w:val="auto"/>
        </w:rPr>
      </w:pPr>
      <w:r w:rsidRPr="00306F1B">
        <w:rPr>
          <w:b/>
          <w:bCs/>
          <w:color w:val="auto"/>
        </w:rPr>
        <w:lastRenderedPageBreak/>
        <w:t>The MAs role in supporting decisions about whether an application should be made</w:t>
      </w:r>
    </w:p>
    <w:p w14:paraId="135579E7" w14:textId="3FF92E8F" w:rsidR="009346E5" w:rsidRPr="00306F1B" w:rsidRDefault="009346E5" w:rsidP="009346E5">
      <w:pPr>
        <w:spacing w:after="0" w:line="240" w:lineRule="auto"/>
      </w:pPr>
      <w:r w:rsidRPr="00306F1B">
        <w:t xml:space="preserve">It can be difficult to identify whether a P without capacity to decide about an application is indicating by their words/ behaviour that they would wish to apply.  MAs </w:t>
      </w:r>
      <w:r w:rsidR="00C15C6B" w:rsidRPr="00306F1B">
        <w:t xml:space="preserve">and others </w:t>
      </w:r>
      <w:r w:rsidRPr="00306F1B">
        <w:t>should be alert to:</w:t>
      </w:r>
    </w:p>
    <w:p w14:paraId="14455F6C" w14:textId="77777777" w:rsidR="00C15C6B" w:rsidRPr="00306F1B" w:rsidRDefault="009346E5" w:rsidP="00C15C6B">
      <w:pPr>
        <w:pStyle w:val="ListParagraph"/>
        <w:numPr>
          <w:ilvl w:val="0"/>
          <w:numId w:val="28"/>
        </w:numPr>
        <w:spacing w:after="0" w:line="240" w:lineRule="auto"/>
      </w:pPr>
      <w:r w:rsidRPr="00306F1B">
        <w:t>any statements made by P about making an application</w:t>
      </w:r>
      <w:r w:rsidR="00C15C6B" w:rsidRPr="00306F1B">
        <w:t xml:space="preserve">, or about their residence </w:t>
      </w:r>
      <w:r w:rsidRPr="00306F1B">
        <w:t>or care</w:t>
      </w:r>
    </w:p>
    <w:p w14:paraId="767763E7" w14:textId="2D0406A3" w:rsidR="00C15C6B" w:rsidRPr="00306F1B" w:rsidRDefault="00C15C6B" w:rsidP="00C15C6B">
      <w:pPr>
        <w:pStyle w:val="ListParagraph"/>
        <w:numPr>
          <w:ilvl w:val="0"/>
          <w:numId w:val="28"/>
        </w:numPr>
        <w:spacing w:after="0" w:line="240" w:lineRule="auto"/>
      </w:pPr>
      <w:r w:rsidRPr="00306F1B">
        <w:t xml:space="preserve">the frequency with which </w:t>
      </w:r>
      <w:r w:rsidR="005977F9" w:rsidRPr="00306F1B">
        <w:t>P</w:t>
      </w:r>
      <w:r w:rsidRPr="00306F1B">
        <w:t xml:space="preserve"> objects to the placement or asks to leave </w:t>
      </w:r>
    </w:p>
    <w:p w14:paraId="18AE3E62" w14:textId="60F142DF" w:rsidR="00C15C6B" w:rsidRPr="00306F1B" w:rsidRDefault="00C15C6B" w:rsidP="00C15C6B">
      <w:pPr>
        <w:pStyle w:val="ListParagraph"/>
        <w:numPr>
          <w:ilvl w:val="0"/>
          <w:numId w:val="28"/>
        </w:numPr>
        <w:spacing w:after="0" w:line="240" w:lineRule="auto"/>
      </w:pPr>
      <w:r w:rsidRPr="00306F1B">
        <w:t>P’s expressions of his/her emotional state (what P is saying or showing about how they feel)</w:t>
      </w:r>
    </w:p>
    <w:p w14:paraId="49E61794" w14:textId="7E8D61D9" w:rsidR="00C15C6B" w:rsidRPr="00306F1B" w:rsidRDefault="009346E5" w:rsidP="00C15C6B">
      <w:pPr>
        <w:pStyle w:val="ListParagraph"/>
        <w:numPr>
          <w:ilvl w:val="0"/>
          <w:numId w:val="28"/>
        </w:numPr>
        <w:spacing w:after="0" w:line="240" w:lineRule="auto"/>
      </w:pPr>
      <w:r w:rsidRPr="00306F1B">
        <w:t xml:space="preserve">the consistency of </w:t>
      </w:r>
      <w:r w:rsidR="00C15C6B" w:rsidRPr="00306F1B">
        <w:t>P’s</w:t>
      </w:r>
      <w:r w:rsidRPr="00306F1B">
        <w:t xml:space="preserve"> express wishes or emotional state; and </w:t>
      </w:r>
    </w:p>
    <w:p w14:paraId="6C7D1418" w14:textId="783971BB" w:rsidR="009346E5" w:rsidRPr="00306F1B" w:rsidRDefault="009346E5" w:rsidP="00C15C6B">
      <w:pPr>
        <w:pStyle w:val="ListParagraph"/>
        <w:numPr>
          <w:ilvl w:val="0"/>
          <w:numId w:val="28"/>
        </w:numPr>
        <w:spacing w:after="0" w:line="240" w:lineRule="auto"/>
      </w:pPr>
      <w:r w:rsidRPr="00306F1B">
        <w:t xml:space="preserve">the potential alternative reasons for </w:t>
      </w:r>
      <w:r w:rsidR="009B3996" w:rsidRPr="00306F1B">
        <w:t>P’s</w:t>
      </w:r>
      <w:r w:rsidRPr="00306F1B">
        <w:t xml:space="preserve"> express wishes or emotional state.</w:t>
      </w:r>
      <w:r w:rsidR="00C15C6B" w:rsidRPr="00306F1B">
        <w:t xml:space="preserve">  For example, P may be sad</w:t>
      </w:r>
      <w:r w:rsidR="00F07744">
        <w:t xml:space="preserve"> about</w:t>
      </w:r>
      <w:r w:rsidR="00C15C6B" w:rsidRPr="00306F1B">
        <w:t xml:space="preserve"> a recent bereavement rather than unhappy with their care.</w:t>
      </w:r>
    </w:p>
    <w:p w14:paraId="1578D85A" w14:textId="77777777" w:rsidR="009346E5" w:rsidRPr="00306F1B" w:rsidRDefault="009346E5" w:rsidP="009346E5">
      <w:pPr>
        <w:spacing w:after="0" w:line="240" w:lineRule="auto"/>
      </w:pPr>
    </w:p>
    <w:p w14:paraId="5810C372" w14:textId="28E21560" w:rsidR="009346E5" w:rsidRPr="00306F1B" w:rsidRDefault="00C15C6B" w:rsidP="009346E5">
      <w:pPr>
        <w:spacing w:after="0" w:line="240" w:lineRule="auto"/>
      </w:pPr>
      <w:r w:rsidRPr="00306F1B">
        <w:t>MA’s</w:t>
      </w:r>
      <w:r w:rsidR="005977F9" w:rsidRPr="00306F1B">
        <w:t xml:space="preserve"> and others</w:t>
      </w:r>
      <w:r w:rsidRPr="00306F1B">
        <w:t xml:space="preserve"> can contribute to decisions about </w:t>
      </w:r>
      <w:r w:rsidR="009346E5" w:rsidRPr="00306F1B">
        <w:t xml:space="preserve">whether P’s behaviour constitutes an objection, </w:t>
      </w:r>
      <w:r w:rsidRPr="00306F1B">
        <w:t>by providing information</w:t>
      </w:r>
      <w:r w:rsidR="00A7644E" w:rsidRPr="00306F1B">
        <w:t>/ evidence</w:t>
      </w:r>
      <w:r w:rsidRPr="00306F1B">
        <w:t xml:space="preserve"> on:</w:t>
      </w:r>
    </w:p>
    <w:p w14:paraId="4328978C" w14:textId="77777777" w:rsidR="00C15C6B" w:rsidRPr="00306F1B" w:rsidRDefault="009346E5" w:rsidP="00C15C6B">
      <w:pPr>
        <w:pStyle w:val="ListParagraph"/>
        <w:numPr>
          <w:ilvl w:val="0"/>
          <w:numId w:val="29"/>
        </w:numPr>
        <w:spacing w:after="0" w:line="240" w:lineRule="auto"/>
      </w:pPr>
      <w:r w:rsidRPr="00306F1B">
        <w:t>the possible reasons for P's behaviour</w:t>
      </w:r>
    </w:p>
    <w:p w14:paraId="242DD580" w14:textId="77777777" w:rsidR="00C15C6B" w:rsidRPr="00306F1B" w:rsidRDefault="009346E5" w:rsidP="00C15C6B">
      <w:pPr>
        <w:pStyle w:val="ListParagraph"/>
        <w:numPr>
          <w:ilvl w:val="0"/>
          <w:numId w:val="29"/>
        </w:numPr>
        <w:spacing w:after="0" w:line="240" w:lineRule="auto"/>
      </w:pPr>
      <w:r w:rsidRPr="00306F1B">
        <w:t>whether P is being medicated for depression or being sedated</w:t>
      </w:r>
    </w:p>
    <w:p w14:paraId="0A82D519" w14:textId="4B5E40E4" w:rsidR="00C15C6B" w:rsidRPr="00306F1B" w:rsidRDefault="009346E5" w:rsidP="009346E5">
      <w:pPr>
        <w:pStyle w:val="ListParagraph"/>
        <w:numPr>
          <w:ilvl w:val="0"/>
          <w:numId w:val="29"/>
        </w:numPr>
        <w:spacing w:after="0" w:line="240" w:lineRule="auto"/>
      </w:pPr>
      <w:r w:rsidRPr="00306F1B">
        <w:t xml:space="preserve">whether P actively tries to leave the </w:t>
      </w:r>
      <w:r w:rsidR="009B3996" w:rsidRPr="00306F1B">
        <w:t>MA’s premises</w:t>
      </w:r>
      <w:r w:rsidR="00C15C6B" w:rsidRPr="00306F1B">
        <w:t xml:space="preserve"> and/ or </w:t>
      </w:r>
      <w:r w:rsidRPr="00306F1B">
        <w:t>takes preparatory steps to leave, e.g. packing bags</w:t>
      </w:r>
    </w:p>
    <w:p w14:paraId="209CE855" w14:textId="3F64C630" w:rsidR="00A7644E" w:rsidRPr="00306F1B" w:rsidRDefault="009346E5" w:rsidP="009346E5">
      <w:pPr>
        <w:pStyle w:val="ListParagraph"/>
        <w:numPr>
          <w:ilvl w:val="0"/>
          <w:numId w:val="29"/>
        </w:numPr>
        <w:spacing w:after="0" w:line="240" w:lineRule="auto"/>
      </w:pPr>
      <w:r w:rsidRPr="00306F1B">
        <w:t>P's demeanour and relationship with staff</w:t>
      </w:r>
      <w:r w:rsidR="00A7644E" w:rsidRPr="00306F1B">
        <w:t xml:space="preserve"> e.g. whether P generally seems happy and relaxed with staff</w:t>
      </w:r>
    </w:p>
    <w:p w14:paraId="3532692F" w14:textId="77777777" w:rsidR="00A7644E" w:rsidRPr="00306F1B" w:rsidRDefault="009346E5" w:rsidP="00A7644E">
      <w:pPr>
        <w:pStyle w:val="ListParagraph"/>
        <w:numPr>
          <w:ilvl w:val="0"/>
          <w:numId w:val="29"/>
        </w:numPr>
        <w:spacing w:after="0" w:line="240" w:lineRule="auto"/>
      </w:pPr>
      <w:r w:rsidRPr="00306F1B">
        <w:t xml:space="preserve">any challenging behaviour </w:t>
      </w:r>
      <w:r w:rsidR="00A7644E" w:rsidRPr="00306F1B">
        <w:t xml:space="preserve">exhibited by P </w:t>
      </w:r>
      <w:r w:rsidRPr="00306F1B">
        <w:t>and the triggers for such behaviour</w:t>
      </w:r>
    </w:p>
    <w:p w14:paraId="01C3D6EB" w14:textId="501DA3D7" w:rsidR="009346E5" w:rsidRPr="00306F1B" w:rsidRDefault="009346E5" w:rsidP="00A7644E">
      <w:pPr>
        <w:pStyle w:val="ListParagraph"/>
        <w:numPr>
          <w:ilvl w:val="0"/>
          <w:numId w:val="29"/>
        </w:numPr>
        <w:spacing w:after="0" w:line="240" w:lineRule="auto"/>
      </w:pPr>
      <w:r w:rsidRPr="00306F1B">
        <w:t xml:space="preserve">whether P's behaviour is a response to particular aspects of the care arrangements </w:t>
      </w:r>
      <w:r w:rsidR="00A7644E" w:rsidRPr="00306F1B">
        <w:t xml:space="preserve">(e.g. P seems content except when personal care is delivered) </w:t>
      </w:r>
      <w:r w:rsidRPr="00306F1B">
        <w:t>or to the entirety of those arrangements</w:t>
      </w:r>
      <w:r w:rsidR="00A7644E" w:rsidRPr="00306F1B">
        <w:t xml:space="preserve"> (P seems unhappy with many or most aspects of their care)</w:t>
      </w:r>
      <w:r w:rsidRPr="00306F1B">
        <w:t xml:space="preserve">. </w:t>
      </w:r>
    </w:p>
    <w:p w14:paraId="740CED89" w14:textId="77777777" w:rsidR="00105213" w:rsidRPr="00306F1B" w:rsidRDefault="00105213" w:rsidP="00105213">
      <w:pPr>
        <w:spacing w:after="0" w:line="240" w:lineRule="auto"/>
      </w:pPr>
    </w:p>
    <w:p w14:paraId="127E28E6" w14:textId="74F1F271" w:rsidR="00A7644E" w:rsidRPr="00306F1B" w:rsidRDefault="009346E5" w:rsidP="009346E5">
      <w:pPr>
        <w:spacing w:after="0" w:line="240" w:lineRule="auto"/>
      </w:pPr>
      <w:r w:rsidRPr="00306F1B">
        <w:t xml:space="preserve">A summary of CoP guidance on establishing whether an application needs to be made can be found here: </w:t>
      </w:r>
      <w:hyperlink r:id="rId9" w:history="1">
        <w:r w:rsidR="004517C1" w:rsidRPr="004517C1">
          <w:rPr>
            <w:color w:val="0000FF"/>
            <w:u w:val="single"/>
          </w:rPr>
          <w:t>Identifying-when-an-application-should-be-made-under-s21A-RD-and-Ors-February-2024.pdf (nelincs.gov.uk)</w:t>
        </w:r>
      </w:hyperlink>
      <w:r w:rsidR="004517C1">
        <w:t>.</w:t>
      </w:r>
    </w:p>
    <w:p w14:paraId="541265FE" w14:textId="3AC53705" w:rsidR="009346E5" w:rsidRPr="00306F1B" w:rsidRDefault="009B3996" w:rsidP="009346E5">
      <w:pPr>
        <w:pStyle w:val="Heading2"/>
        <w:rPr>
          <w:b/>
          <w:bCs/>
          <w:color w:val="auto"/>
        </w:rPr>
      </w:pPr>
      <w:r w:rsidRPr="00306F1B">
        <w:rPr>
          <w:b/>
          <w:bCs/>
          <w:color w:val="auto"/>
        </w:rPr>
        <w:t>DoLS a</w:t>
      </w:r>
      <w:r w:rsidR="009346E5" w:rsidRPr="00306F1B">
        <w:rPr>
          <w:b/>
          <w:bCs/>
          <w:color w:val="auto"/>
        </w:rPr>
        <w:t>uthorisations whilst decisions about applications are made</w:t>
      </w:r>
    </w:p>
    <w:p w14:paraId="32D89B6A" w14:textId="4FD907F0" w:rsidR="0041724F" w:rsidRPr="00306F1B" w:rsidRDefault="0041724F" w:rsidP="00E65CB8">
      <w:pPr>
        <w:spacing w:after="0" w:line="240" w:lineRule="auto"/>
      </w:pPr>
      <w:r w:rsidRPr="00306F1B">
        <w:t xml:space="preserve">When it is clear that P is objecting and wishes (or would wish) an application to be made, and no mitigating actions are likely to be effective, an application should be made immediately.   An authorisation of no more than three months is likely, to provide time for an application to be made. </w:t>
      </w:r>
    </w:p>
    <w:p w14:paraId="33B6C9B9" w14:textId="77777777" w:rsidR="0041724F" w:rsidRPr="00306F1B" w:rsidRDefault="0041724F" w:rsidP="00E65CB8">
      <w:pPr>
        <w:spacing w:after="0" w:line="240" w:lineRule="auto"/>
      </w:pPr>
    </w:p>
    <w:p w14:paraId="7B387DBA" w14:textId="2DBCE7F2" w:rsidR="003A2E5C" w:rsidRPr="00306F1B" w:rsidRDefault="0041724F" w:rsidP="00E65CB8">
      <w:pPr>
        <w:spacing w:after="0" w:line="240" w:lineRule="auto"/>
      </w:pPr>
      <w:r w:rsidRPr="00306F1B">
        <w:t xml:space="preserve">When there are concerns that P </w:t>
      </w:r>
      <w:r w:rsidRPr="00306F1B">
        <w:rPr>
          <w:i/>
        </w:rPr>
        <w:t>may</w:t>
      </w:r>
      <w:r w:rsidRPr="00306F1B">
        <w:t xml:space="preserve"> be objecting and/ or it is unclear whether P wishes (or would wish) to make an application, more evidence will be needed.  An authorisation of no more than six months is likely, to provide time for evidence to be collected</w:t>
      </w:r>
      <w:r w:rsidR="003A2E5C" w:rsidRPr="00306F1B">
        <w:t xml:space="preserve"> </w:t>
      </w:r>
      <w:r w:rsidR="005A6FA7" w:rsidRPr="00306F1B">
        <w:t>about P’s behaviour and likely wishes</w:t>
      </w:r>
      <w:r w:rsidR="00F07744">
        <w:t>.</w:t>
      </w:r>
    </w:p>
    <w:p w14:paraId="3E25C3AE" w14:textId="77777777" w:rsidR="003A2E5C" w:rsidRPr="00306F1B" w:rsidRDefault="003A2E5C" w:rsidP="00E65CB8">
      <w:pPr>
        <w:spacing w:after="0" w:line="240" w:lineRule="auto"/>
      </w:pPr>
    </w:p>
    <w:p w14:paraId="12670CF8" w14:textId="431AED1B" w:rsidR="003A2E5C" w:rsidRPr="00306F1B" w:rsidRDefault="00A7644E" w:rsidP="00E65CB8">
      <w:pPr>
        <w:spacing w:after="0" w:line="240" w:lineRule="auto"/>
      </w:pPr>
      <w:r w:rsidRPr="00306F1B">
        <w:t xml:space="preserve">Evidence from MAs re P’s </w:t>
      </w:r>
      <w:r w:rsidR="003A2E5C" w:rsidRPr="00306F1B">
        <w:t xml:space="preserve">words and/ or behaviours which </w:t>
      </w:r>
      <w:r w:rsidRPr="00306F1B">
        <w:t>may</w:t>
      </w:r>
      <w:r w:rsidR="003A2E5C" w:rsidRPr="00306F1B">
        <w:t xml:space="preserve"> indicate what </w:t>
      </w:r>
      <w:r w:rsidRPr="00306F1B">
        <w:t>P’s</w:t>
      </w:r>
      <w:r w:rsidR="003A2E5C" w:rsidRPr="00306F1B">
        <w:t xml:space="preserve"> wishes are</w:t>
      </w:r>
      <w:r w:rsidR="00F07744">
        <w:t>,</w:t>
      </w:r>
      <w:r w:rsidRPr="00306F1B">
        <w:t xml:space="preserve"> will be </w:t>
      </w:r>
      <w:r w:rsidR="003A2E5C" w:rsidRPr="00306F1B">
        <w:t>useful to the CoP or to others tasked with deciding whether an application should be made.</w:t>
      </w:r>
    </w:p>
    <w:p w14:paraId="60FD033D" w14:textId="77777777" w:rsidR="003A2E5C" w:rsidRPr="00306F1B" w:rsidRDefault="003A2E5C" w:rsidP="00E65CB8">
      <w:pPr>
        <w:spacing w:after="0" w:line="240" w:lineRule="auto"/>
      </w:pPr>
    </w:p>
    <w:p w14:paraId="1EC1F42D" w14:textId="77777777" w:rsidR="00843C51" w:rsidRPr="00306F1B" w:rsidRDefault="00843C51" w:rsidP="00CD4BF2">
      <w:pPr>
        <w:pStyle w:val="Heading2"/>
        <w:rPr>
          <w:b/>
          <w:bCs/>
          <w:color w:val="auto"/>
        </w:rPr>
      </w:pPr>
      <w:r w:rsidRPr="00306F1B">
        <w:rPr>
          <w:b/>
          <w:bCs/>
          <w:color w:val="auto"/>
        </w:rPr>
        <w:t>Who should make the application?</w:t>
      </w:r>
    </w:p>
    <w:p w14:paraId="43476421" w14:textId="23BDBCB1" w:rsidR="00843C51" w:rsidRPr="00306F1B" w:rsidRDefault="00843C51" w:rsidP="00843C51">
      <w:r w:rsidRPr="00306F1B">
        <w:t>P has the right to make their own s21A application.  However, very few Ps may be able to do so.  Most Ps will be reliant on a representative making an application on their behalf.</w:t>
      </w:r>
      <w:r w:rsidR="005D4DDF" w:rsidRPr="00306F1B">
        <w:t xml:space="preserve"> </w:t>
      </w:r>
      <w:r w:rsidR="00F07744">
        <w:t xml:space="preserve">  The SB (council) can also apply to the CoP.</w:t>
      </w:r>
      <w:r w:rsidR="005D4DDF" w:rsidRPr="00306F1B">
        <w:t xml:space="preserve"> </w:t>
      </w:r>
    </w:p>
    <w:p w14:paraId="61F442CB" w14:textId="7B8CB810" w:rsidR="00843C51" w:rsidRPr="00306F1B" w:rsidRDefault="00843C51" w:rsidP="00843C51">
      <w:pPr>
        <w:pStyle w:val="Heading2"/>
        <w:rPr>
          <w:b/>
          <w:bCs/>
          <w:color w:val="auto"/>
        </w:rPr>
      </w:pPr>
      <w:r w:rsidRPr="00306F1B">
        <w:rPr>
          <w:b/>
          <w:bCs/>
          <w:color w:val="auto"/>
        </w:rPr>
        <w:t>The role of the RPR</w:t>
      </w:r>
    </w:p>
    <w:p w14:paraId="4D7BE495" w14:textId="3AA6E71B" w:rsidR="00843C51" w:rsidRPr="00306F1B" w:rsidRDefault="00843C51" w:rsidP="00843C51">
      <w:pPr>
        <w:spacing w:after="0" w:line="240" w:lineRule="auto"/>
        <w:rPr>
          <w:rFonts w:ascii="Calibri" w:hAnsi="Calibri" w:cs="Calibri"/>
        </w:rPr>
      </w:pPr>
      <w:r w:rsidRPr="00306F1B">
        <w:rPr>
          <w:rFonts w:ascii="Calibri" w:hAnsi="Calibri" w:cs="Calibri"/>
        </w:rPr>
        <w:t>RPRs have a broad duty to help P with all things connected with their deprivation of liberty.  To discharge their duty, they must visit P regularly (generally at least once each month) to keep up to date with the arrangements for their care and give them any support with the deprivation that they might need.  For example, this might include checking P’s care plan is regularly reviewed and their needs are being met.  It might also include making a s21A application.</w:t>
      </w:r>
      <w:r w:rsidR="005D4DDF" w:rsidRPr="00306F1B">
        <w:rPr>
          <w:rFonts w:ascii="Calibri" w:hAnsi="Calibri" w:cs="Calibri"/>
        </w:rPr>
        <w:t xml:space="preserve">  </w:t>
      </w:r>
      <w:r w:rsidR="005D4DDF" w:rsidRPr="00306F1B">
        <w:t xml:space="preserve">If the RPR does not visit P, it will be difficult for them to help P </w:t>
      </w:r>
      <w:r w:rsidR="00AC42AF" w:rsidRPr="00306F1B">
        <w:t>make use of</w:t>
      </w:r>
      <w:r w:rsidR="005D4DDF" w:rsidRPr="00306F1B">
        <w:t xml:space="preserve"> their rights.</w:t>
      </w:r>
    </w:p>
    <w:p w14:paraId="72B33F82" w14:textId="58F5B34F" w:rsidR="00843C51" w:rsidRPr="00306F1B" w:rsidRDefault="00843C51" w:rsidP="00856CB1">
      <w:pPr>
        <w:spacing w:after="0" w:line="240" w:lineRule="auto"/>
        <w:rPr>
          <w:rFonts w:ascii="Calibri" w:hAnsi="Calibri" w:cs="Calibri"/>
          <w:u w:val="single"/>
        </w:rPr>
      </w:pPr>
      <w:r w:rsidRPr="00306F1B">
        <w:rPr>
          <w:rFonts w:ascii="Calibri" w:hAnsi="Calibri" w:cs="Calibri"/>
        </w:rPr>
        <w:lastRenderedPageBreak/>
        <w:t>RPR</w:t>
      </w:r>
      <w:r w:rsidR="00AC42AF" w:rsidRPr="00306F1B">
        <w:rPr>
          <w:rFonts w:ascii="Calibri" w:hAnsi="Calibri" w:cs="Calibri"/>
        </w:rPr>
        <w:t>s</w:t>
      </w:r>
      <w:r w:rsidRPr="00306F1B">
        <w:rPr>
          <w:rFonts w:ascii="Calibri" w:hAnsi="Calibri" w:cs="Calibri"/>
        </w:rPr>
        <w:t xml:space="preserve"> should not allow their own views about the merits of making an application stop them making an application on P’s behalf, or stop them supporting P to make the application.</w:t>
      </w:r>
      <w:r w:rsidR="00AC42AF" w:rsidRPr="00306F1B">
        <w:rPr>
          <w:rFonts w:ascii="Calibri" w:hAnsi="Calibri" w:cs="Calibri"/>
        </w:rPr>
        <w:t xml:space="preserve">  For example, the RPR may believe that P’s care home placement represents the best option for P</w:t>
      </w:r>
      <w:r w:rsidR="0041724F" w:rsidRPr="00306F1B">
        <w:rPr>
          <w:rFonts w:ascii="Calibri" w:hAnsi="Calibri" w:cs="Calibri"/>
        </w:rPr>
        <w:t xml:space="preserve">; however, if P has capacity to ask that an application be made on their behalf (or shows by their words/ behaviour that they would wish an application to be made), the RPR must make one.  Most RPRs are likely to need to instruct a solicitor to </w:t>
      </w:r>
      <w:r w:rsidR="007E09F7" w:rsidRPr="00306F1B">
        <w:rPr>
          <w:rFonts w:ascii="Calibri" w:hAnsi="Calibri" w:cs="Calibri"/>
        </w:rPr>
        <w:t xml:space="preserve">help them, to </w:t>
      </w:r>
      <w:r w:rsidR="0041724F" w:rsidRPr="00306F1B">
        <w:rPr>
          <w:rFonts w:ascii="Calibri" w:hAnsi="Calibri" w:cs="Calibri"/>
        </w:rPr>
        <w:t>ensure that the application is made effectively.</w:t>
      </w:r>
    </w:p>
    <w:p w14:paraId="32574DDB" w14:textId="77777777" w:rsidR="00105213" w:rsidRPr="00306F1B" w:rsidRDefault="00105213" w:rsidP="00105213">
      <w:pPr>
        <w:spacing w:after="0" w:line="240" w:lineRule="auto"/>
        <w:rPr>
          <w:u w:val="single"/>
        </w:rPr>
      </w:pPr>
    </w:p>
    <w:p w14:paraId="60CF6CFA" w14:textId="1094AA56" w:rsidR="00105213" w:rsidRPr="00306F1B" w:rsidRDefault="00105213" w:rsidP="00105213">
      <w:pPr>
        <w:spacing w:after="0" w:line="240" w:lineRule="auto"/>
        <w:rPr>
          <w:u w:val="single"/>
        </w:rPr>
      </w:pPr>
      <w:r w:rsidRPr="00306F1B">
        <w:rPr>
          <w:u w:val="single"/>
        </w:rPr>
        <w:t>For the avoidance of doubt, all references to Relevant Person’s Representatives (RPRs) in this guidance include paid and unpaid RPRs.</w:t>
      </w:r>
    </w:p>
    <w:p w14:paraId="3C62B84B" w14:textId="77777777" w:rsidR="00843C51" w:rsidRPr="00306F1B" w:rsidRDefault="00843C51" w:rsidP="00856CB1">
      <w:pPr>
        <w:pStyle w:val="Heading2"/>
        <w:spacing w:before="0" w:line="240" w:lineRule="auto"/>
        <w:rPr>
          <w:b/>
          <w:bCs/>
          <w:color w:val="auto"/>
        </w:rPr>
      </w:pPr>
    </w:p>
    <w:p w14:paraId="542DCC35" w14:textId="3244E053" w:rsidR="006A57CA" w:rsidRPr="00306F1B" w:rsidRDefault="00843C51" w:rsidP="00856CB1">
      <w:pPr>
        <w:pStyle w:val="Heading2"/>
        <w:spacing w:before="0" w:line="240" w:lineRule="auto"/>
        <w:rPr>
          <w:b/>
          <w:bCs/>
          <w:color w:val="auto"/>
        </w:rPr>
      </w:pPr>
      <w:r w:rsidRPr="00306F1B">
        <w:rPr>
          <w:b/>
          <w:bCs/>
          <w:color w:val="auto"/>
        </w:rPr>
        <w:t xml:space="preserve">Schedule A1 </w:t>
      </w:r>
      <w:r w:rsidR="006A57CA" w:rsidRPr="00306F1B">
        <w:rPr>
          <w:b/>
          <w:bCs/>
          <w:color w:val="auto"/>
        </w:rPr>
        <w:t>Part 8</w:t>
      </w:r>
      <w:r w:rsidR="00DA25B8" w:rsidRPr="00306F1B">
        <w:rPr>
          <w:b/>
          <w:bCs/>
          <w:color w:val="auto"/>
        </w:rPr>
        <w:t xml:space="preserve"> review</w:t>
      </w:r>
      <w:r w:rsidRPr="00306F1B">
        <w:rPr>
          <w:b/>
          <w:bCs/>
          <w:color w:val="auto"/>
        </w:rPr>
        <w:t>,</w:t>
      </w:r>
      <w:r w:rsidR="00DA25B8" w:rsidRPr="00306F1B">
        <w:rPr>
          <w:b/>
          <w:bCs/>
          <w:color w:val="auto"/>
        </w:rPr>
        <w:t xml:space="preserve"> or s21A application?</w:t>
      </w:r>
    </w:p>
    <w:p w14:paraId="4BD109CF" w14:textId="026081AD" w:rsidR="00856CB1" w:rsidRPr="00306F1B" w:rsidRDefault="0041724F" w:rsidP="00856CB1">
      <w:pPr>
        <w:spacing w:after="0" w:line="240" w:lineRule="auto"/>
      </w:pPr>
      <w:r w:rsidRPr="00306F1B">
        <w:t xml:space="preserve">A </w:t>
      </w:r>
      <w:r w:rsidR="00856CB1" w:rsidRPr="00306F1B">
        <w:t xml:space="preserve">Part 8 review does not, and is not intended to offer, </w:t>
      </w:r>
      <w:r w:rsidR="00856CB1" w:rsidRPr="00306F1B">
        <w:rPr>
          <w:i/>
        </w:rPr>
        <w:t>independent</w:t>
      </w:r>
      <w:r w:rsidR="00856CB1" w:rsidRPr="00306F1B">
        <w:t xml:space="preserve"> scrutiny of whether the criteria for</w:t>
      </w:r>
      <w:r w:rsidR="0047648F" w:rsidRPr="00306F1B">
        <w:t xml:space="preserve"> a DoLS</w:t>
      </w:r>
      <w:r w:rsidR="00856CB1" w:rsidRPr="00306F1B">
        <w:t xml:space="preserve"> authorisation are met.  </w:t>
      </w:r>
      <w:r w:rsidR="0047648F" w:rsidRPr="00306F1B">
        <w:t>Only a</w:t>
      </w:r>
      <w:r w:rsidR="00856CB1" w:rsidRPr="00306F1B">
        <w:t xml:space="preserve">ccess to the CoP via s21A </w:t>
      </w:r>
      <w:r w:rsidR="0047648F" w:rsidRPr="00306F1B">
        <w:t>offers</w:t>
      </w:r>
      <w:r w:rsidR="00856CB1" w:rsidRPr="00306F1B">
        <w:t xml:space="preserve"> independent scrutiny.  </w:t>
      </w:r>
    </w:p>
    <w:p w14:paraId="24E1F927" w14:textId="77777777" w:rsidR="00856CB1" w:rsidRPr="00306F1B" w:rsidRDefault="00856CB1" w:rsidP="0052623A">
      <w:pPr>
        <w:spacing w:after="0" w:line="240" w:lineRule="auto"/>
        <w:rPr>
          <w:rFonts w:ascii="Calibri" w:hAnsi="Calibri"/>
        </w:rPr>
      </w:pPr>
    </w:p>
    <w:p w14:paraId="585A39D5" w14:textId="199B6F0D" w:rsidR="00856CB1" w:rsidRPr="00306F1B" w:rsidRDefault="009656C4" w:rsidP="0052623A">
      <w:pPr>
        <w:spacing w:after="0" w:line="240" w:lineRule="auto"/>
      </w:pPr>
      <w:r w:rsidRPr="00306F1B">
        <w:rPr>
          <w:rFonts w:ascii="Calibri" w:hAnsi="Calibri"/>
        </w:rPr>
        <w:t xml:space="preserve">SBs </w:t>
      </w:r>
      <w:r w:rsidR="00F07744">
        <w:rPr>
          <w:rFonts w:ascii="Calibri" w:hAnsi="Calibri"/>
        </w:rPr>
        <w:t xml:space="preserve">(councils) </w:t>
      </w:r>
      <w:r w:rsidRPr="00306F1B">
        <w:rPr>
          <w:rFonts w:ascii="Calibri" w:hAnsi="Calibri"/>
        </w:rPr>
        <w:t>must carry out a Part 8 review if requested by an eligible person;</w:t>
      </w:r>
      <w:r w:rsidR="0041724F" w:rsidRPr="00306F1B">
        <w:rPr>
          <w:rFonts w:ascii="Calibri" w:hAnsi="Calibri"/>
        </w:rPr>
        <w:t xml:space="preserve"> an ‘eligible person’ </w:t>
      </w:r>
      <w:r w:rsidRPr="00306F1B">
        <w:rPr>
          <w:rFonts w:ascii="Calibri" w:hAnsi="Calibri"/>
        </w:rPr>
        <w:t>includes P, their RPR, and MA</w:t>
      </w:r>
      <w:r w:rsidRPr="00306F1B">
        <w:rPr>
          <w:rStyle w:val="EndnoteReference"/>
          <w:rFonts w:ascii="Calibri" w:hAnsi="Calibri"/>
        </w:rPr>
        <w:endnoteReference w:id="2"/>
      </w:r>
      <w:r w:rsidRPr="00306F1B">
        <w:rPr>
          <w:rFonts w:ascii="Calibri" w:hAnsi="Calibri"/>
        </w:rPr>
        <w:t>.</w:t>
      </w:r>
      <w:r w:rsidR="00856CB1" w:rsidRPr="00306F1B">
        <w:rPr>
          <w:rFonts w:ascii="Calibri" w:hAnsi="Calibri"/>
        </w:rPr>
        <w:t xml:space="preserve">  </w:t>
      </w:r>
      <w:r w:rsidR="0041724F" w:rsidRPr="00306F1B">
        <w:t>It is not compulsory</w:t>
      </w:r>
      <w:r w:rsidR="0052623A" w:rsidRPr="00306F1B">
        <w:rPr>
          <w:i/>
        </w:rPr>
        <w:t xml:space="preserve"> </w:t>
      </w:r>
      <w:r w:rsidR="0052623A" w:rsidRPr="00306F1B">
        <w:t xml:space="preserve">to request a </w:t>
      </w:r>
      <w:r w:rsidR="0041724F" w:rsidRPr="00306F1B">
        <w:t xml:space="preserve">Part 8 </w:t>
      </w:r>
      <w:r w:rsidR="0052623A" w:rsidRPr="00306F1B">
        <w:t>review before making a</w:t>
      </w:r>
      <w:r w:rsidR="0041724F" w:rsidRPr="00306F1B">
        <w:t xml:space="preserve"> s21A</w:t>
      </w:r>
      <w:r w:rsidR="0052623A" w:rsidRPr="00306F1B">
        <w:t xml:space="preserve"> application, </w:t>
      </w:r>
      <w:r w:rsidR="0041724F" w:rsidRPr="00306F1B">
        <w:t xml:space="preserve">but </w:t>
      </w:r>
      <w:r w:rsidR="00843C51" w:rsidRPr="00306F1B">
        <w:t>MA</w:t>
      </w:r>
      <w:r w:rsidR="0052623A" w:rsidRPr="00306F1B">
        <w:t>s are urged to prompt consideration of a review whe</w:t>
      </w:r>
      <w:r w:rsidR="005E51CF" w:rsidRPr="00306F1B">
        <w:t xml:space="preserve">n </w:t>
      </w:r>
      <w:r w:rsidR="0052623A" w:rsidRPr="00306F1B">
        <w:t>appropriate.</w:t>
      </w:r>
      <w:r w:rsidR="00856CB1" w:rsidRPr="00306F1B">
        <w:t xml:space="preserve">  This might mean</w:t>
      </w:r>
      <w:r w:rsidR="0041724F" w:rsidRPr="00306F1B">
        <w:t xml:space="preserve"> </w:t>
      </w:r>
      <w:r w:rsidR="00856CB1" w:rsidRPr="00306F1B">
        <w:t xml:space="preserve">prompting the RPR to request a Part 8 review, or </w:t>
      </w:r>
      <w:r w:rsidR="0041724F" w:rsidRPr="00306F1B">
        <w:t xml:space="preserve">the MA </w:t>
      </w:r>
      <w:r w:rsidR="00856CB1" w:rsidRPr="00306F1B">
        <w:t>making the request itself if the RPR fails to.</w:t>
      </w:r>
      <w:r w:rsidR="0052623A" w:rsidRPr="00306F1B">
        <w:t xml:space="preserve">  </w:t>
      </w:r>
    </w:p>
    <w:p w14:paraId="2273FD28" w14:textId="77777777" w:rsidR="00856CB1" w:rsidRPr="00306F1B" w:rsidRDefault="00856CB1" w:rsidP="0052623A">
      <w:pPr>
        <w:spacing w:after="0" w:line="240" w:lineRule="auto"/>
      </w:pPr>
    </w:p>
    <w:p w14:paraId="5A6930E9" w14:textId="38D6D9A9" w:rsidR="0052623A" w:rsidRPr="00306F1B" w:rsidRDefault="0052623A" w:rsidP="0052623A">
      <w:pPr>
        <w:spacing w:after="0" w:line="240" w:lineRule="auto"/>
      </w:pPr>
      <w:r w:rsidRPr="00306F1B">
        <w:t xml:space="preserve">The CoP Handbook (Keene, Edwards, Eldergill and Miles, second edition) suggests the following could indicate that use of a </w:t>
      </w:r>
      <w:r w:rsidR="0047648F" w:rsidRPr="00306F1B">
        <w:t xml:space="preserve">Part 8 </w:t>
      </w:r>
      <w:r w:rsidRPr="00306F1B">
        <w:t xml:space="preserve">review </w:t>
      </w:r>
      <w:r w:rsidRPr="00306F1B">
        <w:rPr>
          <w:i/>
        </w:rPr>
        <w:t xml:space="preserve">first </w:t>
      </w:r>
      <w:r w:rsidRPr="00306F1B">
        <w:t>would be appropriate:</w:t>
      </w:r>
    </w:p>
    <w:p w14:paraId="108642A6" w14:textId="77777777" w:rsidR="0052623A" w:rsidRPr="00306F1B" w:rsidRDefault="00E21B98" w:rsidP="0052623A">
      <w:pPr>
        <w:pStyle w:val="ListParagraph"/>
        <w:numPr>
          <w:ilvl w:val="0"/>
          <w:numId w:val="4"/>
        </w:numPr>
        <w:spacing w:after="0" w:line="240" w:lineRule="auto"/>
      </w:pPr>
      <w:r w:rsidRPr="00306F1B">
        <w:t xml:space="preserve">There is </w:t>
      </w:r>
      <w:r w:rsidR="0052623A" w:rsidRPr="00306F1B">
        <w:t>reason to believe that there is a realistic possibility that agreement to terminate or vary the authorisation will be reached</w:t>
      </w:r>
    </w:p>
    <w:p w14:paraId="09B79248" w14:textId="77777777" w:rsidR="0052623A" w:rsidRPr="00306F1B" w:rsidRDefault="00E21B98" w:rsidP="0052623A">
      <w:pPr>
        <w:pStyle w:val="ListParagraph"/>
        <w:numPr>
          <w:ilvl w:val="0"/>
          <w:numId w:val="4"/>
        </w:numPr>
        <w:spacing w:after="0" w:line="240" w:lineRule="auto"/>
      </w:pPr>
      <w:r w:rsidRPr="00306F1B">
        <w:t xml:space="preserve">The person wishing to </w:t>
      </w:r>
      <w:r w:rsidR="0052623A" w:rsidRPr="00306F1B">
        <w:t xml:space="preserve">challenge </w:t>
      </w:r>
      <w:r w:rsidRPr="00306F1B">
        <w:t xml:space="preserve">the </w:t>
      </w:r>
      <w:r w:rsidR="00156324" w:rsidRPr="00306F1B">
        <w:t>authorisation</w:t>
      </w:r>
      <w:r w:rsidRPr="00306F1B">
        <w:t xml:space="preserve"> </w:t>
      </w:r>
      <w:r w:rsidR="0052623A" w:rsidRPr="00306F1B">
        <w:t xml:space="preserve">is not likely to get Legal Aid </w:t>
      </w:r>
      <w:r w:rsidRPr="00306F1B">
        <w:t>(</w:t>
      </w:r>
      <w:r w:rsidR="0052623A" w:rsidRPr="00306F1B">
        <w:t>i.e. the person is not P, their RPR, or likely to be appointed as P’s litigation friend</w:t>
      </w:r>
      <w:r w:rsidRPr="00306F1B">
        <w:t>)</w:t>
      </w:r>
      <w:r w:rsidR="0052623A" w:rsidRPr="00306F1B">
        <w:t xml:space="preserve"> </w:t>
      </w:r>
    </w:p>
    <w:p w14:paraId="62737B91" w14:textId="1B490814" w:rsidR="0052623A" w:rsidRPr="00306F1B" w:rsidRDefault="0052623A" w:rsidP="0052623A">
      <w:pPr>
        <w:pStyle w:val="ListParagraph"/>
        <w:numPr>
          <w:ilvl w:val="0"/>
          <w:numId w:val="4"/>
        </w:numPr>
        <w:spacing w:after="0" w:line="240" w:lineRule="auto"/>
      </w:pPr>
      <w:r w:rsidRPr="00306F1B">
        <w:t>There is no risk that P will suffer distress/ harm if the status quo continues pending review</w:t>
      </w:r>
      <w:r w:rsidR="008A4D8F" w:rsidRPr="00306F1B">
        <w:t>.</w:t>
      </w:r>
      <w:r w:rsidRPr="00306F1B">
        <w:t xml:space="preserve"> </w:t>
      </w:r>
    </w:p>
    <w:p w14:paraId="5BC79AE4" w14:textId="2B5D11E1" w:rsidR="009C6C10" w:rsidRPr="00306F1B" w:rsidRDefault="009C6C10" w:rsidP="009C6C10">
      <w:pPr>
        <w:spacing w:after="0" w:line="240" w:lineRule="auto"/>
      </w:pPr>
    </w:p>
    <w:p w14:paraId="2C83AD1F" w14:textId="45C3BFC0" w:rsidR="009C6C10" w:rsidRPr="00306F1B" w:rsidRDefault="009C6C10" w:rsidP="009C6C10">
      <w:pPr>
        <w:spacing w:after="0" w:line="240" w:lineRule="auto"/>
      </w:pPr>
      <w:r w:rsidRPr="00306F1B">
        <w:t>Where a Part 8 review is pursued</w:t>
      </w:r>
      <w:r w:rsidR="006B5840" w:rsidRPr="00306F1B">
        <w:t xml:space="preserve"> first</w:t>
      </w:r>
      <w:r w:rsidRPr="00306F1B">
        <w:t xml:space="preserve">, its purpose </w:t>
      </w:r>
      <w:r w:rsidR="00856CB1" w:rsidRPr="00306F1B">
        <w:t xml:space="preserve">will be </w:t>
      </w:r>
      <w:r w:rsidRPr="00306F1B">
        <w:t>to explore the issues with P’s arrangements</w:t>
      </w:r>
      <w:r w:rsidR="006B5840" w:rsidRPr="00306F1B">
        <w:t xml:space="preserve"> and </w:t>
      </w:r>
      <w:r w:rsidR="00856CB1" w:rsidRPr="00306F1B">
        <w:t>resolve them</w:t>
      </w:r>
      <w:r w:rsidR="006B5840" w:rsidRPr="00306F1B">
        <w:t xml:space="preserve"> where possible.  At the very least, the review should serve to narrow the issues on which any subsequent </w:t>
      </w:r>
      <w:r w:rsidR="00856CB1" w:rsidRPr="00306F1B">
        <w:t>CoP application</w:t>
      </w:r>
      <w:r w:rsidR="006B5840" w:rsidRPr="00306F1B">
        <w:t xml:space="preserve"> will focus.</w:t>
      </w:r>
      <w:r w:rsidR="00573B22" w:rsidRPr="00306F1B">
        <w:t xml:space="preserve">  </w:t>
      </w:r>
    </w:p>
    <w:p w14:paraId="4348F166" w14:textId="77777777" w:rsidR="001620E9" w:rsidRPr="00306F1B" w:rsidRDefault="001620E9" w:rsidP="00027B33">
      <w:pPr>
        <w:spacing w:after="0" w:line="240" w:lineRule="auto"/>
        <w:rPr>
          <w:u w:val="single"/>
        </w:rPr>
      </w:pPr>
    </w:p>
    <w:p w14:paraId="6F420CAB" w14:textId="41594500" w:rsidR="006A57CA" w:rsidRPr="00306F1B" w:rsidRDefault="00CE0F7F" w:rsidP="00CD4BF2">
      <w:pPr>
        <w:pStyle w:val="Heading2"/>
        <w:rPr>
          <w:b/>
          <w:bCs/>
          <w:color w:val="auto"/>
        </w:rPr>
      </w:pPr>
      <w:r w:rsidRPr="00306F1B">
        <w:rPr>
          <w:b/>
          <w:bCs/>
          <w:color w:val="auto"/>
        </w:rPr>
        <w:t xml:space="preserve">Expectations of </w:t>
      </w:r>
      <w:r w:rsidR="001620E9" w:rsidRPr="00306F1B">
        <w:rPr>
          <w:b/>
          <w:bCs/>
          <w:color w:val="auto"/>
        </w:rPr>
        <w:t>MA</w:t>
      </w:r>
      <w:r w:rsidRPr="00306F1B">
        <w:rPr>
          <w:b/>
          <w:bCs/>
          <w:color w:val="auto"/>
        </w:rPr>
        <w:t>s</w:t>
      </w:r>
      <w:r w:rsidR="00E153DC" w:rsidRPr="00306F1B">
        <w:rPr>
          <w:b/>
          <w:bCs/>
          <w:color w:val="auto"/>
        </w:rPr>
        <w:t xml:space="preserve"> </w:t>
      </w:r>
    </w:p>
    <w:p w14:paraId="16302FA0" w14:textId="5AB9A7F8" w:rsidR="005D4DDF" w:rsidRPr="00306F1B" w:rsidRDefault="005D4DDF" w:rsidP="00CE0F7F">
      <w:pPr>
        <w:pStyle w:val="ListParagraph"/>
        <w:numPr>
          <w:ilvl w:val="0"/>
          <w:numId w:val="5"/>
        </w:numPr>
        <w:spacing w:after="0" w:line="240" w:lineRule="auto"/>
      </w:pPr>
      <w:r w:rsidRPr="00306F1B">
        <w:t>Give P and their RPR, information about their rights</w:t>
      </w:r>
    </w:p>
    <w:p w14:paraId="53ED011E" w14:textId="6F9780FE" w:rsidR="00CE0F7F" w:rsidRPr="00306F1B" w:rsidRDefault="005D4DDF" w:rsidP="00CE0F7F">
      <w:pPr>
        <w:pStyle w:val="ListParagraph"/>
        <w:numPr>
          <w:ilvl w:val="0"/>
          <w:numId w:val="5"/>
        </w:numPr>
        <w:spacing w:after="0" w:line="240" w:lineRule="auto"/>
      </w:pPr>
      <w:r w:rsidRPr="00306F1B">
        <w:t xml:space="preserve">Monitor how often an RPR visits P.  Any concerns about failures to </w:t>
      </w:r>
      <w:r w:rsidR="00D169F9" w:rsidRPr="00306F1B">
        <w:t xml:space="preserve">maintain </w:t>
      </w:r>
      <w:r w:rsidR="00016A84" w:rsidRPr="00306F1B">
        <w:t xml:space="preserve">appropriate </w:t>
      </w:r>
      <w:r w:rsidR="00D169F9" w:rsidRPr="00306F1B">
        <w:t xml:space="preserve">contact with P, </w:t>
      </w:r>
      <w:r w:rsidRPr="00306F1B">
        <w:t xml:space="preserve">or failures to </w:t>
      </w:r>
      <w:r w:rsidR="00D169F9" w:rsidRPr="00306F1B">
        <w:t xml:space="preserve">represent and support P in matters connected with </w:t>
      </w:r>
      <w:r w:rsidRPr="00306F1B">
        <w:t xml:space="preserve">their deprivation of liberty should be </w:t>
      </w:r>
      <w:r w:rsidR="005A6FA7" w:rsidRPr="00306F1B">
        <w:t>flagged with</w:t>
      </w:r>
      <w:r w:rsidRPr="00306F1B">
        <w:t xml:space="preserve"> </w:t>
      </w:r>
      <w:r w:rsidR="00156A03">
        <w:t>the DoLS Team*</w:t>
      </w:r>
    </w:p>
    <w:p w14:paraId="49DB13E1" w14:textId="0DD6E19D" w:rsidR="00856CB1" w:rsidRPr="00306F1B" w:rsidRDefault="005A6FA7" w:rsidP="00CE0F7F">
      <w:pPr>
        <w:pStyle w:val="ListParagraph"/>
        <w:numPr>
          <w:ilvl w:val="0"/>
          <w:numId w:val="5"/>
        </w:numPr>
        <w:spacing w:after="0" w:line="240" w:lineRule="auto"/>
      </w:pPr>
      <w:r w:rsidRPr="00306F1B">
        <w:t xml:space="preserve">Be alive to whether P is indicating by words or behaviour that they </w:t>
      </w:r>
      <w:r w:rsidR="005977F9" w:rsidRPr="00306F1B">
        <w:t>could</w:t>
      </w:r>
      <w:r w:rsidR="00A7644E" w:rsidRPr="00306F1B">
        <w:t xml:space="preserve"> be unhappy with their arrangements or parts of it</w:t>
      </w:r>
      <w:r w:rsidRPr="00306F1B">
        <w:t xml:space="preserve">.  </w:t>
      </w:r>
      <w:r w:rsidR="00016A84" w:rsidRPr="00306F1B">
        <w:t>Clearly r</w:t>
      </w:r>
      <w:r w:rsidR="00A7644E" w:rsidRPr="00306F1B">
        <w:t>ecord what you identify.</w:t>
      </w:r>
      <w:r w:rsidR="005977F9" w:rsidRPr="00306F1B">
        <w:t xml:space="preserve">  Recording may show that w</w:t>
      </w:r>
      <w:r w:rsidR="00A7644E" w:rsidRPr="00306F1B">
        <w:t>hat appear</w:t>
      </w:r>
      <w:r w:rsidR="005977F9" w:rsidRPr="00306F1B">
        <w:t>s</w:t>
      </w:r>
      <w:r w:rsidR="00A7644E" w:rsidRPr="00306F1B">
        <w:t xml:space="preserve"> </w:t>
      </w:r>
      <w:r w:rsidR="005977F9" w:rsidRPr="00306F1B">
        <w:t xml:space="preserve">at first </w:t>
      </w:r>
      <w:r w:rsidR="00A7644E" w:rsidRPr="00306F1B">
        <w:t>to be short term unhappiness may indicate a pattern over time</w:t>
      </w:r>
    </w:p>
    <w:p w14:paraId="5B0A65DE" w14:textId="77777777" w:rsidR="005977F9" w:rsidRPr="00306F1B" w:rsidRDefault="00A7644E" w:rsidP="00A7644E">
      <w:pPr>
        <w:pStyle w:val="ListParagraph"/>
        <w:numPr>
          <w:ilvl w:val="0"/>
          <w:numId w:val="5"/>
        </w:numPr>
        <w:spacing w:after="0" w:line="240" w:lineRule="auto"/>
      </w:pPr>
      <w:r w:rsidRPr="00306F1B">
        <w:t>Where it is clear that P (or their RPR) is unhappy with P’s care arrangements, consider with them and any lead practitioner identified for P, whether there are any actions you could take which would reduce or remove the unhappiness</w:t>
      </w:r>
    </w:p>
    <w:p w14:paraId="35FE91E5" w14:textId="4631625E" w:rsidR="00A7644E" w:rsidRPr="00306F1B" w:rsidRDefault="005977F9" w:rsidP="00A7644E">
      <w:pPr>
        <w:pStyle w:val="ListParagraph"/>
        <w:numPr>
          <w:ilvl w:val="0"/>
          <w:numId w:val="5"/>
        </w:numPr>
        <w:spacing w:after="0" w:line="240" w:lineRule="auto"/>
      </w:pPr>
      <w:r w:rsidRPr="00306F1B">
        <w:t>If P’s RPR fails to do so and a Part 8 review appears likely to be of benefit to P, contact</w:t>
      </w:r>
      <w:r w:rsidR="00156A03">
        <w:t xml:space="preserve"> the DoLS Team*</w:t>
      </w:r>
      <w:r w:rsidRPr="00306F1B">
        <w:t xml:space="preserve"> </w:t>
      </w:r>
      <w:r w:rsidR="00A7644E" w:rsidRPr="00306F1B">
        <w:t xml:space="preserve">  </w:t>
      </w:r>
    </w:p>
    <w:p w14:paraId="3B86ADB0" w14:textId="1D35CB75" w:rsidR="00016A84" w:rsidRPr="00306F1B" w:rsidRDefault="0004038F" w:rsidP="00CE0F7F">
      <w:pPr>
        <w:pStyle w:val="ListParagraph"/>
        <w:numPr>
          <w:ilvl w:val="0"/>
          <w:numId w:val="5"/>
        </w:numPr>
        <w:spacing w:after="0" w:line="240" w:lineRule="auto"/>
      </w:pPr>
      <w:r w:rsidRPr="00306F1B">
        <w:t xml:space="preserve">If you identify words or behaviour that indicates P would wish to apply to the CoP if they had capacity to do so, record it.  Please alert </w:t>
      </w:r>
      <w:r w:rsidR="00156A03">
        <w:t xml:space="preserve">the </w:t>
      </w:r>
      <w:r w:rsidR="00156A03" w:rsidRPr="001477C0">
        <w:t>DoLS Team*</w:t>
      </w:r>
      <w:r w:rsidR="00D77A77" w:rsidRPr="001477C0">
        <w:t>,</w:t>
      </w:r>
      <w:r w:rsidR="00D77A77">
        <w:t xml:space="preserve"> P’s RPR </w:t>
      </w:r>
      <w:r w:rsidRPr="00306F1B">
        <w:t>and any best interests assessor or mental health assessor who visits P as part of completing a DoLS authorisation</w:t>
      </w:r>
      <w:r w:rsidR="00016A84" w:rsidRPr="00306F1B">
        <w:t xml:space="preserve">.  </w:t>
      </w:r>
    </w:p>
    <w:p w14:paraId="6BF92804" w14:textId="77777777" w:rsidR="00D77A77" w:rsidRDefault="00016A84" w:rsidP="00D77A77">
      <w:pPr>
        <w:pStyle w:val="ListParagraph"/>
        <w:numPr>
          <w:ilvl w:val="0"/>
          <w:numId w:val="5"/>
        </w:numPr>
        <w:spacing w:after="0" w:line="240" w:lineRule="auto"/>
      </w:pPr>
      <w:r w:rsidRPr="00306F1B">
        <w:t xml:space="preserve">Ensure that records – including those about P’s words or behaviours that might indicate P would wish to make an application - are available to visiting </w:t>
      </w:r>
      <w:r w:rsidR="00D77A77">
        <w:t xml:space="preserve">RPRs and </w:t>
      </w:r>
      <w:r w:rsidRPr="00306F1B">
        <w:t xml:space="preserve">assessors </w:t>
      </w:r>
      <w:r w:rsidR="0004038F" w:rsidRPr="00306F1B">
        <w:t xml:space="preserve"> </w:t>
      </w:r>
    </w:p>
    <w:p w14:paraId="2C19BBAA" w14:textId="03725ACE" w:rsidR="00D77A77" w:rsidRDefault="00856CB1" w:rsidP="00D77A77">
      <w:pPr>
        <w:pStyle w:val="ListParagraph"/>
        <w:numPr>
          <w:ilvl w:val="0"/>
          <w:numId w:val="5"/>
        </w:numPr>
        <w:spacing w:after="0" w:line="240" w:lineRule="auto"/>
      </w:pPr>
      <w:r w:rsidRPr="00306F1B">
        <w:t>Comply with conditions and</w:t>
      </w:r>
      <w:r w:rsidR="00105213" w:rsidRPr="00306F1B">
        <w:t>/ or</w:t>
      </w:r>
      <w:r w:rsidRPr="00306F1B">
        <w:t xml:space="preserve"> recommendations</w:t>
      </w:r>
      <w:r w:rsidR="00105213" w:rsidRPr="00306F1B">
        <w:t xml:space="preserve"> that are included in P’s authorisation,</w:t>
      </w:r>
      <w:r w:rsidR="00016A84" w:rsidRPr="00306F1B">
        <w:t xml:space="preserve"> </w:t>
      </w:r>
      <w:r w:rsidR="00D66326" w:rsidRPr="00306F1B">
        <w:t>including</w:t>
      </w:r>
      <w:r w:rsidR="00016A84" w:rsidRPr="00306F1B">
        <w:t xml:space="preserve"> those</w:t>
      </w:r>
      <w:r w:rsidR="00105213" w:rsidRPr="00306F1B">
        <w:t xml:space="preserve"> which are intended to help establish whether P may wish to make an application to the CoP</w:t>
      </w:r>
      <w:r w:rsidR="005977F9" w:rsidRPr="00306F1B">
        <w:t>.</w:t>
      </w:r>
      <w:r w:rsidR="00D77A77">
        <w:t xml:space="preserve">  Remember that a</w:t>
      </w:r>
      <w:r w:rsidR="00D77A77" w:rsidRPr="00D77A77">
        <w:rPr>
          <w:rFonts w:cstheme="minorHAnsi"/>
        </w:rPr>
        <w:t xml:space="preserve">uthorisations are subject to compliance with any conditions.  </w:t>
      </w:r>
      <w:r w:rsidR="00D77A77">
        <w:t>MAs have no defence to liability if they do “anything which does not comply with the conditions (if any) included in the authorisation”</w:t>
      </w:r>
      <w:r w:rsidR="00D77A77">
        <w:rPr>
          <w:rStyle w:val="EndnoteReference"/>
        </w:rPr>
        <w:endnoteReference w:id="3"/>
      </w:r>
    </w:p>
    <w:p w14:paraId="56CAE0CD" w14:textId="7241425F" w:rsidR="00027B33" w:rsidRPr="00306F1B" w:rsidRDefault="00027B33" w:rsidP="00D77A77">
      <w:pPr>
        <w:spacing w:after="0" w:line="240" w:lineRule="auto"/>
        <w:ind w:left="360"/>
      </w:pPr>
    </w:p>
    <w:p w14:paraId="7B13CF9A" w14:textId="4C3106E9" w:rsidR="00156A03" w:rsidRPr="00156A03" w:rsidRDefault="00156A03" w:rsidP="00156A03">
      <w:pPr>
        <w:spacing w:after="0" w:line="240" w:lineRule="auto"/>
        <w:rPr>
          <w:rFonts w:ascii="Calibri" w:hAnsi="Calibri" w:cs="Calibri"/>
          <w:b/>
        </w:rPr>
      </w:pPr>
      <w:r w:rsidRPr="00156A03">
        <w:rPr>
          <w:b/>
        </w:rPr>
        <w:t xml:space="preserve">The DoLS Team can be contacted at </w:t>
      </w:r>
      <w:hyperlink r:id="rId10" w:history="1">
        <w:r w:rsidRPr="00156A03">
          <w:rPr>
            <w:rStyle w:val="Hyperlink"/>
            <w:rFonts w:ascii="Calibri" w:hAnsi="Calibri" w:cs="Calibri"/>
            <w:b/>
          </w:rPr>
          <w:t>focus.mcadols@nhs.net/</w:t>
        </w:r>
      </w:hyperlink>
      <w:r w:rsidRPr="00156A03">
        <w:rPr>
          <w:rFonts w:ascii="Calibri" w:hAnsi="Calibri" w:cs="Calibri"/>
          <w:b/>
          <w:color w:val="1F497D"/>
        </w:rPr>
        <w:t xml:space="preserve"> </w:t>
      </w:r>
      <w:r w:rsidRPr="00156A03">
        <w:rPr>
          <w:rFonts w:ascii="Calibri" w:hAnsi="Calibri" w:cs="Calibri"/>
          <w:b/>
        </w:rPr>
        <w:t>0300 330 2860.</w:t>
      </w:r>
    </w:p>
    <w:p w14:paraId="26D6CD17" w14:textId="77777777" w:rsidR="00156A03" w:rsidRPr="00306F1B" w:rsidRDefault="00156A03" w:rsidP="00E67955">
      <w:pPr>
        <w:spacing w:after="0" w:line="240" w:lineRule="auto"/>
        <w:rPr>
          <w:b/>
        </w:rPr>
      </w:pPr>
    </w:p>
    <w:sectPr w:rsidR="00156A03" w:rsidRPr="00306F1B" w:rsidSect="00043468">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033F" w14:textId="77777777" w:rsidR="004A5E71" w:rsidRDefault="004A5E71" w:rsidP="002B2C6B">
      <w:pPr>
        <w:spacing w:after="0" w:line="240" w:lineRule="auto"/>
      </w:pPr>
      <w:r>
        <w:separator/>
      </w:r>
    </w:p>
  </w:endnote>
  <w:endnote w:type="continuationSeparator" w:id="0">
    <w:p w14:paraId="5E866CB0" w14:textId="77777777" w:rsidR="004A5E71" w:rsidRDefault="004A5E71" w:rsidP="002B2C6B">
      <w:pPr>
        <w:spacing w:after="0" w:line="240" w:lineRule="auto"/>
      </w:pPr>
      <w:r>
        <w:continuationSeparator/>
      </w:r>
    </w:p>
  </w:endnote>
  <w:endnote w:id="1">
    <w:p w14:paraId="39790FA6" w14:textId="6C1CB3D7" w:rsidR="00C375B7" w:rsidRDefault="00C375B7">
      <w:pPr>
        <w:pStyle w:val="EndnoteText"/>
      </w:pPr>
      <w:r>
        <w:rPr>
          <w:rStyle w:val="EndnoteReference"/>
        </w:rPr>
        <w:endnoteRef/>
      </w:r>
      <w:r>
        <w:t xml:space="preserve"> </w:t>
      </w:r>
      <w:r>
        <w:rPr>
          <w:color w:val="000000"/>
        </w:rPr>
        <w:t>London Borough of Hillingdon v Neary &amp; Anor [2011] EWCOP 1377</w:t>
      </w:r>
    </w:p>
  </w:endnote>
  <w:endnote w:id="2">
    <w:p w14:paraId="38915B1A" w14:textId="758CEE89" w:rsidR="009656C4" w:rsidRDefault="009656C4">
      <w:pPr>
        <w:pStyle w:val="EndnoteText"/>
      </w:pPr>
      <w:r>
        <w:rPr>
          <w:rStyle w:val="EndnoteReference"/>
        </w:rPr>
        <w:endnoteRef/>
      </w:r>
      <w:r>
        <w:t xml:space="preserve"> Mental Capacity Act 2005 Schedule A1, </w:t>
      </w:r>
      <w:r>
        <w:rPr>
          <w:rFonts w:ascii="Calibri" w:hAnsi="Calibri"/>
          <w:sz w:val="22"/>
        </w:rPr>
        <w:t>Pt 8 101(2)</w:t>
      </w:r>
      <w:r w:rsidR="0004038F">
        <w:rPr>
          <w:rFonts w:ascii="Calibri" w:hAnsi="Calibri"/>
          <w:sz w:val="22"/>
        </w:rPr>
        <w:t>(c)</w:t>
      </w:r>
    </w:p>
  </w:endnote>
  <w:endnote w:id="3">
    <w:p w14:paraId="4C9C19A4" w14:textId="77777777" w:rsidR="00D77A77" w:rsidRDefault="00D77A77" w:rsidP="00D77A77">
      <w:pPr>
        <w:pStyle w:val="EndnoteText"/>
      </w:pPr>
      <w:r>
        <w:rPr>
          <w:rStyle w:val="EndnoteReference"/>
        </w:rPr>
        <w:endnoteRef/>
      </w:r>
      <w:r>
        <w:t xml:space="preserve"> Mental Capacity Act 2005 Schedule A1, paragraph 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772460"/>
      <w:docPartObj>
        <w:docPartGallery w:val="Page Numbers (Bottom of Page)"/>
        <w:docPartUnique/>
      </w:docPartObj>
    </w:sdtPr>
    <w:sdtEndPr>
      <w:rPr>
        <w:noProof/>
      </w:rPr>
    </w:sdtEndPr>
    <w:sdtContent>
      <w:p w14:paraId="322C5873" w14:textId="711C230B" w:rsidR="002B2C6B" w:rsidRDefault="002B2C6B">
        <w:pPr>
          <w:pStyle w:val="Footer"/>
          <w:jc w:val="center"/>
        </w:pPr>
        <w:r>
          <w:fldChar w:fldCharType="begin"/>
        </w:r>
        <w:r>
          <w:instrText xml:space="preserve"> PAGE   \* MERGEFORMAT </w:instrText>
        </w:r>
        <w:r>
          <w:fldChar w:fldCharType="separate"/>
        </w:r>
        <w:r w:rsidR="00AC10AD">
          <w:rPr>
            <w:noProof/>
          </w:rPr>
          <w:t>3</w:t>
        </w:r>
        <w:r>
          <w:rPr>
            <w:noProof/>
          </w:rPr>
          <w:fldChar w:fldCharType="end"/>
        </w:r>
      </w:p>
    </w:sdtContent>
  </w:sdt>
  <w:p w14:paraId="6A4A0F6A" w14:textId="77777777" w:rsidR="002B2C6B" w:rsidRDefault="002B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3208" w14:textId="77777777" w:rsidR="004A5E71" w:rsidRDefault="004A5E71" w:rsidP="002B2C6B">
      <w:pPr>
        <w:spacing w:after="0" w:line="240" w:lineRule="auto"/>
      </w:pPr>
      <w:r>
        <w:separator/>
      </w:r>
    </w:p>
  </w:footnote>
  <w:footnote w:type="continuationSeparator" w:id="0">
    <w:p w14:paraId="1352E073" w14:textId="77777777" w:rsidR="004A5E71" w:rsidRDefault="004A5E71" w:rsidP="002B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2D15" w14:textId="25F03FA0" w:rsidR="007A1B9E" w:rsidRDefault="0009479B">
    <w:pPr>
      <w:pStyle w:val="Header"/>
    </w:pPr>
    <w:r>
      <w:rPr>
        <w:noProof/>
      </w:rPr>
      <mc:AlternateContent>
        <mc:Choice Requires="wps">
          <w:drawing>
            <wp:anchor distT="0" distB="0" distL="0" distR="0" simplePos="0" relativeHeight="251659264" behindDoc="0" locked="0" layoutInCell="1" allowOverlap="1" wp14:anchorId="0CC5AFA0" wp14:editId="3AD09281">
              <wp:simplePos x="635" y="635"/>
              <wp:positionH relativeFrom="page">
                <wp:align>left</wp:align>
              </wp:positionH>
              <wp:positionV relativeFrom="page">
                <wp:align>top</wp:align>
              </wp:positionV>
              <wp:extent cx="1187450" cy="357505"/>
              <wp:effectExtent l="0" t="0" r="12700" b="4445"/>
              <wp:wrapNone/>
              <wp:docPr id="62723522"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737A0685" w14:textId="2B59128E" w:rsidR="0009479B" w:rsidRPr="0009479B" w:rsidRDefault="0009479B" w:rsidP="0009479B">
                          <w:pPr>
                            <w:spacing w:after="0"/>
                            <w:rPr>
                              <w:rFonts w:ascii="Calibri" w:eastAsia="Calibri" w:hAnsi="Calibri" w:cs="Calibri"/>
                              <w:noProof/>
                              <w:color w:val="000000"/>
                              <w:sz w:val="20"/>
                              <w:szCs w:val="20"/>
                            </w:rPr>
                          </w:pPr>
                          <w:r w:rsidRPr="0009479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C5AFA0" id="_x0000_t202" coordsize="21600,21600" o:spt="202" path="m,l,21600r21600,l21600,xe">
              <v:stroke joinstyle="miter"/>
              <v:path gradientshapeok="t" o:connecttype="rect"/>
            </v:shapetype>
            <v:shape id="Text Box 5" o:spid="_x0000_s1026"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737A0685" w14:textId="2B59128E" w:rsidR="0009479B" w:rsidRPr="0009479B" w:rsidRDefault="0009479B" w:rsidP="0009479B">
                    <w:pPr>
                      <w:spacing w:after="0"/>
                      <w:rPr>
                        <w:rFonts w:ascii="Calibri" w:eastAsia="Calibri" w:hAnsi="Calibri" w:cs="Calibri"/>
                        <w:noProof/>
                        <w:color w:val="000000"/>
                        <w:sz w:val="20"/>
                        <w:szCs w:val="20"/>
                      </w:rPr>
                    </w:pPr>
                    <w:r w:rsidRPr="0009479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D2B7" w14:textId="543EE2CE" w:rsidR="007A1B9E" w:rsidRDefault="0009479B">
    <w:pPr>
      <w:pStyle w:val="Header"/>
    </w:pPr>
    <w:r>
      <w:rPr>
        <w:noProof/>
      </w:rPr>
      <mc:AlternateContent>
        <mc:Choice Requires="wps">
          <w:drawing>
            <wp:anchor distT="0" distB="0" distL="0" distR="0" simplePos="0" relativeHeight="251660288" behindDoc="0" locked="0" layoutInCell="1" allowOverlap="1" wp14:anchorId="0B8FC9FD" wp14:editId="0EBE8031">
              <wp:simplePos x="635" y="635"/>
              <wp:positionH relativeFrom="page">
                <wp:align>left</wp:align>
              </wp:positionH>
              <wp:positionV relativeFrom="page">
                <wp:align>top</wp:align>
              </wp:positionV>
              <wp:extent cx="1187450" cy="357505"/>
              <wp:effectExtent l="0" t="0" r="12700" b="4445"/>
              <wp:wrapNone/>
              <wp:docPr id="237975719"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075B464" w14:textId="2E962976" w:rsidR="0009479B" w:rsidRPr="0009479B" w:rsidRDefault="0009479B" w:rsidP="0009479B">
                          <w:pPr>
                            <w:spacing w:after="0"/>
                            <w:rPr>
                              <w:rFonts w:ascii="Calibri" w:eastAsia="Calibri" w:hAnsi="Calibri" w:cs="Calibri"/>
                              <w:noProof/>
                              <w:color w:val="000000"/>
                              <w:sz w:val="20"/>
                              <w:szCs w:val="20"/>
                            </w:rPr>
                          </w:pPr>
                          <w:r w:rsidRPr="0009479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8FC9FD" id="_x0000_t202" coordsize="21600,21600" o:spt="202" path="m,l,21600r21600,l21600,xe">
              <v:stroke joinstyle="miter"/>
              <v:path gradientshapeok="t" o:connecttype="rect"/>
            </v:shapetype>
            <v:shape id="Text Box 6" o:spid="_x0000_s1027"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3075B464" w14:textId="2E962976" w:rsidR="0009479B" w:rsidRPr="0009479B" w:rsidRDefault="0009479B" w:rsidP="0009479B">
                    <w:pPr>
                      <w:spacing w:after="0"/>
                      <w:rPr>
                        <w:rFonts w:ascii="Calibri" w:eastAsia="Calibri" w:hAnsi="Calibri" w:cs="Calibri"/>
                        <w:noProof/>
                        <w:color w:val="000000"/>
                        <w:sz w:val="20"/>
                        <w:szCs w:val="20"/>
                      </w:rPr>
                    </w:pPr>
                    <w:r w:rsidRPr="0009479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C39B" w14:textId="403C3A71" w:rsidR="007A1B9E" w:rsidRDefault="0009479B">
    <w:pPr>
      <w:pStyle w:val="Header"/>
    </w:pPr>
    <w:r>
      <w:rPr>
        <w:noProof/>
      </w:rPr>
      <mc:AlternateContent>
        <mc:Choice Requires="wps">
          <w:drawing>
            <wp:anchor distT="0" distB="0" distL="0" distR="0" simplePos="0" relativeHeight="251658240" behindDoc="0" locked="0" layoutInCell="1" allowOverlap="1" wp14:anchorId="619AC875" wp14:editId="3B8AFC13">
              <wp:simplePos x="635" y="635"/>
              <wp:positionH relativeFrom="page">
                <wp:align>left</wp:align>
              </wp:positionH>
              <wp:positionV relativeFrom="page">
                <wp:align>top</wp:align>
              </wp:positionV>
              <wp:extent cx="1187450" cy="357505"/>
              <wp:effectExtent l="0" t="0" r="12700" b="4445"/>
              <wp:wrapNone/>
              <wp:docPr id="955927939"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1A2EC901" w14:textId="0FE1D973" w:rsidR="0009479B" w:rsidRPr="0009479B" w:rsidRDefault="0009479B" w:rsidP="0009479B">
                          <w:pPr>
                            <w:spacing w:after="0"/>
                            <w:rPr>
                              <w:rFonts w:ascii="Calibri" w:eastAsia="Calibri" w:hAnsi="Calibri" w:cs="Calibri"/>
                              <w:noProof/>
                              <w:color w:val="000000"/>
                              <w:sz w:val="20"/>
                              <w:szCs w:val="20"/>
                            </w:rPr>
                          </w:pPr>
                          <w:r w:rsidRPr="0009479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9AC875" id="_x0000_t202" coordsize="21600,21600" o:spt="202" path="m,l,21600r21600,l21600,xe">
              <v:stroke joinstyle="miter"/>
              <v:path gradientshapeok="t" o:connecttype="rect"/>
            </v:shapetype>
            <v:shape id="Text Box 4" o:spid="_x0000_s1028"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1A2EC901" w14:textId="0FE1D973" w:rsidR="0009479B" w:rsidRPr="0009479B" w:rsidRDefault="0009479B" w:rsidP="0009479B">
                    <w:pPr>
                      <w:spacing w:after="0"/>
                      <w:rPr>
                        <w:rFonts w:ascii="Calibri" w:eastAsia="Calibri" w:hAnsi="Calibri" w:cs="Calibri"/>
                        <w:noProof/>
                        <w:color w:val="000000"/>
                        <w:sz w:val="20"/>
                        <w:szCs w:val="20"/>
                      </w:rPr>
                    </w:pPr>
                    <w:r w:rsidRPr="0009479B">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D96"/>
    <w:multiLevelType w:val="hybridMultilevel"/>
    <w:tmpl w:val="7688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A4962"/>
    <w:multiLevelType w:val="hybridMultilevel"/>
    <w:tmpl w:val="E30E47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E348E8"/>
    <w:multiLevelType w:val="hybridMultilevel"/>
    <w:tmpl w:val="54EC4D7A"/>
    <w:lvl w:ilvl="0" w:tplc="08090017">
      <w:start w:val="1"/>
      <w:numFmt w:val="lowerLetter"/>
      <w:lvlText w:val="%1)"/>
      <w:lvlJc w:val="left"/>
      <w:pPr>
        <w:ind w:left="1545" w:hanging="360"/>
      </w:p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3" w15:restartNumberingAfterBreak="0">
    <w:nsid w:val="11DC5CD9"/>
    <w:multiLevelType w:val="hybridMultilevel"/>
    <w:tmpl w:val="47166C56"/>
    <w:lvl w:ilvl="0" w:tplc="EC8E81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A05691"/>
    <w:multiLevelType w:val="hybridMultilevel"/>
    <w:tmpl w:val="2A3E17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B148C5"/>
    <w:multiLevelType w:val="hybridMultilevel"/>
    <w:tmpl w:val="F844F8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423C9E"/>
    <w:multiLevelType w:val="hybridMultilevel"/>
    <w:tmpl w:val="EFFA0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166ABD"/>
    <w:multiLevelType w:val="hybridMultilevel"/>
    <w:tmpl w:val="CCD81812"/>
    <w:lvl w:ilvl="0" w:tplc="1C5422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5B6135"/>
    <w:multiLevelType w:val="hybridMultilevel"/>
    <w:tmpl w:val="EE886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533D5"/>
    <w:multiLevelType w:val="hybridMultilevel"/>
    <w:tmpl w:val="5342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66205"/>
    <w:multiLevelType w:val="hybridMultilevel"/>
    <w:tmpl w:val="D2D2688A"/>
    <w:lvl w:ilvl="0" w:tplc="FFFFFFFF">
      <w:start w:val="1"/>
      <w:numFmt w:val="lowerRoman"/>
      <w:lvlText w:val="%1."/>
      <w:lvlJc w:val="righ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 w15:restartNumberingAfterBreak="0">
    <w:nsid w:val="32C32487"/>
    <w:multiLevelType w:val="hybridMultilevel"/>
    <w:tmpl w:val="167273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5BB7E3F"/>
    <w:multiLevelType w:val="hybridMultilevel"/>
    <w:tmpl w:val="D2D2688A"/>
    <w:lvl w:ilvl="0" w:tplc="0809001B">
      <w:start w:val="1"/>
      <w:numFmt w:val="lowerRoman"/>
      <w:lvlText w:val="%1."/>
      <w:lvlJc w:val="right"/>
      <w:pPr>
        <w:ind w:left="1068"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BCB1BE9"/>
    <w:multiLevelType w:val="hybridMultilevel"/>
    <w:tmpl w:val="E4C861EC"/>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4" w15:restartNumberingAfterBreak="0">
    <w:nsid w:val="3E7B2EDF"/>
    <w:multiLevelType w:val="hybridMultilevel"/>
    <w:tmpl w:val="B0BCC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70AF1"/>
    <w:multiLevelType w:val="hybridMultilevel"/>
    <w:tmpl w:val="D32AA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F7AC2"/>
    <w:multiLevelType w:val="hybridMultilevel"/>
    <w:tmpl w:val="F4B41CF0"/>
    <w:lvl w:ilvl="0" w:tplc="AA506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D2153E"/>
    <w:multiLevelType w:val="hybridMultilevel"/>
    <w:tmpl w:val="5762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609CE"/>
    <w:multiLevelType w:val="hybridMultilevel"/>
    <w:tmpl w:val="EFFA0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774356"/>
    <w:multiLevelType w:val="hybridMultilevel"/>
    <w:tmpl w:val="7FC8AF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EBE1808"/>
    <w:multiLevelType w:val="hybridMultilevel"/>
    <w:tmpl w:val="39CEDC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F7F51"/>
    <w:multiLevelType w:val="hybridMultilevel"/>
    <w:tmpl w:val="EFFA0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8A6310"/>
    <w:multiLevelType w:val="hybridMultilevel"/>
    <w:tmpl w:val="76F63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11737"/>
    <w:multiLevelType w:val="hybridMultilevel"/>
    <w:tmpl w:val="22EC09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F11644D"/>
    <w:multiLevelType w:val="hybridMultilevel"/>
    <w:tmpl w:val="6B7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43CBE"/>
    <w:multiLevelType w:val="hybridMultilevel"/>
    <w:tmpl w:val="DBA2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04010"/>
    <w:multiLevelType w:val="hybridMultilevel"/>
    <w:tmpl w:val="C13808C0"/>
    <w:lvl w:ilvl="0" w:tplc="08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65D565B7"/>
    <w:multiLevelType w:val="hybridMultilevel"/>
    <w:tmpl w:val="CF9C46C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CF1DAF"/>
    <w:multiLevelType w:val="hybridMultilevel"/>
    <w:tmpl w:val="084457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9394F"/>
    <w:multiLevelType w:val="hybridMultilevel"/>
    <w:tmpl w:val="C3809B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28047980">
    <w:abstractNumId w:val="9"/>
  </w:num>
  <w:num w:numId="2" w16cid:durableId="453016878">
    <w:abstractNumId w:val="14"/>
  </w:num>
  <w:num w:numId="3" w16cid:durableId="1881747955">
    <w:abstractNumId w:val="8"/>
  </w:num>
  <w:num w:numId="4" w16cid:durableId="1574199827">
    <w:abstractNumId w:val="23"/>
  </w:num>
  <w:num w:numId="5" w16cid:durableId="1931111853">
    <w:abstractNumId w:val="6"/>
  </w:num>
  <w:num w:numId="6" w16cid:durableId="114370272">
    <w:abstractNumId w:val="11"/>
  </w:num>
  <w:num w:numId="7" w16cid:durableId="119888286">
    <w:abstractNumId w:val="1"/>
  </w:num>
  <w:num w:numId="8" w16cid:durableId="528683373">
    <w:abstractNumId w:val="2"/>
  </w:num>
  <w:num w:numId="9" w16cid:durableId="76631415">
    <w:abstractNumId w:val="29"/>
  </w:num>
  <w:num w:numId="10" w16cid:durableId="1483161850">
    <w:abstractNumId w:val="19"/>
  </w:num>
  <w:num w:numId="11" w16cid:durableId="142047298">
    <w:abstractNumId w:val="5"/>
  </w:num>
  <w:num w:numId="12" w16cid:durableId="569926449">
    <w:abstractNumId w:val="28"/>
  </w:num>
  <w:num w:numId="13" w16cid:durableId="1657489391">
    <w:abstractNumId w:val="4"/>
  </w:num>
  <w:num w:numId="14" w16cid:durableId="1809280888">
    <w:abstractNumId w:val="15"/>
  </w:num>
  <w:num w:numId="15" w16cid:durableId="386298677">
    <w:abstractNumId w:val="7"/>
  </w:num>
  <w:num w:numId="16" w16cid:durableId="923688702">
    <w:abstractNumId w:val="20"/>
  </w:num>
  <w:num w:numId="17" w16cid:durableId="1283345131">
    <w:abstractNumId w:val="16"/>
  </w:num>
  <w:num w:numId="18" w16cid:durableId="1431392487">
    <w:abstractNumId w:val="3"/>
  </w:num>
  <w:num w:numId="19" w16cid:durableId="527451039">
    <w:abstractNumId w:val="26"/>
  </w:num>
  <w:num w:numId="20" w16cid:durableId="1065372651">
    <w:abstractNumId w:val="12"/>
  </w:num>
  <w:num w:numId="21" w16cid:durableId="537013803">
    <w:abstractNumId w:val="10"/>
  </w:num>
  <w:num w:numId="22" w16cid:durableId="370346612">
    <w:abstractNumId w:val="21"/>
  </w:num>
  <w:num w:numId="23" w16cid:durableId="1323663098">
    <w:abstractNumId w:val="18"/>
  </w:num>
  <w:num w:numId="24" w16cid:durableId="917207860">
    <w:abstractNumId w:val="13"/>
  </w:num>
  <w:num w:numId="25" w16cid:durableId="226963594">
    <w:abstractNumId w:val="22"/>
  </w:num>
  <w:num w:numId="26" w16cid:durableId="240215211">
    <w:abstractNumId w:val="17"/>
  </w:num>
  <w:num w:numId="27" w16cid:durableId="1966422765">
    <w:abstractNumId w:val="27"/>
  </w:num>
  <w:num w:numId="28" w16cid:durableId="1131248156">
    <w:abstractNumId w:val="24"/>
  </w:num>
  <w:num w:numId="29" w16cid:durableId="466897394">
    <w:abstractNumId w:val="0"/>
  </w:num>
  <w:num w:numId="30" w16cid:durableId="20808563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85"/>
    <w:rsid w:val="00016A84"/>
    <w:rsid w:val="00025F81"/>
    <w:rsid w:val="00027B33"/>
    <w:rsid w:val="00033DE6"/>
    <w:rsid w:val="0004038F"/>
    <w:rsid w:val="00040964"/>
    <w:rsid w:val="00043468"/>
    <w:rsid w:val="00047488"/>
    <w:rsid w:val="000667E3"/>
    <w:rsid w:val="0006719F"/>
    <w:rsid w:val="0009479B"/>
    <w:rsid w:val="000B3B9F"/>
    <w:rsid w:val="000D0E9C"/>
    <w:rsid w:val="000D1114"/>
    <w:rsid w:val="000F318D"/>
    <w:rsid w:val="00105213"/>
    <w:rsid w:val="0010676F"/>
    <w:rsid w:val="00116CF6"/>
    <w:rsid w:val="00121A51"/>
    <w:rsid w:val="00124563"/>
    <w:rsid w:val="00132185"/>
    <w:rsid w:val="00141B73"/>
    <w:rsid w:val="001477C0"/>
    <w:rsid w:val="00154573"/>
    <w:rsid w:val="00156324"/>
    <w:rsid w:val="00156A03"/>
    <w:rsid w:val="00156BA4"/>
    <w:rsid w:val="001620E9"/>
    <w:rsid w:val="00187FBA"/>
    <w:rsid w:val="00192BA9"/>
    <w:rsid w:val="00197182"/>
    <w:rsid w:val="001B3AEA"/>
    <w:rsid w:val="001B5806"/>
    <w:rsid w:val="001E38D1"/>
    <w:rsid w:val="001E4A51"/>
    <w:rsid w:val="002025F5"/>
    <w:rsid w:val="002100A7"/>
    <w:rsid w:val="00267E6D"/>
    <w:rsid w:val="0028740B"/>
    <w:rsid w:val="002A1C9B"/>
    <w:rsid w:val="002B2441"/>
    <w:rsid w:val="002B2C6B"/>
    <w:rsid w:val="002C223A"/>
    <w:rsid w:val="002D036F"/>
    <w:rsid w:val="002D0C8A"/>
    <w:rsid w:val="002F67E3"/>
    <w:rsid w:val="00306F1B"/>
    <w:rsid w:val="003160DF"/>
    <w:rsid w:val="00321ABB"/>
    <w:rsid w:val="00331859"/>
    <w:rsid w:val="0034437C"/>
    <w:rsid w:val="00344973"/>
    <w:rsid w:val="00351B75"/>
    <w:rsid w:val="00370167"/>
    <w:rsid w:val="003743BB"/>
    <w:rsid w:val="003A2E5C"/>
    <w:rsid w:val="003F20C9"/>
    <w:rsid w:val="003F2E1D"/>
    <w:rsid w:val="003F4587"/>
    <w:rsid w:val="004146D4"/>
    <w:rsid w:val="0041724F"/>
    <w:rsid w:val="00445E8C"/>
    <w:rsid w:val="004517C1"/>
    <w:rsid w:val="0045552A"/>
    <w:rsid w:val="004558B7"/>
    <w:rsid w:val="00471079"/>
    <w:rsid w:val="0047648F"/>
    <w:rsid w:val="00476AE0"/>
    <w:rsid w:val="004A5E71"/>
    <w:rsid w:val="004B68A3"/>
    <w:rsid w:val="004C018C"/>
    <w:rsid w:val="004F1ED6"/>
    <w:rsid w:val="004F2F75"/>
    <w:rsid w:val="004F6732"/>
    <w:rsid w:val="0052623A"/>
    <w:rsid w:val="00556F75"/>
    <w:rsid w:val="00563011"/>
    <w:rsid w:val="00573B22"/>
    <w:rsid w:val="005977F9"/>
    <w:rsid w:val="005A6FA7"/>
    <w:rsid w:val="005B0808"/>
    <w:rsid w:val="005D4DDF"/>
    <w:rsid w:val="005D70B5"/>
    <w:rsid w:val="005E51CF"/>
    <w:rsid w:val="005F2EBB"/>
    <w:rsid w:val="005F6E74"/>
    <w:rsid w:val="0063117F"/>
    <w:rsid w:val="0063440A"/>
    <w:rsid w:val="00634DC6"/>
    <w:rsid w:val="00643446"/>
    <w:rsid w:val="006A46CE"/>
    <w:rsid w:val="006A57CA"/>
    <w:rsid w:val="006B5840"/>
    <w:rsid w:val="006E5E5C"/>
    <w:rsid w:val="006F5CDB"/>
    <w:rsid w:val="00701FB0"/>
    <w:rsid w:val="00711932"/>
    <w:rsid w:val="00720994"/>
    <w:rsid w:val="0075699B"/>
    <w:rsid w:val="007578CF"/>
    <w:rsid w:val="00791B5F"/>
    <w:rsid w:val="007A1B9E"/>
    <w:rsid w:val="007D4EC6"/>
    <w:rsid w:val="007D6C80"/>
    <w:rsid w:val="007E09F7"/>
    <w:rsid w:val="007F7A88"/>
    <w:rsid w:val="0080105E"/>
    <w:rsid w:val="00803C15"/>
    <w:rsid w:val="008123B6"/>
    <w:rsid w:val="00843C51"/>
    <w:rsid w:val="008555CA"/>
    <w:rsid w:val="00855DE9"/>
    <w:rsid w:val="00856CB1"/>
    <w:rsid w:val="00876DD3"/>
    <w:rsid w:val="008843E1"/>
    <w:rsid w:val="008921A4"/>
    <w:rsid w:val="00893068"/>
    <w:rsid w:val="008A1115"/>
    <w:rsid w:val="008A2D99"/>
    <w:rsid w:val="008A4D8F"/>
    <w:rsid w:val="008B0DFB"/>
    <w:rsid w:val="008B393E"/>
    <w:rsid w:val="008D1A75"/>
    <w:rsid w:val="008D6BA2"/>
    <w:rsid w:val="008F4129"/>
    <w:rsid w:val="00903947"/>
    <w:rsid w:val="00905464"/>
    <w:rsid w:val="00907C40"/>
    <w:rsid w:val="009346E5"/>
    <w:rsid w:val="009623D5"/>
    <w:rsid w:val="00963B8C"/>
    <w:rsid w:val="009656C4"/>
    <w:rsid w:val="00982BB5"/>
    <w:rsid w:val="00994F6F"/>
    <w:rsid w:val="009950B4"/>
    <w:rsid w:val="009B3996"/>
    <w:rsid w:val="009C6C10"/>
    <w:rsid w:val="009D2113"/>
    <w:rsid w:val="009D780D"/>
    <w:rsid w:val="009F1AB2"/>
    <w:rsid w:val="009F1B60"/>
    <w:rsid w:val="00A53506"/>
    <w:rsid w:val="00A56CE7"/>
    <w:rsid w:val="00A67CB3"/>
    <w:rsid w:val="00A7644E"/>
    <w:rsid w:val="00A90853"/>
    <w:rsid w:val="00AB4159"/>
    <w:rsid w:val="00AC10AD"/>
    <w:rsid w:val="00AC42AF"/>
    <w:rsid w:val="00AE45EA"/>
    <w:rsid w:val="00AF41C1"/>
    <w:rsid w:val="00AF58FF"/>
    <w:rsid w:val="00B05028"/>
    <w:rsid w:val="00B13D1A"/>
    <w:rsid w:val="00B7088C"/>
    <w:rsid w:val="00B97D21"/>
    <w:rsid w:val="00BA0208"/>
    <w:rsid w:val="00BA0FAE"/>
    <w:rsid w:val="00BA5A26"/>
    <w:rsid w:val="00BB29F9"/>
    <w:rsid w:val="00BC2755"/>
    <w:rsid w:val="00BD115A"/>
    <w:rsid w:val="00C0297D"/>
    <w:rsid w:val="00C1442E"/>
    <w:rsid w:val="00C15C6B"/>
    <w:rsid w:val="00C31685"/>
    <w:rsid w:val="00C375B7"/>
    <w:rsid w:val="00C677AF"/>
    <w:rsid w:val="00C81483"/>
    <w:rsid w:val="00C84EF4"/>
    <w:rsid w:val="00C87561"/>
    <w:rsid w:val="00CC0043"/>
    <w:rsid w:val="00CD1758"/>
    <w:rsid w:val="00CD4BF2"/>
    <w:rsid w:val="00CE0F7F"/>
    <w:rsid w:val="00CE1901"/>
    <w:rsid w:val="00CE24AB"/>
    <w:rsid w:val="00CE732C"/>
    <w:rsid w:val="00CF5F29"/>
    <w:rsid w:val="00CF6AA2"/>
    <w:rsid w:val="00D169F9"/>
    <w:rsid w:val="00D177DF"/>
    <w:rsid w:val="00D350E3"/>
    <w:rsid w:val="00D575F9"/>
    <w:rsid w:val="00D66326"/>
    <w:rsid w:val="00D70FF1"/>
    <w:rsid w:val="00D73EA9"/>
    <w:rsid w:val="00D760D6"/>
    <w:rsid w:val="00D77A77"/>
    <w:rsid w:val="00D85ED2"/>
    <w:rsid w:val="00DA25B8"/>
    <w:rsid w:val="00DA4362"/>
    <w:rsid w:val="00DB0184"/>
    <w:rsid w:val="00DC143D"/>
    <w:rsid w:val="00DD1F31"/>
    <w:rsid w:val="00DD7955"/>
    <w:rsid w:val="00DE1E79"/>
    <w:rsid w:val="00E02D4B"/>
    <w:rsid w:val="00E153DC"/>
    <w:rsid w:val="00E21B98"/>
    <w:rsid w:val="00E43286"/>
    <w:rsid w:val="00E52A5E"/>
    <w:rsid w:val="00E65CB8"/>
    <w:rsid w:val="00E67955"/>
    <w:rsid w:val="00E72BC0"/>
    <w:rsid w:val="00E73048"/>
    <w:rsid w:val="00E84D1C"/>
    <w:rsid w:val="00E939D5"/>
    <w:rsid w:val="00EC2D99"/>
    <w:rsid w:val="00ED2A23"/>
    <w:rsid w:val="00EF108A"/>
    <w:rsid w:val="00F07744"/>
    <w:rsid w:val="00F15017"/>
    <w:rsid w:val="00F827D0"/>
    <w:rsid w:val="00F94BBE"/>
    <w:rsid w:val="00FA0ED5"/>
    <w:rsid w:val="00FA658D"/>
    <w:rsid w:val="00FA6DDE"/>
    <w:rsid w:val="00FD5032"/>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4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7CA"/>
    <w:pPr>
      <w:ind w:left="720"/>
      <w:contextualSpacing/>
    </w:pPr>
  </w:style>
  <w:style w:type="character" w:styleId="Hyperlink">
    <w:name w:val="Hyperlink"/>
    <w:basedOn w:val="DefaultParagraphFont"/>
    <w:uiPriority w:val="99"/>
    <w:unhideWhenUsed/>
    <w:rsid w:val="00DE1E79"/>
    <w:rPr>
      <w:color w:val="0563C1" w:themeColor="hyperlink"/>
      <w:u w:val="single"/>
    </w:rPr>
  </w:style>
  <w:style w:type="paragraph" w:styleId="Header">
    <w:name w:val="header"/>
    <w:basedOn w:val="Normal"/>
    <w:link w:val="HeaderChar"/>
    <w:uiPriority w:val="99"/>
    <w:unhideWhenUsed/>
    <w:rsid w:val="002B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C6B"/>
  </w:style>
  <w:style w:type="paragraph" w:styleId="Footer">
    <w:name w:val="footer"/>
    <w:basedOn w:val="Normal"/>
    <w:link w:val="FooterChar"/>
    <w:uiPriority w:val="99"/>
    <w:unhideWhenUsed/>
    <w:rsid w:val="002B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C6B"/>
  </w:style>
  <w:style w:type="character" w:styleId="CommentReference">
    <w:name w:val="annotation reference"/>
    <w:basedOn w:val="DefaultParagraphFont"/>
    <w:uiPriority w:val="99"/>
    <w:semiHidden/>
    <w:unhideWhenUsed/>
    <w:rsid w:val="00876DD3"/>
    <w:rPr>
      <w:sz w:val="16"/>
      <w:szCs w:val="16"/>
    </w:rPr>
  </w:style>
  <w:style w:type="paragraph" w:styleId="CommentText">
    <w:name w:val="annotation text"/>
    <w:basedOn w:val="Normal"/>
    <w:link w:val="CommentTextChar"/>
    <w:uiPriority w:val="99"/>
    <w:unhideWhenUsed/>
    <w:rsid w:val="00876DD3"/>
    <w:pPr>
      <w:spacing w:line="240" w:lineRule="auto"/>
    </w:pPr>
    <w:rPr>
      <w:sz w:val="20"/>
      <w:szCs w:val="20"/>
    </w:rPr>
  </w:style>
  <w:style w:type="character" w:customStyle="1" w:styleId="CommentTextChar">
    <w:name w:val="Comment Text Char"/>
    <w:basedOn w:val="DefaultParagraphFont"/>
    <w:link w:val="CommentText"/>
    <w:uiPriority w:val="99"/>
    <w:rsid w:val="00876DD3"/>
    <w:rPr>
      <w:sz w:val="20"/>
      <w:szCs w:val="20"/>
    </w:rPr>
  </w:style>
  <w:style w:type="paragraph" w:styleId="CommentSubject">
    <w:name w:val="annotation subject"/>
    <w:basedOn w:val="CommentText"/>
    <w:next w:val="CommentText"/>
    <w:link w:val="CommentSubjectChar"/>
    <w:uiPriority w:val="99"/>
    <w:semiHidden/>
    <w:unhideWhenUsed/>
    <w:rsid w:val="00876DD3"/>
    <w:rPr>
      <w:b/>
      <w:bCs/>
    </w:rPr>
  </w:style>
  <w:style w:type="character" w:customStyle="1" w:styleId="CommentSubjectChar">
    <w:name w:val="Comment Subject Char"/>
    <w:basedOn w:val="CommentTextChar"/>
    <w:link w:val="CommentSubject"/>
    <w:uiPriority w:val="99"/>
    <w:semiHidden/>
    <w:rsid w:val="00876DD3"/>
    <w:rPr>
      <w:b/>
      <w:bCs/>
      <w:sz w:val="20"/>
      <w:szCs w:val="20"/>
    </w:rPr>
  </w:style>
  <w:style w:type="paragraph" w:styleId="BalloonText">
    <w:name w:val="Balloon Text"/>
    <w:basedOn w:val="Normal"/>
    <w:link w:val="BalloonTextChar"/>
    <w:uiPriority w:val="99"/>
    <w:semiHidden/>
    <w:unhideWhenUsed/>
    <w:rsid w:val="00876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3"/>
    <w:rPr>
      <w:rFonts w:ascii="Segoe UI" w:hAnsi="Segoe UI" w:cs="Segoe UI"/>
      <w:sz w:val="18"/>
      <w:szCs w:val="18"/>
    </w:rPr>
  </w:style>
  <w:style w:type="table" w:styleId="TableGrid">
    <w:name w:val="Table Grid"/>
    <w:basedOn w:val="TableNormal"/>
    <w:uiPriority w:val="39"/>
    <w:rsid w:val="0004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4B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D4BF2"/>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C375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5B7"/>
    <w:rPr>
      <w:sz w:val="20"/>
      <w:szCs w:val="20"/>
    </w:rPr>
  </w:style>
  <w:style w:type="character" w:styleId="EndnoteReference">
    <w:name w:val="endnote reference"/>
    <w:basedOn w:val="DefaultParagraphFont"/>
    <w:uiPriority w:val="99"/>
    <w:semiHidden/>
    <w:unhideWhenUsed/>
    <w:rsid w:val="00C375B7"/>
    <w:rPr>
      <w:vertAlign w:val="superscript"/>
    </w:rPr>
  </w:style>
  <w:style w:type="character" w:styleId="UnresolvedMention">
    <w:name w:val="Unresolved Mention"/>
    <w:basedOn w:val="DefaultParagraphFont"/>
    <w:uiPriority w:val="99"/>
    <w:semiHidden/>
    <w:unhideWhenUsed/>
    <w:rsid w:val="00156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vewell.nelincs.gov.uk/advoc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ocus.mcadols@nhs.net/" TargetMode="External"/><Relationship Id="rId4" Type="http://schemas.openxmlformats.org/officeDocument/2006/relationships/settings" Target="settings.xml"/><Relationship Id="rId9" Type="http://schemas.openxmlformats.org/officeDocument/2006/relationships/hyperlink" Target="https://livewell.nelincs.gov.uk/wp-content/uploads/2024/07/Identifying-when-an-application-should-be-made-under-s21A-RD-and-Ors-February-2024.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43F86-9CDB-4269-B600-77324719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2025-09-02T12:21:00Z</dcterms:created>
  <dcterms:modified xsi:type="dcterms:W3CDTF">2025-09-02T12:21:00Z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38fa4d83,3bd15c2,e2f38a7</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2025-09-02T12:21:36Z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5e661383-11f3-4c73-a84b-31bad7199f35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