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E2AB" w14:textId="77777777" w:rsidR="007838A3" w:rsidRPr="00C877B3" w:rsidRDefault="007838A3" w:rsidP="007838A3">
      <w:pPr>
        <w:jc w:val="center"/>
        <w:outlineLvl w:val="1"/>
        <w:rPr>
          <w:rFonts w:ascii="Calibri" w:hAnsi="Calibri"/>
        </w:rPr>
      </w:pPr>
      <w:r>
        <w:rPr>
          <w:rFonts w:ascii="Calibri" w:hAnsi="Calibri" w:cs="Arial"/>
          <w:noProof/>
          <w:lang w:eastAsia="en-GB"/>
        </w:rPr>
        <w:drawing>
          <wp:inline distT="0" distB="0" distL="0" distR="0" wp14:anchorId="0D32EC86" wp14:editId="7D21B7A1">
            <wp:extent cx="1400175" cy="1266825"/>
            <wp:effectExtent l="0" t="0" r="0" b="0"/>
            <wp:docPr id="29" name="Picture 29" descr="SaferN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aferNE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1266825"/>
                    </a:xfrm>
                    <a:prstGeom prst="rect">
                      <a:avLst/>
                    </a:prstGeom>
                    <a:noFill/>
                    <a:ln>
                      <a:noFill/>
                    </a:ln>
                  </pic:spPr>
                </pic:pic>
              </a:graphicData>
            </a:graphic>
          </wp:inline>
        </w:drawing>
      </w:r>
    </w:p>
    <w:p w14:paraId="606D7503" w14:textId="77777777" w:rsidR="00980577" w:rsidRDefault="00980577" w:rsidP="007838A3">
      <w:pPr>
        <w:jc w:val="center"/>
        <w:outlineLvl w:val="1"/>
        <w:rPr>
          <w:rFonts w:ascii="Calibri" w:eastAsia="Arial Unicode MS" w:hAnsi="Calibri" w:cs="Arial Unicode MS"/>
          <w:b/>
          <w:kern w:val="36"/>
          <w:sz w:val="36"/>
          <w:szCs w:val="36"/>
        </w:rPr>
      </w:pPr>
      <w:r>
        <w:rPr>
          <w:rFonts w:ascii="Calibri" w:eastAsia="Arial Unicode MS" w:hAnsi="Calibri" w:cs="Arial Unicode MS"/>
          <w:b/>
          <w:kern w:val="36"/>
          <w:sz w:val="36"/>
          <w:szCs w:val="36"/>
        </w:rPr>
        <w:t>Community Safety Partnership Board</w:t>
      </w:r>
    </w:p>
    <w:p w14:paraId="622EEB73" w14:textId="77777777" w:rsidR="007838A3" w:rsidRPr="00C877B3" w:rsidRDefault="007838A3" w:rsidP="007838A3">
      <w:pPr>
        <w:jc w:val="center"/>
        <w:outlineLvl w:val="1"/>
        <w:rPr>
          <w:rFonts w:ascii="Calibri" w:eastAsia="Arial Unicode MS" w:hAnsi="Calibri" w:cs="Arial Unicode MS"/>
          <w:b/>
          <w:kern w:val="36"/>
          <w:sz w:val="36"/>
          <w:szCs w:val="36"/>
        </w:rPr>
      </w:pPr>
      <w:r w:rsidRPr="00C877B3">
        <w:rPr>
          <w:rFonts w:ascii="Calibri" w:eastAsia="Arial Unicode MS" w:hAnsi="Calibri" w:cs="Arial Unicode MS"/>
          <w:b/>
          <w:kern w:val="36"/>
          <w:sz w:val="36"/>
          <w:szCs w:val="36"/>
        </w:rPr>
        <w:t>Terms of Reference</w:t>
      </w:r>
    </w:p>
    <w:p w14:paraId="3D0B822E" w14:textId="77777777" w:rsidR="007838A3" w:rsidRPr="00C877B3" w:rsidRDefault="007838A3" w:rsidP="00EB08B7"/>
    <w:p w14:paraId="7D8DEBA9" w14:textId="77777777" w:rsidR="007838A3" w:rsidRDefault="00BF5263" w:rsidP="007838A3">
      <w:pPr>
        <w:jc w:val="both"/>
        <w:outlineLvl w:val="1"/>
        <w:rPr>
          <w:rFonts w:ascii="Calibri" w:eastAsia="Arial Unicode MS" w:hAnsi="Calibri" w:cs="Arial"/>
          <w:b/>
          <w:kern w:val="36"/>
        </w:rPr>
      </w:pPr>
      <w:r>
        <w:rPr>
          <w:rFonts w:ascii="Calibri" w:eastAsia="Arial Unicode MS" w:hAnsi="Calibri" w:cs="Arial"/>
          <w:b/>
          <w:kern w:val="36"/>
        </w:rPr>
        <w:t>Partnership I</w:t>
      </w:r>
      <w:r w:rsidR="007838A3">
        <w:rPr>
          <w:rFonts w:ascii="Calibri" w:eastAsia="Arial Unicode MS" w:hAnsi="Calibri" w:cs="Arial"/>
          <w:b/>
          <w:kern w:val="36"/>
        </w:rPr>
        <w:t xml:space="preserve">ntent </w:t>
      </w:r>
    </w:p>
    <w:p w14:paraId="55B0A789" w14:textId="2EEDB268" w:rsidR="007838A3" w:rsidRDefault="007838A3" w:rsidP="007838A3">
      <w:pPr>
        <w:jc w:val="both"/>
        <w:outlineLvl w:val="1"/>
        <w:rPr>
          <w:rFonts w:ascii="Calibri" w:eastAsia="Arial Unicode MS" w:hAnsi="Calibri" w:cs="Arial"/>
          <w:kern w:val="36"/>
        </w:rPr>
      </w:pPr>
      <w:r w:rsidRPr="00C877B3">
        <w:rPr>
          <w:rFonts w:ascii="Calibri" w:eastAsia="Arial Unicode MS" w:hAnsi="Calibri" w:cs="Arial"/>
          <w:kern w:val="36"/>
        </w:rPr>
        <w:t xml:space="preserve">To make our communities safer and stronger by working in partnership with local agencies and communities to reduce crime and anti-social behaviour, improve community safety and reduce the fear of crime. This will be achieved in partnership with other strategic boards </w:t>
      </w:r>
      <w:r w:rsidR="009621EA">
        <w:rPr>
          <w:rFonts w:ascii="Calibri" w:eastAsia="Arial Unicode MS" w:hAnsi="Calibri" w:cs="Arial"/>
          <w:kern w:val="36"/>
        </w:rPr>
        <w:t>by focusing</w:t>
      </w:r>
      <w:r w:rsidRPr="00C877B3">
        <w:rPr>
          <w:rFonts w:ascii="Calibri" w:eastAsia="Arial Unicode MS" w:hAnsi="Calibri" w:cs="Arial"/>
          <w:kern w:val="36"/>
        </w:rPr>
        <w:t xml:space="preserve"> on prevention and early help, tackling offending and re-offending, reducing the dependency on substance use and tackling the priority areas set out in the </w:t>
      </w:r>
      <w:r w:rsidR="009F04F5">
        <w:rPr>
          <w:rFonts w:ascii="Calibri" w:eastAsia="Arial Unicode MS" w:hAnsi="Calibri" w:cs="Arial"/>
          <w:kern w:val="36"/>
        </w:rPr>
        <w:t>Community Safety Partnership</w:t>
      </w:r>
      <w:r w:rsidRPr="00C877B3">
        <w:rPr>
          <w:rFonts w:ascii="Calibri" w:eastAsia="Arial Unicode MS" w:hAnsi="Calibri" w:cs="Arial"/>
          <w:kern w:val="36"/>
        </w:rPr>
        <w:t xml:space="preserve"> Plan.</w:t>
      </w:r>
    </w:p>
    <w:p w14:paraId="304FD101" w14:textId="77777777" w:rsidR="00C14A06" w:rsidRPr="00C14A06" w:rsidRDefault="00C14A06" w:rsidP="00C14A06"/>
    <w:p w14:paraId="75181B37" w14:textId="77777777" w:rsidR="007838A3" w:rsidRPr="00C877B3" w:rsidRDefault="007838A3" w:rsidP="007838A3">
      <w:pPr>
        <w:jc w:val="both"/>
        <w:outlineLvl w:val="1"/>
        <w:rPr>
          <w:rFonts w:ascii="Calibri" w:eastAsia="Arial Unicode MS" w:hAnsi="Calibri" w:cs="Arial"/>
          <w:b/>
          <w:kern w:val="36"/>
        </w:rPr>
      </w:pPr>
      <w:r w:rsidRPr="00C877B3">
        <w:rPr>
          <w:rFonts w:ascii="Calibri" w:eastAsia="Arial Unicode MS" w:hAnsi="Calibri" w:cs="Arial"/>
          <w:b/>
          <w:kern w:val="36"/>
        </w:rPr>
        <w:t>Partnership Purpose</w:t>
      </w:r>
    </w:p>
    <w:p w14:paraId="38D91520" w14:textId="77777777" w:rsidR="007838A3" w:rsidRPr="00473341" w:rsidRDefault="007838A3" w:rsidP="00473341">
      <w:pPr>
        <w:jc w:val="both"/>
        <w:outlineLvl w:val="1"/>
        <w:rPr>
          <w:rFonts w:ascii="Calibri" w:eastAsia="Arial Unicode MS" w:hAnsi="Calibri" w:cs="Arial"/>
          <w:kern w:val="36"/>
        </w:rPr>
      </w:pPr>
      <w:r w:rsidRPr="00C877B3">
        <w:rPr>
          <w:rFonts w:cs="Arial"/>
        </w:rPr>
        <w:t>North East Lincolnshire’s Community Safety Partnership (CSP)</w:t>
      </w:r>
      <w:r w:rsidR="005A73CF">
        <w:rPr>
          <w:rFonts w:cs="Arial"/>
        </w:rPr>
        <w:t xml:space="preserve"> </w:t>
      </w:r>
      <w:r w:rsidR="009621EA">
        <w:rPr>
          <w:rFonts w:cs="Arial"/>
        </w:rPr>
        <w:t>has the responsibility</w:t>
      </w:r>
      <w:r w:rsidRPr="00C877B3">
        <w:rPr>
          <w:rFonts w:cs="Arial"/>
        </w:rPr>
        <w:t xml:space="preserve"> to fulfil the statutory requirements</w:t>
      </w:r>
      <w:r w:rsidRPr="00C877B3">
        <w:rPr>
          <w:rFonts w:eastAsia="Arial Unicode MS" w:cs="Arial"/>
          <w:kern w:val="36"/>
        </w:rPr>
        <w:t xml:space="preserve"> of the Crime and Disorder Act 1998 as amended by the Police and Justice Act 2006. </w:t>
      </w:r>
      <w:r w:rsidR="00473341">
        <w:rPr>
          <w:rFonts w:eastAsia="Arial Unicode MS" w:cs="Arial"/>
          <w:kern w:val="36"/>
        </w:rPr>
        <w:t xml:space="preserve">This document also serves as the Community Safety Agreement, as set out in Statutory Instrument 1830, to identify the ways the responsible authorities might effectively implement the priorities set out in the Joint Strategic </w:t>
      </w:r>
      <w:r w:rsidR="00473341" w:rsidRPr="00473341">
        <w:rPr>
          <w:rFonts w:ascii="Calibri" w:eastAsia="Arial Unicode MS" w:hAnsi="Calibri" w:cs="Arial"/>
          <w:kern w:val="36"/>
        </w:rPr>
        <w:t>Intelligence Assessment through coordinated or joint working, and how the responsible authorities might otherwise reduce crime and disorder or combat substance misuse through coordinated or joint working.</w:t>
      </w:r>
    </w:p>
    <w:p w14:paraId="7B0C481C" w14:textId="77777777" w:rsidR="007838A3" w:rsidRPr="00473341" w:rsidRDefault="007838A3" w:rsidP="00C14A06"/>
    <w:p w14:paraId="6253D4E6" w14:textId="491F0157" w:rsidR="007838A3" w:rsidRPr="00C14A06" w:rsidRDefault="007838A3" w:rsidP="00C14A06">
      <w:pPr>
        <w:jc w:val="both"/>
        <w:outlineLvl w:val="1"/>
        <w:rPr>
          <w:rFonts w:ascii="Calibri" w:eastAsia="Arial Unicode MS" w:hAnsi="Calibri" w:cs="Arial"/>
          <w:b/>
          <w:kern w:val="36"/>
        </w:rPr>
      </w:pPr>
      <w:r w:rsidRPr="00473341">
        <w:rPr>
          <w:rFonts w:ascii="Calibri" w:eastAsia="Arial Unicode MS" w:hAnsi="Calibri" w:cs="Arial"/>
          <w:b/>
          <w:kern w:val="36"/>
        </w:rPr>
        <w:t>Community Safety Partnership Responsibility</w:t>
      </w:r>
    </w:p>
    <w:p w14:paraId="49E638F8" w14:textId="45834A56" w:rsidR="007838A3" w:rsidRPr="00C14A06" w:rsidRDefault="007838A3" w:rsidP="00C14A06">
      <w:pPr>
        <w:jc w:val="both"/>
        <w:outlineLvl w:val="1"/>
        <w:rPr>
          <w:rFonts w:cs="Arial"/>
        </w:rPr>
      </w:pPr>
      <w:r w:rsidRPr="00C14A06">
        <w:rPr>
          <w:rFonts w:cs="Arial"/>
        </w:rPr>
        <w:t>The CSP Board has the responsibility to agree the priorities of the partnership and deliver against those priorities to improve community safety across North East Lincolnshire.</w:t>
      </w:r>
    </w:p>
    <w:p w14:paraId="2024551E" w14:textId="77777777" w:rsidR="007838A3" w:rsidRPr="00C877B3" w:rsidRDefault="009621EA" w:rsidP="007838A3">
      <w:pPr>
        <w:autoSpaceDE w:val="0"/>
        <w:autoSpaceDN w:val="0"/>
        <w:adjustRightInd w:val="0"/>
        <w:rPr>
          <w:rFonts w:ascii="Calibri" w:eastAsia="Calibri" w:hAnsi="Calibri" w:cs="Arial"/>
        </w:rPr>
      </w:pPr>
      <w:r>
        <w:rPr>
          <w:rFonts w:ascii="Calibri" w:eastAsia="Calibri" w:hAnsi="Calibri" w:cs="Arial"/>
        </w:rPr>
        <w:t xml:space="preserve">The CSP Board </w:t>
      </w:r>
      <w:r w:rsidR="007838A3" w:rsidRPr="00C877B3">
        <w:rPr>
          <w:rFonts w:ascii="Calibri" w:eastAsia="Calibri" w:hAnsi="Calibri" w:cs="Arial"/>
        </w:rPr>
        <w:t>will achieve this by:</w:t>
      </w:r>
    </w:p>
    <w:p w14:paraId="2CE21D44" w14:textId="77777777" w:rsidR="007838A3" w:rsidRPr="00C877B3" w:rsidRDefault="007838A3" w:rsidP="007838A3">
      <w:pPr>
        <w:numPr>
          <w:ilvl w:val="0"/>
          <w:numId w:val="10"/>
        </w:numPr>
        <w:autoSpaceDE w:val="0"/>
        <w:autoSpaceDN w:val="0"/>
        <w:adjustRightInd w:val="0"/>
        <w:spacing w:after="0" w:line="240" w:lineRule="auto"/>
        <w:jc w:val="both"/>
        <w:rPr>
          <w:rFonts w:ascii="Calibri" w:eastAsia="Calibri" w:hAnsi="Calibri" w:cs="Arial"/>
        </w:rPr>
      </w:pPr>
      <w:r w:rsidRPr="00C877B3">
        <w:rPr>
          <w:rFonts w:ascii="Calibri" w:eastAsia="Calibri" w:hAnsi="Calibri" w:cs="Arial"/>
        </w:rPr>
        <w:t>Having strategic oversight of issues relating to all aspects of community safety.</w:t>
      </w:r>
    </w:p>
    <w:p w14:paraId="79898A79" w14:textId="77777777" w:rsidR="007838A3" w:rsidRPr="00C877B3" w:rsidRDefault="007838A3" w:rsidP="007838A3">
      <w:pPr>
        <w:numPr>
          <w:ilvl w:val="0"/>
          <w:numId w:val="10"/>
        </w:numPr>
        <w:autoSpaceDE w:val="0"/>
        <w:autoSpaceDN w:val="0"/>
        <w:adjustRightInd w:val="0"/>
        <w:spacing w:after="0" w:line="240" w:lineRule="auto"/>
        <w:jc w:val="both"/>
        <w:rPr>
          <w:rFonts w:ascii="Calibri" w:eastAsia="Calibri" w:hAnsi="Calibri" w:cs="Arial"/>
        </w:rPr>
      </w:pPr>
      <w:r w:rsidRPr="00C877B3">
        <w:rPr>
          <w:rFonts w:ascii="Calibri" w:eastAsia="Calibri" w:hAnsi="Calibri" w:cs="Arial"/>
        </w:rPr>
        <w:t>Overseeing the production of annua</w:t>
      </w:r>
      <w:r w:rsidR="005A73CF">
        <w:rPr>
          <w:rFonts w:ascii="Calibri" w:eastAsia="Calibri" w:hAnsi="Calibri" w:cs="Arial"/>
        </w:rPr>
        <w:t>l Joint Strategic Intelligence A</w:t>
      </w:r>
      <w:r w:rsidRPr="00C877B3">
        <w:rPr>
          <w:rFonts w:ascii="Calibri" w:eastAsia="Calibri" w:hAnsi="Calibri" w:cs="Arial"/>
        </w:rPr>
        <w:t>ssessment and Partnership Plan.</w:t>
      </w:r>
    </w:p>
    <w:p w14:paraId="2C923CD1" w14:textId="77777777" w:rsidR="007838A3" w:rsidRPr="00C877B3" w:rsidRDefault="007838A3" w:rsidP="007838A3">
      <w:pPr>
        <w:numPr>
          <w:ilvl w:val="0"/>
          <w:numId w:val="10"/>
        </w:numPr>
        <w:autoSpaceDE w:val="0"/>
        <w:autoSpaceDN w:val="0"/>
        <w:adjustRightInd w:val="0"/>
        <w:spacing w:after="0" w:line="240" w:lineRule="auto"/>
        <w:jc w:val="both"/>
        <w:rPr>
          <w:rFonts w:ascii="Calibri" w:eastAsia="Calibri" w:hAnsi="Calibri" w:cs="Arial"/>
        </w:rPr>
      </w:pPr>
      <w:r w:rsidRPr="00C877B3">
        <w:rPr>
          <w:rFonts w:ascii="Calibri" w:eastAsia="Calibri" w:hAnsi="Calibri" w:cs="Arial"/>
        </w:rPr>
        <w:t>Utilising data and intelligence from available crime audits, needs assessments and other data sources to inform strategic tactical and operational activity, initiatives and interventions.</w:t>
      </w:r>
    </w:p>
    <w:p w14:paraId="0133F752" w14:textId="77777777" w:rsidR="007838A3" w:rsidRPr="00C877B3" w:rsidRDefault="007838A3" w:rsidP="007838A3">
      <w:pPr>
        <w:numPr>
          <w:ilvl w:val="0"/>
          <w:numId w:val="10"/>
        </w:numPr>
        <w:autoSpaceDE w:val="0"/>
        <w:autoSpaceDN w:val="0"/>
        <w:adjustRightInd w:val="0"/>
        <w:spacing w:after="0" w:line="240" w:lineRule="auto"/>
        <w:jc w:val="both"/>
        <w:rPr>
          <w:rFonts w:ascii="Calibri" w:eastAsia="Calibri" w:hAnsi="Calibri" w:cs="Arial"/>
        </w:rPr>
      </w:pPr>
      <w:r w:rsidRPr="00C877B3">
        <w:rPr>
          <w:rFonts w:ascii="Calibri" w:eastAsia="Calibri" w:hAnsi="Calibri" w:cs="Arial"/>
        </w:rPr>
        <w:t>Maximising the opportunities of closer integrated partnership working to avoid duplicity, improve efficiency and provide value for money.</w:t>
      </w:r>
    </w:p>
    <w:p w14:paraId="41A3ACA7" w14:textId="1DB61B0B" w:rsidR="007838A3" w:rsidRPr="00C877B3" w:rsidRDefault="007838A3" w:rsidP="007838A3">
      <w:pPr>
        <w:numPr>
          <w:ilvl w:val="0"/>
          <w:numId w:val="10"/>
        </w:numPr>
        <w:autoSpaceDE w:val="0"/>
        <w:autoSpaceDN w:val="0"/>
        <w:adjustRightInd w:val="0"/>
        <w:spacing w:after="0" w:line="240" w:lineRule="auto"/>
        <w:jc w:val="both"/>
        <w:rPr>
          <w:rFonts w:ascii="Calibri" w:eastAsia="Calibri" w:hAnsi="Calibri" w:cs="Arial"/>
        </w:rPr>
      </w:pPr>
      <w:r w:rsidRPr="00C877B3">
        <w:rPr>
          <w:rFonts w:ascii="Calibri" w:eastAsia="Calibri" w:hAnsi="Calibri" w:cs="Arial"/>
        </w:rPr>
        <w:t xml:space="preserve">Ensuring </w:t>
      </w:r>
      <w:r w:rsidR="009F04F5">
        <w:rPr>
          <w:rFonts w:ascii="Calibri" w:eastAsia="Calibri" w:hAnsi="Calibri" w:cs="Arial"/>
        </w:rPr>
        <w:t>t</w:t>
      </w:r>
      <w:r w:rsidRPr="00C877B3">
        <w:rPr>
          <w:rFonts w:ascii="Calibri" w:eastAsia="Calibri" w:hAnsi="Calibri" w:cs="Arial"/>
        </w:rPr>
        <w:t xml:space="preserve">ask </w:t>
      </w:r>
      <w:r w:rsidR="009F04F5">
        <w:rPr>
          <w:rFonts w:ascii="Calibri" w:eastAsia="Calibri" w:hAnsi="Calibri" w:cs="Arial"/>
        </w:rPr>
        <w:t>g</w:t>
      </w:r>
      <w:r w:rsidRPr="00C877B3">
        <w:rPr>
          <w:rFonts w:ascii="Calibri" w:eastAsia="Calibri" w:hAnsi="Calibri" w:cs="Arial"/>
        </w:rPr>
        <w:t xml:space="preserve">roups are outcome focused, delivering against identified priorities using Outcome Based Accountability methodology via an up to date action plan, and are suitably attended. </w:t>
      </w:r>
    </w:p>
    <w:p w14:paraId="3F234E6C" w14:textId="77777777" w:rsidR="007838A3" w:rsidRPr="00C877B3" w:rsidRDefault="007838A3" w:rsidP="007838A3">
      <w:pPr>
        <w:numPr>
          <w:ilvl w:val="0"/>
          <w:numId w:val="10"/>
        </w:numPr>
        <w:autoSpaceDE w:val="0"/>
        <w:autoSpaceDN w:val="0"/>
        <w:adjustRightInd w:val="0"/>
        <w:spacing w:after="0" w:line="240" w:lineRule="auto"/>
        <w:jc w:val="both"/>
        <w:rPr>
          <w:rFonts w:ascii="Calibri" w:eastAsia="Calibri" w:hAnsi="Calibri" w:cs="Arial"/>
        </w:rPr>
      </w:pPr>
      <w:r w:rsidRPr="00C877B3">
        <w:rPr>
          <w:rFonts w:ascii="Calibri" w:eastAsia="Calibri" w:hAnsi="Calibri" w:cs="Arial"/>
        </w:rPr>
        <w:t>Making decisions in an inclusive and transparent way.</w:t>
      </w:r>
    </w:p>
    <w:p w14:paraId="48845CAD" w14:textId="77777777" w:rsidR="007838A3" w:rsidRPr="00C877B3" w:rsidRDefault="007838A3" w:rsidP="007838A3">
      <w:pPr>
        <w:autoSpaceDE w:val="0"/>
        <w:autoSpaceDN w:val="0"/>
        <w:adjustRightInd w:val="0"/>
        <w:rPr>
          <w:rFonts w:ascii="Calibri" w:eastAsia="Calibri" w:hAnsi="Calibri" w:cs="Arial"/>
        </w:rPr>
      </w:pPr>
    </w:p>
    <w:p w14:paraId="18E431B7" w14:textId="77777777" w:rsidR="007838A3" w:rsidRPr="00C14A06" w:rsidRDefault="007838A3" w:rsidP="00C14A06">
      <w:pPr>
        <w:jc w:val="both"/>
        <w:outlineLvl w:val="1"/>
        <w:rPr>
          <w:rFonts w:ascii="Calibri" w:eastAsia="Arial Unicode MS" w:hAnsi="Calibri" w:cs="Arial"/>
          <w:b/>
          <w:kern w:val="36"/>
        </w:rPr>
      </w:pPr>
      <w:r w:rsidRPr="00C14A06">
        <w:rPr>
          <w:rFonts w:ascii="Calibri" w:eastAsia="Arial Unicode MS" w:hAnsi="Calibri" w:cs="Arial"/>
          <w:b/>
          <w:kern w:val="36"/>
        </w:rPr>
        <w:lastRenderedPageBreak/>
        <w:t>Partnership Principles</w:t>
      </w:r>
    </w:p>
    <w:p w14:paraId="0553FD4B" w14:textId="77777777" w:rsidR="007838A3" w:rsidRPr="00C14A06" w:rsidRDefault="007838A3" w:rsidP="00C14A06">
      <w:pPr>
        <w:jc w:val="both"/>
        <w:outlineLvl w:val="1"/>
        <w:rPr>
          <w:rFonts w:cs="Arial"/>
        </w:rPr>
      </w:pPr>
      <w:r w:rsidRPr="00C14A06">
        <w:rPr>
          <w:rFonts w:cs="Arial"/>
        </w:rPr>
        <w:t xml:space="preserve">The following principles will guide the </w:t>
      </w:r>
      <w:r w:rsidR="009621EA" w:rsidRPr="00C14A06">
        <w:rPr>
          <w:rFonts w:cs="Arial"/>
        </w:rPr>
        <w:t xml:space="preserve">CSP </w:t>
      </w:r>
      <w:r w:rsidRPr="00C14A06">
        <w:rPr>
          <w:rFonts w:cs="Arial"/>
        </w:rPr>
        <w:t>Board</w:t>
      </w:r>
      <w:r w:rsidR="009621EA" w:rsidRPr="00C14A06">
        <w:rPr>
          <w:rFonts w:cs="Arial"/>
        </w:rPr>
        <w:t>’</w:t>
      </w:r>
      <w:r w:rsidRPr="00C14A06">
        <w:rPr>
          <w:rFonts w:cs="Arial"/>
        </w:rPr>
        <w:t>s work. It will seek to:</w:t>
      </w:r>
    </w:p>
    <w:p w14:paraId="0228E87D" w14:textId="77777777" w:rsidR="007838A3" w:rsidRPr="00C877B3" w:rsidRDefault="007838A3" w:rsidP="007838A3">
      <w:pPr>
        <w:numPr>
          <w:ilvl w:val="0"/>
          <w:numId w:val="11"/>
        </w:numPr>
        <w:autoSpaceDE w:val="0"/>
        <w:autoSpaceDN w:val="0"/>
        <w:adjustRightInd w:val="0"/>
        <w:spacing w:after="0" w:line="240" w:lineRule="auto"/>
        <w:rPr>
          <w:rFonts w:ascii="Calibri" w:eastAsia="Calibri" w:hAnsi="Calibri" w:cs="Arial"/>
        </w:rPr>
      </w:pPr>
      <w:r w:rsidRPr="00C877B3">
        <w:rPr>
          <w:rFonts w:ascii="Calibri" w:eastAsia="Calibri" w:hAnsi="Calibri" w:cs="Arial"/>
        </w:rPr>
        <w:t>Balance risk and harm</w:t>
      </w:r>
    </w:p>
    <w:p w14:paraId="766BA666" w14:textId="77777777" w:rsidR="007838A3" w:rsidRPr="00C877B3" w:rsidRDefault="007838A3" w:rsidP="007838A3">
      <w:pPr>
        <w:numPr>
          <w:ilvl w:val="0"/>
          <w:numId w:val="11"/>
        </w:numPr>
        <w:autoSpaceDE w:val="0"/>
        <w:autoSpaceDN w:val="0"/>
        <w:adjustRightInd w:val="0"/>
        <w:spacing w:after="0" w:line="240" w:lineRule="auto"/>
        <w:rPr>
          <w:rFonts w:ascii="Calibri" w:eastAsia="Calibri" w:hAnsi="Calibri" w:cs="Arial"/>
        </w:rPr>
      </w:pPr>
      <w:r w:rsidRPr="00C877B3">
        <w:rPr>
          <w:rFonts w:ascii="Calibri" w:eastAsia="Calibri" w:hAnsi="Calibri" w:cs="Arial"/>
        </w:rPr>
        <w:t xml:space="preserve">Seek long-term solutions </w:t>
      </w:r>
    </w:p>
    <w:p w14:paraId="1ADB9098" w14:textId="77777777" w:rsidR="007838A3" w:rsidRPr="00C877B3" w:rsidRDefault="007838A3" w:rsidP="007838A3">
      <w:pPr>
        <w:numPr>
          <w:ilvl w:val="0"/>
          <w:numId w:val="11"/>
        </w:numPr>
        <w:autoSpaceDE w:val="0"/>
        <w:autoSpaceDN w:val="0"/>
        <w:adjustRightInd w:val="0"/>
        <w:spacing w:after="0" w:line="240" w:lineRule="auto"/>
        <w:rPr>
          <w:rFonts w:ascii="Calibri" w:eastAsia="Calibri" w:hAnsi="Calibri" w:cs="Arial"/>
        </w:rPr>
      </w:pPr>
      <w:r w:rsidRPr="00C877B3">
        <w:rPr>
          <w:rFonts w:ascii="Calibri" w:eastAsia="Calibri" w:hAnsi="Calibri" w:cs="Arial"/>
        </w:rPr>
        <w:t>Maximise resources to best effect</w:t>
      </w:r>
    </w:p>
    <w:p w14:paraId="7446D33C" w14:textId="77777777" w:rsidR="007838A3" w:rsidRPr="00C877B3" w:rsidRDefault="007838A3" w:rsidP="007838A3">
      <w:pPr>
        <w:numPr>
          <w:ilvl w:val="0"/>
          <w:numId w:val="11"/>
        </w:numPr>
        <w:autoSpaceDE w:val="0"/>
        <w:autoSpaceDN w:val="0"/>
        <w:adjustRightInd w:val="0"/>
        <w:spacing w:after="0" w:line="240" w:lineRule="auto"/>
        <w:rPr>
          <w:rFonts w:ascii="Calibri" w:eastAsia="Calibri" w:hAnsi="Calibri" w:cs="Arial"/>
        </w:rPr>
      </w:pPr>
      <w:r w:rsidRPr="00C877B3">
        <w:rPr>
          <w:rFonts w:ascii="Calibri" w:eastAsia="Calibri" w:hAnsi="Calibri" w:cs="Arial"/>
        </w:rPr>
        <w:t>Share all relevant information and data with confidence under the Humbersi</w:t>
      </w:r>
      <w:r w:rsidR="009621EA">
        <w:rPr>
          <w:rFonts w:ascii="Calibri" w:eastAsia="Calibri" w:hAnsi="Calibri" w:cs="Arial"/>
        </w:rPr>
        <w:t>de Information Sharing Charter</w:t>
      </w:r>
    </w:p>
    <w:p w14:paraId="5C229197" w14:textId="77777777" w:rsidR="007838A3" w:rsidRPr="00C877B3" w:rsidRDefault="007838A3" w:rsidP="007838A3">
      <w:pPr>
        <w:numPr>
          <w:ilvl w:val="0"/>
          <w:numId w:val="11"/>
        </w:numPr>
        <w:autoSpaceDE w:val="0"/>
        <w:autoSpaceDN w:val="0"/>
        <w:adjustRightInd w:val="0"/>
        <w:spacing w:after="0" w:line="240" w:lineRule="auto"/>
        <w:rPr>
          <w:rFonts w:ascii="Calibri" w:eastAsia="Calibri" w:hAnsi="Calibri" w:cs="Arial"/>
        </w:rPr>
      </w:pPr>
      <w:r w:rsidRPr="00C877B3">
        <w:rPr>
          <w:rFonts w:ascii="Calibri" w:eastAsia="Calibri" w:hAnsi="Calibri" w:cs="Arial"/>
        </w:rPr>
        <w:t>Build on proven and workable interventions</w:t>
      </w:r>
    </w:p>
    <w:p w14:paraId="3538442B" w14:textId="77777777" w:rsidR="007838A3" w:rsidRPr="00C877B3" w:rsidRDefault="007838A3" w:rsidP="007838A3">
      <w:pPr>
        <w:numPr>
          <w:ilvl w:val="0"/>
          <w:numId w:val="11"/>
        </w:numPr>
        <w:autoSpaceDE w:val="0"/>
        <w:autoSpaceDN w:val="0"/>
        <w:adjustRightInd w:val="0"/>
        <w:spacing w:after="0" w:line="240" w:lineRule="auto"/>
        <w:rPr>
          <w:rFonts w:ascii="Calibri" w:eastAsia="Calibri" w:hAnsi="Calibri" w:cs="Arial"/>
        </w:rPr>
      </w:pPr>
      <w:r w:rsidRPr="00C877B3">
        <w:rPr>
          <w:rFonts w:ascii="Calibri" w:eastAsia="Calibri" w:hAnsi="Calibri" w:cs="Arial"/>
        </w:rPr>
        <w:t xml:space="preserve">Facilitate effective community input </w:t>
      </w:r>
    </w:p>
    <w:p w14:paraId="4A9BF831" w14:textId="77777777" w:rsidR="007838A3" w:rsidRPr="00C877B3" w:rsidRDefault="007838A3" w:rsidP="007838A3">
      <w:pPr>
        <w:numPr>
          <w:ilvl w:val="0"/>
          <w:numId w:val="11"/>
        </w:numPr>
        <w:autoSpaceDE w:val="0"/>
        <w:autoSpaceDN w:val="0"/>
        <w:adjustRightInd w:val="0"/>
        <w:spacing w:after="0" w:line="240" w:lineRule="auto"/>
        <w:rPr>
          <w:rFonts w:ascii="Calibri" w:eastAsia="Calibri" w:hAnsi="Calibri" w:cs="Arial"/>
        </w:rPr>
      </w:pPr>
      <w:r w:rsidRPr="00C877B3">
        <w:rPr>
          <w:rFonts w:ascii="Calibri" w:eastAsia="Calibri" w:hAnsi="Calibri" w:cs="Arial"/>
        </w:rPr>
        <w:t>Integrate approaches to enforcement / front-line services</w:t>
      </w:r>
    </w:p>
    <w:p w14:paraId="5C8D5015" w14:textId="77777777" w:rsidR="007838A3" w:rsidRPr="00C877B3" w:rsidRDefault="007838A3" w:rsidP="007838A3">
      <w:pPr>
        <w:numPr>
          <w:ilvl w:val="0"/>
          <w:numId w:val="11"/>
        </w:numPr>
        <w:autoSpaceDE w:val="0"/>
        <w:autoSpaceDN w:val="0"/>
        <w:adjustRightInd w:val="0"/>
        <w:spacing w:after="0" w:line="240" w:lineRule="auto"/>
        <w:rPr>
          <w:rFonts w:ascii="Calibri" w:eastAsia="Calibri" w:hAnsi="Calibri" w:cs="Arial"/>
        </w:rPr>
      </w:pPr>
      <w:r w:rsidRPr="00C877B3">
        <w:rPr>
          <w:rFonts w:ascii="Calibri" w:eastAsia="Calibri" w:hAnsi="Calibri" w:cs="Arial"/>
        </w:rPr>
        <w:t>Integrate offender management</w:t>
      </w:r>
    </w:p>
    <w:p w14:paraId="34461F21" w14:textId="77777777" w:rsidR="007838A3" w:rsidRPr="00C877B3" w:rsidRDefault="007838A3" w:rsidP="007838A3">
      <w:pPr>
        <w:numPr>
          <w:ilvl w:val="0"/>
          <w:numId w:val="11"/>
        </w:numPr>
        <w:autoSpaceDE w:val="0"/>
        <w:autoSpaceDN w:val="0"/>
        <w:adjustRightInd w:val="0"/>
        <w:spacing w:after="0" w:line="240" w:lineRule="auto"/>
        <w:rPr>
          <w:rFonts w:ascii="Calibri" w:eastAsia="Calibri" w:hAnsi="Calibri" w:cs="Arial"/>
        </w:rPr>
      </w:pPr>
      <w:r w:rsidRPr="00C877B3">
        <w:rPr>
          <w:rFonts w:ascii="Calibri" w:eastAsia="Calibri" w:hAnsi="Calibri" w:cs="Arial"/>
        </w:rPr>
        <w:t>Monitor robustly, evaluating progress and applying good practice</w:t>
      </w:r>
    </w:p>
    <w:p w14:paraId="0125053E" w14:textId="77777777" w:rsidR="007838A3" w:rsidRDefault="007838A3" w:rsidP="007838A3">
      <w:pPr>
        <w:autoSpaceDE w:val="0"/>
        <w:autoSpaceDN w:val="0"/>
        <w:adjustRightInd w:val="0"/>
        <w:rPr>
          <w:rFonts w:ascii="Calibri" w:eastAsia="Calibri" w:hAnsi="Calibri" w:cs="Arial"/>
        </w:rPr>
      </w:pPr>
    </w:p>
    <w:p w14:paraId="0446BD3F" w14:textId="77777777" w:rsidR="007838A3" w:rsidRPr="00C14A06" w:rsidRDefault="007838A3" w:rsidP="00C14A06">
      <w:pPr>
        <w:jc w:val="both"/>
        <w:outlineLvl w:val="1"/>
        <w:rPr>
          <w:rFonts w:ascii="Calibri" w:eastAsia="Arial Unicode MS" w:hAnsi="Calibri" w:cs="Arial"/>
          <w:b/>
          <w:kern w:val="36"/>
        </w:rPr>
      </w:pPr>
      <w:r w:rsidRPr="00C14A06">
        <w:rPr>
          <w:rFonts w:ascii="Calibri" w:eastAsia="Arial Unicode MS" w:hAnsi="Calibri" w:cs="Arial"/>
          <w:b/>
          <w:kern w:val="36"/>
        </w:rPr>
        <w:t xml:space="preserve">Responsibilities and Core Business of the </w:t>
      </w:r>
      <w:r w:rsidR="00CD0F85" w:rsidRPr="00C14A06">
        <w:rPr>
          <w:rFonts w:ascii="Calibri" w:eastAsia="Arial Unicode MS" w:hAnsi="Calibri" w:cs="Arial"/>
          <w:b/>
          <w:kern w:val="36"/>
        </w:rPr>
        <w:t>CSP</w:t>
      </w:r>
      <w:r w:rsidRPr="00C14A06">
        <w:rPr>
          <w:rFonts w:ascii="Calibri" w:eastAsia="Arial Unicode MS" w:hAnsi="Calibri" w:cs="Arial"/>
          <w:b/>
          <w:kern w:val="36"/>
        </w:rPr>
        <w:t xml:space="preserve"> Board</w:t>
      </w:r>
    </w:p>
    <w:p w14:paraId="28D6C353" w14:textId="77777777" w:rsidR="009B203C" w:rsidRDefault="009B203C" w:rsidP="009B203C">
      <w:pPr>
        <w:autoSpaceDE w:val="0"/>
        <w:autoSpaceDN w:val="0"/>
        <w:adjustRightInd w:val="0"/>
      </w:pPr>
      <w:r w:rsidRPr="009B203C">
        <w:rPr>
          <w:rFonts w:ascii="Calibri" w:eastAsia="Calibri" w:hAnsi="Calibri" w:cs="Arial"/>
          <w:u w:val="single"/>
        </w:rPr>
        <w:t xml:space="preserve">Statutory functions </w:t>
      </w:r>
      <w:r>
        <w:t>:</w:t>
      </w:r>
    </w:p>
    <w:p w14:paraId="52101748" w14:textId="77777777" w:rsidR="009B203C" w:rsidRPr="009B203C" w:rsidRDefault="009B203C" w:rsidP="009B203C">
      <w:pPr>
        <w:autoSpaceDE w:val="0"/>
        <w:autoSpaceDN w:val="0"/>
        <w:adjustRightInd w:val="0"/>
        <w:rPr>
          <w:rFonts w:eastAsia="Calibri" w:cs="Arial"/>
          <w:u w:val="single"/>
        </w:rPr>
      </w:pPr>
      <w:r w:rsidRPr="009B203C">
        <w:t>CSPs are responsible for delivering the following statutory duties:</w:t>
      </w:r>
    </w:p>
    <w:p w14:paraId="4E5A14B0" w14:textId="77777777" w:rsidR="009B203C" w:rsidRPr="009B203C" w:rsidRDefault="009B203C" w:rsidP="009B203C">
      <w:pPr>
        <w:pStyle w:val="ListParagraph"/>
        <w:numPr>
          <w:ilvl w:val="0"/>
          <w:numId w:val="20"/>
        </w:numPr>
        <w:jc w:val="both"/>
        <w:rPr>
          <w:rFonts w:asciiTheme="minorHAnsi" w:hAnsiTheme="minorHAnsi"/>
          <w:sz w:val="22"/>
        </w:rPr>
      </w:pPr>
      <w:r w:rsidRPr="009B203C">
        <w:rPr>
          <w:rFonts w:asciiTheme="minorHAnsi" w:hAnsiTheme="minorHAnsi"/>
          <w:sz w:val="22"/>
        </w:rPr>
        <w:t>Commission Domestic Homicide Reviews</w:t>
      </w:r>
    </w:p>
    <w:p w14:paraId="70D878E7" w14:textId="77777777" w:rsidR="009B203C" w:rsidRPr="009B203C" w:rsidRDefault="009B203C" w:rsidP="009B203C">
      <w:pPr>
        <w:pStyle w:val="ListParagraph"/>
        <w:numPr>
          <w:ilvl w:val="0"/>
          <w:numId w:val="20"/>
        </w:numPr>
        <w:jc w:val="both"/>
        <w:rPr>
          <w:rFonts w:asciiTheme="minorHAnsi" w:hAnsiTheme="minorHAnsi"/>
          <w:sz w:val="22"/>
        </w:rPr>
      </w:pPr>
      <w:r w:rsidRPr="009B203C">
        <w:rPr>
          <w:rFonts w:asciiTheme="minorHAnsi" w:hAnsiTheme="minorHAnsi"/>
          <w:sz w:val="22"/>
        </w:rPr>
        <w:t>Analyse a wide range of data, including recorded crime levels and patterns, in order to identify priorities in an annual strategic assessment (JSIA) </w:t>
      </w:r>
    </w:p>
    <w:p w14:paraId="3BA3355F" w14:textId="77777777" w:rsidR="009B203C" w:rsidRPr="009B203C" w:rsidRDefault="009B203C" w:rsidP="009B203C">
      <w:pPr>
        <w:pStyle w:val="ListParagraph"/>
        <w:numPr>
          <w:ilvl w:val="0"/>
          <w:numId w:val="20"/>
        </w:numPr>
        <w:jc w:val="both"/>
        <w:rPr>
          <w:rFonts w:asciiTheme="minorHAnsi" w:hAnsiTheme="minorHAnsi"/>
          <w:sz w:val="22"/>
        </w:rPr>
      </w:pPr>
      <w:r w:rsidRPr="009B203C">
        <w:rPr>
          <w:rFonts w:asciiTheme="minorHAnsi" w:hAnsiTheme="minorHAnsi"/>
          <w:sz w:val="22"/>
        </w:rPr>
        <w:t>Set out a partnership plan and monitor progress </w:t>
      </w:r>
    </w:p>
    <w:p w14:paraId="7F43564C" w14:textId="77777777" w:rsidR="009B203C" w:rsidRPr="009B203C" w:rsidRDefault="009B203C" w:rsidP="009B203C">
      <w:pPr>
        <w:pStyle w:val="ListParagraph"/>
        <w:numPr>
          <w:ilvl w:val="0"/>
          <w:numId w:val="20"/>
        </w:numPr>
        <w:jc w:val="both"/>
        <w:rPr>
          <w:rFonts w:asciiTheme="minorHAnsi" w:hAnsiTheme="minorHAnsi"/>
          <w:sz w:val="22"/>
        </w:rPr>
      </w:pPr>
      <w:r w:rsidRPr="009B203C">
        <w:rPr>
          <w:rFonts w:asciiTheme="minorHAnsi" w:hAnsiTheme="minorHAnsi"/>
          <w:sz w:val="22"/>
        </w:rPr>
        <w:t>Engage and consult with the local community about their priorities and progress made to achieve them</w:t>
      </w:r>
    </w:p>
    <w:p w14:paraId="5552AB2D" w14:textId="77777777" w:rsidR="009B203C" w:rsidRPr="009B203C" w:rsidRDefault="009B203C" w:rsidP="009B203C">
      <w:pPr>
        <w:pStyle w:val="ListParagraph"/>
        <w:numPr>
          <w:ilvl w:val="0"/>
          <w:numId w:val="20"/>
        </w:numPr>
        <w:jc w:val="both"/>
        <w:rPr>
          <w:rFonts w:asciiTheme="minorHAnsi" w:hAnsiTheme="minorHAnsi"/>
          <w:sz w:val="22"/>
        </w:rPr>
      </w:pPr>
      <w:r w:rsidRPr="009B203C">
        <w:rPr>
          <w:rFonts w:asciiTheme="minorHAnsi" w:hAnsiTheme="minorHAnsi"/>
          <w:sz w:val="22"/>
        </w:rPr>
        <w:t>Set up protocols and systems for sharing information</w:t>
      </w:r>
    </w:p>
    <w:p w14:paraId="5F7DCA11" w14:textId="77777777" w:rsidR="009B203C" w:rsidRPr="009B203C" w:rsidRDefault="009B203C" w:rsidP="009B203C">
      <w:pPr>
        <w:pStyle w:val="ListParagraph"/>
        <w:numPr>
          <w:ilvl w:val="0"/>
          <w:numId w:val="20"/>
        </w:numPr>
        <w:jc w:val="both"/>
        <w:rPr>
          <w:rFonts w:asciiTheme="minorHAnsi" w:hAnsiTheme="minorHAnsi"/>
          <w:sz w:val="22"/>
        </w:rPr>
      </w:pPr>
      <w:r w:rsidRPr="009B203C">
        <w:rPr>
          <w:rFonts w:asciiTheme="minorHAnsi" w:hAnsiTheme="minorHAnsi"/>
          <w:sz w:val="22"/>
        </w:rPr>
        <w:t>Produce a strategy to reduce reoffending</w:t>
      </w:r>
    </w:p>
    <w:p w14:paraId="77BDDD84" w14:textId="77777777" w:rsidR="009B203C" w:rsidRPr="009B203C" w:rsidRDefault="009B203C" w:rsidP="009B203C">
      <w:pPr>
        <w:pStyle w:val="ListParagraph"/>
        <w:numPr>
          <w:ilvl w:val="0"/>
          <w:numId w:val="20"/>
        </w:numPr>
        <w:jc w:val="both"/>
        <w:rPr>
          <w:rFonts w:asciiTheme="minorHAnsi" w:hAnsiTheme="minorHAnsi"/>
          <w:sz w:val="22"/>
        </w:rPr>
      </w:pPr>
      <w:r w:rsidRPr="009B203C">
        <w:rPr>
          <w:rFonts w:asciiTheme="minorHAnsi" w:hAnsiTheme="minorHAnsi"/>
          <w:sz w:val="22"/>
        </w:rPr>
        <w:t>Hold a joint crime and disorder committee to exercise scrutiny functions in the delivery of CSP duties</w:t>
      </w:r>
    </w:p>
    <w:p w14:paraId="49E80E02" w14:textId="3F3E242B" w:rsidR="009B203C" w:rsidRDefault="009B203C" w:rsidP="009B203C">
      <w:pPr>
        <w:pStyle w:val="ListParagraph"/>
        <w:numPr>
          <w:ilvl w:val="0"/>
          <w:numId w:val="20"/>
        </w:numPr>
        <w:jc w:val="both"/>
        <w:rPr>
          <w:rFonts w:asciiTheme="minorHAnsi" w:hAnsiTheme="minorHAnsi"/>
          <w:sz w:val="22"/>
        </w:rPr>
      </w:pPr>
      <w:r w:rsidRPr="009B203C">
        <w:rPr>
          <w:rFonts w:asciiTheme="minorHAnsi" w:hAnsiTheme="minorHAnsi"/>
          <w:sz w:val="22"/>
        </w:rPr>
        <w:t>Produce a strategy to reduce alcohol and substance use</w:t>
      </w:r>
    </w:p>
    <w:p w14:paraId="666E42B5" w14:textId="299FA54C" w:rsidR="003564D6" w:rsidRDefault="003564D6" w:rsidP="009B203C">
      <w:pPr>
        <w:pStyle w:val="ListParagraph"/>
        <w:numPr>
          <w:ilvl w:val="0"/>
          <w:numId w:val="20"/>
        </w:numPr>
        <w:jc w:val="both"/>
        <w:rPr>
          <w:rFonts w:asciiTheme="minorHAnsi" w:hAnsiTheme="minorHAnsi"/>
          <w:sz w:val="22"/>
        </w:rPr>
      </w:pPr>
      <w:r>
        <w:rPr>
          <w:rFonts w:asciiTheme="minorHAnsi" w:hAnsiTheme="minorHAnsi"/>
          <w:sz w:val="22"/>
        </w:rPr>
        <w:t>Undertake an ASB case review (known commonly as a Community Trigger) where the relevant threshold is met, adopting a problem-solving approach (responsible bodies are set out in statute as councils, police, CCG and providers of social housing and not the full CSP).</w:t>
      </w:r>
    </w:p>
    <w:p w14:paraId="2F020DBF" w14:textId="2046E62E" w:rsidR="00761FBB" w:rsidRPr="000F7930" w:rsidRDefault="000F7930" w:rsidP="00761FBB">
      <w:pPr>
        <w:pStyle w:val="ListParagraph"/>
        <w:numPr>
          <w:ilvl w:val="0"/>
          <w:numId w:val="20"/>
        </w:numPr>
        <w:jc w:val="both"/>
        <w:rPr>
          <w:rFonts w:asciiTheme="minorHAnsi" w:hAnsiTheme="minorHAnsi"/>
          <w:sz w:val="22"/>
        </w:rPr>
      </w:pPr>
      <w:r>
        <w:rPr>
          <w:rFonts w:asciiTheme="minorHAnsi" w:hAnsiTheme="minorHAnsi"/>
          <w:sz w:val="22"/>
        </w:rPr>
        <w:t>Collaborate, where possible through existing partnership structures, to prevent and reduce serious violence. (</w:t>
      </w:r>
      <w:r w:rsidR="00761FBB" w:rsidRPr="000F7930">
        <w:rPr>
          <w:rFonts w:asciiTheme="minorHAnsi" w:hAnsiTheme="minorHAnsi"/>
          <w:sz w:val="22"/>
        </w:rPr>
        <w:t>This will be r</w:t>
      </w:r>
      <w:r w:rsidR="00721E62" w:rsidRPr="000F7930">
        <w:rPr>
          <w:rFonts w:asciiTheme="minorHAnsi" w:hAnsiTheme="minorHAnsi"/>
          <w:sz w:val="22"/>
        </w:rPr>
        <w:t>einforced by an amendment to</w:t>
      </w:r>
      <w:r w:rsidR="00761FBB" w:rsidRPr="000F7930">
        <w:rPr>
          <w:rFonts w:asciiTheme="minorHAnsi" w:hAnsiTheme="minorHAnsi"/>
          <w:sz w:val="22"/>
        </w:rPr>
        <w:t xml:space="preserve"> Section 6(1) of the Crime and Disorder Act 1988 to make serious violence an explicit priority for CSPs.</w:t>
      </w:r>
      <w:r w:rsidRPr="000F7930">
        <w:rPr>
          <w:rFonts w:asciiTheme="minorHAnsi" w:hAnsiTheme="minorHAnsi"/>
          <w:sz w:val="22"/>
        </w:rPr>
        <w:t>)</w:t>
      </w:r>
    </w:p>
    <w:p w14:paraId="7CD612C1" w14:textId="321709BF" w:rsidR="009B203C" w:rsidRPr="00E328A3" w:rsidRDefault="009B203C" w:rsidP="009B203C">
      <w:pPr>
        <w:jc w:val="both"/>
      </w:pPr>
      <w:r w:rsidRPr="00E328A3">
        <w:t xml:space="preserve">The CSP </w:t>
      </w:r>
      <w:r>
        <w:t>will ensure</w:t>
      </w:r>
      <w:r w:rsidRPr="00E328A3">
        <w:t xml:space="preserve"> that the statutory responsibilities are discharged via monitoring and assurance within the quarterly </w:t>
      </w:r>
      <w:r w:rsidR="009F04F5">
        <w:t>b</w:t>
      </w:r>
      <w:r w:rsidRPr="00E328A3">
        <w:t xml:space="preserve">oard meetings. </w:t>
      </w:r>
    </w:p>
    <w:p w14:paraId="73B18CCC" w14:textId="77777777" w:rsidR="00C14A06" w:rsidRDefault="00C14A06" w:rsidP="005A73CF">
      <w:pPr>
        <w:autoSpaceDE w:val="0"/>
        <w:autoSpaceDN w:val="0"/>
        <w:adjustRightInd w:val="0"/>
        <w:jc w:val="both"/>
        <w:rPr>
          <w:rFonts w:ascii="Calibri" w:eastAsia="Calibri" w:hAnsi="Calibri" w:cs="Arial"/>
          <w:u w:val="single"/>
        </w:rPr>
      </w:pPr>
    </w:p>
    <w:p w14:paraId="0A5422DB" w14:textId="57EB29DB" w:rsidR="007838A3" w:rsidRPr="00C877B3" w:rsidRDefault="007838A3" w:rsidP="005A73CF">
      <w:pPr>
        <w:autoSpaceDE w:val="0"/>
        <w:autoSpaceDN w:val="0"/>
        <w:adjustRightInd w:val="0"/>
        <w:jc w:val="both"/>
        <w:rPr>
          <w:rFonts w:ascii="Calibri" w:eastAsia="Calibri" w:hAnsi="Calibri" w:cs="Arial"/>
          <w:u w:val="single"/>
        </w:rPr>
      </w:pPr>
      <w:r w:rsidRPr="00C877B3">
        <w:rPr>
          <w:rFonts w:ascii="Calibri" w:eastAsia="Calibri" w:hAnsi="Calibri" w:cs="Arial"/>
          <w:u w:val="single"/>
        </w:rPr>
        <w:t>Strategic planning:</w:t>
      </w:r>
    </w:p>
    <w:p w14:paraId="58C9E866" w14:textId="2EAC3F2C" w:rsidR="007838A3" w:rsidRPr="00C877B3" w:rsidRDefault="007838A3" w:rsidP="005A73CF">
      <w:pPr>
        <w:numPr>
          <w:ilvl w:val="0"/>
          <w:numId w:val="12"/>
        </w:numPr>
        <w:autoSpaceDE w:val="0"/>
        <w:autoSpaceDN w:val="0"/>
        <w:adjustRightInd w:val="0"/>
        <w:spacing w:after="0" w:line="240" w:lineRule="auto"/>
        <w:jc w:val="both"/>
        <w:rPr>
          <w:rFonts w:ascii="Calibri" w:eastAsia="Calibri" w:hAnsi="Calibri" w:cs="Arial"/>
          <w:color w:val="000000"/>
        </w:rPr>
      </w:pPr>
      <w:r w:rsidRPr="00C877B3">
        <w:rPr>
          <w:rFonts w:ascii="Calibri" w:eastAsia="Calibri" w:hAnsi="Calibri" w:cs="Arial"/>
          <w:color w:val="000000"/>
        </w:rPr>
        <w:t xml:space="preserve">To oversee the production of the annual Joint Strategic Intelligence Assessment, and endorse the agreed priorities which form the basis of </w:t>
      </w:r>
      <w:r w:rsidR="00CD0F85">
        <w:rPr>
          <w:rFonts w:ascii="Calibri" w:eastAsia="Calibri" w:hAnsi="Calibri" w:cs="Arial"/>
          <w:color w:val="000000"/>
        </w:rPr>
        <w:t xml:space="preserve">developing </w:t>
      </w:r>
      <w:r w:rsidRPr="00C877B3">
        <w:rPr>
          <w:rFonts w:ascii="Calibri" w:eastAsia="Calibri" w:hAnsi="Calibri" w:cs="Arial"/>
          <w:color w:val="000000"/>
        </w:rPr>
        <w:t xml:space="preserve">the rolling </w:t>
      </w:r>
      <w:r w:rsidR="009F04F5" w:rsidRPr="00C877B3">
        <w:rPr>
          <w:rFonts w:ascii="Calibri" w:eastAsia="Calibri" w:hAnsi="Calibri" w:cs="Arial"/>
          <w:color w:val="000000"/>
        </w:rPr>
        <w:t>three-year</w:t>
      </w:r>
      <w:r w:rsidRPr="00C877B3">
        <w:rPr>
          <w:rFonts w:ascii="Calibri" w:eastAsia="Calibri" w:hAnsi="Calibri" w:cs="Arial"/>
          <w:color w:val="000000"/>
        </w:rPr>
        <w:t xml:space="preserve"> Partnership Plan.</w:t>
      </w:r>
    </w:p>
    <w:p w14:paraId="54E57DC6" w14:textId="21005653" w:rsidR="007838A3" w:rsidRPr="00C877B3" w:rsidRDefault="007838A3" w:rsidP="005A73CF">
      <w:pPr>
        <w:numPr>
          <w:ilvl w:val="0"/>
          <w:numId w:val="12"/>
        </w:numPr>
        <w:autoSpaceDE w:val="0"/>
        <w:autoSpaceDN w:val="0"/>
        <w:adjustRightInd w:val="0"/>
        <w:spacing w:after="200" w:line="240" w:lineRule="auto"/>
        <w:contextualSpacing/>
        <w:jc w:val="both"/>
        <w:rPr>
          <w:rFonts w:ascii="Calibri" w:eastAsia="Calibri" w:hAnsi="Calibri" w:cs="Arial"/>
        </w:rPr>
      </w:pPr>
      <w:r w:rsidRPr="00C877B3">
        <w:rPr>
          <w:rFonts w:ascii="Calibri" w:eastAsia="Calibri" w:hAnsi="Calibri" w:cs="Arial"/>
        </w:rPr>
        <w:t>To manage resources appropriately to deliver the Partnership Plan.</w:t>
      </w:r>
    </w:p>
    <w:p w14:paraId="03170447" w14:textId="77777777" w:rsidR="007838A3" w:rsidRPr="00C877B3" w:rsidRDefault="007838A3" w:rsidP="005A73CF">
      <w:pPr>
        <w:numPr>
          <w:ilvl w:val="0"/>
          <w:numId w:val="12"/>
        </w:numPr>
        <w:autoSpaceDE w:val="0"/>
        <w:autoSpaceDN w:val="0"/>
        <w:adjustRightInd w:val="0"/>
        <w:spacing w:after="0" w:line="240" w:lineRule="auto"/>
        <w:jc w:val="both"/>
        <w:rPr>
          <w:rFonts w:ascii="Calibri" w:eastAsia="Calibri" w:hAnsi="Calibri" w:cs="Arial"/>
          <w:color w:val="000000"/>
        </w:rPr>
      </w:pPr>
      <w:r w:rsidRPr="00C877B3">
        <w:rPr>
          <w:rFonts w:ascii="Calibri" w:eastAsia="Calibri" w:hAnsi="Calibri" w:cs="Arial"/>
        </w:rPr>
        <w:t>To oversee the delivery of the community safety strategic priorities, holding those responsible to account.</w:t>
      </w:r>
      <w:r w:rsidRPr="00C877B3">
        <w:rPr>
          <w:rFonts w:ascii="Calibri" w:eastAsia="Calibri" w:hAnsi="Calibri" w:cs="Arial"/>
          <w:color w:val="000000"/>
        </w:rPr>
        <w:t xml:space="preserve"> </w:t>
      </w:r>
    </w:p>
    <w:p w14:paraId="250BC820" w14:textId="77777777" w:rsidR="007838A3" w:rsidRPr="00C877B3" w:rsidRDefault="007838A3" w:rsidP="005A73CF">
      <w:pPr>
        <w:numPr>
          <w:ilvl w:val="0"/>
          <w:numId w:val="12"/>
        </w:numPr>
        <w:autoSpaceDE w:val="0"/>
        <w:autoSpaceDN w:val="0"/>
        <w:adjustRightInd w:val="0"/>
        <w:spacing w:after="0" w:line="240" w:lineRule="auto"/>
        <w:jc w:val="both"/>
        <w:rPr>
          <w:rFonts w:ascii="Calibri" w:eastAsia="Calibri" w:hAnsi="Calibri" w:cs="Arial"/>
        </w:rPr>
      </w:pPr>
      <w:r w:rsidRPr="00C877B3">
        <w:rPr>
          <w:rFonts w:ascii="Calibri" w:eastAsia="Calibri" w:hAnsi="Calibri" w:cs="Arial"/>
        </w:rPr>
        <w:t>To integrate, wherever appropriate, the plans and services of partner organisations.</w:t>
      </w:r>
    </w:p>
    <w:p w14:paraId="50092D2C" w14:textId="77777777" w:rsidR="007838A3" w:rsidRPr="00C877B3" w:rsidRDefault="007838A3" w:rsidP="005A73CF">
      <w:pPr>
        <w:numPr>
          <w:ilvl w:val="0"/>
          <w:numId w:val="12"/>
        </w:numPr>
        <w:autoSpaceDE w:val="0"/>
        <w:autoSpaceDN w:val="0"/>
        <w:adjustRightInd w:val="0"/>
        <w:spacing w:after="0" w:line="240" w:lineRule="auto"/>
        <w:jc w:val="both"/>
        <w:rPr>
          <w:rFonts w:ascii="Calibri" w:eastAsia="Calibri" w:hAnsi="Calibri" w:cs="Arial"/>
        </w:rPr>
      </w:pPr>
      <w:r w:rsidRPr="00C877B3">
        <w:rPr>
          <w:rFonts w:ascii="Calibri" w:eastAsia="Calibri" w:hAnsi="Calibri" w:cs="Arial"/>
        </w:rPr>
        <w:lastRenderedPageBreak/>
        <w:t xml:space="preserve">To ensure that the partnership is kept up to date so that it is able to respond effectively to community safety matters. </w:t>
      </w:r>
    </w:p>
    <w:p w14:paraId="0B16CEA6" w14:textId="77777777" w:rsidR="007838A3" w:rsidRPr="00C877B3" w:rsidRDefault="007838A3" w:rsidP="005A73CF">
      <w:pPr>
        <w:numPr>
          <w:ilvl w:val="0"/>
          <w:numId w:val="12"/>
        </w:numPr>
        <w:autoSpaceDE w:val="0"/>
        <w:autoSpaceDN w:val="0"/>
        <w:adjustRightInd w:val="0"/>
        <w:spacing w:after="0" w:line="240" w:lineRule="auto"/>
        <w:jc w:val="both"/>
        <w:rPr>
          <w:rFonts w:ascii="Calibri" w:eastAsia="Calibri" w:hAnsi="Calibri" w:cs="Arial"/>
        </w:rPr>
      </w:pPr>
      <w:r w:rsidRPr="00C877B3">
        <w:rPr>
          <w:rFonts w:ascii="Calibri" w:eastAsia="Calibri" w:hAnsi="Calibri" w:cs="Arial"/>
        </w:rPr>
        <w:t>To review the information sharing protocol annually.</w:t>
      </w:r>
    </w:p>
    <w:p w14:paraId="05026BBC" w14:textId="77777777" w:rsidR="007838A3" w:rsidRDefault="007838A3" w:rsidP="005A73CF">
      <w:pPr>
        <w:autoSpaceDE w:val="0"/>
        <w:autoSpaceDN w:val="0"/>
        <w:adjustRightInd w:val="0"/>
        <w:jc w:val="both"/>
        <w:rPr>
          <w:rFonts w:ascii="Calibri" w:eastAsia="Calibri" w:hAnsi="Calibri" w:cs="Arial"/>
          <w:color w:val="000000"/>
          <w:u w:val="single"/>
        </w:rPr>
      </w:pPr>
    </w:p>
    <w:p w14:paraId="48EBABF7" w14:textId="0052F3A4" w:rsidR="007838A3" w:rsidRPr="00C877B3" w:rsidRDefault="007838A3" w:rsidP="005A73CF">
      <w:pPr>
        <w:autoSpaceDE w:val="0"/>
        <w:autoSpaceDN w:val="0"/>
        <w:adjustRightInd w:val="0"/>
        <w:jc w:val="both"/>
        <w:rPr>
          <w:rFonts w:ascii="Calibri" w:eastAsia="Calibri" w:hAnsi="Calibri" w:cs="Arial"/>
          <w:color w:val="000000"/>
          <w:u w:val="single"/>
        </w:rPr>
      </w:pPr>
      <w:r w:rsidRPr="00C877B3">
        <w:rPr>
          <w:rFonts w:ascii="Calibri" w:eastAsia="Calibri" w:hAnsi="Calibri" w:cs="Arial"/>
          <w:color w:val="000000"/>
          <w:u w:val="single"/>
        </w:rPr>
        <w:t>Taking an Outcome Based approach:</w:t>
      </w:r>
    </w:p>
    <w:p w14:paraId="14310411" w14:textId="36D2DAC0" w:rsidR="007838A3" w:rsidRPr="00C877B3" w:rsidRDefault="007838A3" w:rsidP="005A73CF">
      <w:pPr>
        <w:numPr>
          <w:ilvl w:val="0"/>
          <w:numId w:val="13"/>
        </w:numPr>
        <w:autoSpaceDE w:val="0"/>
        <w:autoSpaceDN w:val="0"/>
        <w:adjustRightInd w:val="0"/>
        <w:spacing w:after="0" w:line="240" w:lineRule="auto"/>
        <w:jc w:val="both"/>
        <w:rPr>
          <w:rFonts w:ascii="Calibri" w:eastAsia="Calibri" w:hAnsi="Calibri" w:cs="Arial"/>
          <w:color w:val="000000"/>
        </w:rPr>
      </w:pPr>
      <w:r w:rsidRPr="00C877B3">
        <w:rPr>
          <w:rFonts w:ascii="Calibri" w:eastAsia="Calibri" w:hAnsi="Calibri" w:cs="Arial"/>
          <w:color w:val="000000"/>
        </w:rPr>
        <w:t xml:space="preserve">Ensure that an </w:t>
      </w:r>
      <w:r w:rsidR="00C35499">
        <w:rPr>
          <w:rFonts w:ascii="Calibri" w:eastAsia="Calibri" w:hAnsi="Calibri" w:cs="Arial"/>
          <w:color w:val="000000"/>
        </w:rPr>
        <w:t xml:space="preserve">outcome based </w:t>
      </w:r>
      <w:r w:rsidRPr="00C877B3">
        <w:rPr>
          <w:rFonts w:ascii="Calibri" w:eastAsia="Calibri" w:hAnsi="Calibri" w:cs="Arial"/>
          <w:color w:val="000000"/>
        </w:rPr>
        <w:t>approach is implemented across the partnership and to each of the agreed priorities.</w:t>
      </w:r>
    </w:p>
    <w:p w14:paraId="3775B1C7" w14:textId="77777777" w:rsidR="007838A3" w:rsidRPr="00C877B3" w:rsidRDefault="007838A3" w:rsidP="005A73CF">
      <w:pPr>
        <w:numPr>
          <w:ilvl w:val="0"/>
          <w:numId w:val="13"/>
        </w:numPr>
        <w:autoSpaceDE w:val="0"/>
        <w:autoSpaceDN w:val="0"/>
        <w:adjustRightInd w:val="0"/>
        <w:spacing w:after="0" w:line="240" w:lineRule="auto"/>
        <w:jc w:val="both"/>
        <w:rPr>
          <w:rFonts w:ascii="Calibri" w:eastAsia="Calibri" w:hAnsi="Calibri" w:cs="Arial"/>
          <w:color w:val="000000"/>
        </w:rPr>
      </w:pPr>
      <w:r w:rsidRPr="00C877B3">
        <w:rPr>
          <w:rFonts w:ascii="Calibri" w:eastAsia="Calibri" w:hAnsi="Calibri" w:cs="Arial"/>
          <w:color w:val="000000"/>
        </w:rPr>
        <w:t>To be aware of developing community safety issues outside of the agreed priorities that have a negative impact on the people of North East Lincolnshire.</w:t>
      </w:r>
    </w:p>
    <w:p w14:paraId="39320293" w14:textId="0D78DB47" w:rsidR="007838A3" w:rsidRPr="00C877B3" w:rsidRDefault="007838A3" w:rsidP="005A73CF">
      <w:pPr>
        <w:numPr>
          <w:ilvl w:val="0"/>
          <w:numId w:val="13"/>
        </w:numPr>
        <w:autoSpaceDE w:val="0"/>
        <w:autoSpaceDN w:val="0"/>
        <w:adjustRightInd w:val="0"/>
        <w:spacing w:after="0" w:line="240" w:lineRule="auto"/>
        <w:jc w:val="both"/>
        <w:rPr>
          <w:rFonts w:ascii="Calibri" w:eastAsia="Calibri" w:hAnsi="Calibri" w:cs="Arial"/>
          <w:color w:val="000000"/>
        </w:rPr>
      </w:pPr>
      <w:r w:rsidRPr="00C877B3">
        <w:rPr>
          <w:rFonts w:ascii="Calibri" w:eastAsia="Calibri" w:hAnsi="Calibri" w:cs="Arial"/>
          <w:color w:val="000000"/>
        </w:rPr>
        <w:t xml:space="preserve">To monitor progress in line with </w:t>
      </w:r>
      <w:r w:rsidR="00C35499">
        <w:rPr>
          <w:rFonts w:ascii="Calibri" w:eastAsia="Calibri" w:hAnsi="Calibri" w:cs="Arial"/>
          <w:color w:val="000000"/>
        </w:rPr>
        <w:t>outcome based</w:t>
      </w:r>
      <w:r w:rsidRPr="00C877B3">
        <w:rPr>
          <w:rFonts w:ascii="Calibri" w:eastAsia="Calibri" w:hAnsi="Calibri" w:cs="Arial"/>
          <w:color w:val="000000"/>
        </w:rPr>
        <w:t xml:space="preserve"> principles.</w:t>
      </w:r>
    </w:p>
    <w:p w14:paraId="4E998EBA" w14:textId="77777777" w:rsidR="007838A3" w:rsidRDefault="007838A3" w:rsidP="005A73CF">
      <w:pPr>
        <w:autoSpaceDE w:val="0"/>
        <w:autoSpaceDN w:val="0"/>
        <w:adjustRightInd w:val="0"/>
        <w:jc w:val="both"/>
        <w:rPr>
          <w:rFonts w:ascii="Calibri" w:eastAsia="Calibri" w:hAnsi="Calibri" w:cs="Arial"/>
          <w:color w:val="000000"/>
          <w:u w:val="single"/>
        </w:rPr>
      </w:pPr>
    </w:p>
    <w:p w14:paraId="740560CA" w14:textId="77777777" w:rsidR="007838A3" w:rsidRPr="00C877B3" w:rsidRDefault="007838A3" w:rsidP="005A73CF">
      <w:pPr>
        <w:autoSpaceDE w:val="0"/>
        <w:autoSpaceDN w:val="0"/>
        <w:adjustRightInd w:val="0"/>
        <w:jc w:val="both"/>
        <w:rPr>
          <w:rFonts w:ascii="Calibri" w:eastAsia="Calibri" w:hAnsi="Calibri" w:cs="Arial"/>
          <w:color w:val="000000"/>
          <w:u w:val="single"/>
        </w:rPr>
      </w:pPr>
      <w:r w:rsidRPr="00C877B3">
        <w:rPr>
          <w:rFonts w:ascii="Calibri" w:eastAsia="Calibri" w:hAnsi="Calibri" w:cs="Arial"/>
          <w:color w:val="000000"/>
          <w:u w:val="single"/>
        </w:rPr>
        <w:t>Community engagement:</w:t>
      </w:r>
    </w:p>
    <w:p w14:paraId="0D5F22D1" w14:textId="77777777" w:rsidR="007838A3" w:rsidRPr="00C877B3" w:rsidRDefault="007838A3" w:rsidP="005A73CF">
      <w:pPr>
        <w:numPr>
          <w:ilvl w:val="0"/>
          <w:numId w:val="14"/>
        </w:numPr>
        <w:autoSpaceDE w:val="0"/>
        <w:autoSpaceDN w:val="0"/>
        <w:adjustRightInd w:val="0"/>
        <w:spacing w:after="0" w:line="240" w:lineRule="auto"/>
        <w:jc w:val="both"/>
        <w:rPr>
          <w:rFonts w:ascii="Calibri" w:eastAsia="Calibri" w:hAnsi="Calibri" w:cs="Arial"/>
          <w:color w:val="000000"/>
        </w:rPr>
      </w:pPr>
      <w:r w:rsidRPr="00C877B3">
        <w:rPr>
          <w:rFonts w:ascii="Calibri" w:eastAsia="Calibri" w:hAnsi="Calibri" w:cs="Arial"/>
          <w:color w:val="000000"/>
        </w:rPr>
        <w:t xml:space="preserve">To ensure that the community is consulted with and their views taken into account on the delivery of those services. </w:t>
      </w:r>
    </w:p>
    <w:p w14:paraId="15C7621A" w14:textId="77777777" w:rsidR="00473341" w:rsidRPr="00C877B3" w:rsidRDefault="00473341" w:rsidP="005A73CF">
      <w:pPr>
        <w:autoSpaceDE w:val="0"/>
        <w:autoSpaceDN w:val="0"/>
        <w:adjustRightInd w:val="0"/>
        <w:jc w:val="both"/>
        <w:rPr>
          <w:rFonts w:ascii="Calibri" w:eastAsia="Calibri" w:hAnsi="Calibri" w:cs="Arial"/>
          <w:color w:val="000000"/>
        </w:rPr>
      </w:pPr>
    </w:p>
    <w:p w14:paraId="1D0B3F70" w14:textId="77777777" w:rsidR="007838A3" w:rsidRPr="00C877B3" w:rsidRDefault="007838A3" w:rsidP="005A73CF">
      <w:pPr>
        <w:autoSpaceDE w:val="0"/>
        <w:autoSpaceDN w:val="0"/>
        <w:adjustRightInd w:val="0"/>
        <w:jc w:val="both"/>
        <w:rPr>
          <w:rFonts w:ascii="Calibri" w:eastAsia="Calibri" w:hAnsi="Calibri" w:cs="Arial"/>
          <w:color w:val="000000"/>
          <w:u w:val="single"/>
        </w:rPr>
      </w:pPr>
      <w:r w:rsidRPr="00C877B3">
        <w:rPr>
          <w:rFonts w:ascii="Calibri" w:eastAsia="Calibri" w:hAnsi="Calibri" w:cs="Arial"/>
          <w:color w:val="000000"/>
          <w:u w:val="single"/>
        </w:rPr>
        <w:t>Integrated working:</w:t>
      </w:r>
    </w:p>
    <w:p w14:paraId="538D63CF" w14:textId="77777777" w:rsidR="007838A3" w:rsidRPr="00C877B3" w:rsidRDefault="007838A3" w:rsidP="005A73CF">
      <w:pPr>
        <w:numPr>
          <w:ilvl w:val="0"/>
          <w:numId w:val="15"/>
        </w:numPr>
        <w:autoSpaceDE w:val="0"/>
        <w:autoSpaceDN w:val="0"/>
        <w:adjustRightInd w:val="0"/>
        <w:spacing w:after="0" w:line="240" w:lineRule="auto"/>
        <w:jc w:val="both"/>
        <w:rPr>
          <w:rFonts w:ascii="Calibri" w:eastAsia="Calibri" w:hAnsi="Calibri" w:cs="Arial"/>
          <w:color w:val="000000"/>
        </w:rPr>
      </w:pPr>
      <w:r w:rsidRPr="00C877B3">
        <w:rPr>
          <w:rFonts w:ascii="Calibri" w:eastAsia="Calibri" w:hAnsi="Calibri" w:cs="Arial"/>
          <w:color w:val="000000"/>
        </w:rPr>
        <w:t xml:space="preserve">When necessary to commission specific, time-limited task and finish groups to report on particular topics. The task and finish groups will advise, guide and report their findings to the </w:t>
      </w:r>
      <w:r w:rsidR="009621EA">
        <w:rPr>
          <w:rFonts w:ascii="Calibri" w:eastAsia="Calibri" w:hAnsi="Calibri" w:cs="Arial"/>
          <w:color w:val="000000"/>
        </w:rPr>
        <w:t xml:space="preserve">CSP </w:t>
      </w:r>
      <w:r w:rsidRPr="00C877B3">
        <w:rPr>
          <w:rFonts w:ascii="Calibri" w:eastAsia="Calibri" w:hAnsi="Calibri" w:cs="Arial"/>
          <w:color w:val="000000"/>
        </w:rPr>
        <w:t>Board.</w:t>
      </w:r>
    </w:p>
    <w:p w14:paraId="723AD7E9" w14:textId="77777777" w:rsidR="007838A3" w:rsidRPr="00C877B3" w:rsidRDefault="007838A3" w:rsidP="005A73CF">
      <w:pPr>
        <w:numPr>
          <w:ilvl w:val="0"/>
          <w:numId w:val="15"/>
        </w:numPr>
        <w:autoSpaceDE w:val="0"/>
        <w:autoSpaceDN w:val="0"/>
        <w:adjustRightInd w:val="0"/>
        <w:spacing w:after="0" w:line="240" w:lineRule="auto"/>
        <w:jc w:val="both"/>
        <w:rPr>
          <w:rFonts w:ascii="Calibri" w:eastAsia="Calibri" w:hAnsi="Calibri" w:cs="Arial"/>
          <w:color w:val="000000"/>
        </w:rPr>
      </w:pPr>
      <w:r w:rsidRPr="00C877B3">
        <w:rPr>
          <w:rFonts w:ascii="Calibri" w:eastAsia="Calibri" w:hAnsi="Calibri" w:cs="Arial"/>
          <w:color w:val="000000"/>
        </w:rPr>
        <w:t>To ensure that all partners and statutory agencies have a clear understanding of each other’s roles and responsibilities.</w:t>
      </w:r>
    </w:p>
    <w:p w14:paraId="5679EC12" w14:textId="77777777" w:rsidR="007838A3" w:rsidRPr="00C877B3" w:rsidRDefault="007838A3" w:rsidP="005A73CF">
      <w:pPr>
        <w:numPr>
          <w:ilvl w:val="0"/>
          <w:numId w:val="15"/>
        </w:numPr>
        <w:autoSpaceDE w:val="0"/>
        <w:autoSpaceDN w:val="0"/>
        <w:adjustRightInd w:val="0"/>
        <w:spacing w:after="0" w:line="240" w:lineRule="auto"/>
        <w:jc w:val="both"/>
        <w:rPr>
          <w:rFonts w:ascii="Calibri" w:eastAsia="Calibri" w:hAnsi="Calibri" w:cs="Arial"/>
          <w:color w:val="000000"/>
        </w:rPr>
      </w:pPr>
      <w:r w:rsidRPr="00C877B3">
        <w:rPr>
          <w:rFonts w:ascii="Calibri" w:eastAsia="Calibri" w:hAnsi="Calibri" w:cs="Arial"/>
          <w:color w:val="000000"/>
        </w:rPr>
        <w:t>To assist and support partners in joint ventures to design and deliver services to eliminate unnecessary gaps and duplication of services.</w:t>
      </w:r>
    </w:p>
    <w:p w14:paraId="1E625412" w14:textId="77777777" w:rsidR="007838A3" w:rsidRPr="00C877B3" w:rsidRDefault="007838A3" w:rsidP="005A73CF">
      <w:pPr>
        <w:numPr>
          <w:ilvl w:val="0"/>
          <w:numId w:val="15"/>
        </w:numPr>
        <w:autoSpaceDE w:val="0"/>
        <w:autoSpaceDN w:val="0"/>
        <w:adjustRightInd w:val="0"/>
        <w:spacing w:after="0" w:line="240" w:lineRule="auto"/>
        <w:jc w:val="both"/>
        <w:rPr>
          <w:rFonts w:ascii="Calibri" w:eastAsia="Calibri" w:hAnsi="Calibri" w:cs="Arial"/>
          <w:color w:val="000000"/>
        </w:rPr>
      </w:pPr>
      <w:r w:rsidRPr="00C877B3">
        <w:rPr>
          <w:rFonts w:ascii="Calibri" w:eastAsia="Calibri" w:hAnsi="Calibri" w:cs="Arial"/>
          <w:color w:val="000000"/>
        </w:rPr>
        <w:t>To agree and monitor the allocation and use of all relevant resources, where appropriate.</w:t>
      </w:r>
    </w:p>
    <w:p w14:paraId="3D3FEEBC" w14:textId="77777777" w:rsidR="007838A3" w:rsidRPr="00C877B3" w:rsidRDefault="007838A3" w:rsidP="005A73CF">
      <w:pPr>
        <w:autoSpaceDE w:val="0"/>
        <w:autoSpaceDN w:val="0"/>
        <w:adjustRightInd w:val="0"/>
        <w:jc w:val="both"/>
        <w:rPr>
          <w:rFonts w:ascii="Calibri" w:eastAsia="Calibri" w:hAnsi="Calibri" w:cs="Arial"/>
          <w:color w:val="000000"/>
        </w:rPr>
      </w:pPr>
    </w:p>
    <w:p w14:paraId="58B684FA" w14:textId="77777777" w:rsidR="007838A3" w:rsidRPr="00C14A06" w:rsidRDefault="007838A3" w:rsidP="00C14A06">
      <w:pPr>
        <w:jc w:val="both"/>
        <w:outlineLvl w:val="1"/>
        <w:rPr>
          <w:rFonts w:ascii="Calibri" w:eastAsia="Arial Unicode MS" w:hAnsi="Calibri" w:cs="Arial"/>
          <w:b/>
          <w:kern w:val="36"/>
        </w:rPr>
      </w:pPr>
      <w:r w:rsidRPr="00C14A06">
        <w:rPr>
          <w:rFonts w:ascii="Calibri" w:eastAsia="Arial Unicode MS" w:hAnsi="Calibri" w:cs="Arial"/>
          <w:b/>
          <w:kern w:val="36"/>
        </w:rPr>
        <w:t>Membership</w:t>
      </w:r>
    </w:p>
    <w:p w14:paraId="6D184D20" w14:textId="77777777" w:rsidR="007838A3" w:rsidRDefault="007838A3" w:rsidP="005A73CF">
      <w:pPr>
        <w:spacing w:after="200"/>
        <w:jc w:val="both"/>
        <w:rPr>
          <w:rFonts w:ascii="Calibri" w:eastAsia="Calibri" w:hAnsi="Calibri" w:cs="Arial"/>
        </w:rPr>
      </w:pPr>
      <w:r w:rsidRPr="00C877B3">
        <w:rPr>
          <w:rFonts w:ascii="Calibri" w:eastAsia="Calibri" w:hAnsi="Calibri" w:cs="Arial"/>
        </w:rPr>
        <w:t>The membership of the</w:t>
      </w:r>
      <w:r w:rsidR="00CD0F85">
        <w:rPr>
          <w:rFonts w:ascii="Calibri" w:eastAsia="Calibri" w:hAnsi="Calibri" w:cs="Arial"/>
        </w:rPr>
        <w:t xml:space="preserve"> CSP</w:t>
      </w:r>
      <w:r w:rsidRPr="00C877B3">
        <w:rPr>
          <w:rFonts w:ascii="Calibri" w:eastAsia="Calibri" w:hAnsi="Calibri" w:cs="Arial"/>
        </w:rPr>
        <w:t xml:space="preserve"> Board comprises of the Responsible Authorities (statutory agencies) and other key partners. This includes:</w:t>
      </w:r>
    </w:p>
    <w:p w14:paraId="5853AA74" w14:textId="77777777" w:rsidR="007838A3" w:rsidRPr="007838A3" w:rsidRDefault="007838A3" w:rsidP="005A73CF">
      <w:pPr>
        <w:jc w:val="both"/>
        <w:rPr>
          <w:rFonts w:ascii="Calibri" w:hAnsi="Calibri" w:cs="Arial"/>
          <w:u w:val="single"/>
        </w:rPr>
      </w:pPr>
      <w:r w:rsidRPr="007838A3">
        <w:rPr>
          <w:rFonts w:ascii="Calibri" w:hAnsi="Calibri" w:cs="Arial"/>
          <w:u w:val="single"/>
        </w:rPr>
        <w:t>Responsible Authorities</w:t>
      </w:r>
    </w:p>
    <w:p w14:paraId="1CBEF84A" w14:textId="77777777" w:rsidR="007838A3" w:rsidRPr="00C877B3" w:rsidRDefault="007838A3" w:rsidP="005A73CF">
      <w:pPr>
        <w:numPr>
          <w:ilvl w:val="0"/>
          <w:numId w:val="18"/>
        </w:numPr>
        <w:spacing w:after="0" w:line="240" w:lineRule="auto"/>
        <w:jc w:val="both"/>
        <w:rPr>
          <w:rFonts w:ascii="Calibri" w:hAnsi="Calibri" w:cs="Arial"/>
        </w:rPr>
      </w:pPr>
      <w:r w:rsidRPr="00C877B3">
        <w:rPr>
          <w:rFonts w:ascii="Calibri" w:hAnsi="Calibri" w:cs="Arial"/>
        </w:rPr>
        <w:t xml:space="preserve">Humberside Police </w:t>
      </w:r>
    </w:p>
    <w:p w14:paraId="6547E1AF" w14:textId="77777777" w:rsidR="007838A3" w:rsidRPr="00C877B3" w:rsidRDefault="007838A3" w:rsidP="005A73CF">
      <w:pPr>
        <w:numPr>
          <w:ilvl w:val="0"/>
          <w:numId w:val="18"/>
        </w:numPr>
        <w:spacing w:after="0" w:line="240" w:lineRule="auto"/>
        <w:jc w:val="both"/>
        <w:rPr>
          <w:rFonts w:ascii="Calibri" w:hAnsi="Calibri" w:cs="Arial"/>
        </w:rPr>
      </w:pPr>
      <w:r w:rsidRPr="00C877B3">
        <w:rPr>
          <w:rFonts w:ascii="Calibri" w:hAnsi="Calibri" w:cs="Arial"/>
        </w:rPr>
        <w:t>North East Lincolnshire Council</w:t>
      </w:r>
    </w:p>
    <w:p w14:paraId="11A9D643" w14:textId="5B09B511" w:rsidR="007838A3" w:rsidRPr="00C877B3" w:rsidRDefault="007838A3" w:rsidP="005A73CF">
      <w:pPr>
        <w:numPr>
          <w:ilvl w:val="0"/>
          <w:numId w:val="18"/>
        </w:numPr>
        <w:spacing w:after="0" w:line="240" w:lineRule="auto"/>
        <w:jc w:val="both"/>
        <w:rPr>
          <w:rFonts w:ascii="Calibri" w:hAnsi="Calibri" w:cs="Arial"/>
        </w:rPr>
      </w:pPr>
      <w:r w:rsidRPr="00C877B3">
        <w:rPr>
          <w:rFonts w:ascii="Calibri" w:hAnsi="Calibri" w:cs="Arial"/>
        </w:rPr>
        <w:t xml:space="preserve">Humberside Fire </w:t>
      </w:r>
      <w:r w:rsidR="00230C52">
        <w:rPr>
          <w:rFonts w:ascii="Calibri" w:hAnsi="Calibri" w:cs="Arial"/>
        </w:rPr>
        <w:t>and</w:t>
      </w:r>
      <w:r w:rsidRPr="00C877B3">
        <w:rPr>
          <w:rFonts w:ascii="Calibri" w:hAnsi="Calibri" w:cs="Arial"/>
        </w:rPr>
        <w:t xml:space="preserve"> Rescue Authority</w:t>
      </w:r>
    </w:p>
    <w:p w14:paraId="3B8D7A18" w14:textId="6E4CD06C" w:rsidR="007838A3" w:rsidRPr="00C877B3" w:rsidRDefault="00230C52" w:rsidP="005A73CF">
      <w:pPr>
        <w:numPr>
          <w:ilvl w:val="0"/>
          <w:numId w:val="18"/>
        </w:numPr>
        <w:spacing w:after="0" w:line="240" w:lineRule="auto"/>
        <w:jc w:val="both"/>
        <w:rPr>
          <w:rFonts w:ascii="Calibri" w:hAnsi="Calibri" w:cs="Arial"/>
        </w:rPr>
      </w:pPr>
      <w:r>
        <w:rPr>
          <w:rFonts w:ascii="Calibri" w:hAnsi="Calibri" w:cs="Arial"/>
        </w:rPr>
        <w:t>Integrated Care Board</w:t>
      </w:r>
      <w:r w:rsidR="007838A3" w:rsidRPr="00C877B3">
        <w:rPr>
          <w:rFonts w:ascii="Calibri" w:hAnsi="Calibri" w:cs="Arial"/>
        </w:rPr>
        <w:t xml:space="preserve"> (Health)</w:t>
      </w:r>
    </w:p>
    <w:p w14:paraId="0289DD4D" w14:textId="03A4335C" w:rsidR="00C14A06" w:rsidRDefault="009621EA" w:rsidP="005A73CF">
      <w:pPr>
        <w:numPr>
          <w:ilvl w:val="0"/>
          <w:numId w:val="18"/>
        </w:numPr>
        <w:spacing w:after="0" w:line="240" w:lineRule="auto"/>
        <w:jc w:val="both"/>
        <w:rPr>
          <w:rFonts w:ascii="Calibri" w:hAnsi="Calibri" w:cs="Arial"/>
        </w:rPr>
      </w:pPr>
      <w:r>
        <w:rPr>
          <w:rFonts w:ascii="Calibri" w:hAnsi="Calibri" w:cs="Arial"/>
        </w:rPr>
        <w:t>Probation Service</w:t>
      </w:r>
    </w:p>
    <w:p w14:paraId="1C423D49" w14:textId="77777777" w:rsidR="00230C52" w:rsidRPr="00230C52" w:rsidRDefault="00230C52" w:rsidP="00230C52">
      <w:pPr>
        <w:spacing w:after="0" w:line="240" w:lineRule="auto"/>
        <w:ind w:left="360"/>
        <w:jc w:val="both"/>
        <w:rPr>
          <w:rFonts w:ascii="Calibri" w:hAnsi="Calibri" w:cs="Arial"/>
        </w:rPr>
      </w:pPr>
    </w:p>
    <w:p w14:paraId="0DD421D8" w14:textId="6AEF89E4" w:rsidR="007838A3" w:rsidRPr="007838A3" w:rsidRDefault="007838A3" w:rsidP="005A73CF">
      <w:pPr>
        <w:jc w:val="both"/>
        <w:rPr>
          <w:rFonts w:ascii="Calibri" w:hAnsi="Calibri" w:cs="Arial"/>
          <w:u w:val="single"/>
        </w:rPr>
      </w:pPr>
      <w:r w:rsidRPr="007838A3">
        <w:rPr>
          <w:rFonts w:ascii="Calibri" w:hAnsi="Calibri" w:cs="Arial"/>
          <w:u w:val="single"/>
        </w:rPr>
        <w:t xml:space="preserve">Other Key Partners </w:t>
      </w:r>
    </w:p>
    <w:p w14:paraId="1E230EA6" w14:textId="77777777" w:rsidR="007838A3" w:rsidRPr="00C877B3" w:rsidRDefault="007838A3" w:rsidP="005A73CF">
      <w:pPr>
        <w:numPr>
          <w:ilvl w:val="0"/>
          <w:numId w:val="19"/>
        </w:numPr>
        <w:spacing w:after="0" w:line="240" w:lineRule="auto"/>
        <w:jc w:val="both"/>
        <w:rPr>
          <w:rFonts w:ascii="Calibri" w:hAnsi="Calibri" w:cs="Arial"/>
        </w:rPr>
      </w:pPr>
      <w:r w:rsidRPr="00C877B3">
        <w:rPr>
          <w:rFonts w:ascii="Calibri" w:hAnsi="Calibri" w:cs="Arial"/>
        </w:rPr>
        <w:t>Office of the Police and Crime Commissioner</w:t>
      </w:r>
    </w:p>
    <w:p w14:paraId="41F5AC1A" w14:textId="77777777" w:rsidR="007838A3" w:rsidRPr="00C877B3" w:rsidRDefault="007838A3" w:rsidP="005A73CF">
      <w:pPr>
        <w:numPr>
          <w:ilvl w:val="0"/>
          <w:numId w:val="19"/>
        </w:numPr>
        <w:spacing w:after="0" w:line="240" w:lineRule="auto"/>
        <w:jc w:val="both"/>
        <w:rPr>
          <w:rFonts w:ascii="Calibri" w:hAnsi="Calibri" w:cs="Arial"/>
        </w:rPr>
      </w:pPr>
      <w:r w:rsidRPr="00C877B3">
        <w:rPr>
          <w:rFonts w:ascii="Calibri" w:hAnsi="Calibri" w:cs="Arial"/>
        </w:rPr>
        <w:t>Voluntary Action North East Lincolnshire (VANEL)</w:t>
      </w:r>
    </w:p>
    <w:p w14:paraId="08D84B53" w14:textId="7D04C3F0" w:rsidR="007838A3" w:rsidRDefault="007D141C" w:rsidP="005A73CF">
      <w:pPr>
        <w:numPr>
          <w:ilvl w:val="0"/>
          <w:numId w:val="19"/>
        </w:numPr>
        <w:spacing w:after="0" w:line="240" w:lineRule="auto"/>
        <w:jc w:val="both"/>
        <w:rPr>
          <w:rFonts w:ascii="Calibri" w:hAnsi="Calibri" w:cs="Arial"/>
        </w:rPr>
      </w:pPr>
      <w:r>
        <w:rPr>
          <w:rFonts w:ascii="Calibri" w:hAnsi="Calibri" w:cs="Arial"/>
        </w:rPr>
        <w:t>Sector Support</w:t>
      </w:r>
      <w:r w:rsidR="009F04F5">
        <w:rPr>
          <w:rFonts w:ascii="Calibri" w:hAnsi="Calibri" w:cs="Arial"/>
        </w:rPr>
        <w:t xml:space="preserve"> NEL</w:t>
      </w:r>
    </w:p>
    <w:p w14:paraId="669AB887" w14:textId="6D9C1BE5" w:rsidR="00DF383E" w:rsidRDefault="00DF383E" w:rsidP="005A73CF">
      <w:pPr>
        <w:numPr>
          <w:ilvl w:val="0"/>
          <w:numId w:val="19"/>
        </w:numPr>
        <w:spacing w:after="0" w:line="240" w:lineRule="auto"/>
        <w:jc w:val="both"/>
        <w:rPr>
          <w:rFonts w:ascii="Calibri" w:hAnsi="Calibri" w:cs="Arial"/>
        </w:rPr>
      </w:pPr>
      <w:r>
        <w:rPr>
          <w:rFonts w:ascii="Calibri" w:hAnsi="Calibri" w:cs="Arial"/>
        </w:rPr>
        <w:t>Victim Support</w:t>
      </w:r>
    </w:p>
    <w:p w14:paraId="18E72065" w14:textId="77000225" w:rsidR="00DF383E" w:rsidRDefault="00DF383E" w:rsidP="005A73CF">
      <w:pPr>
        <w:numPr>
          <w:ilvl w:val="0"/>
          <w:numId w:val="19"/>
        </w:numPr>
        <w:spacing w:after="0" w:line="240" w:lineRule="auto"/>
        <w:jc w:val="both"/>
        <w:rPr>
          <w:rFonts w:ascii="Calibri" w:hAnsi="Calibri" w:cs="Arial"/>
        </w:rPr>
      </w:pPr>
      <w:r>
        <w:rPr>
          <w:rFonts w:ascii="Calibri" w:hAnsi="Calibri" w:cs="Arial"/>
        </w:rPr>
        <w:t>Navigo</w:t>
      </w:r>
    </w:p>
    <w:p w14:paraId="565F4A70" w14:textId="35A7BB7D" w:rsidR="008F1AAF" w:rsidRPr="00C877B3" w:rsidRDefault="008F1AAF" w:rsidP="005A73CF">
      <w:pPr>
        <w:numPr>
          <w:ilvl w:val="0"/>
          <w:numId w:val="19"/>
        </w:numPr>
        <w:spacing w:after="0" w:line="240" w:lineRule="auto"/>
        <w:jc w:val="both"/>
        <w:rPr>
          <w:rFonts w:ascii="Calibri" w:hAnsi="Calibri" w:cs="Arial"/>
        </w:rPr>
      </w:pPr>
      <w:r>
        <w:rPr>
          <w:rFonts w:ascii="Calibri" w:hAnsi="Calibri" w:cs="Arial"/>
        </w:rPr>
        <w:t>Lincolnshire Housing Partnership</w:t>
      </w:r>
    </w:p>
    <w:p w14:paraId="71DE48A1" w14:textId="77777777" w:rsidR="006A5D77" w:rsidRDefault="006A5D77" w:rsidP="005A73CF">
      <w:pPr>
        <w:autoSpaceDE w:val="0"/>
        <w:autoSpaceDN w:val="0"/>
        <w:adjustRightInd w:val="0"/>
        <w:jc w:val="both"/>
        <w:rPr>
          <w:rFonts w:ascii="Calibri" w:eastAsia="Calibri" w:hAnsi="Calibri" w:cs="Arial"/>
        </w:rPr>
      </w:pPr>
    </w:p>
    <w:p w14:paraId="42B382CB" w14:textId="72C7B100" w:rsidR="007838A3" w:rsidRPr="00C877B3" w:rsidRDefault="007838A3" w:rsidP="005A73CF">
      <w:pPr>
        <w:autoSpaceDE w:val="0"/>
        <w:autoSpaceDN w:val="0"/>
        <w:adjustRightInd w:val="0"/>
        <w:jc w:val="both"/>
        <w:rPr>
          <w:rFonts w:ascii="Calibri" w:eastAsia="Calibri" w:hAnsi="Calibri" w:cs="Arial"/>
        </w:rPr>
      </w:pPr>
      <w:r w:rsidRPr="00C877B3">
        <w:rPr>
          <w:rFonts w:ascii="Calibri" w:eastAsia="Calibri" w:hAnsi="Calibri" w:cs="Arial"/>
        </w:rPr>
        <w:lastRenderedPageBreak/>
        <w:t>The membership of the CSP will be reviewed annually</w:t>
      </w:r>
      <w:r w:rsidR="00C35499">
        <w:rPr>
          <w:rFonts w:ascii="Calibri" w:eastAsia="Calibri" w:hAnsi="Calibri" w:cs="Arial"/>
        </w:rPr>
        <w:t xml:space="preserve">. </w:t>
      </w:r>
      <w:r w:rsidRPr="00C877B3">
        <w:rPr>
          <w:rFonts w:ascii="Calibri" w:eastAsia="Calibri" w:hAnsi="Calibri" w:cs="Arial"/>
        </w:rPr>
        <w:t xml:space="preserve">Members must possess the relevant expertise to carry out the responsibilities expected and must appoint a suitable deputy to attend in their absence. </w:t>
      </w:r>
    </w:p>
    <w:p w14:paraId="7BAD777D" w14:textId="77777777" w:rsidR="007838A3" w:rsidRPr="00C877B3" w:rsidRDefault="007838A3" w:rsidP="005A73CF">
      <w:pPr>
        <w:autoSpaceDE w:val="0"/>
        <w:autoSpaceDN w:val="0"/>
        <w:adjustRightInd w:val="0"/>
        <w:jc w:val="both"/>
        <w:rPr>
          <w:rFonts w:ascii="Calibri" w:eastAsia="Calibri" w:hAnsi="Calibri" w:cs="Arial"/>
        </w:rPr>
      </w:pPr>
      <w:r w:rsidRPr="00C877B3">
        <w:rPr>
          <w:rFonts w:ascii="Calibri" w:eastAsia="Calibri" w:hAnsi="Calibri" w:cs="Arial"/>
        </w:rPr>
        <w:t>The current Member</w:t>
      </w:r>
      <w:r w:rsidR="009621EA">
        <w:rPr>
          <w:rFonts w:ascii="Calibri" w:eastAsia="Calibri" w:hAnsi="Calibri" w:cs="Arial"/>
        </w:rPr>
        <w:t>ship list is shown at appendix one</w:t>
      </w:r>
      <w:r>
        <w:rPr>
          <w:rFonts w:ascii="Calibri" w:eastAsia="Calibri" w:hAnsi="Calibri" w:cs="Arial"/>
        </w:rPr>
        <w:t>.</w:t>
      </w:r>
    </w:p>
    <w:p w14:paraId="48CDFD22" w14:textId="77777777" w:rsidR="00BF5263" w:rsidRDefault="00BF5263" w:rsidP="005A73CF">
      <w:pPr>
        <w:autoSpaceDE w:val="0"/>
        <w:autoSpaceDN w:val="0"/>
        <w:adjustRightInd w:val="0"/>
        <w:jc w:val="both"/>
        <w:rPr>
          <w:rFonts w:ascii="Calibri" w:eastAsia="Calibri" w:hAnsi="Calibri" w:cs="Arial"/>
          <w:b/>
        </w:rPr>
      </w:pPr>
    </w:p>
    <w:p w14:paraId="2174CB9C" w14:textId="77777777" w:rsidR="007838A3" w:rsidRPr="00C14A06" w:rsidRDefault="007838A3" w:rsidP="00C14A06">
      <w:pPr>
        <w:jc w:val="both"/>
        <w:outlineLvl w:val="1"/>
        <w:rPr>
          <w:rFonts w:ascii="Calibri" w:eastAsia="Arial Unicode MS" w:hAnsi="Calibri" w:cs="Arial"/>
          <w:b/>
          <w:kern w:val="36"/>
        </w:rPr>
      </w:pPr>
      <w:r w:rsidRPr="00C14A06">
        <w:rPr>
          <w:rFonts w:ascii="Calibri" w:eastAsia="Arial Unicode MS" w:hAnsi="Calibri" w:cs="Arial"/>
          <w:b/>
          <w:kern w:val="36"/>
        </w:rPr>
        <w:t>Partner action</w:t>
      </w:r>
    </w:p>
    <w:p w14:paraId="18B3D360" w14:textId="77777777" w:rsidR="007838A3" w:rsidRPr="00C877B3" w:rsidRDefault="007838A3" w:rsidP="005A73CF">
      <w:pPr>
        <w:autoSpaceDE w:val="0"/>
        <w:autoSpaceDN w:val="0"/>
        <w:adjustRightInd w:val="0"/>
        <w:jc w:val="both"/>
        <w:rPr>
          <w:rFonts w:ascii="Calibri" w:eastAsia="Calibri" w:hAnsi="Calibri" w:cs="Arial"/>
        </w:rPr>
      </w:pPr>
      <w:r w:rsidRPr="00C877B3">
        <w:rPr>
          <w:rFonts w:ascii="Calibri" w:eastAsia="Calibri" w:hAnsi="Calibri" w:cs="Arial"/>
        </w:rPr>
        <w:t xml:space="preserve">Representatives will be responsible for ensuring that all key issues are disseminated back to their organisations, ensuring compliance with any actions required and reporting back progress to the </w:t>
      </w:r>
      <w:r w:rsidR="009621EA">
        <w:rPr>
          <w:rFonts w:ascii="Calibri" w:eastAsia="Calibri" w:hAnsi="Calibri" w:cs="Arial"/>
        </w:rPr>
        <w:t xml:space="preserve">CSP </w:t>
      </w:r>
      <w:r w:rsidRPr="00C877B3">
        <w:rPr>
          <w:rFonts w:ascii="Calibri" w:eastAsia="Calibri" w:hAnsi="Calibri" w:cs="Arial"/>
        </w:rPr>
        <w:t>Board.</w:t>
      </w:r>
    </w:p>
    <w:p w14:paraId="45C0CA17" w14:textId="77777777" w:rsidR="007838A3" w:rsidRPr="00C877B3" w:rsidRDefault="007838A3" w:rsidP="005A73CF">
      <w:pPr>
        <w:autoSpaceDE w:val="0"/>
        <w:autoSpaceDN w:val="0"/>
        <w:adjustRightInd w:val="0"/>
        <w:jc w:val="both"/>
        <w:rPr>
          <w:rFonts w:ascii="Calibri" w:eastAsia="Calibri" w:hAnsi="Calibri" w:cs="Arial"/>
        </w:rPr>
      </w:pPr>
    </w:p>
    <w:p w14:paraId="1015A163" w14:textId="77777777" w:rsidR="007838A3" w:rsidRPr="00C14A06" w:rsidRDefault="007838A3" w:rsidP="00C14A06">
      <w:pPr>
        <w:jc w:val="both"/>
        <w:outlineLvl w:val="1"/>
        <w:rPr>
          <w:rFonts w:ascii="Calibri" w:eastAsia="Arial Unicode MS" w:hAnsi="Calibri" w:cs="Arial"/>
          <w:b/>
          <w:kern w:val="36"/>
        </w:rPr>
      </w:pPr>
      <w:r w:rsidRPr="00C14A06">
        <w:rPr>
          <w:rFonts w:ascii="Calibri" w:eastAsia="Arial Unicode MS" w:hAnsi="Calibri" w:cs="Arial"/>
          <w:b/>
          <w:kern w:val="36"/>
        </w:rPr>
        <w:t>Absence</w:t>
      </w:r>
    </w:p>
    <w:p w14:paraId="28DCFBF4" w14:textId="77777777" w:rsidR="007838A3" w:rsidRPr="00C877B3" w:rsidRDefault="007838A3" w:rsidP="005A73CF">
      <w:pPr>
        <w:autoSpaceDE w:val="0"/>
        <w:autoSpaceDN w:val="0"/>
        <w:adjustRightInd w:val="0"/>
        <w:jc w:val="both"/>
        <w:rPr>
          <w:rFonts w:ascii="Calibri" w:eastAsia="Calibri" w:hAnsi="Calibri" w:cs="Arial"/>
        </w:rPr>
      </w:pPr>
      <w:r w:rsidRPr="00C877B3">
        <w:rPr>
          <w:rFonts w:ascii="Calibri" w:eastAsia="Calibri" w:hAnsi="Calibri" w:cs="Arial"/>
        </w:rPr>
        <w:t>If a representative of a statutory agency is unable to attend, a substitute must be sent to the meeting. If there is no representation for three meetings the organisation / sector will be asked to re-appoint / confirm its commitment to the partnership.</w:t>
      </w:r>
    </w:p>
    <w:p w14:paraId="40BA80D4" w14:textId="77777777" w:rsidR="007838A3" w:rsidRPr="00C877B3" w:rsidRDefault="007838A3" w:rsidP="007838A3">
      <w:pPr>
        <w:autoSpaceDE w:val="0"/>
        <w:autoSpaceDN w:val="0"/>
        <w:adjustRightInd w:val="0"/>
        <w:rPr>
          <w:rFonts w:ascii="Calibri" w:eastAsia="Calibri" w:hAnsi="Calibri"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1809"/>
        <w:gridCol w:w="6129"/>
      </w:tblGrid>
      <w:tr w:rsidR="009B203C" w:rsidRPr="00EF3F83" w14:paraId="1CEDC76C" w14:textId="77777777" w:rsidTr="00BC5356">
        <w:tc>
          <w:tcPr>
            <w:tcW w:w="7938" w:type="dxa"/>
            <w:gridSpan w:val="2"/>
            <w:shd w:val="clear" w:color="auto" w:fill="F2F2F2"/>
          </w:tcPr>
          <w:p w14:paraId="4DED1FE7" w14:textId="77777777" w:rsidR="009B203C" w:rsidRPr="00EF3F83" w:rsidRDefault="009B203C" w:rsidP="00BC5356">
            <w:pPr>
              <w:pStyle w:val="NoSpacing"/>
              <w:jc w:val="both"/>
            </w:pPr>
            <w:r w:rsidRPr="00EF3F83">
              <w:t>Version Control</w:t>
            </w:r>
          </w:p>
        </w:tc>
      </w:tr>
      <w:tr w:rsidR="009B203C" w:rsidRPr="00EF3F83" w14:paraId="2DFC0284" w14:textId="77777777" w:rsidTr="00BC5356">
        <w:tc>
          <w:tcPr>
            <w:tcW w:w="1809" w:type="dxa"/>
            <w:shd w:val="clear" w:color="auto" w:fill="F2F2F2"/>
          </w:tcPr>
          <w:p w14:paraId="6908404A" w14:textId="77777777" w:rsidR="009B203C" w:rsidRPr="00EF3F83" w:rsidRDefault="009B203C" w:rsidP="00BC5356">
            <w:pPr>
              <w:pStyle w:val="NoSpacing"/>
              <w:jc w:val="both"/>
            </w:pPr>
            <w:r w:rsidRPr="00EF3F83">
              <w:t>Author</w:t>
            </w:r>
          </w:p>
        </w:tc>
        <w:tc>
          <w:tcPr>
            <w:tcW w:w="6129" w:type="dxa"/>
            <w:shd w:val="clear" w:color="auto" w:fill="FFFFFF"/>
          </w:tcPr>
          <w:p w14:paraId="7C9750B6" w14:textId="6BC74D6D" w:rsidR="009B203C" w:rsidRDefault="009B203C" w:rsidP="00BC5356">
            <w:pPr>
              <w:pStyle w:val="NoSpacing"/>
              <w:jc w:val="both"/>
            </w:pPr>
            <w:r>
              <w:t xml:space="preserve">Rebecca Freeman, CSP Manager </w:t>
            </w:r>
          </w:p>
          <w:p w14:paraId="540063A8" w14:textId="77777777" w:rsidR="009B203C" w:rsidRPr="00EF3F83" w:rsidRDefault="009B203C" w:rsidP="00BC5356">
            <w:pPr>
              <w:pStyle w:val="NoSpacing"/>
              <w:jc w:val="both"/>
            </w:pPr>
            <w:hyperlink r:id="rId9" w:history="1">
              <w:r w:rsidRPr="00801FF0">
                <w:rPr>
                  <w:rStyle w:val="Hyperlink"/>
                </w:rPr>
                <w:t>rebecca.freeman@nelincs.gov.uk</w:t>
              </w:r>
            </w:hyperlink>
            <w:r>
              <w:t xml:space="preserve">  </w:t>
            </w:r>
            <w:r w:rsidRPr="00EF3F83">
              <w:t xml:space="preserve"> </w:t>
            </w:r>
          </w:p>
        </w:tc>
      </w:tr>
      <w:tr w:rsidR="009B203C" w:rsidRPr="00EF3F83" w14:paraId="19B7D588" w14:textId="77777777" w:rsidTr="00BC5356">
        <w:tc>
          <w:tcPr>
            <w:tcW w:w="1809" w:type="dxa"/>
            <w:shd w:val="clear" w:color="auto" w:fill="F2F2F2"/>
          </w:tcPr>
          <w:p w14:paraId="37F95DAB" w14:textId="77777777" w:rsidR="009B203C" w:rsidRPr="00EF3F83" w:rsidRDefault="009B203C" w:rsidP="00BC5356">
            <w:pPr>
              <w:pStyle w:val="NoSpacing"/>
              <w:jc w:val="both"/>
            </w:pPr>
            <w:r w:rsidRPr="00EF3F83">
              <w:t>Status</w:t>
            </w:r>
          </w:p>
        </w:tc>
        <w:tc>
          <w:tcPr>
            <w:tcW w:w="6129" w:type="dxa"/>
            <w:shd w:val="clear" w:color="auto" w:fill="FFFFFF"/>
          </w:tcPr>
          <w:p w14:paraId="748B292F" w14:textId="22D08D54" w:rsidR="009B203C" w:rsidRPr="00EF3F83" w:rsidRDefault="00DF383E" w:rsidP="00BC5356">
            <w:pPr>
              <w:pStyle w:val="NoSpacing"/>
              <w:jc w:val="both"/>
            </w:pPr>
            <w:r>
              <w:t>Approved</w:t>
            </w:r>
          </w:p>
        </w:tc>
      </w:tr>
      <w:tr w:rsidR="009B203C" w:rsidRPr="00EF3F83" w14:paraId="2C226062" w14:textId="77777777" w:rsidTr="00BC5356">
        <w:tc>
          <w:tcPr>
            <w:tcW w:w="1809" w:type="dxa"/>
            <w:shd w:val="clear" w:color="auto" w:fill="F2F2F2"/>
          </w:tcPr>
          <w:p w14:paraId="3C8773C9" w14:textId="77777777" w:rsidR="009B203C" w:rsidRPr="00EF3F83" w:rsidRDefault="009B203C" w:rsidP="00BC5356">
            <w:pPr>
              <w:pStyle w:val="NoSpacing"/>
              <w:jc w:val="both"/>
            </w:pPr>
            <w:r w:rsidRPr="00EF3F83">
              <w:t>Approved by</w:t>
            </w:r>
          </w:p>
        </w:tc>
        <w:tc>
          <w:tcPr>
            <w:tcW w:w="6129" w:type="dxa"/>
            <w:shd w:val="clear" w:color="auto" w:fill="FFFFFF"/>
          </w:tcPr>
          <w:p w14:paraId="3371B465" w14:textId="5B246F39" w:rsidR="009B203C" w:rsidRPr="00813872" w:rsidRDefault="00DF383E" w:rsidP="00BC5356">
            <w:pPr>
              <w:pStyle w:val="NoSpacing"/>
              <w:jc w:val="both"/>
            </w:pPr>
            <w:r>
              <w:t>CSP Board</w:t>
            </w:r>
          </w:p>
        </w:tc>
      </w:tr>
      <w:tr w:rsidR="009B203C" w:rsidRPr="00EF3F83" w14:paraId="77C2BDD9" w14:textId="77777777" w:rsidTr="00BC5356">
        <w:tc>
          <w:tcPr>
            <w:tcW w:w="1809" w:type="dxa"/>
            <w:shd w:val="clear" w:color="auto" w:fill="F2F2F2"/>
          </w:tcPr>
          <w:p w14:paraId="3DD85356" w14:textId="77777777" w:rsidR="009B203C" w:rsidRPr="00EF3F83" w:rsidRDefault="009B203C" w:rsidP="00BC5356">
            <w:pPr>
              <w:pStyle w:val="NoSpacing"/>
              <w:jc w:val="both"/>
            </w:pPr>
            <w:r w:rsidRPr="00EF3F83">
              <w:t>Date approved</w:t>
            </w:r>
          </w:p>
        </w:tc>
        <w:tc>
          <w:tcPr>
            <w:tcW w:w="6129" w:type="dxa"/>
            <w:shd w:val="clear" w:color="auto" w:fill="FFFFFF"/>
          </w:tcPr>
          <w:p w14:paraId="2F01EBE0" w14:textId="7D342DDD" w:rsidR="009B203C" w:rsidRPr="00EF3F83" w:rsidRDefault="00EF7A75" w:rsidP="00767BBD">
            <w:pPr>
              <w:pStyle w:val="NoSpacing"/>
              <w:jc w:val="both"/>
            </w:pPr>
            <w:r>
              <w:t xml:space="preserve">First approved </w:t>
            </w:r>
            <w:r w:rsidR="00767BBD">
              <w:t>7</w:t>
            </w:r>
            <w:r w:rsidR="00995413" w:rsidRPr="00995413">
              <w:rPr>
                <w:vertAlign w:val="superscript"/>
              </w:rPr>
              <w:t>th</w:t>
            </w:r>
            <w:r w:rsidR="00767BBD">
              <w:t xml:space="preserve"> April 2020</w:t>
            </w:r>
            <w:r>
              <w:t xml:space="preserve">, last approved </w:t>
            </w:r>
            <w:r w:rsidR="008F1AAF">
              <w:t>9</w:t>
            </w:r>
            <w:r w:rsidR="008F1AAF" w:rsidRPr="008F1AAF">
              <w:rPr>
                <w:vertAlign w:val="superscript"/>
              </w:rPr>
              <w:t>th</w:t>
            </w:r>
            <w:r w:rsidR="008F1AAF">
              <w:t xml:space="preserve"> May 202</w:t>
            </w:r>
            <w:r w:rsidR="00DC1291">
              <w:t>4</w:t>
            </w:r>
          </w:p>
        </w:tc>
      </w:tr>
      <w:tr w:rsidR="009B203C" w:rsidRPr="00EF3F83" w14:paraId="7A1E5516" w14:textId="77777777" w:rsidTr="00BC5356">
        <w:tc>
          <w:tcPr>
            <w:tcW w:w="1809" w:type="dxa"/>
            <w:shd w:val="clear" w:color="auto" w:fill="F2F2F2"/>
          </w:tcPr>
          <w:p w14:paraId="04FA26FF" w14:textId="77777777" w:rsidR="009B203C" w:rsidRPr="00EF3F83" w:rsidRDefault="009B203C" w:rsidP="00BC5356">
            <w:pPr>
              <w:pStyle w:val="NoSpacing"/>
              <w:jc w:val="both"/>
            </w:pPr>
            <w:r w:rsidRPr="00EF3F83">
              <w:t>Last updated</w:t>
            </w:r>
          </w:p>
        </w:tc>
        <w:tc>
          <w:tcPr>
            <w:tcW w:w="6129" w:type="dxa"/>
            <w:shd w:val="clear" w:color="auto" w:fill="FFFFFF"/>
          </w:tcPr>
          <w:p w14:paraId="0BB6AD2D" w14:textId="7D599CDA" w:rsidR="009B203C" w:rsidRPr="00EF3F83" w:rsidRDefault="00037FA8" w:rsidP="00BC5356">
            <w:pPr>
              <w:pStyle w:val="NoSpacing"/>
              <w:jc w:val="both"/>
            </w:pPr>
            <w:r>
              <w:t>9</w:t>
            </w:r>
            <w:r w:rsidRPr="00037FA8">
              <w:rPr>
                <w:vertAlign w:val="superscript"/>
              </w:rPr>
              <w:t>th</w:t>
            </w:r>
            <w:r>
              <w:t xml:space="preserve"> May 2025</w:t>
            </w:r>
          </w:p>
        </w:tc>
      </w:tr>
      <w:tr w:rsidR="009B203C" w:rsidRPr="00EF3F83" w14:paraId="36FC5572" w14:textId="77777777" w:rsidTr="00BC5356">
        <w:trPr>
          <w:trHeight w:val="68"/>
        </w:trPr>
        <w:tc>
          <w:tcPr>
            <w:tcW w:w="1809" w:type="dxa"/>
            <w:shd w:val="clear" w:color="auto" w:fill="F2F2F2"/>
          </w:tcPr>
          <w:p w14:paraId="78B3209A" w14:textId="77777777" w:rsidR="009B203C" w:rsidRPr="00EF3F83" w:rsidRDefault="009B203C" w:rsidP="00BC5356">
            <w:pPr>
              <w:pStyle w:val="NoSpacing"/>
              <w:jc w:val="both"/>
            </w:pPr>
            <w:r w:rsidRPr="00EF3F83">
              <w:t>Review date</w:t>
            </w:r>
          </w:p>
        </w:tc>
        <w:tc>
          <w:tcPr>
            <w:tcW w:w="6129" w:type="dxa"/>
            <w:shd w:val="clear" w:color="auto" w:fill="FFFFFF"/>
          </w:tcPr>
          <w:p w14:paraId="0AF6BEA4" w14:textId="043EBB97" w:rsidR="009B203C" w:rsidRPr="00E134D7" w:rsidRDefault="00767BBD" w:rsidP="00BC5356">
            <w:pPr>
              <w:pStyle w:val="NoSpacing"/>
              <w:jc w:val="both"/>
            </w:pPr>
            <w:r>
              <w:t>April</w:t>
            </w:r>
            <w:r w:rsidR="009B203C">
              <w:t xml:space="preserve"> 202</w:t>
            </w:r>
            <w:r w:rsidR="009F04F5">
              <w:t>6</w:t>
            </w:r>
          </w:p>
        </w:tc>
      </w:tr>
    </w:tbl>
    <w:p w14:paraId="0966D547" w14:textId="77777777" w:rsidR="007838A3" w:rsidRPr="00C877B3" w:rsidRDefault="007838A3" w:rsidP="007838A3">
      <w:pPr>
        <w:spacing w:after="200" w:line="276" w:lineRule="auto"/>
        <w:rPr>
          <w:rFonts w:ascii="Calibri" w:eastAsia="Calibri" w:hAnsi="Calibri" w:cs="Arial"/>
        </w:rPr>
      </w:pPr>
    </w:p>
    <w:p w14:paraId="4910B69F" w14:textId="77777777" w:rsidR="007838A3" w:rsidRPr="00C877B3" w:rsidRDefault="007838A3" w:rsidP="007838A3">
      <w:pPr>
        <w:spacing w:after="200" w:line="276" w:lineRule="auto"/>
        <w:rPr>
          <w:rFonts w:ascii="Calibri" w:eastAsia="Calibri" w:hAnsi="Calibri" w:cs="Arial"/>
        </w:rPr>
      </w:pPr>
    </w:p>
    <w:p w14:paraId="213AC396" w14:textId="77777777" w:rsidR="007838A3" w:rsidRPr="00C877B3" w:rsidRDefault="007838A3" w:rsidP="007838A3">
      <w:pPr>
        <w:spacing w:after="200" w:line="276" w:lineRule="auto"/>
        <w:rPr>
          <w:rFonts w:ascii="Calibri" w:eastAsia="Calibri" w:hAnsi="Calibri" w:cs="Arial"/>
        </w:rPr>
      </w:pPr>
    </w:p>
    <w:p w14:paraId="666E1274" w14:textId="77777777" w:rsidR="007838A3" w:rsidRPr="00C877B3" w:rsidRDefault="007838A3" w:rsidP="007838A3">
      <w:pPr>
        <w:spacing w:after="200" w:line="276" w:lineRule="auto"/>
        <w:rPr>
          <w:rFonts w:ascii="Calibri" w:eastAsia="Calibri" w:hAnsi="Calibri" w:cs="Arial"/>
        </w:rPr>
      </w:pPr>
    </w:p>
    <w:p w14:paraId="27C6D87D" w14:textId="77777777" w:rsidR="007838A3" w:rsidRPr="00C877B3" w:rsidRDefault="007838A3" w:rsidP="007838A3">
      <w:pPr>
        <w:jc w:val="both"/>
        <w:outlineLvl w:val="1"/>
        <w:rPr>
          <w:rFonts w:ascii="Calibri" w:eastAsia="Arial Unicode MS" w:hAnsi="Calibri" w:cs="Arial"/>
          <w:kern w:val="36"/>
        </w:rPr>
      </w:pPr>
    </w:p>
    <w:p w14:paraId="126BFFEA" w14:textId="77777777" w:rsidR="007838A3" w:rsidRPr="00C877B3" w:rsidRDefault="007838A3" w:rsidP="007838A3">
      <w:pPr>
        <w:jc w:val="both"/>
        <w:outlineLvl w:val="1"/>
        <w:rPr>
          <w:rFonts w:ascii="Calibri" w:eastAsia="Arial Unicode MS" w:hAnsi="Calibri" w:cs="Arial"/>
          <w:b/>
          <w:kern w:val="36"/>
        </w:rPr>
      </w:pPr>
    </w:p>
    <w:p w14:paraId="544578F1" w14:textId="77777777" w:rsidR="007838A3" w:rsidRPr="00C877B3" w:rsidRDefault="007838A3" w:rsidP="007838A3">
      <w:pPr>
        <w:jc w:val="both"/>
        <w:outlineLvl w:val="1"/>
        <w:rPr>
          <w:rFonts w:ascii="Calibri" w:eastAsia="Arial Unicode MS" w:hAnsi="Calibri" w:cs="Arial"/>
          <w:kern w:val="36"/>
        </w:rPr>
      </w:pPr>
    </w:p>
    <w:p w14:paraId="083D9397" w14:textId="77777777" w:rsidR="007838A3" w:rsidRPr="00C877B3" w:rsidRDefault="007838A3" w:rsidP="007838A3">
      <w:pPr>
        <w:jc w:val="both"/>
        <w:outlineLvl w:val="1"/>
        <w:rPr>
          <w:rFonts w:ascii="Calibri" w:eastAsia="Arial Unicode MS" w:hAnsi="Calibri" w:cs="Arial"/>
          <w:b/>
          <w:kern w:val="36"/>
        </w:rPr>
      </w:pPr>
    </w:p>
    <w:p w14:paraId="3BE2F738" w14:textId="08DBC019" w:rsidR="00A31C6F" w:rsidRPr="00DF383E" w:rsidRDefault="007838A3" w:rsidP="00805195">
      <w:pPr>
        <w:rPr>
          <w:rFonts w:ascii="Calibri" w:eastAsia="Arial Unicode MS" w:hAnsi="Calibri" w:cs="Arial Unicode MS"/>
          <w:b/>
          <w:kern w:val="36"/>
        </w:rPr>
      </w:pPr>
      <w:r w:rsidRPr="00C877B3">
        <w:rPr>
          <w:rFonts w:ascii="Calibri" w:eastAsia="Calibri" w:hAnsi="Calibri" w:cs="Arial"/>
          <w:b/>
        </w:rPr>
        <w:br w:type="page"/>
      </w:r>
      <w:r w:rsidR="00805195" w:rsidRPr="00DF383E">
        <w:rPr>
          <w:rFonts w:ascii="Calibri" w:eastAsia="Arial Unicode MS" w:hAnsi="Calibri" w:cs="Arial Unicode MS"/>
          <w:b/>
          <w:kern w:val="36"/>
        </w:rPr>
        <w:lastRenderedPageBreak/>
        <w:t xml:space="preserve"> </w:t>
      </w:r>
    </w:p>
    <w:sectPr w:rsidR="00A31C6F" w:rsidRPr="00DF383E" w:rsidSect="007838A3">
      <w:headerReference w:type="even" r:id="rId10"/>
      <w:headerReference w:type="default" r:id="rId11"/>
      <w:headerReference w:type="first" r:id="rId12"/>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A8F9" w14:textId="77777777" w:rsidR="00815EB3" w:rsidRDefault="00815EB3" w:rsidP="00BF5263">
      <w:pPr>
        <w:spacing w:after="0" w:line="240" w:lineRule="auto"/>
      </w:pPr>
      <w:r>
        <w:separator/>
      </w:r>
    </w:p>
  </w:endnote>
  <w:endnote w:type="continuationSeparator" w:id="0">
    <w:p w14:paraId="7F4F9D69" w14:textId="77777777" w:rsidR="00815EB3" w:rsidRDefault="00815EB3" w:rsidP="00BF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1DC9" w14:textId="77777777" w:rsidR="00815EB3" w:rsidRDefault="00815EB3" w:rsidP="00BF5263">
      <w:pPr>
        <w:spacing w:after="0" w:line="240" w:lineRule="auto"/>
      </w:pPr>
      <w:r>
        <w:separator/>
      </w:r>
    </w:p>
  </w:footnote>
  <w:footnote w:type="continuationSeparator" w:id="0">
    <w:p w14:paraId="0E8939CB" w14:textId="77777777" w:rsidR="00815EB3" w:rsidRDefault="00815EB3" w:rsidP="00BF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21D3" w14:textId="21490F72" w:rsidR="00551891" w:rsidRDefault="00551891">
    <w:pPr>
      <w:pStyle w:val="Header"/>
    </w:pPr>
    <w:r>
      <w:rPr>
        <w:noProof/>
      </w:rPr>
      <mc:AlternateContent>
        <mc:Choice Requires="wps">
          <w:drawing>
            <wp:anchor distT="0" distB="0" distL="0" distR="0" simplePos="0" relativeHeight="251659264" behindDoc="0" locked="0" layoutInCell="1" allowOverlap="1" wp14:anchorId="0AE2536C" wp14:editId="7DD02A2C">
              <wp:simplePos x="635" y="635"/>
              <wp:positionH relativeFrom="page">
                <wp:align>left</wp:align>
              </wp:positionH>
              <wp:positionV relativeFrom="page">
                <wp:align>top</wp:align>
              </wp:positionV>
              <wp:extent cx="1289050" cy="357505"/>
              <wp:effectExtent l="0" t="0" r="6350" b="4445"/>
              <wp:wrapNone/>
              <wp:docPr id="1833737661"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57505"/>
                      </a:xfrm>
                      <a:prstGeom prst="rect">
                        <a:avLst/>
                      </a:prstGeom>
                      <a:noFill/>
                      <a:ln>
                        <a:noFill/>
                      </a:ln>
                    </wps:spPr>
                    <wps:txbx>
                      <w:txbxContent>
                        <w:p w14:paraId="4D26C88F" w14:textId="63E8E6B8" w:rsidR="00551891" w:rsidRPr="00551891" w:rsidRDefault="00551891" w:rsidP="00551891">
                          <w:pPr>
                            <w:spacing w:after="0"/>
                            <w:rPr>
                              <w:rFonts w:ascii="Aptos" w:eastAsia="Aptos" w:hAnsi="Aptos" w:cs="Aptos"/>
                              <w:noProof/>
                              <w:color w:val="000000"/>
                              <w:sz w:val="20"/>
                              <w:szCs w:val="20"/>
                            </w:rPr>
                          </w:pPr>
                          <w:r w:rsidRPr="00551891">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E2536C" id="_x0000_t202" coordsize="21600,21600" o:spt="202" path="m,l,21600r21600,l21600,xe">
              <v:stroke joinstyle="miter"/>
              <v:path gradientshapeok="t" o:connecttype="rect"/>
            </v:shapetype>
            <v:shape id="Text Box 2" o:spid="_x0000_s1026" type="#_x0000_t202" alt="NO RESTRICTIONS" style="position:absolute;margin-left:0;margin-top:0;width:101.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" filled="f" stroked="f">
              <v:fill o:detectmouseclick="t"/>
              <v:textbox style="mso-fit-shape-to-text:t" inset="20pt,15pt,0,0">
                <w:txbxContent>
                  <w:p w14:paraId="4D26C88F" w14:textId="63E8E6B8" w:rsidR="00551891" w:rsidRPr="00551891" w:rsidRDefault="00551891" w:rsidP="00551891">
                    <w:pPr>
                      <w:spacing w:after="0"/>
                      <w:rPr>
                        <w:rFonts w:ascii="Aptos" w:eastAsia="Aptos" w:hAnsi="Aptos" w:cs="Aptos"/>
                        <w:noProof/>
                        <w:color w:val="000000"/>
                        <w:sz w:val="20"/>
                        <w:szCs w:val="20"/>
                      </w:rPr>
                    </w:pPr>
                    <w:r w:rsidRPr="00551891">
                      <w:rPr>
                        <w:rFonts w:ascii="Aptos" w:eastAsia="Aptos" w:hAnsi="Aptos" w:cs="Aptos"/>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CBB9" w14:textId="23D11C3E" w:rsidR="00551891" w:rsidRDefault="00551891">
    <w:pPr>
      <w:pStyle w:val="Header"/>
    </w:pPr>
    <w:r>
      <w:rPr>
        <w:noProof/>
      </w:rPr>
      <mc:AlternateContent>
        <mc:Choice Requires="wps">
          <w:drawing>
            <wp:anchor distT="0" distB="0" distL="0" distR="0" simplePos="0" relativeHeight="251660288" behindDoc="0" locked="0" layoutInCell="1" allowOverlap="1" wp14:anchorId="28354174" wp14:editId="06C0D77C">
              <wp:simplePos x="914400" y="450850"/>
              <wp:positionH relativeFrom="page">
                <wp:align>left</wp:align>
              </wp:positionH>
              <wp:positionV relativeFrom="page">
                <wp:align>top</wp:align>
              </wp:positionV>
              <wp:extent cx="1289050" cy="357505"/>
              <wp:effectExtent l="0" t="0" r="6350" b="4445"/>
              <wp:wrapNone/>
              <wp:docPr id="330081643"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57505"/>
                      </a:xfrm>
                      <a:prstGeom prst="rect">
                        <a:avLst/>
                      </a:prstGeom>
                      <a:noFill/>
                      <a:ln>
                        <a:noFill/>
                      </a:ln>
                    </wps:spPr>
                    <wps:txbx>
                      <w:txbxContent>
                        <w:p w14:paraId="51ABFEA7" w14:textId="4E551D11" w:rsidR="00551891" w:rsidRPr="00551891" w:rsidRDefault="00551891" w:rsidP="00551891">
                          <w:pPr>
                            <w:spacing w:after="0"/>
                            <w:rPr>
                              <w:rFonts w:ascii="Aptos" w:eastAsia="Aptos" w:hAnsi="Aptos" w:cs="Aptos"/>
                              <w:noProof/>
                              <w:color w:val="000000"/>
                              <w:sz w:val="20"/>
                              <w:szCs w:val="20"/>
                            </w:rPr>
                          </w:pPr>
                          <w:r w:rsidRPr="00551891">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354174" id="_x0000_t202" coordsize="21600,21600" o:spt="202" path="m,l,21600r21600,l21600,xe">
              <v:stroke joinstyle="miter"/>
              <v:path gradientshapeok="t" o:connecttype="rect"/>
            </v:shapetype>
            <v:shape id="Text Box 3" o:spid="_x0000_s1027" type="#_x0000_t202" alt="NO RESTRICTIONS" style="position:absolute;margin-left:0;margin-top:0;width:101.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" filled="f" stroked="f">
              <v:fill o:detectmouseclick="t"/>
              <v:textbox style="mso-fit-shape-to-text:t" inset="20pt,15pt,0,0">
                <w:txbxContent>
                  <w:p w14:paraId="51ABFEA7" w14:textId="4E551D11" w:rsidR="00551891" w:rsidRPr="00551891" w:rsidRDefault="00551891" w:rsidP="00551891">
                    <w:pPr>
                      <w:spacing w:after="0"/>
                      <w:rPr>
                        <w:rFonts w:ascii="Aptos" w:eastAsia="Aptos" w:hAnsi="Aptos" w:cs="Aptos"/>
                        <w:noProof/>
                        <w:color w:val="000000"/>
                        <w:sz w:val="20"/>
                        <w:szCs w:val="20"/>
                      </w:rPr>
                    </w:pPr>
                    <w:r w:rsidRPr="00551891">
                      <w:rPr>
                        <w:rFonts w:ascii="Aptos" w:eastAsia="Aptos" w:hAnsi="Aptos" w:cs="Aptos"/>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7F62" w14:textId="512A9290" w:rsidR="00551891" w:rsidRDefault="00551891">
    <w:pPr>
      <w:pStyle w:val="Header"/>
    </w:pPr>
    <w:r>
      <w:rPr>
        <w:noProof/>
      </w:rPr>
      <mc:AlternateContent>
        <mc:Choice Requires="wps">
          <w:drawing>
            <wp:anchor distT="0" distB="0" distL="0" distR="0" simplePos="0" relativeHeight="251658240" behindDoc="0" locked="0" layoutInCell="1" allowOverlap="1" wp14:anchorId="69457E25" wp14:editId="7EFE0DC0">
              <wp:simplePos x="635" y="635"/>
              <wp:positionH relativeFrom="page">
                <wp:align>left</wp:align>
              </wp:positionH>
              <wp:positionV relativeFrom="page">
                <wp:align>top</wp:align>
              </wp:positionV>
              <wp:extent cx="1289050" cy="357505"/>
              <wp:effectExtent l="0" t="0" r="6350" b="4445"/>
              <wp:wrapNone/>
              <wp:docPr id="1865854152"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57505"/>
                      </a:xfrm>
                      <a:prstGeom prst="rect">
                        <a:avLst/>
                      </a:prstGeom>
                      <a:noFill/>
                      <a:ln>
                        <a:noFill/>
                      </a:ln>
                    </wps:spPr>
                    <wps:txbx>
                      <w:txbxContent>
                        <w:p w14:paraId="252EC5C0" w14:textId="0E651C96" w:rsidR="00551891" w:rsidRPr="00551891" w:rsidRDefault="00551891" w:rsidP="00551891">
                          <w:pPr>
                            <w:spacing w:after="0"/>
                            <w:rPr>
                              <w:rFonts w:ascii="Aptos" w:eastAsia="Aptos" w:hAnsi="Aptos" w:cs="Aptos"/>
                              <w:noProof/>
                              <w:color w:val="000000"/>
                              <w:sz w:val="20"/>
                              <w:szCs w:val="20"/>
                            </w:rPr>
                          </w:pPr>
                          <w:r w:rsidRPr="00551891">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457E25" id="_x0000_t202" coordsize="21600,21600" o:spt="202" path="m,l,21600r21600,l21600,xe">
              <v:stroke joinstyle="miter"/>
              <v:path gradientshapeok="t" o:connecttype="rect"/>
            </v:shapetype>
            <v:shape id="Text Box 1" o:spid="_x0000_s1028" type="#_x0000_t202" alt="NO RESTRICTIONS" style="position:absolute;margin-left:0;margin-top:0;width:101.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" filled="f" stroked="f">
              <v:fill o:detectmouseclick="t"/>
              <v:textbox style="mso-fit-shape-to-text:t" inset="20pt,15pt,0,0">
                <w:txbxContent>
                  <w:p w14:paraId="252EC5C0" w14:textId="0E651C96" w:rsidR="00551891" w:rsidRPr="00551891" w:rsidRDefault="00551891" w:rsidP="00551891">
                    <w:pPr>
                      <w:spacing w:after="0"/>
                      <w:rPr>
                        <w:rFonts w:ascii="Aptos" w:eastAsia="Aptos" w:hAnsi="Aptos" w:cs="Aptos"/>
                        <w:noProof/>
                        <w:color w:val="000000"/>
                        <w:sz w:val="20"/>
                        <w:szCs w:val="20"/>
                      </w:rPr>
                    </w:pPr>
                    <w:r w:rsidRPr="00551891">
                      <w:rPr>
                        <w:rFonts w:ascii="Aptos" w:eastAsia="Aptos" w:hAnsi="Aptos" w:cs="Aptos"/>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E7D"/>
    <w:multiLevelType w:val="hybridMultilevel"/>
    <w:tmpl w:val="4D646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590C48"/>
    <w:multiLevelType w:val="hybridMultilevel"/>
    <w:tmpl w:val="A65699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F25FA9"/>
    <w:multiLevelType w:val="hybridMultilevel"/>
    <w:tmpl w:val="623C0A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CC1006"/>
    <w:multiLevelType w:val="hybridMultilevel"/>
    <w:tmpl w:val="E452B9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75FEF"/>
    <w:multiLevelType w:val="hybridMultilevel"/>
    <w:tmpl w:val="51883A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60608E"/>
    <w:multiLevelType w:val="hybridMultilevel"/>
    <w:tmpl w:val="FFA027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544A9C"/>
    <w:multiLevelType w:val="hybridMultilevel"/>
    <w:tmpl w:val="29F03E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EB627F"/>
    <w:multiLevelType w:val="hybridMultilevel"/>
    <w:tmpl w:val="DE1A1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351878"/>
    <w:multiLevelType w:val="hybridMultilevel"/>
    <w:tmpl w:val="E4FAF23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666AA3"/>
    <w:multiLevelType w:val="hybridMultilevel"/>
    <w:tmpl w:val="9AFAF0D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8A3F87"/>
    <w:multiLevelType w:val="hybridMultilevel"/>
    <w:tmpl w:val="E0CC9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6D4714"/>
    <w:multiLevelType w:val="hybridMultilevel"/>
    <w:tmpl w:val="2EBA1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60863"/>
    <w:multiLevelType w:val="hybridMultilevel"/>
    <w:tmpl w:val="E0F264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7B58F2"/>
    <w:multiLevelType w:val="hybridMultilevel"/>
    <w:tmpl w:val="265259B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FFF73D5"/>
    <w:multiLevelType w:val="hybridMultilevel"/>
    <w:tmpl w:val="2B64F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D42709"/>
    <w:multiLevelType w:val="hybridMultilevel"/>
    <w:tmpl w:val="5DEEC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D81797"/>
    <w:multiLevelType w:val="hybridMultilevel"/>
    <w:tmpl w:val="4F0A8B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395EC5"/>
    <w:multiLevelType w:val="hybridMultilevel"/>
    <w:tmpl w:val="DC8A1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0B1560"/>
    <w:multiLevelType w:val="hybridMultilevel"/>
    <w:tmpl w:val="9176D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DE7DE8"/>
    <w:multiLevelType w:val="hybridMultilevel"/>
    <w:tmpl w:val="ED86E9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6541315">
    <w:abstractNumId w:val="7"/>
  </w:num>
  <w:num w:numId="2" w16cid:durableId="826940906">
    <w:abstractNumId w:val="17"/>
  </w:num>
  <w:num w:numId="3" w16cid:durableId="1291856792">
    <w:abstractNumId w:val="11"/>
  </w:num>
  <w:num w:numId="4" w16cid:durableId="545607120">
    <w:abstractNumId w:val="15"/>
  </w:num>
  <w:num w:numId="5" w16cid:durableId="1658457784">
    <w:abstractNumId w:val="0"/>
  </w:num>
  <w:num w:numId="6" w16cid:durableId="2134665254">
    <w:abstractNumId w:val="18"/>
  </w:num>
  <w:num w:numId="7" w16cid:durableId="732392159">
    <w:abstractNumId w:val="10"/>
  </w:num>
  <w:num w:numId="8" w16cid:durableId="2005548882">
    <w:abstractNumId w:val="12"/>
  </w:num>
  <w:num w:numId="9" w16cid:durableId="315299663">
    <w:abstractNumId w:val="14"/>
  </w:num>
  <w:num w:numId="10" w16cid:durableId="221795846">
    <w:abstractNumId w:val="5"/>
  </w:num>
  <w:num w:numId="11" w16cid:durableId="713238501">
    <w:abstractNumId w:val="6"/>
  </w:num>
  <w:num w:numId="12" w16cid:durableId="1249382901">
    <w:abstractNumId w:val="8"/>
  </w:num>
  <w:num w:numId="13" w16cid:durableId="2136486414">
    <w:abstractNumId w:val="2"/>
  </w:num>
  <w:num w:numId="14" w16cid:durableId="505941584">
    <w:abstractNumId w:val="16"/>
  </w:num>
  <w:num w:numId="15" w16cid:durableId="768476124">
    <w:abstractNumId w:val="9"/>
  </w:num>
  <w:num w:numId="16" w16cid:durableId="1000236111">
    <w:abstractNumId w:val="19"/>
  </w:num>
  <w:num w:numId="17" w16cid:durableId="1628076598">
    <w:abstractNumId w:val="1"/>
  </w:num>
  <w:num w:numId="18" w16cid:durableId="1673755710">
    <w:abstractNumId w:val="13"/>
  </w:num>
  <w:num w:numId="19" w16cid:durableId="1848473019">
    <w:abstractNumId w:val="4"/>
  </w:num>
  <w:num w:numId="20" w16cid:durableId="199059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5F"/>
    <w:rsid w:val="000169C5"/>
    <w:rsid w:val="00037FA8"/>
    <w:rsid w:val="00046D21"/>
    <w:rsid w:val="00056BFF"/>
    <w:rsid w:val="00077AD8"/>
    <w:rsid w:val="00081ED5"/>
    <w:rsid w:val="00086272"/>
    <w:rsid w:val="000A799B"/>
    <w:rsid w:val="000F7930"/>
    <w:rsid w:val="00104712"/>
    <w:rsid w:val="00106730"/>
    <w:rsid w:val="0011512A"/>
    <w:rsid w:val="00143C3C"/>
    <w:rsid w:val="00153981"/>
    <w:rsid w:val="001645ED"/>
    <w:rsid w:val="001849AA"/>
    <w:rsid w:val="001C66DE"/>
    <w:rsid w:val="001D0BF0"/>
    <w:rsid w:val="00230C52"/>
    <w:rsid w:val="0024130D"/>
    <w:rsid w:val="002664D0"/>
    <w:rsid w:val="00267A1B"/>
    <w:rsid w:val="00291324"/>
    <w:rsid w:val="00297B18"/>
    <w:rsid w:val="002A50E2"/>
    <w:rsid w:val="002B5110"/>
    <w:rsid w:val="002D1F97"/>
    <w:rsid w:val="003564D6"/>
    <w:rsid w:val="003641C6"/>
    <w:rsid w:val="00383CB8"/>
    <w:rsid w:val="003976C6"/>
    <w:rsid w:val="003A574F"/>
    <w:rsid w:val="003C20B9"/>
    <w:rsid w:val="003C6C26"/>
    <w:rsid w:val="003D7E73"/>
    <w:rsid w:val="00412276"/>
    <w:rsid w:val="0041675D"/>
    <w:rsid w:val="00422F0A"/>
    <w:rsid w:val="004353B4"/>
    <w:rsid w:val="004575F1"/>
    <w:rsid w:val="00461111"/>
    <w:rsid w:val="00473341"/>
    <w:rsid w:val="00477E07"/>
    <w:rsid w:val="004860DB"/>
    <w:rsid w:val="004875F2"/>
    <w:rsid w:val="0049154D"/>
    <w:rsid w:val="004E0A27"/>
    <w:rsid w:val="0051388F"/>
    <w:rsid w:val="00534140"/>
    <w:rsid w:val="0053778A"/>
    <w:rsid w:val="005510C1"/>
    <w:rsid w:val="00551891"/>
    <w:rsid w:val="005976B7"/>
    <w:rsid w:val="005A73CF"/>
    <w:rsid w:val="005C6EF3"/>
    <w:rsid w:val="00682F69"/>
    <w:rsid w:val="006A5D77"/>
    <w:rsid w:val="006E2593"/>
    <w:rsid w:val="006E2819"/>
    <w:rsid w:val="006E2C4D"/>
    <w:rsid w:val="00702E29"/>
    <w:rsid w:val="00721E62"/>
    <w:rsid w:val="00735B1F"/>
    <w:rsid w:val="0075100B"/>
    <w:rsid w:val="00761FBB"/>
    <w:rsid w:val="00767BBD"/>
    <w:rsid w:val="00780EB3"/>
    <w:rsid w:val="00780EB9"/>
    <w:rsid w:val="007814E1"/>
    <w:rsid w:val="007838A3"/>
    <w:rsid w:val="0078774B"/>
    <w:rsid w:val="007B1487"/>
    <w:rsid w:val="007D141C"/>
    <w:rsid w:val="007E0325"/>
    <w:rsid w:val="00805195"/>
    <w:rsid w:val="00813101"/>
    <w:rsid w:val="00815EB3"/>
    <w:rsid w:val="00852A78"/>
    <w:rsid w:val="00854623"/>
    <w:rsid w:val="008651D5"/>
    <w:rsid w:val="00870FDA"/>
    <w:rsid w:val="008A61C2"/>
    <w:rsid w:val="008B5B79"/>
    <w:rsid w:val="008C72ED"/>
    <w:rsid w:val="008F1AAF"/>
    <w:rsid w:val="009027A0"/>
    <w:rsid w:val="00914D75"/>
    <w:rsid w:val="00926093"/>
    <w:rsid w:val="00953BD5"/>
    <w:rsid w:val="00957AB6"/>
    <w:rsid w:val="009621EA"/>
    <w:rsid w:val="00980577"/>
    <w:rsid w:val="00994614"/>
    <w:rsid w:val="00995413"/>
    <w:rsid w:val="009A48E7"/>
    <w:rsid w:val="009B15A4"/>
    <w:rsid w:val="009B203C"/>
    <w:rsid w:val="009E4FE6"/>
    <w:rsid w:val="009F04F5"/>
    <w:rsid w:val="009F3BC8"/>
    <w:rsid w:val="009F52F6"/>
    <w:rsid w:val="00A31553"/>
    <w:rsid w:val="00A31C6F"/>
    <w:rsid w:val="00A37625"/>
    <w:rsid w:val="00A57D3C"/>
    <w:rsid w:val="00A76A31"/>
    <w:rsid w:val="00AA3036"/>
    <w:rsid w:val="00AA4091"/>
    <w:rsid w:val="00AB354C"/>
    <w:rsid w:val="00AB5D79"/>
    <w:rsid w:val="00AC4E54"/>
    <w:rsid w:val="00AF2F2B"/>
    <w:rsid w:val="00B057B4"/>
    <w:rsid w:val="00B07320"/>
    <w:rsid w:val="00B47E86"/>
    <w:rsid w:val="00B66391"/>
    <w:rsid w:val="00B927ED"/>
    <w:rsid w:val="00BB5CBA"/>
    <w:rsid w:val="00BE6DC4"/>
    <w:rsid w:val="00BF5263"/>
    <w:rsid w:val="00C10D12"/>
    <w:rsid w:val="00C14A06"/>
    <w:rsid w:val="00C35499"/>
    <w:rsid w:val="00C47120"/>
    <w:rsid w:val="00C5398B"/>
    <w:rsid w:val="00C82E3D"/>
    <w:rsid w:val="00C83051"/>
    <w:rsid w:val="00C84760"/>
    <w:rsid w:val="00C8565F"/>
    <w:rsid w:val="00CB5809"/>
    <w:rsid w:val="00CC2B83"/>
    <w:rsid w:val="00CC404E"/>
    <w:rsid w:val="00CD0F85"/>
    <w:rsid w:val="00CD7C9C"/>
    <w:rsid w:val="00CE5586"/>
    <w:rsid w:val="00D04D5F"/>
    <w:rsid w:val="00D338DF"/>
    <w:rsid w:val="00D4618E"/>
    <w:rsid w:val="00DA3557"/>
    <w:rsid w:val="00DA74FA"/>
    <w:rsid w:val="00DC034C"/>
    <w:rsid w:val="00DC1291"/>
    <w:rsid w:val="00DE26FB"/>
    <w:rsid w:val="00DE48FD"/>
    <w:rsid w:val="00DE7352"/>
    <w:rsid w:val="00DF383E"/>
    <w:rsid w:val="00E057E6"/>
    <w:rsid w:val="00E0630A"/>
    <w:rsid w:val="00E326AF"/>
    <w:rsid w:val="00E50790"/>
    <w:rsid w:val="00E74CC4"/>
    <w:rsid w:val="00E92EB9"/>
    <w:rsid w:val="00EB08B7"/>
    <w:rsid w:val="00EC01D8"/>
    <w:rsid w:val="00EC5C04"/>
    <w:rsid w:val="00ED2BEC"/>
    <w:rsid w:val="00ED4D42"/>
    <w:rsid w:val="00EE57AE"/>
    <w:rsid w:val="00EF37EC"/>
    <w:rsid w:val="00EF5433"/>
    <w:rsid w:val="00EF7A75"/>
    <w:rsid w:val="00F13962"/>
    <w:rsid w:val="00F44926"/>
    <w:rsid w:val="00F93888"/>
    <w:rsid w:val="00F97395"/>
    <w:rsid w:val="00FA4F35"/>
    <w:rsid w:val="00FD2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7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03C"/>
    <w:pPr>
      <w:keepNext/>
      <w:keepLines/>
      <w:spacing w:before="240" w:after="0"/>
      <w:outlineLvl w:val="0"/>
    </w:pPr>
    <w:rPr>
      <w:rFonts w:ascii="Arial" w:eastAsiaTheme="majorEastAsia" w:hAnsi="Arial" w:cstheme="majorBidi"/>
      <w:color w:val="808080" w:themeColor="background1" w:themeShade="80"/>
      <w:sz w:val="32"/>
      <w:szCs w:val="32"/>
    </w:rPr>
  </w:style>
  <w:style w:type="paragraph" w:styleId="Heading2">
    <w:name w:val="heading 2"/>
    <w:basedOn w:val="Normal"/>
    <w:next w:val="Normal"/>
    <w:link w:val="Heading2Char"/>
    <w:uiPriority w:val="9"/>
    <w:unhideWhenUsed/>
    <w:qFormat/>
    <w:rsid w:val="00ED2B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565F"/>
    <w:rPr>
      <w:sz w:val="16"/>
      <w:szCs w:val="16"/>
    </w:rPr>
  </w:style>
  <w:style w:type="paragraph" w:styleId="CommentText">
    <w:name w:val="annotation text"/>
    <w:basedOn w:val="Normal"/>
    <w:link w:val="CommentTextChar"/>
    <w:uiPriority w:val="99"/>
    <w:semiHidden/>
    <w:unhideWhenUsed/>
    <w:rsid w:val="00C8565F"/>
    <w:pPr>
      <w:spacing w:line="240" w:lineRule="auto"/>
    </w:pPr>
    <w:rPr>
      <w:sz w:val="20"/>
      <w:szCs w:val="20"/>
    </w:rPr>
  </w:style>
  <w:style w:type="character" w:customStyle="1" w:styleId="CommentTextChar">
    <w:name w:val="Comment Text Char"/>
    <w:basedOn w:val="DefaultParagraphFont"/>
    <w:link w:val="CommentText"/>
    <w:uiPriority w:val="99"/>
    <w:semiHidden/>
    <w:rsid w:val="00C8565F"/>
    <w:rPr>
      <w:sz w:val="20"/>
      <w:szCs w:val="20"/>
    </w:rPr>
  </w:style>
  <w:style w:type="paragraph" w:styleId="CommentSubject">
    <w:name w:val="annotation subject"/>
    <w:basedOn w:val="CommentText"/>
    <w:next w:val="CommentText"/>
    <w:link w:val="CommentSubjectChar"/>
    <w:uiPriority w:val="99"/>
    <w:semiHidden/>
    <w:unhideWhenUsed/>
    <w:rsid w:val="00C8565F"/>
    <w:rPr>
      <w:b/>
      <w:bCs/>
    </w:rPr>
  </w:style>
  <w:style w:type="character" w:customStyle="1" w:styleId="CommentSubjectChar">
    <w:name w:val="Comment Subject Char"/>
    <w:basedOn w:val="CommentTextChar"/>
    <w:link w:val="CommentSubject"/>
    <w:uiPriority w:val="99"/>
    <w:semiHidden/>
    <w:rsid w:val="00C8565F"/>
    <w:rPr>
      <w:b/>
      <w:bCs/>
      <w:sz w:val="20"/>
      <w:szCs w:val="20"/>
    </w:rPr>
  </w:style>
  <w:style w:type="paragraph" w:styleId="BalloonText">
    <w:name w:val="Balloon Text"/>
    <w:basedOn w:val="Normal"/>
    <w:link w:val="BalloonTextChar"/>
    <w:uiPriority w:val="99"/>
    <w:semiHidden/>
    <w:unhideWhenUsed/>
    <w:rsid w:val="00C85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65F"/>
    <w:rPr>
      <w:rFonts w:ascii="Segoe UI" w:hAnsi="Segoe UI" w:cs="Segoe UI"/>
      <w:sz w:val="18"/>
      <w:szCs w:val="18"/>
    </w:rPr>
  </w:style>
  <w:style w:type="paragraph" w:customStyle="1" w:styleId="CharChar1CharCharCharChar">
    <w:name w:val="Char Char1 Char Char Char Char"/>
    <w:basedOn w:val="Normal"/>
    <w:rsid w:val="007838A3"/>
    <w:pPr>
      <w:spacing w:line="240" w:lineRule="exact"/>
    </w:pPr>
    <w:rPr>
      <w:rFonts w:ascii="Verdana" w:eastAsia="Times New Roman" w:hAnsi="Verdana" w:cs="Times New Roman"/>
      <w:sz w:val="24"/>
      <w:szCs w:val="24"/>
      <w:lang w:val="en-US"/>
    </w:rPr>
  </w:style>
  <w:style w:type="paragraph" w:customStyle="1" w:styleId="Default">
    <w:name w:val="Default"/>
    <w:rsid w:val="007838A3"/>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BF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263"/>
  </w:style>
  <w:style w:type="paragraph" w:styleId="Footer">
    <w:name w:val="footer"/>
    <w:basedOn w:val="Normal"/>
    <w:link w:val="FooterChar"/>
    <w:uiPriority w:val="99"/>
    <w:unhideWhenUsed/>
    <w:rsid w:val="00BF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263"/>
  </w:style>
  <w:style w:type="character" w:styleId="Hyperlink">
    <w:name w:val="Hyperlink"/>
    <w:uiPriority w:val="99"/>
    <w:rsid w:val="009B203C"/>
    <w:rPr>
      <w:color w:val="0000FF"/>
      <w:u w:val="single"/>
    </w:rPr>
  </w:style>
  <w:style w:type="paragraph" w:styleId="NoSpacing">
    <w:name w:val="No Spacing"/>
    <w:uiPriority w:val="1"/>
    <w:qFormat/>
    <w:rsid w:val="009B203C"/>
    <w:pPr>
      <w:spacing w:after="0" w:line="240" w:lineRule="auto"/>
    </w:pPr>
  </w:style>
  <w:style w:type="character" w:customStyle="1" w:styleId="Heading1Char">
    <w:name w:val="Heading 1 Char"/>
    <w:basedOn w:val="DefaultParagraphFont"/>
    <w:link w:val="Heading1"/>
    <w:uiPriority w:val="9"/>
    <w:rsid w:val="009B203C"/>
    <w:rPr>
      <w:rFonts w:ascii="Arial" w:eastAsiaTheme="majorEastAsia" w:hAnsi="Arial" w:cstheme="majorBidi"/>
      <w:color w:val="808080" w:themeColor="background1" w:themeShade="80"/>
      <w:sz w:val="32"/>
      <w:szCs w:val="32"/>
    </w:rPr>
  </w:style>
  <w:style w:type="paragraph" w:styleId="ListParagraph">
    <w:name w:val="List Paragraph"/>
    <w:basedOn w:val="Normal"/>
    <w:uiPriority w:val="34"/>
    <w:qFormat/>
    <w:rsid w:val="009B203C"/>
    <w:pPr>
      <w:ind w:left="720"/>
      <w:contextualSpacing/>
    </w:pPr>
    <w:rPr>
      <w:rFonts w:ascii="Arial" w:hAnsi="Arial"/>
      <w:sz w:val="24"/>
    </w:rPr>
  </w:style>
  <w:style w:type="character" w:customStyle="1" w:styleId="Heading2Char">
    <w:name w:val="Heading 2 Char"/>
    <w:basedOn w:val="DefaultParagraphFont"/>
    <w:link w:val="Heading2"/>
    <w:uiPriority w:val="9"/>
    <w:rsid w:val="00ED2BE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6964">
      <w:bodyDiv w:val="1"/>
      <w:marLeft w:val="0"/>
      <w:marRight w:val="0"/>
      <w:marTop w:val="0"/>
      <w:marBottom w:val="0"/>
      <w:divBdr>
        <w:top w:val="none" w:sz="0" w:space="0" w:color="auto"/>
        <w:left w:val="none" w:sz="0" w:space="0" w:color="auto"/>
        <w:bottom w:val="none" w:sz="0" w:space="0" w:color="auto"/>
        <w:right w:val="none" w:sz="0" w:space="0" w:color="auto"/>
      </w:divBdr>
    </w:div>
    <w:div w:id="94911832">
      <w:bodyDiv w:val="1"/>
      <w:marLeft w:val="0"/>
      <w:marRight w:val="0"/>
      <w:marTop w:val="0"/>
      <w:marBottom w:val="0"/>
      <w:divBdr>
        <w:top w:val="none" w:sz="0" w:space="0" w:color="auto"/>
        <w:left w:val="none" w:sz="0" w:space="0" w:color="auto"/>
        <w:bottom w:val="none" w:sz="0" w:space="0" w:color="auto"/>
        <w:right w:val="none" w:sz="0" w:space="0" w:color="auto"/>
      </w:divBdr>
    </w:div>
    <w:div w:id="344746339">
      <w:bodyDiv w:val="1"/>
      <w:marLeft w:val="0"/>
      <w:marRight w:val="0"/>
      <w:marTop w:val="0"/>
      <w:marBottom w:val="0"/>
      <w:divBdr>
        <w:top w:val="none" w:sz="0" w:space="0" w:color="auto"/>
        <w:left w:val="none" w:sz="0" w:space="0" w:color="auto"/>
        <w:bottom w:val="none" w:sz="0" w:space="0" w:color="auto"/>
        <w:right w:val="none" w:sz="0" w:space="0" w:color="auto"/>
      </w:divBdr>
    </w:div>
    <w:div w:id="524025891">
      <w:bodyDiv w:val="1"/>
      <w:marLeft w:val="0"/>
      <w:marRight w:val="0"/>
      <w:marTop w:val="0"/>
      <w:marBottom w:val="0"/>
      <w:divBdr>
        <w:top w:val="none" w:sz="0" w:space="0" w:color="auto"/>
        <w:left w:val="none" w:sz="0" w:space="0" w:color="auto"/>
        <w:bottom w:val="none" w:sz="0" w:space="0" w:color="auto"/>
        <w:right w:val="none" w:sz="0" w:space="0" w:color="auto"/>
      </w:divBdr>
    </w:div>
    <w:div w:id="1048458354">
      <w:bodyDiv w:val="1"/>
      <w:marLeft w:val="0"/>
      <w:marRight w:val="0"/>
      <w:marTop w:val="0"/>
      <w:marBottom w:val="0"/>
      <w:divBdr>
        <w:top w:val="none" w:sz="0" w:space="0" w:color="auto"/>
        <w:left w:val="none" w:sz="0" w:space="0" w:color="auto"/>
        <w:bottom w:val="none" w:sz="0" w:space="0" w:color="auto"/>
        <w:right w:val="none" w:sz="0" w:space="0" w:color="auto"/>
      </w:divBdr>
    </w:div>
    <w:div w:id="1198926812">
      <w:bodyDiv w:val="1"/>
      <w:marLeft w:val="0"/>
      <w:marRight w:val="0"/>
      <w:marTop w:val="0"/>
      <w:marBottom w:val="0"/>
      <w:divBdr>
        <w:top w:val="none" w:sz="0" w:space="0" w:color="auto"/>
        <w:left w:val="none" w:sz="0" w:space="0" w:color="auto"/>
        <w:bottom w:val="none" w:sz="0" w:space="0" w:color="auto"/>
        <w:right w:val="none" w:sz="0" w:space="0" w:color="auto"/>
      </w:divBdr>
    </w:div>
    <w:div w:id="1556966240">
      <w:bodyDiv w:val="1"/>
      <w:marLeft w:val="0"/>
      <w:marRight w:val="0"/>
      <w:marTop w:val="0"/>
      <w:marBottom w:val="0"/>
      <w:divBdr>
        <w:top w:val="none" w:sz="0" w:space="0" w:color="auto"/>
        <w:left w:val="none" w:sz="0" w:space="0" w:color="auto"/>
        <w:bottom w:val="none" w:sz="0" w:space="0" w:color="auto"/>
        <w:right w:val="none" w:sz="0" w:space="0" w:color="auto"/>
      </w:divBdr>
    </w:div>
    <w:div w:id="1789856043">
      <w:bodyDiv w:val="1"/>
      <w:marLeft w:val="0"/>
      <w:marRight w:val="0"/>
      <w:marTop w:val="0"/>
      <w:marBottom w:val="0"/>
      <w:divBdr>
        <w:top w:val="none" w:sz="0" w:space="0" w:color="auto"/>
        <w:left w:val="none" w:sz="0" w:space="0" w:color="auto"/>
        <w:bottom w:val="none" w:sz="0" w:space="0" w:color="auto"/>
        <w:right w:val="none" w:sz="0" w:space="0" w:color="auto"/>
      </w:divBdr>
    </w:div>
    <w:div w:id="1869371079">
      <w:bodyDiv w:val="1"/>
      <w:marLeft w:val="0"/>
      <w:marRight w:val="0"/>
      <w:marTop w:val="0"/>
      <w:marBottom w:val="0"/>
      <w:divBdr>
        <w:top w:val="none" w:sz="0" w:space="0" w:color="auto"/>
        <w:left w:val="none" w:sz="0" w:space="0" w:color="auto"/>
        <w:bottom w:val="none" w:sz="0" w:space="0" w:color="auto"/>
        <w:right w:val="none" w:sz="0" w:space="0" w:color="auto"/>
      </w:divBdr>
    </w:div>
    <w:div w:id="197729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becca.freeman@nelincs.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5B2E8-383A-4FD9-856D-0B028EC4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1115</Words>
  <Characters>6281</Characters>
  <Application>Microsoft Office Word</Application>
  <DocSecurity>0</DocSecurity>
  <Lines>161</Lines>
  <Paragraphs>108</Paragraphs>
  <ScaleCrop>false</ScaleCrop>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2026-02-23T09:21:00Z</dcterms:created>
  <dcterms:modified xsi:type="dcterms:W3CDTF">2026-02-23T09:21:00Z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6f36acc8,6d4c9dbd,13aca56b</vt:lpwstr>
  </property>
  <property fmtid="{D5CDD505-2E9C-101B-9397-08002B2CF9AE}" pid="3" name="ClassificationContentMarkingHeaderFontProps">
    <vt:lpwstr>#000000,10,Aptos</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2026-02-23T09:21:35Z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a600d90f-b66a-4e44-92cd-c2527c1b39fb</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