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7C507" w14:textId="1BA3BABE" w:rsidR="00E749D8" w:rsidRPr="00E749D8" w:rsidRDefault="00E4036D" w:rsidP="00407264">
      <w:pPr>
        <w:spacing w:line="1200" w:lineRule="auto"/>
        <w:jc w:val="center"/>
        <w:rPr>
          <w:rFonts w:ascii="Arial" w:hAnsi="Arial" w:cs="Arial"/>
          <w:sz w:val="24"/>
          <w:szCs w:val="24"/>
        </w:rPr>
      </w:pPr>
      <w:r>
        <w:rPr>
          <w:noProof/>
        </w:rPr>
        <w:drawing>
          <wp:inline distT="0" distB="0" distL="0" distR="0" wp14:anchorId="733FCEFB" wp14:editId="2FC1EFA6">
            <wp:extent cx="1266825" cy="1381125"/>
            <wp:effectExtent l="0" t="0" r="9525" b="9525"/>
            <wp:docPr id="4" name="Picture 4" descr="North East Lincol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rth East Lincolnshire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381125"/>
                    </a:xfrm>
                    <a:prstGeom prst="rect">
                      <a:avLst/>
                    </a:prstGeom>
                    <a:noFill/>
                  </pic:spPr>
                </pic:pic>
              </a:graphicData>
            </a:graphic>
          </wp:inline>
        </w:drawing>
      </w:r>
    </w:p>
    <w:p w14:paraId="1CBE90EF" w14:textId="77777777" w:rsidR="00E749D8" w:rsidRPr="00E749D8" w:rsidRDefault="00E749D8" w:rsidP="00407264">
      <w:pPr>
        <w:keepNext/>
        <w:spacing w:before="240" w:after="60"/>
        <w:jc w:val="center"/>
        <w:outlineLvl w:val="0"/>
        <w:rPr>
          <w:rFonts w:ascii="Arial" w:hAnsi="Arial" w:cs="Arial"/>
          <w:b/>
          <w:bCs/>
          <w:kern w:val="32"/>
          <w:sz w:val="48"/>
          <w:szCs w:val="32"/>
        </w:rPr>
      </w:pPr>
      <w:r w:rsidRPr="00E749D8">
        <w:rPr>
          <w:rFonts w:ascii="Arial" w:hAnsi="Arial" w:cs="Arial"/>
          <w:b/>
          <w:bCs/>
          <w:kern w:val="32"/>
          <w:sz w:val="48"/>
          <w:szCs w:val="32"/>
        </w:rPr>
        <w:t xml:space="preserve">North </w:t>
      </w:r>
      <w:r>
        <w:rPr>
          <w:rFonts w:ascii="Arial" w:hAnsi="Arial" w:cs="Arial"/>
          <w:b/>
          <w:bCs/>
          <w:kern w:val="32"/>
          <w:sz w:val="48"/>
          <w:szCs w:val="32"/>
        </w:rPr>
        <w:t xml:space="preserve">East </w:t>
      </w:r>
      <w:r w:rsidRPr="00E749D8">
        <w:rPr>
          <w:rFonts w:ascii="Arial" w:hAnsi="Arial" w:cs="Arial"/>
          <w:b/>
          <w:bCs/>
          <w:kern w:val="32"/>
          <w:sz w:val="48"/>
          <w:szCs w:val="32"/>
        </w:rPr>
        <w:t>Lincolnshire Council</w:t>
      </w:r>
    </w:p>
    <w:p w14:paraId="55CAF02C" w14:textId="77777777" w:rsidR="00E749D8" w:rsidRPr="00E749D8" w:rsidRDefault="00E749D8" w:rsidP="00E749D8">
      <w:pPr>
        <w:keepNext/>
        <w:spacing w:before="240" w:after="60"/>
        <w:jc w:val="center"/>
        <w:outlineLvl w:val="0"/>
        <w:rPr>
          <w:rFonts w:ascii="Arial" w:hAnsi="Arial" w:cs="Arial"/>
          <w:b/>
          <w:bCs/>
          <w:kern w:val="32"/>
          <w:sz w:val="48"/>
          <w:szCs w:val="32"/>
        </w:rPr>
      </w:pPr>
    </w:p>
    <w:p w14:paraId="656CAF89" w14:textId="77777777" w:rsidR="00E749D8" w:rsidRPr="00E749D8" w:rsidRDefault="00E749D8" w:rsidP="00E749D8">
      <w:pPr>
        <w:keepNext/>
        <w:spacing w:before="240" w:after="60"/>
        <w:jc w:val="center"/>
        <w:outlineLvl w:val="0"/>
        <w:rPr>
          <w:rFonts w:ascii="Arial" w:hAnsi="Arial" w:cs="Arial"/>
          <w:b/>
          <w:bCs/>
          <w:kern w:val="32"/>
          <w:sz w:val="48"/>
          <w:szCs w:val="32"/>
        </w:rPr>
      </w:pPr>
      <w:r w:rsidRPr="00E749D8">
        <w:rPr>
          <w:rFonts w:ascii="Arial" w:hAnsi="Arial" w:cs="Arial"/>
          <w:b/>
          <w:bCs/>
          <w:kern w:val="32"/>
          <w:sz w:val="48"/>
          <w:szCs w:val="32"/>
        </w:rPr>
        <w:t>Annual Fraud Report</w:t>
      </w:r>
    </w:p>
    <w:p w14:paraId="1596F5A9" w14:textId="77777777" w:rsidR="00E749D8" w:rsidRPr="00E749D8" w:rsidRDefault="00E749D8" w:rsidP="00E749D8">
      <w:pPr>
        <w:keepNext/>
        <w:spacing w:before="240" w:after="60"/>
        <w:jc w:val="center"/>
        <w:outlineLvl w:val="0"/>
        <w:rPr>
          <w:rFonts w:ascii="Arial" w:hAnsi="Arial" w:cs="Arial"/>
          <w:b/>
          <w:bCs/>
          <w:kern w:val="32"/>
          <w:sz w:val="48"/>
          <w:szCs w:val="32"/>
        </w:rPr>
      </w:pPr>
    </w:p>
    <w:p w14:paraId="5B5B1488" w14:textId="09772ABC" w:rsidR="00E749D8" w:rsidRPr="00E749D8" w:rsidRDefault="00686BE4" w:rsidP="00E749D8">
      <w:pPr>
        <w:keepNext/>
        <w:spacing w:before="240" w:after="60"/>
        <w:jc w:val="center"/>
        <w:outlineLvl w:val="0"/>
        <w:rPr>
          <w:rFonts w:ascii="Arial" w:hAnsi="Arial" w:cs="Arial"/>
          <w:b/>
          <w:bCs/>
          <w:kern w:val="32"/>
          <w:sz w:val="48"/>
          <w:szCs w:val="32"/>
        </w:rPr>
      </w:pPr>
      <w:r>
        <w:rPr>
          <w:rFonts w:ascii="Arial" w:hAnsi="Arial" w:cs="Arial"/>
          <w:b/>
          <w:bCs/>
          <w:kern w:val="32"/>
          <w:sz w:val="48"/>
          <w:szCs w:val="32"/>
        </w:rPr>
        <w:t>20</w:t>
      </w:r>
      <w:r w:rsidR="00D34626">
        <w:rPr>
          <w:rFonts w:ascii="Arial" w:hAnsi="Arial" w:cs="Arial"/>
          <w:b/>
          <w:bCs/>
          <w:kern w:val="32"/>
          <w:sz w:val="48"/>
          <w:szCs w:val="32"/>
        </w:rPr>
        <w:t>2</w:t>
      </w:r>
      <w:r w:rsidR="006D26DB">
        <w:rPr>
          <w:rFonts w:ascii="Arial" w:hAnsi="Arial" w:cs="Arial"/>
          <w:b/>
          <w:bCs/>
          <w:kern w:val="32"/>
          <w:sz w:val="48"/>
          <w:szCs w:val="32"/>
        </w:rPr>
        <w:t>5/26</w:t>
      </w:r>
    </w:p>
    <w:p w14:paraId="502F91D4" w14:textId="77777777" w:rsidR="00E749D8" w:rsidRPr="007F16DD" w:rsidRDefault="00E749D8" w:rsidP="0035294D">
      <w:pPr>
        <w:pStyle w:val="Heading1"/>
        <w:rPr>
          <w:rFonts w:ascii="Arial" w:hAnsi="Arial" w:cs="Arial"/>
          <w:b/>
          <w:sz w:val="28"/>
          <w:szCs w:val="28"/>
        </w:rPr>
      </w:pPr>
      <w:r w:rsidRPr="0035294D">
        <w:br w:type="page"/>
      </w:r>
      <w:r w:rsidRPr="007F16DD">
        <w:rPr>
          <w:rFonts w:ascii="Arial" w:hAnsi="Arial" w:cs="Arial"/>
          <w:b/>
          <w:color w:val="auto"/>
          <w:sz w:val="28"/>
          <w:szCs w:val="28"/>
        </w:rPr>
        <w:lastRenderedPageBreak/>
        <w:t>Introduction</w:t>
      </w:r>
    </w:p>
    <w:p w14:paraId="4BFA457C" w14:textId="77777777" w:rsidR="0035294D" w:rsidRDefault="0035294D" w:rsidP="0035294D">
      <w:pPr>
        <w:rPr>
          <w:rFonts w:ascii="Arial" w:hAnsi="Arial" w:cs="Arial"/>
          <w:sz w:val="24"/>
          <w:szCs w:val="24"/>
        </w:rPr>
      </w:pPr>
    </w:p>
    <w:p w14:paraId="2AFBF2C1" w14:textId="69BF40A0" w:rsidR="004860D4" w:rsidRDefault="00C32B80" w:rsidP="04BD2A26">
      <w:pPr>
        <w:jc w:val="both"/>
        <w:rPr>
          <w:rFonts w:ascii="Arial" w:hAnsi="Arial" w:cs="Arial"/>
          <w:sz w:val="24"/>
          <w:szCs w:val="24"/>
        </w:rPr>
      </w:pPr>
      <w:r w:rsidRPr="04BD2A26">
        <w:rPr>
          <w:rFonts w:ascii="Arial" w:hAnsi="Arial" w:cs="Arial"/>
          <w:sz w:val="24"/>
          <w:szCs w:val="24"/>
        </w:rPr>
        <w:t>The North East Lincolnshire Council Anti-</w:t>
      </w:r>
      <w:r w:rsidR="00C27855" w:rsidRPr="04BD2A26">
        <w:rPr>
          <w:rFonts w:ascii="Arial" w:hAnsi="Arial" w:cs="Arial"/>
          <w:sz w:val="24"/>
          <w:szCs w:val="24"/>
        </w:rPr>
        <w:t>F</w:t>
      </w:r>
      <w:r w:rsidRPr="04BD2A26">
        <w:rPr>
          <w:rFonts w:ascii="Arial" w:hAnsi="Arial" w:cs="Arial"/>
          <w:sz w:val="24"/>
          <w:szCs w:val="24"/>
        </w:rPr>
        <w:t xml:space="preserve">raud and </w:t>
      </w:r>
      <w:r w:rsidR="00C27855" w:rsidRPr="04BD2A26">
        <w:rPr>
          <w:rFonts w:ascii="Arial" w:hAnsi="Arial" w:cs="Arial"/>
          <w:sz w:val="24"/>
          <w:szCs w:val="24"/>
        </w:rPr>
        <w:t>C</w:t>
      </w:r>
      <w:r w:rsidRPr="04BD2A26">
        <w:rPr>
          <w:rFonts w:ascii="Arial" w:hAnsi="Arial" w:cs="Arial"/>
          <w:sz w:val="24"/>
          <w:szCs w:val="24"/>
        </w:rPr>
        <w:t xml:space="preserve">orruption </w:t>
      </w:r>
      <w:r w:rsidR="00C27855" w:rsidRPr="04BD2A26">
        <w:rPr>
          <w:rFonts w:ascii="Arial" w:hAnsi="Arial" w:cs="Arial"/>
          <w:sz w:val="24"/>
          <w:szCs w:val="24"/>
        </w:rPr>
        <w:t>S</w:t>
      </w:r>
      <w:r w:rsidRPr="04BD2A26">
        <w:rPr>
          <w:rFonts w:ascii="Arial" w:hAnsi="Arial" w:cs="Arial"/>
          <w:sz w:val="24"/>
          <w:szCs w:val="24"/>
        </w:rPr>
        <w:t xml:space="preserve">trategy sets out </w:t>
      </w:r>
      <w:r w:rsidR="00C27855" w:rsidRPr="04BD2A26">
        <w:rPr>
          <w:rFonts w:ascii="Arial" w:hAnsi="Arial" w:cs="Arial"/>
          <w:sz w:val="24"/>
          <w:szCs w:val="24"/>
        </w:rPr>
        <w:t xml:space="preserve">the </w:t>
      </w:r>
      <w:r w:rsidRPr="04BD2A26">
        <w:rPr>
          <w:rFonts w:ascii="Arial" w:hAnsi="Arial" w:cs="Arial"/>
          <w:sz w:val="24"/>
          <w:szCs w:val="24"/>
        </w:rPr>
        <w:t xml:space="preserve">approach to </w:t>
      </w:r>
      <w:r w:rsidR="00EE0418" w:rsidRPr="04BD2A26">
        <w:rPr>
          <w:rFonts w:ascii="Arial" w:hAnsi="Arial" w:cs="Arial"/>
          <w:sz w:val="24"/>
          <w:szCs w:val="24"/>
        </w:rPr>
        <w:t>reduce</w:t>
      </w:r>
      <w:r w:rsidRPr="04BD2A26">
        <w:rPr>
          <w:rFonts w:ascii="Arial" w:hAnsi="Arial" w:cs="Arial"/>
          <w:sz w:val="24"/>
          <w:szCs w:val="24"/>
        </w:rPr>
        <w:t xml:space="preserve"> the risk of fraud and corruption, detecting </w:t>
      </w:r>
      <w:r w:rsidR="00F91E1D" w:rsidRPr="04BD2A26">
        <w:rPr>
          <w:rFonts w:ascii="Arial" w:hAnsi="Arial" w:cs="Arial"/>
          <w:sz w:val="24"/>
          <w:szCs w:val="24"/>
        </w:rPr>
        <w:t xml:space="preserve">offences, </w:t>
      </w:r>
      <w:r w:rsidRPr="04BD2A26">
        <w:rPr>
          <w:rFonts w:ascii="Arial" w:hAnsi="Arial" w:cs="Arial"/>
          <w:sz w:val="24"/>
          <w:szCs w:val="24"/>
        </w:rPr>
        <w:t>and the actions take</w:t>
      </w:r>
      <w:r w:rsidR="00F91E1D" w:rsidRPr="04BD2A26">
        <w:rPr>
          <w:rFonts w:ascii="Arial" w:hAnsi="Arial" w:cs="Arial"/>
          <w:sz w:val="24"/>
          <w:szCs w:val="24"/>
        </w:rPr>
        <w:t>n</w:t>
      </w:r>
      <w:r w:rsidRPr="04BD2A26">
        <w:rPr>
          <w:rFonts w:ascii="Arial" w:hAnsi="Arial" w:cs="Arial"/>
          <w:sz w:val="24"/>
          <w:szCs w:val="24"/>
        </w:rPr>
        <w:t xml:space="preserve"> when fraudulent activi</w:t>
      </w:r>
      <w:r w:rsidR="00F91E1D" w:rsidRPr="04BD2A26">
        <w:rPr>
          <w:rFonts w:ascii="Arial" w:hAnsi="Arial" w:cs="Arial"/>
          <w:sz w:val="24"/>
          <w:szCs w:val="24"/>
        </w:rPr>
        <w:t xml:space="preserve">ty is </w:t>
      </w:r>
      <w:r w:rsidR="0E1FAFDB" w:rsidRPr="04BD2A26">
        <w:rPr>
          <w:rFonts w:ascii="Arial" w:hAnsi="Arial" w:cs="Arial"/>
          <w:sz w:val="24"/>
          <w:szCs w:val="24"/>
        </w:rPr>
        <w:t>suspected</w:t>
      </w:r>
      <w:r w:rsidR="00F91E1D" w:rsidRPr="04BD2A26">
        <w:rPr>
          <w:rFonts w:ascii="Arial" w:hAnsi="Arial" w:cs="Arial"/>
          <w:sz w:val="24"/>
          <w:szCs w:val="24"/>
        </w:rPr>
        <w:t>.</w:t>
      </w:r>
    </w:p>
    <w:p w14:paraId="777F4A34" w14:textId="77777777" w:rsidR="004860D4" w:rsidRDefault="004860D4" w:rsidP="00A330CC">
      <w:pPr>
        <w:jc w:val="both"/>
      </w:pPr>
    </w:p>
    <w:p w14:paraId="20499736" w14:textId="3D6CCE56" w:rsidR="00931F68" w:rsidRDefault="0063508F" w:rsidP="00A330CC">
      <w:pPr>
        <w:jc w:val="both"/>
        <w:rPr>
          <w:rFonts w:ascii="Arial" w:hAnsi="Arial" w:cs="Arial"/>
          <w:sz w:val="24"/>
          <w:szCs w:val="24"/>
        </w:rPr>
      </w:pPr>
      <w:r>
        <w:rPr>
          <w:rFonts w:ascii="Arial" w:hAnsi="Arial" w:cs="Arial"/>
          <w:sz w:val="24"/>
          <w:szCs w:val="24"/>
        </w:rPr>
        <w:t>The</w:t>
      </w:r>
      <w:r w:rsidR="004860D4" w:rsidRPr="004860D4">
        <w:rPr>
          <w:rFonts w:ascii="Arial" w:hAnsi="Arial" w:cs="Arial"/>
          <w:sz w:val="24"/>
          <w:szCs w:val="24"/>
        </w:rPr>
        <w:t xml:space="preserve"> approach to delivering the strategy is led by the Audit &amp; Assurance </w:t>
      </w:r>
      <w:r w:rsidR="000975FB">
        <w:rPr>
          <w:rFonts w:ascii="Arial" w:hAnsi="Arial" w:cs="Arial"/>
          <w:sz w:val="24"/>
          <w:szCs w:val="24"/>
        </w:rPr>
        <w:t>T</w:t>
      </w:r>
      <w:r w:rsidR="004860D4" w:rsidRPr="004860D4">
        <w:rPr>
          <w:rFonts w:ascii="Arial" w:hAnsi="Arial" w:cs="Arial"/>
          <w:sz w:val="24"/>
          <w:szCs w:val="24"/>
        </w:rPr>
        <w:t>eam</w:t>
      </w:r>
      <w:r w:rsidR="00931F68">
        <w:rPr>
          <w:rFonts w:ascii="Arial" w:hAnsi="Arial" w:cs="Arial"/>
          <w:sz w:val="24"/>
          <w:szCs w:val="24"/>
        </w:rPr>
        <w:t>; the Fraud Team working in partnership with the Audit Team to ensure resilience in processes aimed at preventing fraud and error.</w:t>
      </w:r>
    </w:p>
    <w:p w14:paraId="62665784" w14:textId="77777777" w:rsidR="00C32B80" w:rsidRDefault="00C32B80" w:rsidP="00A330CC">
      <w:pPr>
        <w:jc w:val="both"/>
        <w:rPr>
          <w:rFonts w:ascii="Arial" w:hAnsi="Arial" w:cs="Arial"/>
          <w:sz w:val="24"/>
          <w:szCs w:val="24"/>
        </w:rPr>
      </w:pPr>
    </w:p>
    <w:p w14:paraId="5B488D39" w14:textId="7F9F4517" w:rsidR="00E749D8" w:rsidRPr="0035294D" w:rsidRDefault="00E749D8" w:rsidP="00A330CC">
      <w:pPr>
        <w:jc w:val="both"/>
        <w:rPr>
          <w:rFonts w:ascii="Arial" w:hAnsi="Arial" w:cs="Arial"/>
          <w:sz w:val="24"/>
          <w:szCs w:val="24"/>
        </w:rPr>
      </w:pPr>
      <w:r w:rsidRPr="0035294D">
        <w:rPr>
          <w:rFonts w:ascii="Arial" w:hAnsi="Arial" w:cs="Arial"/>
          <w:sz w:val="24"/>
          <w:szCs w:val="24"/>
        </w:rPr>
        <w:t xml:space="preserve">This report highlights the work which has been carried out </w:t>
      </w:r>
      <w:r w:rsidR="00D31882">
        <w:rPr>
          <w:rFonts w:ascii="Arial" w:hAnsi="Arial" w:cs="Arial"/>
          <w:sz w:val="24"/>
          <w:szCs w:val="24"/>
        </w:rPr>
        <w:t>across the council during 202</w:t>
      </w:r>
      <w:r w:rsidR="006D26DB">
        <w:rPr>
          <w:rFonts w:ascii="Arial" w:hAnsi="Arial" w:cs="Arial"/>
          <w:sz w:val="24"/>
          <w:szCs w:val="24"/>
        </w:rPr>
        <w:t>5</w:t>
      </w:r>
      <w:r w:rsidR="00D51630">
        <w:rPr>
          <w:rFonts w:ascii="Arial" w:hAnsi="Arial" w:cs="Arial"/>
          <w:sz w:val="24"/>
          <w:szCs w:val="24"/>
        </w:rPr>
        <w:t>/2</w:t>
      </w:r>
      <w:r w:rsidR="006D26DB">
        <w:rPr>
          <w:rFonts w:ascii="Arial" w:hAnsi="Arial" w:cs="Arial"/>
          <w:sz w:val="24"/>
          <w:szCs w:val="24"/>
        </w:rPr>
        <w:t>6</w:t>
      </w:r>
      <w:r w:rsidR="005B474F">
        <w:rPr>
          <w:rFonts w:ascii="Arial" w:hAnsi="Arial" w:cs="Arial"/>
          <w:sz w:val="24"/>
          <w:szCs w:val="24"/>
        </w:rPr>
        <w:t xml:space="preserve"> </w:t>
      </w:r>
      <w:r w:rsidRPr="0035294D">
        <w:rPr>
          <w:rFonts w:ascii="Arial" w:hAnsi="Arial" w:cs="Arial"/>
          <w:sz w:val="24"/>
          <w:szCs w:val="24"/>
        </w:rPr>
        <w:t>under the key principles of:</w:t>
      </w:r>
    </w:p>
    <w:p w14:paraId="095EA21F" w14:textId="77777777" w:rsidR="00E749D8" w:rsidRPr="0035294D" w:rsidRDefault="00E749D8" w:rsidP="00A330CC">
      <w:pPr>
        <w:jc w:val="both"/>
        <w:rPr>
          <w:rFonts w:ascii="Arial" w:hAnsi="Arial" w:cs="Arial"/>
          <w:sz w:val="24"/>
          <w:szCs w:val="24"/>
        </w:rPr>
      </w:pPr>
    </w:p>
    <w:p w14:paraId="418DE42D" w14:textId="77777777" w:rsidR="000C7B32" w:rsidRPr="000C7B32" w:rsidRDefault="000C7B32" w:rsidP="000C7B32">
      <w:pPr>
        <w:numPr>
          <w:ilvl w:val="0"/>
          <w:numId w:val="12"/>
        </w:numPr>
        <w:spacing w:after="160" w:line="259" w:lineRule="auto"/>
        <w:contextualSpacing/>
        <w:rPr>
          <w:rFonts w:ascii="Arial" w:eastAsia="Arial" w:hAnsi="Arial"/>
          <w:sz w:val="24"/>
          <w:szCs w:val="24"/>
          <w:lang w:eastAsia="en-US"/>
        </w:rPr>
      </w:pPr>
      <w:r w:rsidRPr="000C7B32">
        <w:rPr>
          <w:rFonts w:ascii="Arial" w:eastAsia="Arial" w:hAnsi="Arial"/>
          <w:sz w:val="24"/>
          <w:szCs w:val="24"/>
          <w:lang w:eastAsia="en-US"/>
        </w:rPr>
        <w:t xml:space="preserve">Govern </w:t>
      </w:r>
    </w:p>
    <w:p w14:paraId="7B7778FF" w14:textId="77777777" w:rsidR="000C7B32" w:rsidRPr="000C7B32" w:rsidRDefault="000C7B32" w:rsidP="000C7B32">
      <w:pPr>
        <w:numPr>
          <w:ilvl w:val="0"/>
          <w:numId w:val="12"/>
        </w:numPr>
        <w:spacing w:after="160" w:line="259" w:lineRule="auto"/>
        <w:contextualSpacing/>
        <w:rPr>
          <w:rFonts w:ascii="Arial" w:eastAsia="Arial" w:hAnsi="Arial"/>
          <w:sz w:val="24"/>
          <w:szCs w:val="24"/>
          <w:lang w:eastAsia="en-US"/>
        </w:rPr>
      </w:pPr>
      <w:r w:rsidRPr="000C7B32">
        <w:rPr>
          <w:rFonts w:ascii="Arial" w:eastAsia="Arial" w:hAnsi="Arial"/>
          <w:sz w:val="24"/>
          <w:szCs w:val="24"/>
          <w:lang w:eastAsia="en-US"/>
        </w:rPr>
        <w:t>Acknowledge and understand</w:t>
      </w:r>
    </w:p>
    <w:p w14:paraId="3169C8FF" w14:textId="77777777" w:rsidR="000C7B32" w:rsidRPr="000C7B32" w:rsidRDefault="000C7B32" w:rsidP="000C7B32">
      <w:pPr>
        <w:numPr>
          <w:ilvl w:val="0"/>
          <w:numId w:val="12"/>
        </w:numPr>
        <w:spacing w:after="160" w:line="259" w:lineRule="auto"/>
        <w:contextualSpacing/>
        <w:rPr>
          <w:rFonts w:ascii="Arial" w:eastAsia="Arial" w:hAnsi="Arial"/>
          <w:sz w:val="24"/>
          <w:szCs w:val="24"/>
          <w:lang w:eastAsia="en-US"/>
        </w:rPr>
      </w:pPr>
      <w:r w:rsidRPr="000C7B32">
        <w:rPr>
          <w:rFonts w:ascii="Arial" w:eastAsia="Arial" w:hAnsi="Arial"/>
          <w:sz w:val="24"/>
          <w:szCs w:val="24"/>
          <w:lang w:eastAsia="en-US"/>
        </w:rPr>
        <w:t>Prevent and detect</w:t>
      </w:r>
    </w:p>
    <w:p w14:paraId="4250A9F1" w14:textId="77777777" w:rsidR="000C7B32" w:rsidRPr="000C7B32" w:rsidRDefault="000C7B32" w:rsidP="000C7B32">
      <w:pPr>
        <w:numPr>
          <w:ilvl w:val="0"/>
          <w:numId w:val="12"/>
        </w:numPr>
        <w:spacing w:after="160" w:line="259" w:lineRule="auto"/>
        <w:contextualSpacing/>
        <w:rPr>
          <w:rFonts w:ascii="Arial" w:eastAsia="Arial" w:hAnsi="Arial"/>
          <w:sz w:val="24"/>
          <w:szCs w:val="24"/>
          <w:lang w:eastAsia="en-US"/>
        </w:rPr>
      </w:pPr>
      <w:r w:rsidRPr="000C7B32">
        <w:rPr>
          <w:rFonts w:ascii="Arial" w:eastAsia="Arial" w:hAnsi="Arial"/>
          <w:sz w:val="24"/>
          <w:szCs w:val="24"/>
          <w:lang w:eastAsia="en-US"/>
        </w:rPr>
        <w:t>Pursue</w:t>
      </w:r>
    </w:p>
    <w:p w14:paraId="2B944B15" w14:textId="77777777" w:rsidR="000C7B32" w:rsidRPr="000C7B32" w:rsidRDefault="000C7B32" w:rsidP="000C7B32">
      <w:pPr>
        <w:numPr>
          <w:ilvl w:val="0"/>
          <w:numId w:val="12"/>
        </w:numPr>
        <w:spacing w:after="160" w:line="259" w:lineRule="auto"/>
        <w:contextualSpacing/>
        <w:rPr>
          <w:rFonts w:ascii="Arial" w:eastAsia="Arial" w:hAnsi="Arial"/>
          <w:sz w:val="24"/>
          <w:szCs w:val="24"/>
          <w:lang w:eastAsia="en-US"/>
        </w:rPr>
      </w:pPr>
      <w:r w:rsidRPr="000C7B32">
        <w:rPr>
          <w:rFonts w:ascii="Arial" w:eastAsia="Arial" w:hAnsi="Arial"/>
          <w:sz w:val="24"/>
          <w:szCs w:val="24"/>
          <w:lang w:eastAsia="en-US"/>
        </w:rPr>
        <w:t>Protect</w:t>
      </w:r>
    </w:p>
    <w:p w14:paraId="1C573F3D" w14:textId="0B2DF7A8" w:rsidR="00DA764B" w:rsidRPr="007F16DD" w:rsidRDefault="00DA764B" w:rsidP="283EE096">
      <w:pPr>
        <w:pStyle w:val="Heading1"/>
        <w:rPr>
          <w:rFonts w:ascii="Arial" w:hAnsi="Arial" w:cs="Arial"/>
          <w:b/>
          <w:bCs/>
          <w:color w:val="auto"/>
          <w:sz w:val="28"/>
          <w:szCs w:val="28"/>
        </w:rPr>
      </w:pPr>
      <w:r w:rsidRPr="3A111552">
        <w:rPr>
          <w:rFonts w:ascii="Arial" w:hAnsi="Arial" w:cs="Arial"/>
          <w:b/>
          <w:bCs/>
          <w:color w:val="auto"/>
          <w:sz w:val="28"/>
          <w:szCs w:val="28"/>
        </w:rPr>
        <w:t>Govern</w:t>
      </w:r>
    </w:p>
    <w:p w14:paraId="0A6279AC" w14:textId="319FEB22" w:rsidR="00DA764B" w:rsidRDefault="00DA764B" w:rsidP="00A330CC">
      <w:pPr>
        <w:jc w:val="both"/>
      </w:pPr>
    </w:p>
    <w:p w14:paraId="72D72E88" w14:textId="0EB3DD4E" w:rsidR="00D51630" w:rsidRPr="00D51630" w:rsidRDefault="00D51630" w:rsidP="24B6AD16">
      <w:pPr>
        <w:widowControl w:val="0"/>
        <w:autoSpaceDE w:val="0"/>
        <w:autoSpaceDN w:val="0"/>
        <w:jc w:val="both"/>
        <w:rPr>
          <w:rFonts w:ascii="Arial" w:eastAsia="Arial" w:hAnsi="Arial" w:cs="Arial"/>
          <w:color w:val="262626" w:themeColor="text1" w:themeTint="D9"/>
          <w:sz w:val="24"/>
          <w:szCs w:val="24"/>
          <w:lang w:bidi="en-GB"/>
        </w:rPr>
      </w:pPr>
      <w:r w:rsidRPr="24B6AD16">
        <w:rPr>
          <w:rFonts w:ascii="Arial" w:eastAsia="Arial" w:hAnsi="Arial" w:cs="Arial"/>
          <w:color w:val="262626" w:themeColor="text1" w:themeTint="D9"/>
          <w:sz w:val="24"/>
          <w:szCs w:val="24"/>
          <w:lang w:bidi="en-GB"/>
        </w:rPr>
        <w:t xml:space="preserve">The Council has a framework of procedures and controls to minimise the risk of loss due to fraud. The Anti-Fraud and Corruption Strategy makes it clear that fraud and corruption will not be tolerated. The strategy </w:t>
      </w:r>
      <w:r w:rsidR="006808E6" w:rsidRPr="24B6AD16">
        <w:rPr>
          <w:rFonts w:ascii="Arial" w:eastAsia="Arial" w:hAnsi="Arial" w:cs="Arial"/>
          <w:color w:val="262626" w:themeColor="text1" w:themeTint="D9"/>
          <w:sz w:val="24"/>
          <w:szCs w:val="24"/>
          <w:lang w:bidi="en-GB"/>
        </w:rPr>
        <w:t xml:space="preserve">will be brought to members for </w:t>
      </w:r>
      <w:r w:rsidR="00726C6B" w:rsidRPr="24B6AD16">
        <w:rPr>
          <w:rFonts w:ascii="Arial" w:eastAsia="Arial" w:hAnsi="Arial" w:cs="Arial"/>
          <w:color w:val="262626" w:themeColor="text1" w:themeTint="D9"/>
          <w:sz w:val="24"/>
          <w:szCs w:val="24"/>
          <w:lang w:bidi="en-GB"/>
        </w:rPr>
        <w:t>review in 2026.</w:t>
      </w:r>
      <w:r w:rsidR="753136BD" w:rsidRPr="24B6AD16">
        <w:rPr>
          <w:rFonts w:ascii="Arial" w:eastAsia="Arial" w:hAnsi="Arial" w:cs="Arial"/>
          <w:color w:val="262626" w:themeColor="text1" w:themeTint="D9"/>
          <w:sz w:val="24"/>
          <w:szCs w:val="24"/>
          <w:lang w:bidi="en-GB"/>
        </w:rPr>
        <w:t xml:space="preserve">  </w:t>
      </w:r>
    </w:p>
    <w:p w14:paraId="65F9B3E2" w14:textId="74C4D434" w:rsidR="00D51630" w:rsidRPr="00D51630" w:rsidRDefault="00D51630" w:rsidP="24B6AD16">
      <w:pPr>
        <w:widowControl w:val="0"/>
        <w:autoSpaceDE w:val="0"/>
        <w:autoSpaceDN w:val="0"/>
        <w:jc w:val="both"/>
        <w:rPr>
          <w:rFonts w:ascii="Arial" w:eastAsia="Arial" w:hAnsi="Arial" w:cs="Arial"/>
          <w:color w:val="262626" w:themeColor="text1" w:themeTint="D9"/>
          <w:sz w:val="24"/>
          <w:szCs w:val="24"/>
          <w:lang w:bidi="en-GB"/>
        </w:rPr>
      </w:pPr>
    </w:p>
    <w:p w14:paraId="77B84A56" w14:textId="4CD1F325" w:rsidR="00D51630" w:rsidRPr="00D51630" w:rsidRDefault="753136BD" w:rsidP="24B6AD16">
      <w:pPr>
        <w:widowControl w:val="0"/>
        <w:autoSpaceDE w:val="0"/>
        <w:autoSpaceDN w:val="0"/>
        <w:jc w:val="both"/>
        <w:rPr>
          <w:rFonts w:ascii="Arial" w:eastAsia="Arial" w:hAnsi="Arial" w:cs="Arial"/>
          <w:color w:val="262626" w:themeColor="text1" w:themeTint="D9"/>
          <w:sz w:val="24"/>
          <w:szCs w:val="24"/>
          <w:lang w:bidi="en-GB"/>
        </w:rPr>
      </w:pPr>
      <w:r w:rsidRPr="3A111552">
        <w:rPr>
          <w:rFonts w:ascii="Arial" w:eastAsia="Arial" w:hAnsi="Arial" w:cs="Arial"/>
          <w:color w:val="000000" w:themeColor="text1"/>
          <w:sz w:val="24"/>
          <w:szCs w:val="24"/>
          <w:lang w:bidi="en-GB"/>
        </w:rPr>
        <w:t xml:space="preserve">The Council became subject to the requirement to prevent fraud under the Economic Crime and Corporate Transparency Act </w:t>
      </w:r>
      <w:r w:rsidR="7AE195C3" w:rsidRPr="3A111552">
        <w:rPr>
          <w:rFonts w:ascii="Arial" w:eastAsia="Arial" w:hAnsi="Arial" w:cs="Arial"/>
          <w:color w:val="000000" w:themeColor="text1"/>
          <w:sz w:val="24"/>
          <w:szCs w:val="24"/>
          <w:lang w:bidi="en-GB"/>
        </w:rPr>
        <w:t>from</w:t>
      </w:r>
      <w:r w:rsidRPr="3A111552">
        <w:rPr>
          <w:rFonts w:ascii="Arial" w:eastAsia="Arial" w:hAnsi="Arial" w:cs="Arial"/>
          <w:color w:val="000000" w:themeColor="text1"/>
          <w:sz w:val="24"/>
          <w:szCs w:val="24"/>
          <w:lang w:bidi="en-GB"/>
        </w:rPr>
        <w:t xml:space="preserve"> September 2025</w:t>
      </w:r>
      <w:r w:rsidR="264411F8" w:rsidRPr="3A111552">
        <w:rPr>
          <w:rFonts w:ascii="Arial" w:eastAsia="Arial" w:hAnsi="Arial" w:cs="Arial"/>
          <w:color w:val="000000" w:themeColor="text1"/>
          <w:sz w:val="24"/>
          <w:szCs w:val="24"/>
          <w:lang w:bidi="en-GB"/>
        </w:rPr>
        <w:t xml:space="preserve">.  </w:t>
      </w:r>
      <w:r w:rsidR="2D2D8EA7" w:rsidRPr="3A111552">
        <w:rPr>
          <w:rFonts w:ascii="Arial" w:eastAsia="Arial" w:hAnsi="Arial" w:cs="Arial"/>
          <w:color w:val="000000" w:themeColor="text1"/>
          <w:sz w:val="24"/>
          <w:szCs w:val="24"/>
          <w:lang w:bidi="en-GB"/>
        </w:rPr>
        <w:t>This duty, and the Council’s ability to defend this position, is considered in the p</w:t>
      </w:r>
      <w:r w:rsidR="69B3D3F7" w:rsidRPr="3A111552">
        <w:rPr>
          <w:rFonts w:ascii="Arial" w:eastAsia="Arial" w:hAnsi="Arial" w:cs="Arial"/>
          <w:color w:val="000000" w:themeColor="text1"/>
          <w:sz w:val="24"/>
          <w:szCs w:val="24"/>
          <w:lang w:bidi="en-GB"/>
        </w:rPr>
        <w:t>roposed plans for 2026/27</w:t>
      </w:r>
      <w:r w:rsidR="4A8F71C1" w:rsidRPr="3A111552">
        <w:rPr>
          <w:rFonts w:ascii="Arial" w:eastAsia="Arial" w:hAnsi="Arial" w:cs="Arial"/>
          <w:color w:val="000000" w:themeColor="text1"/>
          <w:sz w:val="24"/>
          <w:szCs w:val="24"/>
          <w:lang w:bidi="en-GB"/>
        </w:rPr>
        <w:t xml:space="preserve"> to ensure compliance.  The </w:t>
      </w:r>
      <w:r w:rsidR="00002466">
        <w:rPr>
          <w:rFonts w:ascii="Arial" w:eastAsia="Arial" w:hAnsi="Arial" w:cs="Arial"/>
          <w:color w:val="000000" w:themeColor="text1"/>
          <w:sz w:val="24"/>
          <w:szCs w:val="24"/>
          <w:lang w:bidi="en-GB"/>
        </w:rPr>
        <w:t>A</w:t>
      </w:r>
      <w:r w:rsidR="4A8F71C1" w:rsidRPr="3A111552">
        <w:rPr>
          <w:rFonts w:ascii="Arial" w:eastAsia="Arial" w:hAnsi="Arial" w:cs="Arial"/>
          <w:color w:val="000000" w:themeColor="text1"/>
          <w:sz w:val="24"/>
          <w:szCs w:val="24"/>
          <w:lang w:bidi="en-GB"/>
        </w:rPr>
        <w:t>nti-</w:t>
      </w:r>
      <w:r w:rsidR="00002466">
        <w:rPr>
          <w:rFonts w:ascii="Arial" w:eastAsia="Arial" w:hAnsi="Arial" w:cs="Arial"/>
          <w:color w:val="000000" w:themeColor="text1"/>
          <w:sz w:val="24"/>
          <w:szCs w:val="24"/>
          <w:lang w:bidi="en-GB"/>
        </w:rPr>
        <w:t>F</w:t>
      </w:r>
      <w:r w:rsidR="4A8F71C1" w:rsidRPr="3A111552">
        <w:rPr>
          <w:rFonts w:ascii="Arial" w:eastAsia="Arial" w:hAnsi="Arial" w:cs="Arial"/>
          <w:color w:val="000000" w:themeColor="text1"/>
          <w:sz w:val="24"/>
          <w:szCs w:val="24"/>
          <w:lang w:bidi="en-GB"/>
        </w:rPr>
        <w:t xml:space="preserve">raud and </w:t>
      </w:r>
      <w:r w:rsidR="00002466">
        <w:rPr>
          <w:rFonts w:ascii="Arial" w:eastAsia="Arial" w:hAnsi="Arial" w:cs="Arial"/>
          <w:color w:val="000000" w:themeColor="text1"/>
          <w:sz w:val="24"/>
          <w:szCs w:val="24"/>
          <w:lang w:bidi="en-GB"/>
        </w:rPr>
        <w:t>C</w:t>
      </w:r>
      <w:r w:rsidR="4A8F71C1" w:rsidRPr="3A111552">
        <w:rPr>
          <w:rFonts w:ascii="Arial" w:eastAsia="Arial" w:hAnsi="Arial" w:cs="Arial"/>
          <w:color w:val="000000" w:themeColor="text1"/>
          <w:sz w:val="24"/>
          <w:szCs w:val="24"/>
          <w:lang w:bidi="en-GB"/>
        </w:rPr>
        <w:t xml:space="preserve">orruption </w:t>
      </w:r>
      <w:r w:rsidR="00002466">
        <w:rPr>
          <w:rFonts w:ascii="Arial" w:eastAsia="Arial" w:hAnsi="Arial" w:cs="Arial"/>
          <w:color w:val="000000" w:themeColor="text1"/>
          <w:sz w:val="24"/>
          <w:szCs w:val="24"/>
          <w:lang w:bidi="en-GB"/>
        </w:rPr>
        <w:t>S</w:t>
      </w:r>
      <w:r w:rsidR="4A8F71C1" w:rsidRPr="3A111552">
        <w:rPr>
          <w:rFonts w:ascii="Arial" w:eastAsia="Arial" w:hAnsi="Arial" w:cs="Arial"/>
          <w:color w:val="000000" w:themeColor="text1"/>
          <w:sz w:val="24"/>
          <w:szCs w:val="24"/>
          <w:lang w:bidi="en-GB"/>
        </w:rPr>
        <w:t>trategy, along with Fraud Response Plan, are being renewed in 2</w:t>
      </w:r>
      <w:r w:rsidR="78210E25" w:rsidRPr="3A111552">
        <w:rPr>
          <w:rFonts w:ascii="Arial" w:eastAsia="Arial" w:hAnsi="Arial" w:cs="Arial"/>
          <w:color w:val="000000" w:themeColor="text1"/>
          <w:sz w:val="24"/>
          <w:szCs w:val="24"/>
          <w:lang w:bidi="en-GB"/>
        </w:rPr>
        <w:t>026 and will be presented to members for approval.</w:t>
      </w:r>
    </w:p>
    <w:p w14:paraId="4C465856" w14:textId="06E00180" w:rsidR="24B6AD16" w:rsidRDefault="24B6AD16" w:rsidP="24B6AD16">
      <w:pPr>
        <w:widowControl w:val="0"/>
        <w:jc w:val="both"/>
        <w:rPr>
          <w:rFonts w:ascii="Arial" w:eastAsia="Arial" w:hAnsi="Arial" w:cs="Arial"/>
          <w:color w:val="262626" w:themeColor="text1" w:themeTint="D9"/>
          <w:sz w:val="24"/>
          <w:szCs w:val="24"/>
          <w:lang w:bidi="en-GB"/>
        </w:rPr>
      </w:pPr>
    </w:p>
    <w:p w14:paraId="06F416C0" w14:textId="5764690A" w:rsidR="00D51630" w:rsidRDefault="00D51630" w:rsidP="00D87DBD">
      <w:pPr>
        <w:widowControl w:val="0"/>
        <w:autoSpaceDE w:val="0"/>
        <w:autoSpaceDN w:val="0"/>
        <w:jc w:val="both"/>
        <w:rPr>
          <w:rFonts w:ascii="Arial" w:eastAsia="Arial" w:hAnsi="Arial" w:cs="Arial"/>
          <w:color w:val="262626" w:themeColor="text1" w:themeTint="D9"/>
          <w:sz w:val="24"/>
          <w:szCs w:val="22"/>
          <w:lang w:bidi="en-GB"/>
        </w:rPr>
      </w:pPr>
      <w:r w:rsidRPr="00D51630">
        <w:rPr>
          <w:rFonts w:ascii="Arial" w:eastAsia="Arial" w:hAnsi="Arial" w:cs="Arial"/>
          <w:color w:val="262626" w:themeColor="text1" w:themeTint="D9"/>
          <w:sz w:val="24"/>
          <w:szCs w:val="22"/>
          <w:lang w:bidi="en-GB"/>
        </w:rPr>
        <w:t xml:space="preserve">Supporting policies and procedures are also reviewed on a regular basis to ensure they continue to provide clear guidance to protect the Council from fraud and corruption. </w:t>
      </w:r>
    </w:p>
    <w:p w14:paraId="7224671B" w14:textId="77777777" w:rsidR="00D87DBD" w:rsidRDefault="00D87DBD" w:rsidP="00D87DBD">
      <w:pPr>
        <w:widowControl w:val="0"/>
        <w:autoSpaceDE w:val="0"/>
        <w:autoSpaceDN w:val="0"/>
        <w:jc w:val="both"/>
        <w:rPr>
          <w:rFonts w:ascii="Arial" w:eastAsia="Arial" w:hAnsi="Arial" w:cs="Arial"/>
          <w:color w:val="262626" w:themeColor="text1" w:themeTint="D9"/>
          <w:sz w:val="24"/>
          <w:szCs w:val="22"/>
          <w:lang w:bidi="en-GB"/>
        </w:rPr>
      </w:pPr>
    </w:p>
    <w:p w14:paraId="75D061D8" w14:textId="35DA1581" w:rsidR="00D51630" w:rsidRPr="00D51630" w:rsidRDefault="0057148F" w:rsidP="24B6AD16">
      <w:pPr>
        <w:widowControl w:val="0"/>
        <w:autoSpaceDE w:val="0"/>
        <w:autoSpaceDN w:val="0"/>
        <w:jc w:val="both"/>
        <w:rPr>
          <w:rFonts w:ascii="Arial" w:eastAsia="Arial" w:hAnsi="Arial" w:cs="Arial"/>
          <w:color w:val="000000" w:themeColor="text1"/>
          <w:sz w:val="24"/>
          <w:szCs w:val="24"/>
          <w:lang w:bidi="en-GB"/>
        </w:rPr>
      </w:pPr>
      <w:r w:rsidRPr="24B6AD16">
        <w:rPr>
          <w:rFonts w:ascii="Arial" w:eastAsia="Arial" w:hAnsi="Arial" w:cs="Arial"/>
          <w:color w:val="000000" w:themeColor="text1"/>
          <w:sz w:val="24"/>
          <w:szCs w:val="24"/>
          <w:lang w:bidi="en-GB"/>
        </w:rPr>
        <w:t xml:space="preserve">In line with </w:t>
      </w:r>
      <w:r w:rsidR="00DD0A9A" w:rsidRPr="24B6AD16">
        <w:rPr>
          <w:rFonts w:ascii="Arial" w:eastAsia="Arial" w:hAnsi="Arial" w:cs="Arial"/>
          <w:color w:val="000000" w:themeColor="text1"/>
          <w:sz w:val="24"/>
          <w:szCs w:val="24"/>
          <w:lang w:bidi="en-GB"/>
        </w:rPr>
        <w:t xml:space="preserve">best </w:t>
      </w:r>
      <w:r w:rsidR="7DBC7F56" w:rsidRPr="24B6AD16">
        <w:rPr>
          <w:rFonts w:ascii="Arial" w:eastAsia="Arial" w:hAnsi="Arial" w:cs="Arial"/>
          <w:color w:val="000000" w:themeColor="text1"/>
          <w:sz w:val="24"/>
          <w:szCs w:val="24"/>
          <w:lang w:bidi="en-GB"/>
        </w:rPr>
        <w:t>practice, a</w:t>
      </w:r>
      <w:r w:rsidR="00D87DBD" w:rsidRPr="24B6AD16">
        <w:rPr>
          <w:rFonts w:ascii="Arial" w:eastAsia="Arial" w:hAnsi="Arial" w:cs="Arial"/>
          <w:color w:val="000000" w:themeColor="text1"/>
          <w:sz w:val="24"/>
          <w:szCs w:val="24"/>
          <w:lang w:bidi="en-GB"/>
        </w:rPr>
        <w:t xml:space="preserve"> </w:t>
      </w:r>
      <w:r w:rsidR="00EA4CBD" w:rsidRPr="24B6AD16">
        <w:rPr>
          <w:rFonts w:ascii="Arial" w:eastAsia="Arial" w:hAnsi="Arial" w:cs="Arial"/>
          <w:color w:val="000000" w:themeColor="text1"/>
          <w:sz w:val="24"/>
          <w:szCs w:val="24"/>
          <w:lang w:bidi="en-GB"/>
        </w:rPr>
        <w:t>self-assessment</w:t>
      </w:r>
      <w:r w:rsidR="00D87DBD" w:rsidRPr="24B6AD16">
        <w:rPr>
          <w:rFonts w:ascii="Arial" w:eastAsia="Arial" w:hAnsi="Arial" w:cs="Arial"/>
          <w:color w:val="000000" w:themeColor="text1"/>
          <w:sz w:val="24"/>
          <w:szCs w:val="24"/>
          <w:lang w:bidi="en-GB"/>
        </w:rPr>
        <w:t xml:space="preserve"> </w:t>
      </w:r>
      <w:r w:rsidR="00EA4CBD" w:rsidRPr="24B6AD16">
        <w:rPr>
          <w:rFonts w:ascii="Arial" w:eastAsia="Arial" w:hAnsi="Arial" w:cs="Arial"/>
          <w:color w:val="000000" w:themeColor="text1"/>
          <w:sz w:val="24"/>
          <w:szCs w:val="24"/>
          <w:lang w:bidi="en-GB"/>
        </w:rPr>
        <w:t>of counter fraud arrangement</w:t>
      </w:r>
      <w:r w:rsidR="00DA71F6" w:rsidRPr="24B6AD16">
        <w:rPr>
          <w:rFonts w:ascii="Arial" w:eastAsia="Arial" w:hAnsi="Arial" w:cs="Arial"/>
          <w:color w:val="000000" w:themeColor="text1"/>
          <w:sz w:val="24"/>
          <w:szCs w:val="24"/>
          <w:lang w:bidi="en-GB"/>
        </w:rPr>
        <w:t>s</w:t>
      </w:r>
      <w:r w:rsidR="00EA4CBD" w:rsidRPr="24B6AD16">
        <w:rPr>
          <w:rFonts w:ascii="Arial" w:eastAsia="Arial" w:hAnsi="Arial" w:cs="Arial"/>
          <w:color w:val="000000" w:themeColor="text1"/>
          <w:sz w:val="24"/>
          <w:szCs w:val="24"/>
          <w:lang w:bidi="en-GB"/>
        </w:rPr>
        <w:t xml:space="preserve"> has been completed in accordance with The Chartered Institute for Public Finance and Accountancy (CIPFA) Code of Practice for Managing Risk of Fraud and Corruption.  The report is attached at Appendix 1 and findings are considered for work </w:t>
      </w:r>
      <w:r w:rsidR="00091B6E" w:rsidRPr="24B6AD16">
        <w:rPr>
          <w:rFonts w:ascii="Arial" w:eastAsia="Arial" w:hAnsi="Arial" w:cs="Arial"/>
          <w:color w:val="000000" w:themeColor="text1"/>
          <w:sz w:val="24"/>
          <w:szCs w:val="24"/>
          <w:lang w:bidi="en-GB"/>
        </w:rPr>
        <w:t>being</w:t>
      </w:r>
      <w:r w:rsidR="00EA4CBD" w:rsidRPr="24B6AD16">
        <w:rPr>
          <w:rFonts w:ascii="Arial" w:eastAsia="Arial" w:hAnsi="Arial" w:cs="Arial"/>
          <w:color w:val="000000" w:themeColor="text1"/>
          <w:sz w:val="24"/>
          <w:szCs w:val="24"/>
          <w:lang w:bidi="en-GB"/>
        </w:rPr>
        <w:t xml:space="preserve"> completed in 202</w:t>
      </w:r>
      <w:r w:rsidR="00872897" w:rsidRPr="24B6AD16">
        <w:rPr>
          <w:rFonts w:ascii="Arial" w:eastAsia="Arial" w:hAnsi="Arial" w:cs="Arial"/>
          <w:color w:val="000000" w:themeColor="text1"/>
          <w:sz w:val="24"/>
          <w:szCs w:val="24"/>
          <w:lang w:bidi="en-GB"/>
        </w:rPr>
        <w:t>6</w:t>
      </w:r>
      <w:r w:rsidR="00EA4CBD" w:rsidRPr="24B6AD16">
        <w:rPr>
          <w:rFonts w:ascii="Arial" w:eastAsia="Arial" w:hAnsi="Arial" w:cs="Arial"/>
          <w:color w:val="000000" w:themeColor="text1"/>
          <w:sz w:val="24"/>
          <w:szCs w:val="24"/>
          <w:lang w:bidi="en-GB"/>
        </w:rPr>
        <w:t>/2</w:t>
      </w:r>
      <w:r w:rsidR="00872897" w:rsidRPr="24B6AD16">
        <w:rPr>
          <w:rFonts w:ascii="Arial" w:eastAsia="Arial" w:hAnsi="Arial" w:cs="Arial"/>
          <w:color w:val="000000" w:themeColor="text1"/>
          <w:sz w:val="24"/>
          <w:szCs w:val="24"/>
          <w:lang w:bidi="en-GB"/>
        </w:rPr>
        <w:t>7</w:t>
      </w:r>
      <w:r w:rsidR="00EA4CBD" w:rsidRPr="24B6AD16">
        <w:rPr>
          <w:rFonts w:ascii="Arial" w:eastAsia="Arial" w:hAnsi="Arial" w:cs="Arial"/>
          <w:color w:val="000000" w:themeColor="text1"/>
          <w:sz w:val="24"/>
          <w:szCs w:val="24"/>
          <w:lang w:bidi="en-GB"/>
        </w:rPr>
        <w:t xml:space="preserve">. </w:t>
      </w:r>
      <w:r w:rsidR="0061769A" w:rsidRPr="24B6AD16">
        <w:rPr>
          <w:rFonts w:ascii="Arial" w:eastAsia="Arial" w:hAnsi="Arial" w:cs="Arial"/>
          <w:color w:val="000000" w:themeColor="text1"/>
          <w:sz w:val="24"/>
          <w:szCs w:val="24"/>
          <w:lang w:bidi="en-GB"/>
        </w:rPr>
        <w:t xml:space="preserve">  The results demonstrate a clear framework based on a sound understanding of the fraud landscape but with acknowledged </w:t>
      </w:r>
      <w:r w:rsidR="5810611A" w:rsidRPr="24B6AD16">
        <w:rPr>
          <w:rFonts w:ascii="Arial" w:eastAsia="Arial" w:hAnsi="Arial" w:cs="Arial"/>
          <w:color w:val="000000" w:themeColor="text1"/>
          <w:sz w:val="24"/>
          <w:szCs w:val="24"/>
          <w:lang w:bidi="en-GB"/>
        </w:rPr>
        <w:t>potential further</w:t>
      </w:r>
      <w:r w:rsidR="576A2C46" w:rsidRPr="24B6AD16">
        <w:rPr>
          <w:rFonts w:ascii="Arial" w:eastAsia="Arial" w:hAnsi="Arial" w:cs="Arial"/>
          <w:color w:val="000000" w:themeColor="text1"/>
          <w:sz w:val="24"/>
          <w:szCs w:val="24"/>
          <w:lang w:bidi="en-GB"/>
        </w:rPr>
        <w:t xml:space="preserve"> </w:t>
      </w:r>
      <w:r w:rsidR="0061769A" w:rsidRPr="24B6AD16">
        <w:rPr>
          <w:rFonts w:ascii="Arial" w:eastAsia="Arial" w:hAnsi="Arial" w:cs="Arial"/>
          <w:color w:val="000000" w:themeColor="text1"/>
          <w:sz w:val="24"/>
          <w:szCs w:val="24"/>
          <w:lang w:bidi="en-GB"/>
        </w:rPr>
        <w:t>improvement</w:t>
      </w:r>
      <w:r w:rsidR="77AEFF4C" w:rsidRPr="24B6AD16">
        <w:rPr>
          <w:rFonts w:ascii="Arial" w:eastAsia="Arial" w:hAnsi="Arial" w:cs="Arial"/>
          <w:color w:val="000000" w:themeColor="text1"/>
          <w:sz w:val="24"/>
          <w:szCs w:val="24"/>
          <w:lang w:bidi="en-GB"/>
        </w:rPr>
        <w:t>s</w:t>
      </w:r>
      <w:r w:rsidR="00DA743B" w:rsidRPr="24B6AD16">
        <w:rPr>
          <w:rFonts w:ascii="Arial" w:eastAsia="Arial" w:hAnsi="Arial" w:cs="Arial"/>
          <w:color w:val="000000" w:themeColor="text1"/>
          <w:sz w:val="24"/>
          <w:szCs w:val="24"/>
          <w:lang w:bidi="en-GB"/>
        </w:rPr>
        <w:t xml:space="preserve"> </w:t>
      </w:r>
      <w:r w:rsidR="00D6406B">
        <w:rPr>
          <w:rFonts w:ascii="Arial" w:eastAsia="Arial" w:hAnsi="Arial" w:cs="Arial"/>
          <w:color w:val="000000" w:themeColor="text1"/>
          <w:sz w:val="24"/>
          <w:szCs w:val="24"/>
          <w:lang w:bidi="en-GB"/>
        </w:rPr>
        <w:t xml:space="preserve">to </w:t>
      </w:r>
      <w:r w:rsidR="00DE2BB7">
        <w:rPr>
          <w:rFonts w:ascii="Arial" w:eastAsia="Arial" w:hAnsi="Arial" w:cs="Arial"/>
          <w:color w:val="000000" w:themeColor="text1"/>
          <w:sz w:val="24"/>
          <w:szCs w:val="24"/>
          <w:lang w:bidi="en-GB"/>
        </w:rPr>
        <w:t xml:space="preserve">ensure </w:t>
      </w:r>
      <w:r w:rsidR="0099347B">
        <w:rPr>
          <w:rFonts w:ascii="Arial" w:eastAsia="Arial" w:hAnsi="Arial" w:cs="Arial"/>
          <w:color w:val="000000" w:themeColor="text1"/>
          <w:sz w:val="24"/>
          <w:szCs w:val="24"/>
          <w:lang w:bidi="en-GB"/>
        </w:rPr>
        <w:t xml:space="preserve">delivery of </w:t>
      </w:r>
      <w:r w:rsidR="008951F3">
        <w:rPr>
          <w:rFonts w:ascii="Arial" w:eastAsia="Arial" w:hAnsi="Arial" w:cs="Arial"/>
          <w:color w:val="000000" w:themeColor="text1"/>
          <w:sz w:val="24"/>
          <w:szCs w:val="24"/>
          <w:lang w:bidi="en-GB"/>
        </w:rPr>
        <w:t>efficient and effective services.</w:t>
      </w:r>
    </w:p>
    <w:p w14:paraId="38E58D7D" w14:textId="77777777" w:rsidR="00D51630" w:rsidRDefault="00D51630" w:rsidP="00A330CC">
      <w:pPr>
        <w:jc w:val="both"/>
      </w:pPr>
    </w:p>
    <w:p w14:paraId="2A146E00" w14:textId="02549F76" w:rsidR="009F022E" w:rsidRDefault="00E749D8" w:rsidP="007F16DD">
      <w:pPr>
        <w:pStyle w:val="Heading1"/>
        <w:jc w:val="both"/>
        <w:rPr>
          <w:rFonts w:ascii="Arial" w:hAnsi="Arial"/>
          <w:b/>
          <w:sz w:val="24"/>
        </w:rPr>
      </w:pPr>
      <w:r w:rsidRPr="007F16DD">
        <w:rPr>
          <w:rFonts w:ascii="Arial" w:hAnsi="Arial" w:cs="Arial"/>
          <w:b/>
          <w:color w:val="auto"/>
          <w:sz w:val="28"/>
          <w:szCs w:val="28"/>
        </w:rPr>
        <w:t>Acknowledg</w:t>
      </w:r>
      <w:r w:rsidR="00D64ECD" w:rsidRPr="007F16DD">
        <w:rPr>
          <w:rFonts w:ascii="Arial" w:hAnsi="Arial" w:cs="Arial"/>
          <w:b/>
          <w:color w:val="auto"/>
          <w:sz w:val="28"/>
          <w:szCs w:val="28"/>
        </w:rPr>
        <w:t xml:space="preserve">e and </w:t>
      </w:r>
      <w:r w:rsidR="007F16DD">
        <w:rPr>
          <w:rFonts w:ascii="Arial" w:hAnsi="Arial" w:cs="Arial"/>
          <w:b/>
          <w:color w:val="auto"/>
          <w:sz w:val="28"/>
          <w:szCs w:val="28"/>
        </w:rPr>
        <w:t>U</w:t>
      </w:r>
      <w:r w:rsidR="00D64ECD" w:rsidRPr="007F16DD">
        <w:rPr>
          <w:rFonts w:ascii="Arial" w:hAnsi="Arial" w:cs="Arial"/>
          <w:b/>
          <w:color w:val="auto"/>
          <w:sz w:val="28"/>
          <w:szCs w:val="28"/>
        </w:rPr>
        <w:t>nderstand</w:t>
      </w:r>
    </w:p>
    <w:p w14:paraId="71CCFA83" w14:textId="711DCF89" w:rsidR="009F022E" w:rsidRPr="009F022E" w:rsidRDefault="009F022E" w:rsidP="00050843">
      <w:pPr>
        <w:widowControl w:val="0"/>
        <w:autoSpaceDE w:val="0"/>
        <w:autoSpaceDN w:val="0"/>
        <w:jc w:val="both"/>
        <w:rPr>
          <w:rFonts w:ascii="Arial" w:eastAsia="Arial" w:hAnsi="Arial" w:cs="Arial"/>
          <w:color w:val="262626" w:themeColor="text1" w:themeTint="D9"/>
          <w:sz w:val="24"/>
          <w:szCs w:val="22"/>
          <w:lang w:bidi="en-GB"/>
        </w:rPr>
      </w:pPr>
    </w:p>
    <w:p w14:paraId="5F7BE701" w14:textId="3EB8D5C4" w:rsidR="009F022E" w:rsidRPr="009F022E" w:rsidRDefault="00050843" w:rsidP="009F022E">
      <w:pPr>
        <w:widowControl w:val="0"/>
        <w:autoSpaceDE w:val="0"/>
        <w:autoSpaceDN w:val="0"/>
        <w:jc w:val="both"/>
        <w:rPr>
          <w:rFonts w:ascii="Arial" w:eastAsia="Arial" w:hAnsi="Arial" w:cs="Arial"/>
          <w:color w:val="262626" w:themeColor="text1" w:themeTint="D9"/>
          <w:sz w:val="24"/>
          <w:szCs w:val="22"/>
          <w:lang w:bidi="en-GB"/>
        </w:rPr>
      </w:pPr>
      <w:r>
        <w:rPr>
          <w:rFonts w:ascii="Arial" w:eastAsia="Arial" w:hAnsi="Arial" w:cs="Arial"/>
          <w:color w:val="262626" w:themeColor="text1" w:themeTint="D9"/>
          <w:sz w:val="24"/>
          <w:szCs w:val="22"/>
          <w:lang w:bidi="en-GB"/>
        </w:rPr>
        <w:t xml:space="preserve">Research suggests </w:t>
      </w:r>
      <w:r w:rsidR="00A91694">
        <w:rPr>
          <w:rFonts w:ascii="Arial" w:eastAsia="Arial" w:hAnsi="Arial" w:cs="Arial"/>
          <w:color w:val="262626" w:themeColor="text1" w:themeTint="D9"/>
          <w:sz w:val="24"/>
          <w:szCs w:val="22"/>
          <w:lang w:bidi="en-GB"/>
        </w:rPr>
        <w:t>UK Councils lose an estimated £8.8 billion per year</w:t>
      </w:r>
      <w:r w:rsidR="00A36055">
        <w:rPr>
          <w:rFonts w:ascii="Arial" w:eastAsia="Arial" w:hAnsi="Arial" w:cs="Arial"/>
          <w:color w:val="262626" w:themeColor="text1" w:themeTint="D9"/>
          <w:sz w:val="24"/>
          <w:szCs w:val="22"/>
          <w:lang w:bidi="en-GB"/>
        </w:rPr>
        <w:t xml:space="preserve"> (2023 Annual </w:t>
      </w:r>
      <w:r w:rsidR="00A36055">
        <w:rPr>
          <w:rFonts w:ascii="Arial" w:eastAsia="Arial" w:hAnsi="Arial" w:cs="Arial"/>
          <w:color w:val="262626" w:themeColor="text1" w:themeTint="D9"/>
          <w:sz w:val="24"/>
          <w:szCs w:val="22"/>
          <w:lang w:bidi="en-GB"/>
        </w:rPr>
        <w:lastRenderedPageBreak/>
        <w:t>Fraud Indicator).  On this basis fraud remains a significant challenge for Councils</w:t>
      </w:r>
      <w:r w:rsidR="00293C15">
        <w:rPr>
          <w:rFonts w:ascii="Arial" w:eastAsia="Arial" w:hAnsi="Arial" w:cs="Arial"/>
          <w:color w:val="262626" w:themeColor="text1" w:themeTint="D9"/>
          <w:sz w:val="24"/>
          <w:szCs w:val="22"/>
          <w:lang w:bidi="en-GB"/>
        </w:rPr>
        <w:t xml:space="preserve">. </w:t>
      </w:r>
    </w:p>
    <w:p w14:paraId="2F59FED6" w14:textId="77777777" w:rsidR="009F022E" w:rsidRPr="009F022E" w:rsidRDefault="009F022E" w:rsidP="009F022E">
      <w:pPr>
        <w:widowControl w:val="0"/>
        <w:autoSpaceDE w:val="0"/>
        <w:autoSpaceDN w:val="0"/>
        <w:ind w:left="1120" w:hanging="720"/>
        <w:rPr>
          <w:rFonts w:ascii="Arial" w:eastAsia="Arial" w:hAnsi="Arial" w:cs="Arial"/>
          <w:color w:val="262626" w:themeColor="text1" w:themeTint="D9"/>
          <w:sz w:val="24"/>
          <w:szCs w:val="22"/>
          <w:lang w:bidi="en-GB"/>
        </w:rPr>
      </w:pPr>
    </w:p>
    <w:p w14:paraId="69D509F0" w14:textId="77777777" w:rsidR="005715FB" w:rsidRPr="005715FB" w:rsidRDefault="009F022E" w:rsidP="005715FB">
      <w:pPr>
        <w:widowControl w:val="0"/>
        <w:autoSpaceDE w:val="0"/>
        <w:autoSpaceDN w:val="0"/>
        <w:jc w:val="both"/>
        <w:rPr>
          <w:rFonts w:ascii="Arial" w:eastAsia="Arial" w:hAnsi="Arial" w:cs="Arial"/>
          <w:color w:val="262626" w:themeColor="text1" w:themeTint="D9"/>
          <w:sz w:val="24"/>
          <w:szCs w:val="24"/>
          <w:lang w:bidi="en-GB"/>
        </w:rPr>
      </w:pPr>
      <w:r w:rsidRPr="3D7176A0">
        <w:rPr>
          <w:rFonts w:ascii="Arial" w:eastAsia="Arial" w:hAnsi="Arial" w:cs="Arial"/>
          <w:color w:val="262626" w:themeColor="text1" w:themeTint="D9"/>
          <w:sz w:val="24"/>
          <w:szCs w:val="24"/>
          <w:lang w:bidi="en-GB"/>
        </w:rPr>
        <w:t xml:space="preserve">The Council must act to prevent and detect </w:t>
      </w:r>
      <w:r w:rsidR="25DC8F67" w:rsidRPr="3D7176A0">
        <w:rPr>
          <w:rFonts w:ascii="Arial" w:eastAsia="Arial" w:hAnsi="Arial" w:cs="Arial"/>
          <w:color w:val="262626" w:themeColor="text1" w:themeTint="D9"/>
          <w:sz w:val="24"/>
          <w:szCs w:val="24"/>
          <w:lang w:bidi="en-GB"/>
        </w:rPr>
        <w:t>fraud, and</w:t>
      </w:r>
      <w:r w:rsidRPr="3D7176A0">
        <w:rPr>
          <w:rFonts w:ascii="Arial" w:eastAsia="Arial" w:hAnsi="Arial" w:cs="Arial"/>
          <w:color w:val="262626" w:themeColor="text1" w:themeTint="D9"/>
          <w:sz w:val="24"/>
          <w:szCs w:val="24"/>
          <w:lang w:bidi="en-GB"/>
        </w:rPr>
        <w:t xml:space="preserve"> error</w:t>
      </w:r>
      <w:r w:rsidR="4C1DA2A7" w:rsidRPr="3D7176A0">
        <w:rPr>
          <w:rFonts w:ascii="Arial" w:eastAsia="Arial" w:hAnsi="Arial" w:cs="Arial"/>
          <w:color w:val="262626" w:themeColor="text1" w:themeTint="D9"/>
          <w:sz w:val="24"/>
          <w:szCs w:val="24"/>
          <w:lang w:bidi="en-GB"/>
        </w:rPr>
        <w:t>,</w:t>
      </w:r>
      <w:r w:rsidRPr="3D7176A0">
        <w:rPr>
          <w:rFonts w:ascii="Arial" w:eastAsia="Arial" w:hAnsi="Arial" w:cs="Arial"/>
          <w:color w:val="262626" w:themeColor="text1" w:themeTint="D9"/>
          <w:sz w:val="24"/>
          <w:szCs w:val="24"/>
          <w:lang w:bidi="en-GB"/>
        </w:rPr>
        <w:t xml:space="preserve"> where possible. All staff have a responsibility to understand what fraud looks like, what to do when it is suspected, and how to report it. </w:t>
      </w:r>
      <w:r w:rsidR="005715FB" w:rsidRPr="005715FB">
        <w:rPr>
          <w:rFonts w:ascii="Arial" w:eastAsia="Arial" w:hAnsi="Arial" w:cs="Arial"/>
          <w:color w:val="262626" w:themeColor="text1" w:themeTint="D9"/>
          <w:sz w:val="24"/>
          <w:szCs w:val="24"/>
          <w:lang w:bidi="en-GB"/>
        </w:rPr>
        <w:t xml:space="preserve">It is essential that all employees consider fraud as part of their daily business.  The Fraud Team are unlikely to be the ones who discover fraud and rely on the eyes and ears of the workforce to tackle this area together. </w:t>
      </w:r>
    </w:p>
    <w:p w14:paraId="2CEB26BD" w14:textId="77777777" w:rsidR="005715FB" w:rsidRPr="005715FB" w:rsidRDefault="005715FB" w:rsidP="005715FB">
      <w:pPr>
        <w:widowControl w:val="0"/>
        <w:autoSpaceDE w:val="0"/>
        <w:autoSpaceDN w:val="0"/>
        <w:jc w:val="both"/>
        <w:rPr>
          <w:rFonts w:ascii="Arial" w:eastAsia="Arial" w:hAnsi="Arial" w:cs="Arial"/>
          <w:color w:val="262626" w:themeColor="text1" w:themeTint="D9"/>
          <w:sz w:val="24"/>
          <w:szCs w:val="24"/>
          <w:lang w:bidi="en-GB"/>
        </w:rPr>
      </w:pPr>
    </w:p>
    <w:p w14:paraId="2A9230AF" w14:textId="20BAEAE2" w:rsidR="009F022E" w:rsidRDefault="009F022E" w:rsidP="009F022E">
      <w:pPr>
        <w:widowControl w:val="0"/>
        <w:autoSpaceDE w:val="0"/>
        <w:autoSpaceDN w:val="0"/>
        <w:jc w:val="both"/>
        <w:rPr>
          <w:rFonts w:ascii="Arial" w:eastAsia="Arial" w:hAnsi="Arial" w:cs="Arial"/>
          <w:color w:val="262626" w:themeColor="text1" w:themeTint="D9"/>
          <w:sz w:val="24"/>
          <w:szCs w:val="24"/>
          <w:lang w:bidi="en-GB"/>
        </w:rPr>
      </w:pPr>
      <w:r w:rsidRPr="3D7176A0">
        <w:rPr>
          <w:rFonts w:ascii="Arial" w:eastAsia="Arial" w:hAnsi="Arial" w:cs="Arial"/>
          <w:color w:val="262626" w:themeColor="text1" w:themeTint="D9"/>
          <w:sz w:val="24"/>
          <w:szCs w:val="24"/>
          <w:lang w:bidi="en-GB"/>
        </w:rPr>
        <w:t xml:space="preserve">Advice and guidance is available on the Council </w:t>
      </w:r>
      <w:r w:rsidR="5B68887E" w:rsidRPr="3D7176A0">
        <w:rPr>
          <w:rFonts w:ascii="Arial" w:eastAsia="Arial" w:hAnsi="Arial" w:cs="Arial"/>
          <w:color w:val="262626" w:themeColor="text1" w:themeTint="D9"/>
          <w:sz w:val="24"/>
          <w:szCs w:val="24"/>
          <w:lang w:bidi="en-GB"/>
        </w:rPr>
        <w:t>SharePoint</w:t>
      </w:r>
      <w:r w:rsidR="74E499B4" w:rsidRPr="3D7176A0">
        <w:rPr>
          <w:rFonts w:ascii="Arial" w:eastAsia="Arial" w:hAnsi="Arial" w:cs="Arial"/>
          <w:color w:val="262626" w:themeColor="text1" w:themeTint="D9"/>
          <w:sz w:val="24"/>
          <w:szCs w:val="24"/>
          <w:lang w:bidi="en-GB"/>
        </w:rPr>
        <w:t xml:space="preserve"> library</w:t>
      </w:r>
      <w:r w:rsidRPr="3D7176A0">
        <w:rPr>
          <w:rFonts w:ascii="Arial" w:eastAsia="Arial" w:hAnsi="Arial" w:cs="Arial"/>
          <w:color w:val="262626" w:themeColor="text1" w:themeTint="D9"/>
          <w:sz w:val="24"/>
          <w:szCs w:val="24"/>
          <w:lang w:bidi="en-GB"/>
        </w:rPr>
        <w:t xml:space="preserve"> and the fraud awareness e-learning module</w:t>
      </w:r>
      <w:r w:rsidR="00812071">
        <w:rPr>
          <w:rFonts w:ascii="Arial" w:eastAsia="Arial" w:hAnsi="Arial" w:cs="Arial"/>
          <w:color w:val="262626" w:themeColor="text1" w:themeTint="D9"/>
          <w:sz w:val="24"/>
          <w:szCs w:val="24"/>
          <w:lang w:bidi="en-GB"/>
        </w:rPr>
        <w:t>,</w:t>
      </w:r>
      <w:r w:rsidRPr="3D7176A0">
        <w:rPr>
          <w:rFonts w:ascii="Arial" w:eastAsia="Arial" w:hAnsi="Arial" w:cs="Arial"/>
          <w:color w:val="262626" w:themeColor="text1" w:themeTint="D9"/>
          <w:sz w:val="24"/>
          <w:szCs w:val="24"/>
          <w:lang w:bidi="en-GB"/>
        </w:rPr>
        <w:t xml:space="preserve"> that was specifically developed to raise awareness of fraud</w:t>
      </w:r>
      <w:r w:rsidR="00812071">
        <w:rPr>
          <w:rFonts w:ascii="Arial" w:eastAsia="Arial" w:hAnsi="Arial" w:cs="Arial"/>
          <w:color w:val="262626" w:themeColor="text1" w:themeTint="D9"/>
          <w:sz w:val="24"/>
          <w:szCs w:val="24"/>
          <w:lang w:bidi="en-GB"/>
        </w:rPr>
        <w:t>,</w:t>
      </w:r>
      <w:r w:rsidRPr="3D7176A0">
        <w:rPr>
          <w:rFonts w:ascii="Arial" w:eastAsia="Arial" w:hAnsi="Arial" w:cs="Arial"/>
          <w:color w:val="262626" w:themeColor="text1" w:themeTint="D9"/>
          <w:sz w:val="24"/>
          <w:szCs w:val="24"/>
          <w:lang w:bidi="en-GB"/>
        </w:rPr>
        <w:t xml:space="preserve"> became mandatory for all employees and elected members in March 2023. </w:t>
      </w:r>
      <w:r w:rsidR="005715FB" w:rsidRPr="005715FB">
        <w:rPr>
          <w:rFonts w:ascii="Arial" w:eastAsia="Arial" w:hAnsi="Arial" w:cs="Arial"/>
          <w:color w:val="262626" w:themeColor="text1" w:themeTint="D9"/>
          <w:sz w:val="24"/>
          <w:szCs w:val="24"/>
          <w:lang w:bidi="en-GB"/>
        </w:rPr>
        <w:t>As of February 2026, 1835 staff have completed the training and 84.2% are up to date</w:t>
      </w:r>
      <w:r w:rsidR="00485D6F">
        <w:rPr>
          <w:rFonts w:ascii="Arial" w:eastAsia="Arial" w:hAnsi="Arial" w:cs="Arial"/>
          <w:color w:val="262626" w:themeColor="text1" w:themeTint="D9"/>
          <w:sz w:val="24"/>
          <w:szCs w:val="24"/>
          <w:lang w:bidi="en-GB"/>
        </w:rPr>
        <w:t>.  32 Elected Members have also completed the training.</w:t>
      </w:r>
    </w:p>
    <w:p w14:paraId="0D232CBA" w14:textId="77777777" w:rsidR="00420388" w:rsidRDefault="00420388" w:rsidP="00420388">
      <w:pPr>
        <w:widowControl w:val="0"/>
        <w:jc w:val="both"/>
        <w:rPr>
          <w:rFonts w:ascii="Arial" w:eastAsia="Arial" w:hAnsi="Arial" w:cs="Arial"/>
          <w:color w:val="000000" w:themeColor="text1"/>
          <w:sz w:val="24"/>
          <w:szCs w:val="24"/>
          <w:lang w:bidi="en-GB"/>
        </w:rPr>
      </w:pPr>
    </w:p>
    <w:p w14:paraId="68DC492B" w14:textId="1D557F03" w:rsidR="009053CF" w:rsidRDefault="009053CF" w:rsidP="009F022E">
      <w:pPr>
        <w:widowControl w:val="0"/>
        <w:autoSpaceDE w:val="0"/>
        <w:autoSpaceDN w:val="0"/>
        <w:jc w:val="both"/>
        <w:rPr>
          <w:rFonts w:ascii="Arial" w:eastAsia="Arial" w:hAnsi="Arial" w:cs="Arial"/>
          <w:color w:val="262626" w:themeColor="text1" w:themeTint="D9"/>
          <w:sz w:val="24"/>
          <w:szCs w:val="22"/>
          <w:lang w:bidi="en-GB"/>
        </w:rPr>
      </w:pPr>
      <w:r>
        <w:rPr>
          <w:rFonts w:ascii="Arial" w:eastAsia="Arial" w:hAnsi="Arial" w:cs="Arial"/>
          <w:color w:val="262626" w:themeColor="text1" w:themeTint="D9"/>
          <w:sz w:val="24"/>
          <w:szCs w:val="22"/>
          <w:lang w:bidi="en-GB"/>
        </w:rPr>
        <w:t>The Fraud Team utilises risk assessment procedures to consider areas of threat</w:t>
      </w:r>
      <w:r w:rsidR="00B556EA">
        <w:rPr>
          <w:rFonts w:ascii="Arial" w:eastAsia="Arial" w:hAnsi="Arial" w:cs="Arial"/>
          <w:color w:val="262626" w:themeColor="text1" w:themeTint="D9"/>
          <w:sz w:val="24"/>
          <w:szCs w:val="22"/>
          <w:lang w:bidi="en-GB"/>
        </w:rPr>
        <w:t>, risk, and harm</w:t>
      </w:r>
      <w:r>
        <w:rPr>
          <w:rFonts w:ascii="Arial" w:eastAsia="Arial" w:hAnsi="Arial" w:cs="Arial"/>
          <w:color w:val="262626" w:themeColor="text1" w:themeTint="D9"/>
          <w:sz w:val="24"/>
          <w:szCs w:val="22"/>
          <w:lang w:bidi="en-GB"/>
        </w:rPr>
        <w:t xml:space="preserve">, and to ensure resources are allocated according to priority.  Judgements are made based on both local and national </w:t>
      </w:r>
      <w:r w:rsidR="00E25935">
        <w:rPr>
          <w:rFonts w:ascii="Arial" w:eastAsia="Arial" w:hAnsi="Arial" w:cs="Arial"/>
          <w:color w:val="262626" w:themeColor="text1" w:themeTint="D9"/>
          <w:sz w:val="24"/>
          <w:szCs w:val="22"/>
          <w:lang w:bidi="en-GB"/>
        </w:rPr>
        <w:t>trends.</w:t>
      </w:r>
      <w:r w:rsidR="002A4DD0">
        <w:rPr>
          <w:rFonts w:ascii="Arial" w:eastAsia="Arial" w:hAnsi="Arial" w:cs="Arial"/>
          <w:color w:val="262626" w:themeColor="text1" w:themeTint="D9"/>
          <w:sz w:val="24"/>
          <w:szCs w:val="22"/>
          <w:lang w:bidi="en-GB"/>
        </w:rPr>
        <w:t xml:space="preserve">  </w:t>
      </w:r>
      <w:r>
        <w:rPr>
          <w:rFonts w:ascii="Arial" w:eastAsia="Arial" w:hAnsi="Arial" w:cs="Arial"/>
          <w:color w:val="262626" w:themeColor="text1" w:themeTint="D9"/>
          <w:sz w:val="24"/>
          <w:szCs w:val="22"/>
          <w:lang w:bidi="en-GB"/>
        </w:rPr>
        <w:t>Working in conjunction with Audit and Assurance allows processes to be reviewed to ensure steps are taken to reduce the risk of fraudulent applications and acts.</w:t>
      </w:r>
    </w:p>
    <w:p w14:paraId="17FF1E8E" w14:textId="77777777" w:rsidR="009F022E" w:rsidRPr="009F022E" w:rsidRDefault="009F022E" w:rsidP="009F022E">
      <w:pPr>
        <w:widowControl w:val="0"/>
        <w:autoSpaceDE w:val="0"/>
        <w:autoSpaceDN w:val="0"/>
        <w:ind w:left="1120" w:hanging="720"/>
        <w:rPr>
          <w:rFonts w:ascii="Arial" w:eastAsia="Arial" w:hAnsi="Arial" w:cs="Arial"/>
          <w:i/>
          <w:iCs/>
          <w:color w:val="262626" w:themeColor="text1" w:themeTint="D9"/>
          <w:sz w:val="24"/>
          <w:szCs w:val="22"/>
          <w:lang w:bidi="en-GB"/>
        </w:rPr>
      </w:pPr>
    </w:p>
    <w:p w14:paraId="4FA694B5" w14:textId="07CD32A6" w:rsidR="009F022E" w:rsidRPr="00E749D8" w:rsidRDefault="00124259" w:rsidP="3D7176A0">
      <w:pPr>
        <w:jc w:val="both"/>
        <w:rPr>
          <w:rFonts w:ascii="Arial" w:hAnsi="Arial"/>
          <w:b/>
          <w:bCs/>
          <w:sz w:val="24"/>
          <w:szCs w:val="24"/>
        </w:rPr>
      </w:pPr>
      <w:r w:rsidRPr="3D7176A0">
        <w:rPr>
          <w:rFonts w:ascii="Arial" w:eastAsia="Arial" w:hAnsi="Arial" w:cs="Arial"/>
          <w:color w:val="262626" w:themeColor="text1" w:themeTint="D9"/>
          <w:sz w:val="24"/>
          <w:szCs w:val="24"/>
          <w:lang w:bidi="en-GB"/>
        </w:rPr>
        <w:t xml:space="preserve">Workshops are currently being completed with Procurement &amp; Contracts, People and Culture, and Adult Social Care.  These are attended by </w:t>
      </w:r>
      <w:r w:rsidR="001E06F8" w:rsidRPr="3D7176A0">
        <w:rPr>
          <w:rFonts w:ascii="Arial" w:eastAsia="Arial" w:hAnsi="Arial" w:cs="Arial"/>
          <w:color w:val="262626" w:themeColor="text1" w:themeTint="D9"/>
          <w:sz w:val="24"/>
          <w:szCs w:val="24"/>
          <w:lang w:bidi="en-GB"/>
        </w:rPr>
        <w:t xml:space="preserve">representatives from Fraud, Audit &amp; Assurance, and the service area being risk-assessed.  This allows parties to consider any gaps in preventative controls and to build in plans for improvement.  </w:t>
      </w:r>
    </w:p>
    <w:p w14:paraId="01EF5005" w14:textId="61204282" w:rsidR="3D7176A0" w:rsidRDefault="3D7176A0" w:rsidP="3D7176A0">
      <w:pPr>
        <w:jc w:val="both"/>
        <w:rPr>
          <w:rFonts w:ascii="Arial" w:eastAsia="Arial" w:hAnsi="Arial" w:cs="Arial"/>
          <w:color w:val="262626" w:themeColor="text1" w:themeTint="D9"/>
          <w:sz w:val="24"/>
          <w:szCs w:val="24"/>
          <w:lang w:bidi="en-GB"/>
        </w:rPr>
      </w:pPr>
    </w:p>
    <w:p w14:paraId="4DC2DEC8" w14:textId="3DEDF297" w:rsidR="00E749D8" w:rsidRPr="007F16DD" w:rsidRDefault="00E749D8" w:rsidP="0035294D">
      <w:pPr>
        <w:pStyle w:val="Heading1"/>
        <w:rPr>
          <w:rFonts w:ascii="Arial" w:hAnsi="Arial" w:cs="Arial"/>
          <w:b/>
          <w:color w:val="auto"/>
          <w:sz w:val="28"/>
          <w:szCs w:val="28"/>
        </w:rPr>
      </w:pPr>
      <w:r w:rsidRPr="007F16DD">
        <w:rPr>
          <w:rFonts w:ascii="Arial" w:hAnsi="Arial" w:cs="Arial"/>
          <w:b/>
          <w:color w:val="auto"/>
          <w:sz w:val="28"/>
          <w:szCs w:val="28"/>
        </w:rPr>
        <w:t xml:space="preserve">Preventing and </w:t>
      </w:r>
      <w:r w:rsidR="001D73DB">
        <w:rPr>
          <w:rFonts w:ascii="Arial" w:hAnsi="Arial" w:cs="Arial"/>
          <w:b/>
          <w:color w:val="auto"/>
          <w:sz w:val="28"/>
          <w:szCs w:val="28"/>
        </w:rPr>
        <w:t>De</w:t>
      </w:r>
      <w:r w:rsidRPr="007F16DD">
        <w:rPr>
          <w:rFonts w:ascii="Arial" w:hAnsi="Arial" w:cs="Arial"/>
          <w:b/>
          <w:color w:val="auto"/>
          <w:sz w:val="28"/>
          <w:szCs w:val="28"/>
        </w:rPr>
        <w:t xml:space="preserve">tecting </w:t>
      </w:r>
      <w:r w:rsidR="001D73DB">
        <w:rPr>
          <w:rFonts w:ascii="Arial" w:hAnsi="Arial" w:cs="Arial"/>
          <w:b/>
          <w:color w:val="auto"/>
          <w:sz w:val="28"/>
          <w:szCs w:val="28"/>
        </w:rPr>
        <w:t>F</w:t>
      </w:r>
      <w:r w:rsidRPr="007F16DD">
        <w:rPr>
          <w:rFonts w:ascii="Arial" w:hAnsi="Arial" w:cs="Arial"/>
          <w:b/>
          <w:color w:val="auto"/>
          <w:sz w:val="28"/>
          <w:szCs w:val="28"/>
        </w:rPr>
        <w:t>raud</w:t>
      </w:r>
    </w:p>
    <w:p w14:paraId="47E983CF" w14:textId="77777777" w:rsidR="007A610B" w:rsidRDefault="007A610B" w:rsidP="00E749D8">
      <w:pPr>
        <w:jc w:val="both"/>
        <w:rPr>
          <w:rFonts w:ascii="Arial" w:hAnsi="Arial"/>
          <w:sz w:val="24"/>
        </w:rPr>
      </w:pPr>
    </w:p>
    <w:p w14:paraId="3575F4E7" w14:textId="5348A776" w:rsidR="00465BA3" w:rsidRDefault="00A069CE" w:rsidP="00465BA3">
      <w:pPr>
        <w:jc w:val="both"/>
        <w:rPr>
          <w:rFonts w:ascii="Arial" w:hAnsi="Arial"/>
          <w:sz w:val="24"/>
        </w:rPr>
      </w:pPr>
      <w:r>
        <w:rPr>
          <w:rFonts w:ascii="Arial" w:hAnsi="Arial"/>
          <w:sz w:val="24"/>
        </w:rPr>
        <w:t>The Council receives fraud reports from members of the public, other Council departments, and external partners.  All such referrals are assessed on the quality of evidence and likelihood of successful investigation</w:t>
      </w:r>
      <w:r w:rsidR="00EF5754">
        <w:rPr>
          <w:rFonts w:ascii="Arial" w:hAnsi="Arial"/>
          <w:sz w:val="24"/>
        </w:rPr>
        <w:t>, along with</w:t>
      </w:r>
      <w:r>
        <w:rPr>
          <w:rFonts w:ascii="Arial" w:hAnsi="Arial"/>
          <w:sz w:val="24"/>
        </w:rPr>
        <w:t xml:space="preserve"> recovery of Council funds.</w:t>
      </w:r>
    </w:p>
    <w:p w14:paraId="3C660E09" w14:textId="77777777" w:rsidR="00A069CE" w:rsidRDefault="00A069CE" w:rsidP="00465BA3">
      <w:pPr>
        <w:jc w:val="both"/>
        <w:rPr>
          <w:rFonts w:ascii="Arial" w:hAnsi="Arial"/>
          <w:sz w:val="24"/>
        </w:rPr>
      </w:pPr>
    </w:p>
    <w:p w14:paraId="3F03B9B6" w14:textId="4A9B47CA" w:rsidR="00A069CE" w:rsidRDefault="00A069CE" w:rsidP="00465BA3">
      <w:pPr>
        <w:jc w:val="both"/>
        <w:rPr>
          <w:rFonts w:ascii="Arial" w:hAnsi="Arial"/>
          <w:sz w:val="24"/>
        </w:rPr>
      </w:pPr>
      <w:r>
        <w:rPr>
          <w:rFonts w:ascii="Arial" w:hAnsi="Arial"/>
          <w:sz w:val="24"/>
        </w:rPr>
        <w:t xml:space="preserve">It is imperative that proactive steps are taken to identify fraud, and error, at the earliest opportunity, to ensure losses are reduced.  Work is currently underway to consider enhanced data matching opportunities, along with the use of technology to provide the team with an analytical capability.  The objective will be to </w:t>
      </w:r>
      <w:r w:rsidR="00C67B2B">
        <w:rPr>
          <w:rFonts w:ascii="Arial" w:hAnsi="Arial"/>
          <w:sz w:val="24"/>
        </w:rPr>
        <w:t>raise</w:t>
      </w:r>
      <w:r>
        <w:rPr>
          <w:rFonts w:ascii="Arial" w:hAnsi="Arial"/>
          <w:sz w:val="24"/>
        </w:rPr>
        <w:t xml:space="preserve"> efficiency around identification of fraud indicators and increase the revenue coming in to the Council by removing discounts and entitlements that have been obtained fraudulently.</w:t>
      </w:r>
    </w:p>
    <w:p w14:paraId="733B7FAD" w14:textId="77777777" w:rsidR="00A069CE" w:rsidRDefault="00A069CE" w:rsidP="00465BA3">
      <w:pPr>
        <w:jc w:val="both"/>
        <w:rPr>
          <w:rFonts w:ascii="Arial" w:hAnsi="Arial"/>
          <w:sz w:val="24"/>
        </w:rPr>
      </w:pPr>
    </w:p>
    <w:p w14:paraId="1640CB43" w14:textId="77777777" w:rsidR="006C2B2B" w:rsidRPr="0012422A" w:rsidRDefault="006C2B2B" w:rsidP="006C2B2B">
      <w:pPr>
        <w:keepNext/>
        <w:keepLines/>
        <w:spacing w:before="40"/>
        <w:outlineLvl w:val="1"/>
        <w:rPr>
          <w:rFonts w:ascii="Arial" w:eastAsiaTheme="majorEastAsia" w:hAnsi="Arial" w:cs="Arial"/>
          <w:b/>
          <w:bCs/>
          <w:sz w:val="26"/>
          <w:szCs w:val="26"/>
          <w:u w:val="single"/>
          <w:lang w:val="en-US" w:eastAsia="en-US"/>
        </w:rPr>
      </w:pPr>
      <w:r w:rsidRPr="0012422A">
        <w:rPr>
          <w:rFonts w:ascii="Arial" w:eastAsiaTheme="majorEastAsia" w:hAnsi="Arial" w:cs="Arial"/>
          <w:b/>
          <w:bCs/>
          <w:sz w:val="26"/>
          <w:szCs w:val="26"/>
          <w:u w:val="single"/>
          <w:lang w:val="en-US" w:eastAsia="en-US"/>
        </w:rPr>
        <w:t>Fraud Referrals</w:t>
      </w:r>
    </w:p>
    <w:p w14:paraId="4EC279AB" w14:textId="77777777" w:rsidR="006C2B2B" w:rsidRPr="006C2B2B" w:rsidRDefault="006C2B2B" w:rsidP="006C2B2B">
      <w:pPr>
        <w:rPr>
          <w:b/>
          <w:bCs/>
          <w:color w:val="0070C0"/>
          <w:lang w:val="en-US" w:eastAsia="en-US"/>
        </w:rPr>
      </w:pPr>
    </w:p>
    <w:p w14:paraId="15C27508" w14:textId="77777777" w:rsidR="006C2B2B" w:rsidRPr="006C2B2B" w:rsidRDefault="006C2B2B" w:rsidP="006C2B2B">
      <w:pPr>
        <w:jc w:val="both"/>
        <w:rPr>
          <w:rFonts w:ascii="Arial" w:hAnsi="Arial" w:cs="Arial"/>
          <w:sz w:val="24"/>
          <w:szCs w:val="24"/>
          <w:lang w:val="en-US" w:eastAsia="en-US"/>
        </w:rPr>
      </w:pPr>
      <w:r w:rsidRPr="006C2B2B">
        <w:rPr>
          <w:rFonts w:ascii="Arial" w:hAnsi="Arial" w:cs="Arial"/>
          <w:sz w:val="24"/>
          <w:szCs w:val="24"/>
          <w:lang w:val="en-US" w:eastAsia="en-US"/>
        </w:rPr>
        <w:t xml:space="preserve">Fraud reports are assessed against information held by the Council, including financial loss to the Council, to ensure appropriate allocation for proportionate investigation.  </w:t>
      </w:r>
    </w:p>
    <w:p w14:paraId="60107A90" w14:textId="77777777" w:rsidR="006C2B2B" w:rsidRPr="006C2B2B" w:rsidRDefault="006C2B2B" w:rsidP="006C2B2B">
      <w:pPr>
        <w:jc w:val="both"/>
        <w:rPr>
          <w:rFonts w:ascii="Arial" w:hAnsi="Arial" w:cs="Arial"/>
          <w:sz w:val="24"/>
          <w:szCs w:val="24"/>
          <w:lang w:val="en-US" w:eastAsia="en-US"/>
        </w:rPr>
      </w:pPr>
      <w:r w:rsidRPr="006C2B2B">
        <w:rPr>
          <w:rFonts w:ascii="Arial" w:hAnsi="Arial" w:cs="Arial"/>
          <w:sz w:val="24"/>
          <w:szCs w:val="24"/>
          <w:lang w:val="en-US" w:eastAsia="en-US"/>
        </w:rPr>
        <w:t xml:space="preserve"> </w:t>
      </w:r>
    </w:p>
    <w:p w14:paraId="6169258B" w14:textId="2856BD27" w:rsidR="000D0308" w:rsidRDefault="4A8E0240" w:rsidP="06E3B514">
      <w:pPr>
        <w:spacing w:after="200" w:line="276" w:lineRule="auto"/>
        <w:jc w:val="both"/>
        <w:rPr>
          <w:rFonts w:ascii="Arial" w:hAnsi="Arial" w:cs="Arial"/>
          <w:sz w:val="24"/>
          <w:szCs w:val="24"/>
          <w:lang w:eastAsia="en-US"/>
        </w:rPr>
      </w:pPr>
      <w:r w:rsidRPr="3A111552">
        <w:rPr>
          <w:rFonts w:ascii="Arial" w:hAnsi="Arial" w:cs="Arial"/>
          <w:sz w:val="24"/>
          <w:szCs w:val="24"/>
          <w:lang w:eastAsia="en-US"/>
        </w:rPr>
        <w:t>As of February 2026</w:t>
      </w:r>
      <w:r w:rsidR="006C2B2B" w:rsidRPr="3A111552">
        <w:rPr>
          <w:rFonts w:ascii="Arial" w:hAnsi="Arial" w:cs="Arial"/>
          <w:sz w:val="24"/>
          <w:szCs w:val="24"/>
          <w:lang w:eastAsia="en-US"/>
        </w:rPr>
        <w:t xml:space="preserve">, the </w:t>
      </w:r>
      <w:r w:rsidR="00AF285E" w:rsidRPr="3A111552">
        <w:rPr>
          <w:rFonts w:ascii="Arial" w:hAnsi="Arial" w:cs="Arial"/>
          <w:sz w:val="24"/>
          <w:szCs w:val="24"/>
          <w:lang w:eastAsia="en-US"/>
        </w:rPr>
        <w:t>number of fraud reports received was 139, exceeding the previous year’s level of 120</w:t>
      </w:r>
      <w:r w:rsidR="006C2B2B" w:rsidRPr="3A111552">
        <w:rPr>
          <w:rFonts w:ascii="Arial" w:hAnsi="Arial" w:cs="Arial"/>
          <w:sz w:val="24"/>
          <w:szCs w:val="24"/>
          <w:lang w:eastAsia="en-US"/>
        </w:rPr>
        <w:t>.  Th</w:t>
      </w:r>
      <w:r w:rsidR="00A6679D" w:rsidRPr="3A111552">
        <w:rPr>
          <w:rFonts w:ascii="Arial" w:hAnsi="Arial" w:cs="Arial"/>
          <w:sz w:val="24"/>
          <w:szCs w:val="24"/>
          <w:lang w:eastAsia="en-US"/>
        </w:rPr>
        <w:t>ese are broken down as follows</w:t>
      </w:r>
      <w:r w:rsidR="000D0308" w:rsidRPr="3A111552">
        <w:rPr>
          <w:rFonts w:ascii="Arial" w:hAnsi="Arial" w:cs="Arial"/>
          <w:sz w:val="24"/>
          <w:szCs w:val="24"/>
          <w:lang w:eastAsia="en-US"/>
        </w:rPr>
        <w:t>:</w:t>
      </w:r>
    </w:p>
    <w:p w14:paraId="589F65A1" w14:textId="77777777" w:rsidR="00AE0294" w:rsidRDefault="00AE0294" w:rsidP="006C2B2B">
      <w:pPr>
        <w:spacing w:after="200" w:line="276" w:lineRule="auto"/>
        <w:jc w:val="both"/>
        <w:rPr>
          <w:rFonts w:ascii="Arial" w:hAnsi="Arial" w:cs="Arial"/>
          <w:sz w:val="24"/>
          <w:szCs w:val="24"/>
          <w:lang w:val="en-US" w:eastAsia="en-US"/>
        </w:rPr>
      </w:pPr>
    </w:p>
    <w:tbl>
      <w:tblPr>
        <w:tblStyle w:val="TableGrid"/>
        <w:tblW w:w="0" w:type="auto"/>
        <w:tblLook w:val="04A0" w:firstRow="1" w:lastRow="0" w:firstColumn="1" w:lastColumn="0" w:noHBand="0" w:noVBand="1"/>
      </w:tblPr>
      <w:tblGrid>
        <w:gridCol w:w="5382"/>
        <w:gridCol w:w="3634"/>
      </w:tblGrid>
      <w:tr w:rsidR="0099347B" w:rsidRPr="00092D03" w14:paraId="08043631" w14:textId="77777777" w:rsidTr="50A97535">
        <w:tc>
          <w:tcPr>
            <w:tcW w:w="5382" w:type="dxa"/>
          </w:tcPr>
          <w:p w14:paraId="3C58E73B" w14:textId="0A0FB81A" w:rsidR="00606B97" w:rsidRPr="00092D03" w:rsidRDefault="00C4232E" w:rsidP="00CC20B8">
            <w:pPr>
              <w:jc w:val="both"/>
              <w:rPr>
                <w:rFonts w:ascii="Arial" w:hAnsi="Arial" w:cs="Arial"/>
                <w:b/>
                <w:bCs/>
                <w:sz w:val="24"/>
                <w:szCs w:val="24"/>
                <w:lang w:val="en-US" w:eastAsia="en-US"/>
              </w:rPr>
            </w:pPr>
            <w:r>
              <w:rPr>
                <w:rFonts w:ascii="Arial" w:hAnsi="Arial" w:cs="Arial"/>
                <w:b/>
                <w:bCs/>
                <w:sz w:val="24"/>
                <w:szCs w:val="24"/>
                <w:lang w:val="en-US" w:eastAsia="en-US"/>
              </w:rPr>
              <w:lastRenderedPageBreak/>
              <w:t>Report Type</w:t>
            </w:r>
          </w:p>
        </w:tc>
        <w:tc>
          <w:tcPr>
            <w:tcW w:w="3634" w:type="dxa"/>
          </w:tcPr>
          <w:p w14:paraId="39AB9F1F" w14:textId="77777777" w:rsidR="00606B97" w:rsidRPr="00092D03" w:rsidRDefault="00606B97" w:rsidP="00CC20B8">
            <w:pPr>
              <w:jc w:val="both"/>
              <w:rPr>
                <w:rFonts w:ascii="Arial" w:hAnsi="Arial" w:cs="Arial"/>
                <w:b/>
                <w:bCs/>
                <w:sz w:val="24"/>
                <w:szCs w:val="24"/>
                <w:lang w:val="en-US" w:eastAsia="en-US"/>
              </w:rPr>
            </w:pPr>
            <w:r w:rsidRPr="00092D03">
              <w:rPr>
                <w:rFonts w:ascii="Arial" w:hAnsi="Arial" w:cs="Arial"/>
                <w:b/>
                <w:bCs/>
                <w:sz w:val="24"/>
                <w:szCs w:val="24"/>
                <w:lang w:val="en-US" w:eastAsia="en-US"/>
              </w:rPr>
              <w:t>Number</w:t>
            </w:r>
          </w:p>
        </w:tc>
      </w:tr>
      <w:tr w:rsidR="0099347B" w14:paraId="78EF05DD" w14:textId="77777777" w:rsidTr="50A97535">
        <w:tc>
          <w:tcPr>
            <w:tcW w:w="5382" w:type="dxa"/>
          </w:tcPr>
          <w:p w14:paraId="249FA5AF" w14:textId="70DFC869" w:rsidR="00606B97" w:rsidRDefault="002F1114" w:rsidP="00CC20B8">
            <w:pPr>
              <w:jc w:val="both"/>
              <w:rPr>
                <w:rFonts w:ascii="Arial" w:hAnsi="Arial" w:cs="Arial"/>
                <w:sz w:val="24"/>
                <w:szCs w:val="24"/>
                <w:lang w:val="en-US" w:eastAsia="en-US"/>
              </w:rPr>
            </w:pPr>
            <w:r>
              <w:rPr>
                <w:rFonts w:ascii="Arial" w:hAnsi="Arial" w:cs="Arial"/>
                <w:sz w:val="24"/>
                <w:szCs w:val="24"/>
                <w:lang w:val="en-US" w:eastAsia="en-US"/>
              </w:rPr>
              <w:t xml:space="preserve">Council Tax </w:t>
            </w:r>
            <w:r w:rsidR="007111EE">
              <w:rPr>
                <w:rFonts w:ascii="Arial" w:hAnsi="Arial" w:cs="Arial"/>
                <w:sz w:val="24"/>
                <w:szCs w:val="24"/>
                <w:lang w:val="en-US" w:eastAsia="en-US"/>
              </w:rPr>
              <w:t>–</w:t>
            </w:r>
            <w:r>
              <w:rPr>
                <w:rFonts w:ascii="Arial" w:hAnsi="Arial" w:cs="Arial"/>
                <w:sz w:val="24"/>
                <w:szCs w:val="24"/>
                <w:lang w:val="en-US" w:eastAsia="en-US"/>
              </w:rPr>
              <w:t xml:space="preserve"> </w:t>
            </w:r>
            <w:r w:rsidR="007111EE">
              <w:rPr>
                <w:rFonts w:ascii="Arial" w:hAnsi="Arial" w:cs="Arial"/>
                <w:sz w:val="24"/>
                <w:szCs w:val="24"/>
                <w:lang w:val="en-US" w:eastAsia="en-US"/>
              </w:rPr>
              <w:t>S</w:t>
            </w:r>
            <w:r w:rsidR="00724D9F">
              <w:rPr>
                <w:rFonts w:ascii="Arial" w:hAnsi="Arial" w:cs="Arial"/>
                <w:sz w:val="24"/>
                <w:szCs w:val="24"/>
                <w:lang w:val="en-US" w:eastAsia="en-US"/>
              </w:rPr>
              <w:t>ingle Person Discount</w:t>
            </w:r>
          </w:p>
        </w:tc>
        <w:tc>
          <w:tcPr>
            <w:tcW w:w="3634" w:type="dxa"/>
          </w:tcPr>
          <w:p w14:paraId="1BA3E0AD" w14:textId="431E06BD" w:rsidR="00606B97" w:rsidRDefault="00A770D3" w:rsidP="00CC20B8">
            <w:pPr>
              <w:jc w:val="both"/>
              <w:rPr>
                <w:rFonts w:ascii="Arial" w:hAnsi="Arial" w:cs="Arial"/>
                <w:sz w:val="24"/>
                <w:szCs w:val="24"/>
                <w:lang w:val="en-US" w:eastAsia="en-US"/>
              </w:rPr>
            </w:pPr>
            <w:r w:rsidRPr="50A97535">
              <w:rPr>
                <w:rFonts w:ascii="Arial" w:hAnsi="Arial" w:cs="Arial"/>
                <w:sz w:val="24"/>
                <w:szCs w:val="24"/>
                <w:lang w:val="en-US" w:eastAsia="en-US"/>
              </w:rPr>
              <w:t>7</w:t>
            </w:r>
            <w:r w:rsidR="423D5C0E" w:rsidRPr="50A97535">
              <w:rPr>
                <w:rFonts w:ascii="Arial" w:hAnsi="Arial" w:cs="Arial"/>
                <w:sz w:val="24"/>
                <w:szCs w:val="24"/>
                <w:lang w:val="en-US" w:eastAsia="en-US"/>
              </w:rPr>
              <w:t>0</w:t>
            </w:r>
          </w:p>
        </w:tc>
      </w:tr>
      <w:tr w:rsidR="0099347B" w14:paraId="0791443B" w14:textId="77777777" w:rsidTr="50A97535">
        <w:tc>
          <w:tcPr>
            <w:tcW w:w="5382" w:type="dxa"/>
          </w:tcPr>
          <w:p w14:paraId="04C0F842" w14:textId="4EF6D6C9" w:rsidR="00606B97" w:rsidRDefault="00724D9F" w:rsidP="00CC20B8">
            <w:pPr>
              <w:jc w:val="both"/>
              <w:rPr>
                <w:rFonts w:ascii="Arial" w:hAnsi="Arial" w:cs="Arial"/>
                <w:sz w:val="24"/>
                <w:szCs w:val="24"/>
                <w:lang w:val="en-US" w:eastAsia="en-US"/>
              </w:rPr>
            </w:pPr>
            <w:r>
              <w:rPr>
                <w:rFonts w:ascii="Arial" w:hAnsi="Arial" w:cs="Arial"/>
                <w:sz w:val="24"/>
                <w:szCs w:val="24"/>
                <w:lang w:val="en-US" w:eastAsia="en-US"/>
              </w:rPr>
              <w:t>Council Tax – Empty Property</w:t>
            </w:r>
          </w:p>
        </w:tc>
        <w:tc>
          <w:tcPr>
            <w:tcW w:w="3634" w:type="dxa"/>
          </w:tcPr>
          <w:p w14:paraId="7A00B0F3" w14:textId="374FFC2C" w:rsidR="00606B97" w:rsidRDefault="00A770D3" w:rsidP="00CC20B8">
            <w:pPr>
              <w:jc w:val="both"/>
              <w:rPr>
                <w:rFonts w:ascii="Arial" w:hAnsi="Arial" w:cs="Arial"/>
                <w:sz w:val="24"/>
                <w:szCs w:val="24"/>
                <w:lang w:val="en-US" w:eastAsia="en-US"/>
              </w:rPr>
            </w:pPr>
            <w:r>
              <w:rPr>
                <w:rFonts w:ascii="Arial" w:hAnsi="Arial" w:cs="Arial"/>
                <w:sz w:val="24"/>
                <w:szCs w:val="24"/>
                <w:lang w:val="en-US" w:eastAsia="en-US"/>
              </w:rPr>
              <w:t>4</w:t>
            </w:r>
          </w:p>
        </w:tc>
      </w:tr>
      <w:tr w:rsidR="0099347B" w14:paraId="6B18DFB6" w14:textId="77777777" w:rsidTr="50A97535">
        <w:tc>
          <w:tcPr>
            <w:tcW w:w="5382" w:type="dxa"/>
          </w:tcPr>
          <w:p w14:paraId="6AF338EA" w14:textId="41423ACC" w:rsidR="00606B97" w:rsidRDefault="001F45FA" w:rsidP="00CC20B8">
            <w:pPr>
              <w:jc w:val="both"/>
              <w:rPr>
                <w:rFonts w:ascii="Arial" w:hAnsi="Arial" w:cs="Arial"/>
                <w:sz w:val="24"/>
                <w:szCs w:val="24"/>
                <w:lang w:val="en-US" w:eastAsia="en-US"/>
              </w:rPr>
            </w:pPr>
            <w:r>
              <w:rPr>
                <w:rFonts w:ascii="Arial" w:hAnsi="Arial" w:cs="Arial"/>
                <w:sz w:val="24"/>
                <w:szCs w:val="24"/>
                <w:lang w:val="en-US" w:eastAsia="en-US"/>
              </w:rPr>
              <w:t>Council Tax - Exemptions</w:t>
            </w:r>
          </w:p>
        </w:tc>
        <w:tc>
          <w:tcPr>
            <w:tcW w:w="3634" w:type="dxa"/>
          </w:tcPr>
          <w:p w14:paraId="0FDB4CAA" w14:textId="6B13A648" w:rsidR="00606B97" w:rsidRDefault="00776469" w:rsidP="00CC20B8">
            <w:pPr>
              <w:jc w:val="both"/>
              <w:rPr>
                <w:rFonts w:ascii="Arial" w:hAnsi="Arial" w:cs="Arial"/>
                <w:sz w:val="24"/>
                <w:szCs w:val="24"/>
                <w:lang w:val="en-US" w:eastAsia="en-US"/>
              </w:rPr>
            </w:pPr>
            <w:r>
              <w:rPr>
                <w:rFonts w:ascii="Arial" w:hAnsi="Arial" w:cs="Arial"/>
                <w:sz w:val="24"/>
                <w:szCs w:val="24"/>
                <w:lang w:val="en-US" w:eastAsia="en-US"/>
              </w:rPr>
              <w:t>1</w:t>
            </w:r>
          </w:p>
        </w:tc>
      </w:tr>
      <w:tr w:rsidR="0099347B" w14:paraId="6910C486" w14:textId="77777777" w:rsidTr="50A97535">
        <w:tc>
          <w:tcPr>
            <w:tcW w:w="5382" w:type="dxa"/>
          </w:tcPr>
          <w:p w14:paraId="47905928" w14:textId="263FD76B" w:rsidR="00C4232E" w:rsidRDefault="003B78DD" w:rsidP="00CC20B8">
            <w:pPr>
              <w:jc w:val="both"/>
              <w:rPr>
                <w:rFonts w:ascii="Arial" w:hAnsi="Arial" w:cs="Arial"/>
                <w:sz w:val="24"/>
                <w:szCs w:val="24"/>
                <w:lang w:val="en-US" w:eastAsia="en-US"/>
              </w:rPr>
            </w:pPr>
            <w:r>
              <w:rPr>
                <w:rFonts w:ascii="Arial" w:hAnsi="Arial" w:cs="Arial"/>
                <w:sz w:val="24"/>
                <w:szCs w:val="24"/>
                <w:lang w:val="en-US" w:eastAsia="en-US"/>
              </w:rPr>
              <w:t>Council Tax – Fail to Disclose</w:t>
            </w:r>
          </w:p>
        </w:tc>
        <w:tc>
          <w:tcPr>
            <w:tcW w:w="3634" w:type="dxa"/>
          </w:tcPr>
          <w:p w14:paraId="07B94174" w14:textId="6BDF0A58" w:rsidR="00C4232E" w:rsidRDefault="00776469" w:rsidP="00CC20B8">
            <w:pPr>
              <w:jc w:val="both"/>
              <w:rPr>
                <w:rFonts w:ascii="Arial" w:hAnsi="Arial" w:cs="Arial"/>
                <w:sz w:val="24"/>
                <w:szCs w:val="24"/>
                <w:lang w:val="en-US" w:eastAsia="en-US"/>
              </w:rPr>
            </w:pPr>
            <w:r>
              <w:rPr>
                <w:rFonts w:ascii="Arial" w:hAnsi="Arial" w:cs="Arial"/>
                <w:sz w:val="24"/>
                <w:szCs w:val="24"/>
                <w:lang w:val="en-US" w:eastAsia="en-US"/>
              </w:rPr>
              <w:t>1</w:t>
            </w:r>
          </w:p>
        </w:tc>
      </w:tr>
      <w:tr w:rsidR="0099347B" w14:paraId="0A49D51B" w14:textId="77777777" w:rsidTr="50A97535">
        <w:tc>
          <w:tcPr>
            <w:tcW w:w="5382" w:type="dxa"/>
          </w:tcPr>
          <w:p w14:paraId="632F4FB0" w14:textId="2D40FBF6" w:rsidR="00C4232E" w:rsidRDefault="004914F1" w:rsidP="00CC20B8">
            <w:pPr>
              <w:jc w:val="both"/>
              <w:rPr>
                <w:rFonts w:ascii="Arial" w:hAnsi="Arial" w:cs="Arial"/>
                <w:sz w:val="24"/>
                <w:szCs w:val="24"/>
                <w:lang w:val="en-US" w:eastAsia="en-US"/>
              </w:rPr>
            </w:pPr>
            <w:r>
              <w:rPr>
                <w:rFonts w:ascii="Arial" w:hAnsi="Arial" w:cs="Arial"/>
                <w:sz w:val="24"/>
                <w:szCs w:val="24"/>
                <w:lang w:val="en-US" w:eastAsia="en-US"/>
              </w:rPr>
              <w:t>Council Tax Support</w:t>
            </w:r>
          </w:p>
        </w:tc>
        <w:tc>
          <w:tcPr>
            <w:tcW w:w="3634" w:type="dxa"/>
          </w:tcPr>
          <w:p w14:paraId="2910F312" w14:textId="57192C08" w:rsidR="00C4232E" w:rsidRDefault="65C10D7F" w:rsidP="00CC20B8">
            <w:pPr>
              <w:jc w:val="both"/>
              <w:rPr>
                <w:rFonts w:ascii="Arial" w:hAnsi="Arial" w:cs="Arial"/>
                <w:sz w:val="24"/>
                <w:szCs w:val="24"/>
                <w:lang w:val="en-US" w:eastAsia="en-US"/>
              </w:rPr>
            </w:pPr>
            <w:r w:rsidRPr="50A97535">
              <w:rPr>
                <w:rFonts w:ascii="Arial" w:hAnsi="Arial" w:cs="Arial"/>
                <w:sz w:val="24"/>
                <w:szCs w:val="24"/>
                <w:lang w:val="en-US" w:eastAsia="en-US"/>
              </w:rPr>
              <w:t>7</w:t>
            </w:r>
          </w:p>
        </w:tc>
      </w:tr>
      <w:tr w:rsidR="0099347B" w14:paraId="54C79C66" w14:textId="77777777" w:rsidTr="50A97535">
        <w:tc>
          <w:tcPr>
            <w:tcW w:w="5382" w:type="dxa"/>
          </w:tcPr>
          <w:p w14:paraId="57B12085" w14:textId="5A10CA97" w:rsidR="00C4232E" w:rsidRDefault="004914F1" w:rsidP="00CC20B8">
            <w:pPr>
              <w:jc w:val="both"/>
              <w:rPr>
                <w:rFonts w:ascii="Arial" w:hAnsi="Arial" w:cs="Arial"/>
                <w:sz w:val="24"/>
                <w:szCs w:val="24"/>
                <w:lang w:val="en-US" w:eastAsia="en-US"/>
              </w:rPr>
            </w:pPr>
            <w:r>
              <w:rPr>
                <w:rFonts w:ascii="Arial" w:hAnsi="Arial" w:cs="Arial"/>
                <w:sz w:val="24"/>
                <w:szCs w:val="24"/>
                <w:lang w:val="en-US" w:eastAsia="en-US"/>
              </w:rPr>
              <w:t>Business Rates</w:t>
            </w:r>
          </w:p>
        </w:tc>
        <w:tc>
          <w:tcPr>
            <w:tcW w:w="3634" w:type="dxa"/>
          </w:tcPr>
          <w:p w14:paraId="41397844" w14:textId="46174861" w:rsidR="00C4232E" w:rsidRDefault="00A20CCA" w:rsidP="00CC20B8">
            <w:pPr>
              <w:jc w:val="both"/>
              <w:rPr>
                <w:rFonts w:ascii="Arial" w:hAnsi="Arial" w:cs="Arial"/>
                <w:sz w:val="24"/>
                <w:szCs w:val="24"/>
                <w:lang w:val="en-US" w:eastAsia="en-US"/>
              </w:rPr>
            </w:pPr>
            <w:r>
              <w:rPr>
                <w:rFonts w:ascii="Arial" w:hAnsi="Arial" w:cs="Arial"/>
                <w:sz w:val="24"/>
                <w:szCs w:val="24"/>
                <w:lang w:val="en-US" w:eastAsia="en-US"/>
              </w:rPr>
              <w:t>4</w:t>
            </w:r>
          </w:p>
        </w:tc>
      </w:tr>
      <w:tr w:rsidR="0099347B" w14:paraId="1BEA82E1" w14:textId="77777777" w:rsidTr="50A97535">
        <w:tc>
          <w:tcPr>
            <w:tcW w:w="5382" w:type="dxa"/>
          </w:tcPr>
          <w:p w14:paraId="37A8DF5A" w14:textId="3677AF06" w:rsidR="00776469" w:rsidRDefault="00776469" w:rsidP="00CC20B8">
            <w:pPr>
              <w:jc w:val="both"/>
              <w:rPr>
                <w:rFonts w:ascii="Arial" w:hAnsi="Arial" w:cs="Arial"/>
                <w:sz w:val="24"/>
                <w:szCs w:val="24"/>
                <w:lang w:val="en-US" w:eastAsia="en-US"/>
              </w:rPr>
            </w:pPr>
            <w:r>
              <w:rPr>
                <w:rFonts w:ascii="Arial" w:hAnsi="Arial" w:cs="Arial"/>
                <w:sz w:val="24"/>
                <w:szCs w:val="24"/>
                <w:lang w:val="en-US" w:eastAsia="en-US"/>
              </w:rPr>
              <w:t>Blue Badge</w:t>
            </w:r>
          </w:p>
        </w:tc>
        <w:tc>
          <w:tcPr>
            <w:tcW w:w="3634" w:type="dxa"/>
          </w:tcPr>
          <w:p w14:paraId="648D4DB2" w14:textId="394F3B69" w:rsidR="00776469" w:rsidRDefault="00A13C41" w:rsidP="00CC20B8">
            <w:pPr>
              <w:jc w:val="both"/>
              <w:rPr>
                <w:rFonts w:ascii="Arial" w:hAnsi="Arial" w:cs="Arial"/>
                <w:sz w:val="24"/>
                <w:szCs w:val="24"/>
                <w:lang w:val="en-US" w:eastAsia="en-US"/>
              </w:rPr>
            </w:pPr>
            <w:r>
              <w:rPr>
                <w:rFonts w:ascii="Arial" w:hAnsi="Arial" w:cs="Arial"/>
                <w:sz w:val="24"/>
                <w:szCs w:val="24"/>
                <w:lang w:val="en-US" w:eastAsia="en-US"/>
              </w:rPr>
              <w:t>7</w:t>
            </w:r>
          </w:p>
        </w:tc>
      </w:tr>
      <w:tr w:rsidR="0099347B" w14:paraId="036B0097" w14:textId="77777777" w:rsidTr="50A97535">
        <w:tc>
          <w:tcPr>
            <w:tcW w:w="5382" w:type="dxa"/>
          </w:tcPr>
          <w:p w14:paraId="4A5203CA" w14:textId="60CCEEB8" w:rsidR="00C4232E" w:rsidRDefault="003076E2" w:rsidP="00CC20B8">
            <w:pPr>
              <w:jc w:val="both"/>
              <w:rPr>
                <w:rFonts w:ascii="Arial" w:hAnsi="Arial" w:cs="Arial"/>
                <w:sz w:val="24"/>
                <w:szCs w:val="24"/>
                <w:lang w:val="en-US" w:eastAsia="en-US"/>
              </w:rPr>
            </w:pPr>
            <w:r>
              <w:rPr>
                <w:rFonts w:ascii="Arial" w:hAnsi="Arial" w:cs="Arial"/>
                <w:sz w:val="24"/>
                <w:szCs w:val="24"/>
                <w:lang w:val="en-US" w:eastAsia="en-US"/>
              </w:rPr>
              <w:t>Housing Benefit</w:t>
            </w:r>
          </w:p>
        </w:tc>
        <w:tc>
          <w:tcPr>
            <w:tcW w:w="3634" w:type="dxa"/>
          </w:tcPr>
          <w:p w14:paraId="476832A0" w14:textId="32E1E6F7" w:rsidR="00C4232E" w:rsidRDefault="00A13C41" w:rsidP="00CC20B8">
            <w:pPr>
              <w:jc w:val="both"/>
              <w:rPr>
                <w:rFonts w:ascii="Arial" w:hAnsi="Arial" w:cs="Arial"/>
                <w:sz w:val="24"/>
                <w:szCs w:val="24"/>
                <w:lang w:val="en-US" w:eastAsia="en-US"/>
              </w:rPr>
            </w:pPr>
            <w:r>
              <w:rPr>
                <w:rFonts w:ascii="Arial" w:hAnsi="Arial" w:cs="Arial"/>
                <w:sz w:val="24"/>
                <w:szCs w:val="24"/>
                <w:lang w:val="en-US" w:eastAsia="en-US"/>
              </w:rPr>
              <w:t>33</w:t>
            </w:r>
          </w:p>
        </w:tc>
      </w:tr>
      <w:tr w:rsidR="0099347B" w14:paraId="1D230A40" w14:textId="77777777" w:rsidTr="50A97535">
        <w:tc>
          <w:tcPr>
            <w:tcW w:w="5382" w:type="dxa"/>
          </w:tcPr>
          <w:p w14:paraId="7834A68C" w14:textId="3461B4BD" w:rsidR="00C4232E" w:rsidRDefault="001528F2" w:rsidP="00CC20B8">
            <w:pPr>
              <w:jc w:val="both"/>
              <w:rPr>
                <w:rFonts w:ascii="Arial" w:hAnsi="Arial" w:cs="Arial"/>
                <w:sz w:val="24"/>
                <w:szCs w:val="24"/>
                <w:lang w:val="en-US" w:eastAsia="en-US"/>
              </w:rPr>
            </w:pPr>
            <w:r>
              <w:rPr>
                <w:rFonts w:ascii="Arial" w:hAnsi="Arial" w:cs="Arial"/>
                <w:sz w:val="24"/>
                <w:szCs w:val="24"/>
                <w:lang w:val="en-US" w:eastAsia="en-US"/>
              </w:rPr>
              <w:t>Passported Benefit</w:t>
            </w:r>
          </w:p>
        </w:tc>
        <w:tc>
          <w:tcPr>
            <w:tcW w:w="3634" w:type="dxa"/>
          </w:tcPr>
          <w:p w14:paraId="16E653A1" w14:textId="483A8E75" w:rsidR="00C4232E" w:rsidRDefault="00A20CCA" w:rsidP="00CC20B8">
            <w:pPr>
              <w:jc w:val="both"/>
              <w:rPr>
                <w:rFonts w:ascii="Arial" w:hAnsi="Arial" w:cs="Arial"/>
                <w:sz w:val="24"/>
                <w:szCs w:val="24"/>
                <w:lang w:val="en-US" w:eastAsia="en-US"/>
              </w:rPr>
            </w:pPr>
            <w:r>
              <w:rPr>
                <w:rFonts w:ascii="Arial" w:hAnsi="Arial" w:cs="Arial"/>
                <w:sz w:val="24"/>
                <w:szCs w:val="24"/>
                <w:lang w:val="en-US" w:eastAsia="en-US"/>
              </w:rPr>
              <w:t>4</w:t>
            </w:r>
          </w:p>
        </w:tc>
      </w:tr>
      <w:tr w:rsidR="0099347B" w14:paraId="408DF38D" w14:textId="77777777" w:rsidTr="50A97535">
        <w:tc>
          <w:tcPr>
            <w:tcW w:w="5382" w:type="dxa"/>
          </w:tcPr>
          <w:p w14:paraId="3D64B13B" w14:textId="2BA40935" w:rsidR="00C4232E" w:rsidRDefault="00D7184E" w:rsidP="00CC20B8">
            <w:pPr>
              <w:jc w:val="both"/>
              <w:rPr>
                <w:rFonts w:ascii="Arial" w:hAnsi="Arial" w:cs="Arial"/>
                <w:sz w:val="24"/>
                <w:szCs w:val="24"/>
                <w:lang w:val="en-US" w:eastAsia="en-US"/>
              </w:rPr>
            </w:pPr>
            <w:r>
              <w:rPr>
                <w:rFonts w:ascii="Arial" w:hAnsi="Arial" w:cs="Arial"/>
                <w:sz w:val="24"/>
                <w:szCs w:val="24"/>
                <w:lang w:val="en-US" w:eastAsia="en-US"/>
              </w:rPr>
              <w:t>DWP Information Exchange</w:t>
            </w:r>
          </w:p>
        </w:tc>
        <w:tc>
          <w:tcPr>
            <w:tcW w:w="3634" w:type="dxa"/>
          </w:tcPr>
          <w:p w14:paraId="5AEFE76C" w14:textId="0977FF64" w:rsidR="00C4232E" w:rsidRDefault="00A20CCA" w:rsidP="00CC20B8">
            <w:pPr>
              <w:jc w:val="both"/>
              <w:rPr>
                <w:rFonts w:ascii="Arial" w:hAnsi="Arial" w:cs="Arial"/>
                <w:sz w:val="24"/>
                <w:szCs w:val="24"/>
                <w:lang w:val="en-US" w:eastAsia="en-US"/>
              </w:rPr>
            </w:pPr>
            <w:r>
              <w:rPr>
                <w:rFonts w:ascii="Arial" w:hAnsi="Arial" w:cs="Arial"/>
                <w:sz w:val="24"/>
                <w:szCs w:val="24"/>
                <w:lang w:val="en-US" w:eastAsia="en-US"/>
              </w:rPr>
              <w:t>8</w:t>
            </w:r>
          </w:p>
        </w:tc>
      </w:tr>
    </w:tbl>
    <w:p w14:paraId="4DA91F86" w14:textId="172873A4" w:rsidR="24B6AD16" w:rsidRDefault="24B6AD16"/>
    <w:p w14:paraId="6F367E75" w14:textId="77777777" w:rsidR="006C2B2B" w:rsidRDefault="006C2B2B" w:rsidP="00465BA3">
      <w:pPr>
        <w:jc w:val="both"/>
        <w:rPr>
          <w:rFonts w:ascii="Arial" w:hAnsi="Arial"/>
          <w:sz w:val="24"/>
        </w:rPr>
      </w:pPr>
    </w:p>
    <w:p w14:paraId="4B0917A9" w14:textId="77777777" w:rsidR="006160D4" w:rsidRDefault="006160D4" w:rsidP="008D500C">
      <w:pPr>
        <w:jc w:val="both"/>
        <w:rPr>
          <w:rFonts w:ascii="Arial" w:hAnsi="Arial"/>
          <w:sz w:val="24"/>
        </w:rPr>
      </w:pPr>
    </w:p>
    <w:p w14:paraId="09B41D06" w14:textId="7121DB72" w:rsidR="00EE44D1" w:rsidRPr="0061096C" w:rsidRDefault="00EE44D1" w:rsidP="00407264">
      <w:pPr>
        <w:pStyle w:val="Heading2"/>
        <w:rPr>
          <w:rFonts w:ascii="Arial" w:hAnsi="Arial" w:cs="Arial"/>
          <w:b/>
          <w:bCs/>
          <w:color w:val="0070C0"/>
          <w:u w:val="single"/>
        </w:rPr>
      </w:pPr>
      <w:bookmarkStart w:id="0" w:name="_Hlk189150538"/>
      <w:r w:rsidRPr="3A111552">
        <w:rPr>
          <w:rFonts w:ascii="Arial" w:hAnsi="Arial" w:cs="Arial"/>
          <w:b/>
          <w:bCs/>
          <w:color w:val="0070C0"/>
          <w:u w:val="single"/>
        </w:rPr>
        <w:t>Council Tax Fraud</w:t>
      </w:r>
    </w:p>
    <w:p w14:paraId="23C153B8" w14:textId="77777777" w:rsidR="00EE44D1" w:rsidRDefault="00EE44D1" w:rsidP="00EE44D1"/>
    <w:p w14:paraId="2F773A36" w14:textId="0F655C00" w:rsidR="00EE44D1" w:rsidRDefault="00EE44D1" w:rsidP="00EE44D1">
      <w:pPr>
        <w:rPr>
          <w:rFonts w:ascii="Arial" w:hAnsi="Arial" w:cs="Arial"/>
          <w:sz w:val="24"/>
          <w:szCs w:val="24"/>
        </w:rPr>
      </w:pPr>
      <w:r w:rsidRPr="3D7176A0">
        <w:rPr>
          <w:rFonts w:ascii="Arial" w:hAnsi="Arial" w:cs="Arial"/>
          <w:sz w:val="24"/>
          <w:szCs w:val="24"/>
        </w:rPr>
        <w:t xml:space="preserve">This is </w:t>
      </w:r>
      <w:r w:rsidR="002D010A" w:rsidRPr="3D7176A0">
        <w:rPr>
          <w:rFonts w:ascii="Arial" w:hAnsi="Arial" w:cs="Arial"/>
          <w:sz w:val="24"/>
          <w:szCs w:val="24"/>
        </w:rPr>
        <w:t xml:space="preserve">a </w:t>
      </w:r>
      <w:r w:rsidR="000F4CD2" w:rsidRPr="3D7176A0">
        <w:rPr>
          <w:rFonts w:ascii="Arial" w:hAnsi="Arial" w:cs="Arial"/>
          <w:sz w:val="24"/>
          <w:szCs w:val="24"/>
        </w:rPr>
        <w:t>high-risk</w:t>
      </w:r>
      <w:r w:rsidR="002D010A" w:rsidRPr="3D7176A0">
        <w:rPr>
          <w:rFonts w:ascii="Arial" w:hAnsi="Arial" w:cs="Arial"/>
          <w:sz w:val="24"/>
          <w:szCs w:val="24"/>
        </w:rPr>
        <w:t xml:space="preserve"> area </w:t>
      </w:r>
      <w:r w:rsidR="00810981" w:rsidRPr="3D7176A0">
        <w:rPr>
          <w:rFonts w:ascii="Arial" w:hAnsi="Arial" w:cs="Arial"/>
          <w:sz w:val="24"/>
          <w:szCs w:val="24"/>
        </w:rPr>
        <w:t xml:space="preserve">subject to bulk fraud cases </w:t>
      </w:r>
      <w:r w:rsidR="000F4CD2" w:rsidRPr="3D7176A0">
        <w:rPr>
          <w:rFonts w:ascii="Arial" w:hAnsi="Arial" w:cs="Arial"/>
          <w:sz w:val="24"/>
          <w:szCs w:val="24"/>
        </w:rPr>
        <w:t xml:space="preserve">and receives priority </w:t>
      </w:r>
      <w:r w:rsidR="00926F25" w:rsidRPr="3D7176A0">
        <w:rPr>
          <w:rFonts w:ascii="Arial" w:hAnsi="Arial" w:cs="Arial"/>
          <w:sz w:val="24"/>
          <w:szCs w:val="24"/>
        </w:rPr>
        <w:t xml:space="preserve">resourcing.  This also ensures revenue is protected as cases are allocated based </w:t>
      </w:r>
      <w:r w:rsidR="006D39E5" w:rsidRPr="3D7176A0">
        <w:rPr>
          <w:rFonts w:ascii="Arial" w:hAnsi="Arial" w:cs="Arial"/>
          <w:sz w:val="24"/>
          <w:szCs w:val="24"/>
        </w:rPr>
        <w:t xml:space="preserve">on factors including recovery of financial loss. </w:t>
      </w:r>
      <w:r w:rsidR="376E7FB4" w:rsidRPr="3D7176A0">
        <w:rPr>
          <w:rFonts w:ascii="Arial" w:hAnsi="Arial" w:cs="Arial"/>
          <w:sz w:val="24"/>
          <w:szCs w:val="24"/>
        </w:rPr>
        <w:t xml:space="preserve"> Action is split into the following areas.</w:t>
      </w:r>
    </w:p>
    <w:p w14:paraId="0D6FBFE9" w14:textId="77777777" w:rsidR="00122A21" w:rsidRPr="00EE44D1" w:rsidRDefault="00122A21" w:rsidP="00EE44D1">
      <w:pPr>
        <w:rPr>
          <w:rFonts w:ascii="Arial" w:hAnsi="Arial" w:cs="Arial"/>
          <w:sz w:val="24"/>
          <w:szCs w:val="24"/>
        </w:rPr>
      </w:pPr>
    </w:p>
    <w:p w14:paraId="2D168A6C" w14:textId="77777777" w:rsidR="00EE44D1" w:rsidRPr="00E5389B" w:rsidRDefault="00EE44D1" w:rsidP="00EE44D1"/>
    <w:p w14:paraId="373A3BD7" w14:textId="4A3923C7" w:rsidR="00D75B07" w:rsidRPr="00F6354E" w:rsidRDefault="003331F8" w:rsidP="00CB60A7">
      <w:pPr>
        <w:pStyle w:val="Heading2"/>
        <w:rPr>
          <w:rFonts w:ascii="Arial" w:hAnsi="Arial" w:cs="Arial"/>
          <w:b/>
          <w:bCs/>
          <w:color w:val="0070C0"/>
        </w:rPr>
      </w:pPr>
      <w:r w:rsidRPr="00F6354E">
        <w:rPr>
          <w:rFonts w:ascii="Arial" w:hAnsi="Arial" w:cs="Arial"/>
          <w:b/>
          <w:bCs/>
          <w:color w:val="0070C0"/>
        </w:rPr>
        <w:t xml:space="preserve">Council Tax </w:t>
      </w:r>
      <w:r w:rsidR="00D75B07" w:rsidRPr="00F6354E">
        <w:rPr>
          <w:rFonts w:ascii="Arial" w:hAnsi="Arial" w:cs="Arial"/>
          <w:b/>
          <w:bCs/>
          <w:color w:val="0070C0"/>
        </w:rPr>
        <w:t>Si</w:t>
      </w:r>
      <w:r w:rsidRPr="00F6354E">
        <w:rPr>
          <w:rFonts w:ascii="Arial" w:hAnsi="Arial" w:cs="Arial"/>
          <w:b/>
          <w:bCs/>
          <w:color w:val="0070C0"/>
        </w:rPr>
        <w:t xml:space="preserve">ngle </w:t>
      </w:r>
      <w:r w:rsidR="00D75B07" w:rsidRPr="00F6354E">
        <w:rPr>
          <w:rFonts w:ascii="Arial" w:hAnsi="Arial" w:cs="Arial"/>
          <w:b/>
          <w:bCs/>
          <w:color w:val="0070C0"/>
        </w:rPr>
        <w:t>R</w:t>
      </w:r>
      <w:r w:rsidRPr="00F6354E">
        <w:rPr>
          <w:rFonts w:ascii="Arial" w:hAnsi="Arial" w:cs="Arial"/>
          <w:b/>
          <w:bCs/>
          <w:color w:val="0070C0"/>
        </w:rPr>
        <w:t xml:space="preserve">esidency </w:t>
      </w:r>
      <w:r w:rsidR="00D75B07" w:rsidRPr="00F6354E">
        <w:rPr>
          <w:rFonts w:ascii="Arial" w:hAnsi="Arial" w:cs="Arial"/>
          <w:b/>
          <w:bCs/>
          <w:color w:val="0070C0"/>
        </w:rPr>
        <w:t>R</w:t>
      </w:r>
      <w:r w:rsidRPr="00F6354E">
        <w:rPr>
          <w:rFonts w:ascii="Arial" w:hAnsi="Arial" w:cs="Arial"/>
          <w:b/>
          <w:bCs/>
          <w:color w:val="0070C0"/>
        </w:rPr>
        <w:t>eview</w:t>
      </w:r>
      <w:bookmarkEnd w:id="0"/>
      <w:r w:rsidR="008C3F25" w:rsidRPr="00F6354E">
        <w:rPr>
          <w:rFonts w:ascii="Arial" w:hAnsi="Arial" w:cs="Arial"/>
          <w:b/>
          <w:bCs/>
          <w:color w:val="0070C0"/>
        </w:rPr>
        <w:t xml:space="preserve"> (SRD)</w:t>
      </w:r>
    </w:p>
    <w:p w14:paraId="56C43FD0" w14:textId="77777777" w:rsidR="00D75B07" w:rsidRDefault="00D75B07" w:rsidP="00D75B07">
      <w:pPr>
        <w:spacing w:line="276" w:lineRule="auto"/>
        <w:jc w:val="both"/>
        <w:rPr>
          <w:rFonts w:ascii="Arial" w:hAnsi="Arial"/>
          <w:sz w:val="24"/>
        </w:rPr>
      </w:pPr>
    </w:p>
    <w:p w14:paraId="23FB6A19" w14:textId="335EE299" w:rsidR="00E9459E" w:rsidRDefault="3FBDC494" w:rsidP="000B31B3">
      <w:pPr>
        <w:spacing w:line="276" w:lineRule="auto"/>
        <w:jc w:val="both"/>
        <w:rPr>
          <w:rFonts w:ascii="Arial" w:hAnsi="Arial"/>
          <w:sz w:val="24"/>
          <w:szCs w:val="24"/>
        </w:rPr>
      </w:pPr>
      <w:r w:rsidRPr="04BD2A26">
        <w:rPr>
          <w:rFonts w:ascii="Arial" w:hAnsi="Arial"/>
          <w:sz w:val="24"/>
          <w:szCs w:val="24"/>
        </w:rPr>
        <w:t xml:space="preserve">In 2021 the Council commenced a monthly review of </w:t>
      </w:r>
      <w:r w:rsidR="679C475F" w:rsidRPr="04BD2A26">
        <w:rPr>
          <w:rFonts w:ascii="Arial" w:hAnsi="Arial"/>
          <w:sz w:val="24"/>
          <w:szCs w:val="24"/>
        </w:rPr>
        <w:t xml:space="preserve">Single Person Discounts and used credit agency information to conduct a data matching </w:t>
      </w:r>
      <w:r w:rsidR="2B6C154C" w:rsidRPr="04BD2A26">
        <w:rPr>
          <w:rFonts w:ascii="Arial" w:hAnsi="Arial"/>
          <w:sz w:val="24"/>
          <w:szCs w:val="24"/>
        </w:rPr>
        <w:t>exercise</w:t>
      </w:r>
      <w:r w:rsidR="679C475F" w:rsidRPr="04BD2A26">
        <w:rPr>
          <w:rFonts w:ascii="Arial" w:hAnsi="Arial"/>
          <w:sz w:val="24"/>
          <w:szCs w:val="24"/>
        </w:rPr>
        <w:t xml:space="preserve"> </w:t>
      </w:r>
      <w:r w:rsidR="32951434" w:rsidRPr="04BD2A26">
        <w:rPr>
          <w:rFonts w:ascii="Arial" w:hAnsi="Arial"/>
          <w:sz w:val="24"/>
          <w:szCs w:val="24"/>
        </w:rPr>
        <w:t xml:space="preserve">aimed at removing discounts that residents were no longer entitled to.  </w:t>
      </w:r>
      <w:r w:rsidR="77FA790C" w:rsidRPr="04BD2A26">
        <w:rPr>
          <w:rFonts w:ascii="Arial" w:hAnsi="Arial"/>
          <w:sz w:val="24"/>
          <w:szCs w:val="24"/>
        </w:rPr>
        <w:t xml:space="preserve">Though the </w:t>
      </w:r>
      <w:r w:rsidR="1206FA0A" w:rsidRPr="04BD2A26">
        <w:rPr>
          <w:rFonts w:ascii="Arial" w:hAnsi="Arial"/>
          <w:sz w:val="24"/>
          <w:szCs w:val="24"/>
        </w:rPr>
        <w:t xml:space="preserve">exercise represented value for money in terms of increased revenue, the past three years </w:t>
      </w:r>
      <w:r w:rsidR="5D818F47" w:rsidRPr="04BD2A26">
        <w:rPr>
          <w:rFonts w:ascii="Arial" w:hAnsi="Arial"/>
          <w:sz w:val="24"/>
          <w:szCs w:val="24"/>
        </w:rPr>
        <w:t>show that the returns have decreased</w:t>
      </w:r>
      <w:r w:rsidR="211A5F71" w:rsidRPr="04BD2A26">
        <w:rPr>
          <w:rFonts w:ascii="Arial" w:hAnsi="Arial"/>
          <w:sz w:val="24"/>
          <w:szCs w:val="24"/>
        </w:rPr>
        <w:t xml:space="preserve"> – this was something anticipated when the project was planned and the duration set at three to four years.  There has also been a significant effect on</w:t>
      </w:r>
      <w:r w:rsidR="39C0FFBC" w:rsidRPr="04BD2A26">
        <w:rPr>
          <w:rFonts w:ascii="Arial" w:hAnsi="Arial"/>
          <w:sz w:val="24"/>
          <w:szCs w:val="24"/>
        </w:rPr>
        <w:t xml:space="preserve"> the removal of inappropriate discounts by work carried out by the Local Taxation and Benefits Team.  Their re</w:t>
      </w:r>
      <w:r w:rsidR="41E89E51" w:rsidRPr="04BD2A26">
        <w:rPr>
          <w:rFonts w:ascii="Arial" w:hAnsi="Arial"/>
          <w:sz w:val="24"/>
          <w:szCs w:val="24"/>
        </w:rPr>
        <w:t xml:space="preserve">view of all households with a single person discount in 2024 resulted in removal of discounts </w:t>
      </w:r>
      <w:r w:rsidR="372CC0F0" w:rsidRPr="04BD2A26">
        <w:rPr>
          <w:rFonts w:ascii="Arial" w:hAnsi="Arial"/>
          <w:sz w:val="24"/>
          <w:szCs w:val="24"/>
        </w:rPr>
        <w:t xml:space="preserve">exceeding £1 million. </w:t>
      </w:r>
    </w:p>
    <w:p w14:paraId="6DD0B5F0" w14:textId="10EA3149" w:rsidR="04BD2A26" w:rsidRDefault="04BD2A26" w:rsidP="04BD2A26">
      <w:pPr>
        <w:spacing w:line="276" w:lineRule="auto"/>
        <w:jc w:val="both"/>
        <w:rPr>
          <w:rFonts w:ascii="Arial" w:hAnsi="Arial"/>
          <w:sz w:val="24"/>
          <w:szCs w:val="24"/>
        </w:rPr>
      </w:pPr>
    </w:p>
    <w:p w14:paraId="33C5072C" w14:textId="490D5E1F" w:rsidR="04BD2A26" w:rsidRDefault="04BD2A26" w:rsidP="04BD2A26">
      <w:pPr>
        <w:spacing w:line="276" w:lineRule="auto"/>
        <w:jc w:val="both"/>
        <w:rPr>
          <w:rFonts w:ascii="Arial" w:hAnsi="Arial"/>
          <w:sz w:val="24"/>
          <w:szCs w:val="24"/>
        </w:rPr>
      </w:pPr>
    </w:p>
    <w:p w14:paraId="7DF7E9F9" w14:textId="77777777" w:rsidR="00D26861" w:rsidRDefault="00D26861" w:rsidP="000B31B3">
      <w:pPr>
        <w:spacing w:line="276" w:lineRule="auto"/>
        <w:jc w:val="both"/>
        <w:rPr>
          <w:rFonts w:ascii="Arial" w:hAnsi="Arial"/>
          <w:sz w:val="24"/>
          <w:szCs w:val="24"/>
        </w:rPr>
      </w:pPr>
    </w:p>
    <w:tbl>
      <w:tblPr>
        <w:tblStyle w:val="TableGrid"/>
        <w:tblW w:w="0" w:type="auto"/>
        <w:tblLook w:val="04A0" w:firstRow="1" w:lastRow="0" w:firstColumn="1" w:lastColumn="0" w:noHBand="0" w:noVBand="1"/>
      </w:tblPr>
      <w:tblGrid>
        <w:gridCol w:w="2689"/>
        <w:gridCol w:w="2268"/>
        <w:gridCol w:w="2126"/>
        <w:gridCol w:w="1933"/>
      </w:tblGrid>
      <w:tr w:rsidR="008B3CE3" w14:paraId="71B5F87B" w14:textId="77777777" w:rsidTr="3A111552">
        <w:tc>
          <w:tcPr>
            <w:tcW w:w="2689" w:type="dxa"/>
          </w:tcPr>
          <w:p w14:paraId="2804E974" w14:textId="0AEF7AF3" w:rsidR="0059570C" w:rsidRPr="00D26861" w:rsidRDefault="0059570C" w:rsidP="000B31B3">
            <w:pPr>
              <w:spacing w:line="276" w:lineRule="auto"/>
              <w:jc w:val="both"/>
              <w:rPr>
                <w:rFonts w:ascii="Arial" w:hAnsi="Arial"/>
                <w:b/>
                <w:bCs/>
                <w:sz w:val="24"/>
                <w:szCs w:val="24"/>
              </w:rPr>
            </w:pPr>
            <w:bookmarkStart w:id="1" w:name="_Hlk189151122"/>
            <w:r w:rsidRPr="00D26861">
              <w:rPr>
                <w:rFonts w:ascii="Arial" w:hAnsi="Arial"/>
                <w:b/>
                <w:bCs/>
                <w:sz w:val="24"/>
                <w:szCs w:val="24"/>
              </w:rPr>
              <w:t>Measure</w:t>
            </w:r>
          </w:p>
        </w:tc>
        <w:tc>
          <w:tcPr>
            <w:tcW w:w="2268" w:type="dxa"/>
          </w:tcPr>
          <w:p w14:paraId="5F7CDB0F" w14:textId="54D2E362" w:rsidR="0059570C" w:rsidRPr="00D26861" w:rsidRDefault="0059570C" w:rsidP="00D26861">
            <w:pPr>
              <w:spacing w:line="276" w:lineRule="auto"/>
              <w:jc w:val="center"/>
              <w:rPr>
                <w:rFonts w:ascii="Arial" w:hAnsi="Arial"/>
                <w:b/>
                <w:bCs/>
                <w:sz w:val="24"/>
                <w:szCs w:val="24"/>
              </w:rPr>
            </w:pPr>
            <w:r w:rsidRPr="00D26861">
              <w:rPr>
                <w:rFonts w:ascii="Arial" w:hAnsi="Arial"/>
                <w:b/>
                <w:bCs/>
                <w:sz w:val="24"/>
                <w:szCs w:val="24"/>
              </w:rPr>
              <w:t>2022/23</w:t>
            </w:r>
          </w:p>
        </w:tc>
        <w:tc>
          <w:tcPr>
            <w:tcW w:w="2126" w:type="dxa"/>
          </w:tcPr>
          <w:p w14:paraId="53ECB912" w14:textId="229E3932" w:rsidR="0059570C" w:rsidRPr="00D26861" w:rsidRDefault="0059570C" w:rsidP="00D26861">
            <w:pPr>
              <w:spacing w:line="276" w:lineRule="auto"/>
              <w:jc w:val="center"/>
              <w:rPr>
                <w:rFonts w:ascii="Arial" w:hAnsi="Arial"/>
                <w:b/>
                <w:bCs/>
                <w:sz w:val="24"/>
                <w:szCs w:val="24"/>
              </w:rPr>
            </w:pPr>
            <w:r w:rsidRPr="00D26861">
              <w:rPr>
                <w:rFonts w:ascii="Arial" w:hAnsi="Arial"/>
                <w:b/>
                <w:bCs/>
                <w:sz w:val="24"/>
                <w:szCs w:val="24"/>
              </w:rPr>
              <w:t>2023/24</w:t>
            </w:r>
          </w:p>
        </w:tc>
        <w:tc>
          <w:tcPr>
            <w:tcW w:w="1933" w:type="dxa"/>
          </w:tcPr>
          <w:p w14:paraId="3B84D396" w14:textId="0E1F3875" w:rsidR="0059570C" w:rsidRPr="00D26861" w:rsidRDefault="0059570C" w:rsidP="00D26861">
            <w:pPr>
              <w:spacing w:line="276" w:lineRule="auto"/>
              <w:jc w:val="center"/>
              <w:rPr>
                <w:rFonts w:ascii="Arial" w:hAnsi="Arial"/>
                <w:b/>
                <w:bCs/>
                <w:sz w:val="24"/>
                <w:szCs w:val="24"/>
              </w:rPr>
            </w:pPr>
            <w:r w:rsidRPr="00D26861">
              <w:rPr>
                <w:rFonts w:ascii="Arial" w:hAnsi="Arial"/>
                <w:b/>
                <w:bCs/>
                <w:sz w:val="24"/>
                <w:szCs w:val="24"/>
              </w:rPr>
              <w:t>2024/25</w:t>
            </w:r>
          </w:p>
        </w:tc>
      </w:tr>
      <w:tr w:rsidR="008B3CE3" w14:paraId="5F468A24" w14:textId="77777777" w:rsidTr="3A111552">
        <w:tc>
          <w:tcPr>
            <w:tcW w:w="2689" w:type="dxa"/>
          </w:tcPr>
          <w:p w14:paraId="6D0A8276" w14:textId="29DA1A63" w:rsidR="0059570C" w:rsidRPr="00D26861" w:rsidRDefault="0059570C" w:rsidP="000B31B3">
            <w:pPr>
              <w:spacing w:line="276" w:lineRule="auto"/>
              <w:jc w:val="both"/>
              <w:rPr>
                <w:rFonts w:ascii="Arial" w:hAnsi="Arial"/>
                <w:b/>
                <w:bCs/>
                <w:sz w:val="24"/>
                <w:szCs w:val="24"/>
              </w:rPr>
            </w:pPr>
            <w:r w:rsidRPr="00D26861">
              <w:rPr>
                <w:rFonts w:ascii="Arial" w:hAnsi="Arial"/>
                <w:b/>
                <w:bCs/>
                <w:sz w:val="24"/>
                <w:szCs w:val="24"/>
              </w:rPr>
              <w:t>Letters Sent</w:t>
            </w:r>
          </w:p>
        </w:tc>
        <w:tc>
          <w:tcPr>
            <w:tcW w:w="2268" w:type="dxa"/>
          </w:tcPr>
          <w:p w14:paraId="473BEBC4" w14:textId="1FA47194" w:rsidR="0059570C" w:rsidRDefault="00D26861" w:rsidP="00D26861">
            <w:pPr>
              <w:spacing w:line="276" w:lineRule="auto"/>
              <w:jc w:val="center"/>
              <w:rPr>
                <w:rFonts w:ascii="Arial" w:hAnsi="Arial"/>
                <w:sz w:val="24"/>
                <w:szCs w:val="24"/>
              </w:rPr>
            </w:pPr>
            <w:r>
              <w:rPr>
                <w:rFonts w:ascii="Arial" w:hAnsi="Arial"/>
                <w:sz w:val="24"/>
                <w:szCs w:val="24"/>
              </w:rPr>
              <w:t>632</w:t>
            </w:r>
          </w:p>
        </w:tc>
        <w:tc>
          <w:tcPr>
            <w:tcW w:w="2126" w:type="dxa"/>
          </w:tcPr>
          <w:p w14:paraId="60D0A4A1" w14:textId="0FD582A0" w:rsidR="0059570C" w:rsidRDefault="00D26861" w:rsidP="00D26861">
            <w:pPr>
              <w:spacing w:line="276" w:lineRule="auto"/>
              <w:jc w:val="center"/>
              <w:rPr>
                <w:rFonts w:ascii="Arial" w:hAnsi="Arial"/>
                <w:sz w:val="24"/>
                <w:szCs w:val="24"/>
              </w:rPr>
            </w:pPr>
            <w:r>
              <w:rPr>
                <w:rFonts w:ascii="Arial" w:hAnsi="Arial"/>
                <w:sz w:val="24"/>
                <w:szCs w:val="24"/>
              </w:rPr>
              <w:t>368</w:t>
            </w:r>
          </w:p>
        </w:tc>
        <w:tc>
          <w:tcPr>
            <w:tcW w:w="1933" w:type="dxa"/>
          </w:tcPr>
          <w:p w14:paraId="3F4899F1" w14:textId="5DE7E2A9" w:rsidR="0059570C" w:rsidRDefault="5D7FF278" w:rsidP="00D26861">
            <w:pPr>
              <w:spacing w:line="276" w:lineRule="auto"/>
              <w:jc w:val="center"/>
              <w:rPr>
                <w:rFonts w:ascii="Arial" w:hAnsi="Arial"/>
                <w:sz w:val="24"/>
                <w:szCs w:val="24"/>
              </w:rPr>
            </w:pPr>
            <w:r w:rsidRPr="3A111552">
              <w:rPr>
                <w:rFonts w:ascii="Arial" w:hAnsi="Arial"/>
                <w:sz w:val="24"/>
                <w:szCs w:val="24"/>
              </w:rPr>
              <w:t>163</w:t>
            </w:r>
          </w:p>
        </w:tc>
      </w:tr>
      <w:tr w:rsidR="008B3CE3" w14:paraId="34C194C7" w14:textId="77777777" w:rsidTr="3A111552">
        <w:tc>
          <w:tcPr>
            <w:tcW w:w="2689" w:type="dxa"/>
          </w:tcPr>
          <w:p w14:paraId="302E6DE2" w14:textId="73164528" w:rsidR="0059570C" w:rsidRPr="00D26861" w:rsidRDefault="0059570C" w:rsidP="000B31B3">
            <w:pPr>
              <w:spacing w:line="276" w:lineRule="auto"/>
              <w:jc w:val="both"/>
              <w:rPr>
                <w:rFonts w:ascii="Arial" w:hAnsi="Arial"/>
                <w:b/>
                <w:bCs/>
                <w:sz w:val="24"/>
                <w:szCs w:val="24"/>
              </w:rPr>
            </w:pPr>
            <w:r w:rsidRPr="00D26861">
              <w:rPr>
                <w:rFonts w:ascii="Arial" w:hAnsi="Arial"/>
                <w:b/>
                <w:bCs/>
                <w:sz w:val="24"/>
                <w:szCs w:val="24"/>
              </w:rPr>
              <w:t>Responses</w:t>
            </w:r>
          </w:p>
        </w:tc>
        <w:tc>
          <w:tcPr>
            <w:tcW w:w="2268" w:type="dxa"/>
          </w:tcPr>
          <w:p w14:paraId="003A32AC" w14:textId="14E025A1" w:rsidR="0059570C" w:rsidRDefault="00D26861" w:rsidP="00D26861">
            <w:pPr>
              <w:spacing w:line="276" w:lineRule="auto"/>
              <w:jc w:val="center"/>
              <w:rPr>
                <w:rFonts w:ascii="Arial" w:hAnsi="Arial"/>
                <w:sz w:val="24"/>
                <w:szCs w:val="24"/>
              </w:rPr>
            </w:pPr>
            <w:r>
              <w:rPr>
                <w:rFonts w:ascii="Arial" w:hAnsi="Arial"/>
                <w:sz w:val="24"/>
                <w:szCs w:val="24"/>
              </w:rPr>
              <w:t>563</w:t>
            </w:r>
          </w:p>
        </w:tc>
        <w:tc>
          <w:tcPr>
            <w:tcW w:w="2126" w:type="dxa"/>
          </w:tcPr>
          <w:p w14:paraId="53B6B378" w14:textId="71F6FD78" w:rsidR="0059570C" w:rsidRDefault="00D26861" w:rsidP="00D26861">
            <w:pPr>
              <w:spacing w:line="276" w:lineRule="auto"/>
              <w:jc w:val="center"/>
              <w:rPr>
                <w:rFonts w:ascii="Arial" w:hAnsi="Arial"/>
                <w:sz w:val="24"/>
                <w:szCs w:val="24"/>
              </w:rPr>
            </w:pPr>
            <w:r>
              <w:rPr>
                <w:rFonts w:ascii="Arial" w:hAnsi="Arial"/>
                <w:sz w:val="24"/>
                <w:szCs w:val="24"/>
              </w:rPr>
              <w:t>325</w:t>
            </w:r>
          </w:p>
        </w:tc>
        <w:tc>
          <w:tcPr>
            <w:tcW w:w="1933" w:type="dxa"/>
          </w:tcPr>
          <w:p w14:paraId="230FEB46" w14:textId="4C08059B" w:rsidR="0059570C" w:rsidRDefault="00F3415D" w:rsidP="00D26861">
            <w:pPr>
              <w:spacing w:line="276" w:lineRule="auto"/>
              <w:jc w:val="center"/>
              <w:rPr>
                <w:rFonts w:ascii="Arial" w:hAnsi="Arial"/>
                <w:sz w:val="24"/>
                <w:szCs w:val="24"/>
              </w:rPr>
            </w:pPr>
            <w:r>
              <w:rPr>
                <w:rFonts w:ascii="Arial" w:hAnsi="Arial"/>
                <w:sz w:val="24"/>
                <w:szCs w:val="24"/>
              </w:rPr>
              <w:t>137</w:t>
            </w:r>
          </w:p>
        </w:tc>
      </w:tr>
      <w:tr w:rsidR="008B3CE3" w14:paraId="759CC7D0" w14:textId="77777777" w:rsidTr="3A111552">
        <w:tc>
          <w:tcPr>
            <w:tcW w:w="2689" w:type="dxa"/>
          </w:tcPr>
          <w:p w14:paraId="0175608D" w14:textId="5122B635" w:rsidR="0059570C" w:rsidRPr="00D26861" w:rsidRDefault="0059570C" w:rsidP="000B31B3">
            <w:pPr>
              <w:spacing w:line="276" w:lineRule="auto"/>
              <w:jc w:val="both"/>
              <w:rPr>
                <w:rFonts w:ascii="Arial" w:hAnsi="Arial"/>
                <w:b/>
                <w:bCs/>
                <w:sz w:val="24"/>
                <w:szCs w:val="24"/>
              </w:rPr>
            </w:pPr>
            <w:r w:rsidRPr="00D26861">
              <w:rPr>
                <w:rFonts w:ascii="Arial" w:hAnsi="Arial"/>
                <w:b/>
                <w:bCs/>
                <w:sz w:val="24"/>
                <w:szCs w:val="24"/>
              </w:rPr>
              <w:t>Changes Reported</w:t>
            </w:r>
          </w:p>
        </w:tc>
        <w:tc>
          <w:tcPr>
            <w:tcW w:w="2268" w:type="dxa"/>
          </w:tcPr>
          <w:p w14:paraId="0F05B4ED" w14:textId="2C5ED9F0" w:rsidR="0059570C" w:rsidRDefault="00D26861" w:rsidP="00D26861">
            <w:pPr>
              <w:spacing w:line="276" w:lineRule="auto"/>
              <w:jc w:val="center"/>
              <w:rPr>
                <w:rFonts w:ascii="Arial" w:hAnsi="Arial"/>
                <w:sz w:val="24"/>
                <w:szCs w:val="24"/>
              </w:rPr>
            </w:pPr>
            <w:r>
              <w:rPr>
                <w:rFonts w:ascii="Arial" w:hAnsi="Arial"/>
                <w:sz w:val="24"/>
                <w:szCs w:val="24"/>
              </w:rPr>
              <w:t>160</w:t>
            </w:r>
          </w:p>
        </w:tc>
        <w:tc>
          <w:tcPr>
            <w:tcW w:w="2126" w:type="dxa"/>
          </w:tcPr>
          <w:p w14:paraId="68FAA84F" w14:textId="7FE1215D" w:rsidR="0059570C" w:rsidRDefault="00D26861" w:rsidP="00D26861">
            <w:pPr>
              <w:spacing w:line="276" w:lineRule="auto"/>
              <w:jc w:val="center"/>
              <w:rPr>
                <w:rFonts w:ascii="Arial" w:hAnsi="Arial"/>
                <w:sz w:val="24"/>
                <w:szCs w:val="24"/>
              </w:rPr>
            </w:pPr>
            <w:r>
              <w:rPr>
                <w:rFonts w:ascii="Arial" w:hAnsi="Arial"/>
                <w:sz w:val="24"/>
                <w:szCs w:val="24"/>
              </w:rPr>
              <w:t>111</w:t>
            </w:r>
          </w:p>
        </w:tc>
        <w:tc>
          <w:tcPr>
            <w:tcW w:w="1933" w:type="dxa"/>
          </w:tcPr>
          <w:p w14:paraId="7317DD96" w14:textId="6172AD31" w:rsidR="0059570C" w:rsidRDefault="00F3415D" w:rsidP="00D26861">
            <w:pPr>
              <w:spacing w:line="276" w:lineRule="auto"/>
              <w:jc w:val="center"/>
              <w:rPr>
                <w:rFonts w:ascii="Arial" w:hAnsi="Arial"/>
                <w:sz w:val="24"/>
                <w:szCs w:val="24"/>
              </w:rPr>
            </w:pPr>
            <w:r>
              <w:rPr>
                <w:rFonts w:ascii="Arial" w:hAnsi="Arial"/>
                <w:sz w:val="24"/>
                <w:szCs w:val="24"/>
              </w:rPr>
              <w:t>47</w:t>
            </w:r>
          </w:p>
        </w:tc>
      </w:tr>
      <w:tr w:rsidR="008B3CE3" w14:paraId="32B63797" w14:textId="77777777" w:rsidTr="3A111552">
        <w:tc>
          <w:tcPr>
            <w:tcW w:w="2689" w:type="dxa"/>
          </w:tcPr>
          <w:p w14:paraId="1AAA6E60" w14:textId="41B26FFF" w:rsidR="0059570C" w:rsidRPr="00D26861" w:rsidRDefault="0059570C" w:rsidP="000B31B3">
            <w:pPr>
              <w:spacing w:line="276" w:lineRule="auto"/>
              <w:jc w:val="both"/>
              <w:rPr>
                <w:rFonts w:ascii="Arial" w:hAnsi="Arial"/>
                <w:b/>
                <w:bCs/>
                <w:sz w:val="24"/>
                <w:szCs w:val="24"/>
              </w:rPr>
            </w:pPr>
            <w:r w:rsidRPr="00D26861">
              <w:rPr>
                <w:rFonts w:ascii="Arial" w:hAnsi="Arial"/>
                <w:b/>
                <w:bCs/>
                <w:sz w:val="24"/>
                <w:szCs w:val="24"/>
              </w:rPr>
              <w:t>SRD Removed</w:t>
            </w:r>
          </w:p>
        </w:tc>
        <w:tc>
          <w:tcPr>
            <w:tcW w:w="2268" w:type="dxa"/>
          </w:tcPr>
          <w:p w14:paraId="17591D70" w14:textId="180E104A" w:rsidR="0059570C" w:rsidRDefault="00D26861" w:rsidP="00D26861">
            <w:pPr>
              <w:spacing w:line="276" w:lineRule="auto"/>
              <w:jc w:val="center"/>
              <w:rPr>
                <w:rFonts w:ascii="Arial" w:hAnsi="Arial"/>
                <w:sz w:val="24"/>
                <w:szCs w:val="24"/>
              </w:rPr>
            </w:pPr>
            <w:r>
              <w:rPr>
                <w:rFonts w:ascii="Arial" w:hAnsi="Arial"/>
                <w:sz w:val="24"/>
                <w:szCs w:val="24"/>
              </w:rPr>
              <w:t>141</w:t>
            </w:r>
          </w:p>
        </w:tc>
        <w:tc>
          <w:tcPr>
            <w:tcW w:w="2126" w:type="dxa"/>
          </w:tcPr>
          <w:p w14:paraId="50CB0CE1" w14:textId="429FA1F2" w:rsidR="0059570C" w:rsidRDefault="00D26861" w:rsidP="00D26861">
            <w:pPr>
              <w:spacing w:line="276" w:lineRule="auto"/>
              <w:jc w:val="center"/>
              <w:rPr>
                <w:rFonts w:ascii="Arial" w:hAnsi="Arial"/>
                <w:sz w:val="24"/>
                <w:szCs w:val="24"/>
              </w:rPr>
            </w:pPr>
            <w:r>
              <w:rPr>
                <w:rFonts w:ascii="Arial" w:hAnsi="Arial"/>
                <w:sz w:val="24"/>
                <w:szCs w:val="24"/>
              </w:rPr>
              <w:t>165</w:t>
            </w:r>
          </w:p>
        </w:tc>
        <w:tc>
          <w:tcPr>
            <w:tcW w:w="1933" w:type="dxa"/>
          </w:tcPr>
          <w:p w14:paraId="18BA009D" w14:textId="7CA03E42" w:rsidR="0059570C" w:rsidRDefault="00F3415D" w:rsidP="00D26861">
            <w:pPr>
              <w:spacing w:line="276" w:lineRule="auto"/>
              <w:jc w:val="center"/>
              <w:rPr>
                <w:rFonts w:ascii="Arial" w:hAnsi="Arial"/>
                <w:sz w:val="24"/>
                <w:szCs w:val="24"/>
              </w:rPr>
            </w:pPr>
            <w:r>
              <w:rPr>
                <w:rFonts w:ascii="Arial" w:hAnsi="Arial"/>
                <w:sz w:val="24"/>
                <w:szCs w:val="24"/>
              </w:rPr>
              <w:t>71</w:t>
            </w:r>
          </w:p>
        </w:tc>
      </w:tr>
      <w:tr w:rsidR="008B3CE3" w14:paraId="237E22EF" w14:textId="77777777" w:rsidTr="3A111552">
        <w:tc>
          <w:tcPr>
            <w:tcW w:w="2689" w:type="dxa"/>
          </w:tcPr>
          <w:p w14:paraId="137F6A4F" w14:textId="7E59CCEF" w:rsidR="0059570C" w:rsidRPr="00D26861" w:rsidRDefault="0059570C" w:rsidP="000B31B3">
            <w:pPr>
              <w:spacing w:line="276" w:lineRule="auto"/>
              <w:jc w:val="both"/>
              <w:rPr>
                <w:rFonts w:ascii="Arial" w:hAnsi="Arial"/>
                <w:b/>
                <w:bCs/>
                <w:sz w:val="24"/>
                <w:szCs w:val="24"/>
              </w:rPr>
            </w:pPr>
            <w:r w:rsidRPr="00D26861">
              <w:rPr>
                <w:rFonts w:ascii="Arial" w:hAnsi="Arial"/>
                <w:b/>
                <w:bCs/>
                <w:sz w:val="24"/>
                <w:szCs w:val="24"/>
              </w:rPr>
              <w:t xml:space="preserve">% Conversion </w:t>
            </w:r>
          </w:p>
        </w:tc>
        <w:tc>
          <w:tcPr>
            <w:tcW w:w="2268" w:type="dxa"/>
          </w:tcPr>
          <w:p w14:paraId="1A1E12FF" w14:textId="376166C8" w:rsidR="0059570C" w:rsidRDefault="00D26861" w:rsidP="00D26861">
            <w:pPr>
              <w:spacing w:line="276" w:lineRule="auto"/>
              <w:jc w:val="center"/>
              <w:rPr>
                <w:rFonts w:ascii="Arial" w:hAnsi="Arial"/>
                <w:sz w:val="24"/>
                <w:szCs w:val="24"/>
              </w:rPr>
            </w:pPr>
            <w:r>
              <w:rPr>
                <w:rFonts w:ascii="Arial" w:hAnsi="Arial"/>
                <w:sz w:val="24"/>
                <w:szCs w:val="24"/>
              </w:rPr>
              <w:t>22.3%</w:t>
            </w:r>
          </w:p>
        </w:tc>
        <w:tc>
          <w:tcPr>
            <w:tcW w:w="2126" w:type="dxa"/>
          </w:tcPr>
          <w:p w14:paraId="0ECB8041" w14:textId="123F95EF" w:rsidR="0059570C" w:rsidRDefault="00D26861" w:rsidP="00D26861">
            <w:pPr>
              <w:spacing w:line="276" w:lineRule="auto"/>
              <w:jc w:val="center"/>
              <w:rPr>
                <w:rFonts w:ascii="Arial" w:hAnsi="Arial"/>
                <w:sz w:val="24"/>
                <w:szCs w:val="24"/>
              </w:rPr>
            </w:pPr>
            <w:r>
              <w:rPr>
                <w:rFonts w:ascii="Arial" w:hAnsi="Arial"/>
                <w:sz w:val="24"/>
                <w:szCs w:val="24"/>
              </w:rPr>
              <w:t>44.8%</w:t>
            </w:r>
          </w:p>
        </w:tc>
        <w:tc>
          <w:tcPr>
            <w:tcW w:w="1933" w:type="dxa"/>
          </w:tcPr>
          <w:p w14:paraId="3003F942" w14:textId="13716FF5" w:rsidR="0059570C" w:rsidRDefault="0061096C" w:rsidP="00D26861">
            <w:pPr>
              <w:spacing w:line="276" w:lineRule="auto"/>
              <w:jc w:val="center"/>
              <w:rPr>
                <w:rFonts w:ascii="Arial" w:hAnsi="Arial"/>
                <w:sz w:val="24"/>
                <w:szCs w:val="24"/>
              </w:rPr>
            </w:pPr>
            <w:r>
              <w:rPr>
                <w:rFonts w:ascii="Arial" w:hAnsi="Arial"/>
                <w:sz w:val="24"/>
                <w:szCs w:val="24"/>
              </w:rPr>
              <w:t>4</w:t>
            </w:r>
            <w:r w:rsidR="00B2422C">
              <w:rPr>
                <w:rFonts w:ascii="Arial" w:hAnsi="Arial"/>
                <w:sz w:val="24"/>
                <w:szCs w:val="24"/>
              </w:rPr>
              <w:t>3.5%</w:t>
            </w:r>
          </w:p>
        </w:tc>
      </w:tr>
      <w:tr w:rsidR="008B3CE3" w14:paraId="0CE11455" w14:textId="77777777" w:rsidTr="3A111552">
        <w:tc>
          <w:tcPr>
            <w:tcW w:w="2689" w:type="dxa"/>
          </w:tcPr>
          <w:p w14:paraId="390EE904" w14:textId="052BAF22" w:rsidR="0059570C" w:rsidRPr="00D26861" w:rsidRDefault="0059570C" w:rsidP="000B31B3">
            <w:pPr>
              <w:spacing w:line="276" w:lineRule="auto"/>
              <w:jc w:val="both"/>
              <w:rPr>
                <w:rFonts w:ascii="Arial" w:hAnsi="Arial"/>
                <w:b/>
                <w:bCs/>
                <w:sz w:val="24"/>
                <w:szCs w:val="24"/>
              </w:rPr>
            </w:pPr>
            <w:r w:rsidRPr="00D26861">
              <w:rPr>
                <w:rFonts w:ascii="Arial" w:hAnsi="Arial"/>
                <w:b/>
                <w:bCs/>
                <w:sz w:val="24"/>
                <w:szCs w:val="24"/>
              </w:rPr>
              <w:t>Charge Generated</w:t>
            </w:r>
          </w:p>
        </w:tc>
        <w:tc>
          <w:tcPr>
            <w:tcW w:w="2268" w:type="dxa"/>
          </w:tcPr>
          <w:p w14:paraId="0C0E0F28" w14:textId="2BB0071E" w:rsidR="0059570C" w:rsidRDefault="00D26861" w:rsidP="00D26861">
            <w:pPr>
              <w:spacing w:line="276" w:lineRule="auto"/>
              <w:jc w:val="center"/>
              <w:rPr>
                <w:rFonts w:ascii="Arial" w:hAnsi="Arial"/>
                <w:sz w:val="24"/>
                <w:szCs w:val="24"/>
              </w:rPr>
            </w:pPr>
            <w:r>
              <w:rPr>
                <w:rFonts w:ascii="Arial" w:hAnsi="Arial"/>
                <w:sz w:val="24"/>
                <w:szCs w:val="24"/>
              </w:rPr>
              <w:t>£54654</w:t>
            </w:r>
          </w:p>
        </w:tc>
        <w:tc>
          <w:tcPr>
            <w:tcW w:w="2126" w:type="dxa"/>
          </w:tcPr>
          <w:p w14:paraId="126816B3" w14:textId="5C0BEA88" w:rsidR="0059570C" w:rsidRDefault="00D26861" w:rsidP="00D26861">
            <w:pPr>
              <w:spacing w:line="276" w:lineRule="auto"/>
              <w:jc w:val="center"/>
              <w:rPr>
                <w:rFonts w:ascii="Arial" w:hAnsi="Arial"/>
                <w:sz w:val="24"/>
                <w:szCs w:val="24"/>
              </w:rPr>
            </w:pPr>
            <w:r>
              <w:rPr>
                <w:rFonts w:ascii="Arial" w:hAnsi="Arial"/>
                <w:sz w:val="24"/>
                <w:szCs w:val="24"/>
              </w:rPr>
              <w:t>£36884</w:t>
            </w:r>
          </w:p>
        </w:tc>
        <w:tc>
          <w:tcPr>
            <w:tcW w:w="1933" w:type="dxa"/>
          </w:tcPr>
          <w:p w14:paraId="3E3B881A" w14:textId="5D2925AE" w:rsidR="0059570C" w:rsidRDefault="0061096C" w:rsidP="00D26861">
            <w:pPr>
              <w:spacing w:line="276" w:lineRule="auto"/>
              <w:jc w:val="center"/>
              <w:rPr>
                <w:rFonts w:ascii="Arial" w:hAnsi="Arial"/>
                <w:sz w:val="24"/>
                <w:szCs w:val="24"/>
              </w:rPr>
            </w:pPr>
            <w:r>
              <w:rPr>
                <w:rFonts w:ascii="Arial" w:hAnsi="Arial"/>
                <w:sz w:val="24"/>
                <w:szCs w:val="24"/>
              </w:rPr>
              <w:t>£</w:t>
            </w:r>
            <w:r w:rsidR="00B2422C">
              <w:rPr>
                <w:rFonts w:ascii="Arial" w:hAnsi="Arial"/>
                <w:sz w:val="24"/>
                <w:szCs w:val="24"/>
              </w:rPr>
              <w:t>19718</w:t>
            </w:r>
          </w:p>
        </w:tc>
      </w:tr>
      <w:tr w:rsidR="008B3CE3" w14:paraId="5237B021" w14:textId="77777777" w:rsidTr="3A111552">
        <w:tc>
          <w:tcPr>
            <w:tcW w:w="2689" w:type="dxa"/>
          </w:tcPr>
          <w:p w14:paraId="31D5ADE9" w14:textId="395ACD61" w:rsidR="0059570C" w:rsidRPr="00D26861" w:rsidRDefault="0059570C" w:rsidP="000B31B3">
            <w:pPr>
              <w:spacing w:line="276" w:lineRule="auto"/>
              <w:jc w:val="both"/>
              <w:rPr>
                <w:rFonts w:ascii="Arial" w:hAnsi="Arial"/>
                <w:b/>
                <w:bCs/>
                <w:sz w:val="24"/>
                <w:szCs w:val="24"/>
              </w:rPr>
            </w:pPr>
            <w:r w:rsidRPr="00D26861">
              <w:rPr>
                <w:rFonts w:ascii="Arial" w:hAnsi="Arial"/>
                <w:b/>
                <w:bCs/>
                <w:sz w:val="24"/>
                <w:szCs w:val="24"/>
              </w:rPr>
              <w:t>Recovered Liability</w:t>
            </w:r>
          </w:p>
        </w:tc>
        <w:tc>
          <w:tcPr>
            <w:tcW w:w="2268" w:type="dxa"/>
          </w:tcPr>
          <w:p w14:paraId="6D7DA3DA" w14:textId="01769420" w:rsidR="0059570C" w:rsidRDefault="00D26861" w:rsidP="00D26861">
            <w:pPr>
              <w:spacing w:line="276" w:lineRule="auto"/>
              <w:jc w:val="center"/>
              <w:rPr>
                <w:rFonts w:ascii="Arial" w:hAnsi="Arial"/>
                <w:sz w:val="24"/>
                <w:szCs w:val="24"/>
              </w:rPr>
            </w:pPr>
            <w:r>
              <w:rPr>
                <w:rFonts w:ascii="Arial" w:hAnsi="Arial"/>
                <w:sz w:val="24"/>
                <w:szCs w:val="24"/>
              </w:rPr>
              <w:t>£3334</w:t>
            </w:r>
          </w:p>
        </w:tc>
        <w:tc>
          <w:tcPr>
            <w:tcW w:w="2126" w:type="dxa"/>
          </w:tcPr>
          <w:p w14:paraId="0803C4BB" w14:textId="146E6D14" w:rsidR="0059570C" w:rsidRDefault="00D26861" w:rsidP="00D26861">
            <w:pPr>
              <w:spacing w:line="276" w:lineRule="auto"/>
              <w:jc w:val="center"/>
              <w:rPr>
                <w:rFonts w:ascii="Arial" w:hAnsi="Arial"/>
                <w:sz w:val="24"/>
                <w:szCs w:val="24"/>
              </w:rPr>
            </w:pPr>
            <w:r>
              <w:rPr>
                <w:rFonts w:ascii="Arial" w:hAnsi="Arial"/>
                <w:sz w:val="24"/>
                <w:szCs w:val="24"/>
              </w:rPr>
              <w:t>£4262</w:t>
            </w:r>
          </w:p>
        </w:tc>
        <w:tc>
          <w:tcPr>
            <w:tcW w:w="1933" w:type="dxa"/>
          </w:tcPr>
          <w:p w14:paraId="139EE804" w14:textId="52324FAC" w:rsidR="0059570C" w:rsidRDefault="0061096C" w:rsidP="00D26861">
            <w:pPr>
              <w:spacing w:line="276" w:lineRule="auto"/>
              <w:jc w:val="center"/>
              <w:rPr>
                <w:rFonts w:ascii="Arial" w:hAnsi="Arial"/>
                <w:sz w:val="24"/>
                <w:szCs w:val="24"/>
              </w:rPr>
            </w:pPr>
            <w:r>
              <w:rPr>
                <w:rFonts w:ascii="Arial" w:hAnsi="Arial"/>
                <w:sz w:val="24"/>
                <w:szCs w:val="24"/>
              </w:rPr>
              <w:t>£</w:t>
            </w:r>
            <w:r w:rsidR="00B2422C">
              <w:rPr>
                <w:rFonts w:ascii="Arial" w:hAnsi="Arial"/>
                <w:sz w:val="24"/>
                <w:szCs w:val="24"/>
              </w:rPr>
              <w:t>1251</w:t>
            </w:r>
          </w:p>
        </w:tc>
      </w:tr>
      <w:bookmarkEnd w:id="1"/>
    </w:tbl>
    <w:p w14:paraId="306EAAAF" w14:textId="7989820B" w:rsidR="00154172" w:rsidRDefault="00154172" w:rsidP="00154172"/>
    <w:p w14:paraId="2D0D2543" w14:textId="1DC8DDA6" w:rsidR="002E5C5B" w:rsidRDefault="002E5C5B" w:rsidP="24B6AD16">
      <w:pPr>
        <w:rPr>
          <w:rFonts w:ascii="Arial" w:hAnsi="Arial" w:cs="Arial"/>
          <w:sz w:val="24"/>
          <w:szCs w:val="24"/>
        </w:rPr>
      </w:pPr>
      <w:r w:rsidRPr="24B6AD16">
        <w:rPr>
          <w:rFonts w:ascii="Arial" w:hAnsi="Arial" w:cs="Arial"/>
          <w:sz w:val="24"/>
          <w:szCs w:val="24"/>
        </w:rPr>
        <w:t xml:space="preserve">The figures reported above </w:t>
      </w:r>
      <w:r w:rsidR="00257D23">
        <w:rPr>
          <w:rFonts w:ascii="Arial" w:hAnsi="Arial" w:cs="Arial"/>
          <w:sz w:val="24"/>
          <w:szCs w:val="24"/>
        </w:rPr>
        <w:t>are subject to a</w:t>
      </w:r>
      <w:r w:rsidRPr="24B6AD16">
        <w:rPr>
          <w:rFonts w:ascii="Arial" w:hAnsi="Arial" w:cs="Arial"/>
          <w:sz w:val="24"/>
          <w:szCs w:val="24"/>
        </w:rPr>
        <w:t xml:space="preserve"> significant </w:t>
      </w:r>
      <w:r w:rsidR="00EF6A1A" w:rsidRPr="24B6AD16">
        <w:rPr>
          <w:rFonts w:ascii="Arial" w:hAnsi="Arial" w:cs="Arial"/>
          <w:sz w:val="24"/>
          <w:szCs w:val="24"/>
        </w:rPr>
        <w:t xml:space="preserve">cost to a </w:t>
      </w:r>
      <w:r w:rsidR="007F35E0" w:rsidRPr="24B6AD16">
        <w:rPr>
          <w:rFonts w:ascii="Arial" w:hAnsi="Arial" w:cs="Arial"/>
          <w:sz w:val="24"/>
          <w:szCs w:val="24"/>
        </w:rPr>
        <w:t>third-party</w:t>
      </w:r>
      <w:r w:rsidR="00EF6A1A" w:rsidRPr="24B6AD16">
        <w:rPr>
          <w:rFonts w:ascii="Arial" w:hAnsi="Arial" w:cs="Arial"/>
          <w:sz w:val="24"/>
          <w:szCs w:val="24"/>
        </w:rPr>
        <w:t xml:space="preserve"> provider for data matching information.  </w:t>
      </w:r>
    </w:p>
    <w:p w14:paraId="651AA5D6" w14:textId="48232D75" w:rsidR="24B6AD16" w:rsidRDefault="24B6AD16" w:rsidP="24B6AD16">
      <w:pPr>
        <w:rPr>
          <w:rFonts w:ascii="Arial" w:hAnsi="Arial" w:cs="Arial"/>
          <w:sz w:val="24"/>
          <w:szCs w:val="24"/>
        </w:rPr>
      </w:pPr>
    </w:p>
    <w:p w14:paraId="315B59E4" w14:textId="3E07544F" w:rsidR="2427F247" w:rsidRDefault="2427F247" w:rsidP="24B6AD16">
      <w:pPr>
        <w:rPr>
          <w:rFonts w:ascii="Arial" w:hAnsi="Arial" w:cs="Arial"/>
          <w:sz w:val="24"/>
          <w:szCs w:val="24"/>
        </w:rPr>
      </w:pPr>
      <w:r w:rsidRPr="24B6AD16">
        <w:rPr>
          <w:rFonts w:ascii="Arial" w:hAnsi="Arial" w:cs="Arial"/>
          <w:sz w:val="24"/>
          <w:szCs w:val="24"/>
        </w:rPr>
        <w:t>Following consultation with the Local Taxation and Benefits</w:t>
      </w:r>
      <w:r w:rsidR="428009D0" w:rsidRPr="24B6AD16">
        <w:rPr>
          <w:rFonts w:ascii="Arial" w:hAnsi="Arial" w:cs="Arial"/>
          <w:sz w:val="24"/>
          <w:szCs w:val="24"/>
        </w:rPr>
        <w:t xml:space="preserve"> Team it</w:t>
      </w:r>
      <w:r w:rsidRPr="24B6AD16">
        <w:rPr>
          <w:rFonts w:ascii="Arial" w:hAnsi="Arial" w:cs="Arial"/>
          <w:sz w:val="24"/>
          <w:szCs w:val="24"/>
        </w:rPr>
        <w:t xml:space="preserve"> has be</w:t>
      </w:r>
      <w:r w:rsidR="7098210E" w:rsidRPr="24B6AD16">
        <w:rPr>
          <w:rFonts w:ascii="Arial" w:hAnsi="Arial" w:cs="Arial"/>
          <w:sz w:val="24"/>
          <w:szCs w:val="24"/>
        </w:rPr>
        <w:t xml:space="preserve">en decided the response to this area of fraud and error for 2026/27 will be to support their annual review </w:t>
      </w:r>
      <w:r w:rsidR="6001899A" w:rsidRPr="24B6AD16">
        <w:rPr>
          <w:rFonts w:ascii="Arial" w:hAnsi="Arial" w:cs="Arial"/>
          <w:sz w:val="24"/>
          <w:szCs w:val="24"/>
        </w:rPr>
        <w:t>by utilising data from the National Fraud Initiative (NFI) to scruti</w:t>
      </w:r>
      <w:r w:rsidR="03C36124" w:rsidRPr="24B6AD16">
        <w:rPr>
          <w:rFonts w:ascii="Arial" w:hAnsi="Arial" w:cs="Arial"/>
          <w:sz w:val="24"/>
          <w:szCs w:val="24"/>
        </w:rPr>
        <w:t xml:space="preserve">nise applications for discounts that have been removed </w:t>
      </w:r>
      <w:r w:rsidR="7311E206" w:rsidRPr="24B6AD16">
        <w:rPr>
          <w:rFonts w:ascii="Arial" w:hAnsi="Arial" w:cs="Arial"/>
          <w:sz w:val="24"/>
          <w:szCs w:val="24"/>
        </w:rPr>
        <w:t xml:space="preserve">to ensure eligibility.  This moves the Council </w:t>
      </w:r>
      <w:r w:rsidR="005715FB">
        <w:rPr>
          <w:rFonts w:ascii="Arial" w:hAnsi="Arial" w:cs="Arial"/>
          <w:sz w:val="24"/>
          <w:szCs w:val="24"/>
        </w:rPr>
        <w:t xml:space="preserve">to a more preventative </w:t>
      </w:r>
      <w:r w:rsidR="7311E206" w:rsidRPr="24B6AD16">
        <w:rPr>
          <w:rFonts w:ascii="Arial" w:hAnsi="Arial" w:cs="Arial"/>
          <w:sz w:val="24"/>
          <w:szCs w:val="24"/>
        </w:rPr>
        <w:t>approach</w:t>
      </w:r>
      <w:r w:rsidR="00485D6F">
        <w:rPr>
          <w:rFonts w:ascii="Arial" w:hAnsi="Arial" w:cs="Arial"/>
          <w:sz w:val="24"/>
          <w:szCs w:val="24"/>
        </w:rPr>
        <w:t xml:space="preserve">. </w:t>
      </w:r>
    </w:p>
    <w:p w14:paraId="531D78CD" w14:textId="77777777" w:rsidR="00EE44D1" w:rsidRPr="00154172" w:rsidRDefault="00EE44D1" w:rsidP="00154172"/>
    <w:p w14:paraId="6CB0086D" w14:textId="77777777" w:rsidR="00E847B9" w:rsidRPr="00E847B9" w:rsidRDefault="00E847B9" w:rsidP="00E847B9"/>
    <w:p w14:paraId="39A79F46" w14:textId="5939570F" w:rsidR="00EE44D1" w:rsidRPr="00F6354E" w:rsidRDefault="00EE44D1" w:rsidP="00407264">
      <w:pPr>
        <w:pStyle w:val="Heading2"/>
        <w:rPr>
          <w:rFonts w:ascii="Arial" w:hAnsi="Arial" w:cs="Arial"/>
          <w:b/>
          <w:bCs/>
          <w:color w:val="0070C0"/>
        </w:rPr>
      </w:pPr>
      <w:r w:rsidRPr="00F6354E">
        <w:rPr>
          <w:rFonts w:ascii="Arial" w:hAnsi="Arial" w:cs="Arial"/>
          <w:b/>
          <w:bCs/>
          <w:color w:val="0070C0"/>
        </w:rPr>
        <w:t>Council Tax – General Offences</w:t>
      </w:r>
      <w:r w:rsidR="00A42E23" w:rsidRPr="00F6354E">
        <w:rPr>
          <w:rFonts w:ascii="Arial" w:hAnsi="Arial" w:cs="Arial"/>
          <w:b/>
          <w:bCs/>
          <w:color w:val="0070C0"/>
        </w:rPr>
        <w:t xml:space="preserve"> and Outcomes</w:t>
      </w:r>
    </w:p>
    <w:p w14:paraId="77882FC7" w14:textId="77777777" w:rsidR="000854C1" w:rsidRDefault="000854C1" w:rsidP="000854C1"/>
    <w:p w14:paraId="4AD8E68A" w14:textId="51128A6E" w:rsidR="000854C1" w:rsidRDefault="002A1DED" w:rsidP="000854C1">
      <w:pPr>
        <w:rPr>
          <w:rFonts w:ascii="Arial" w:hAnsi="Arial" w:cs="Arial"/>
          <w:sz w:val="24"/>
          <w:szCs w:val="24"/>
        </w:rPr>
      </w:pPr>
      <w:r>
        <w:rPr>
          <w:rFonts w:ascii="Arial" w:hAnsi="Arial" w:cs="Arial"/>
          <w:sz w:val="24"/>
          <w:szCs w:val="24"/>
        </w:rPr>
        <w:t xml:space="preserve">This area </w:t>
      </w:r>
      <w:r w:rsidR="007C697E">
        <w:rPr>
          <w:rFonts w:ascii="Arial" w:hAnsi="Arial" w:cs="Arial"/>
          <w:sz w:val="24"/>
          <w:szCs w:val="24"/>
        </w:rPr>
        <w:t>p</w:t>
      </w:r>
      <w:r w:rsidR="00F67F4F">
        <w:rPr>
          <w:rFonts w:ascii="Arial" w:hAnsi="Arial" w:cs="Arial"/>
          <w:sz w:val="24"/>
          <w:szCs w:val="24"/>
        </w:rPr>
        <w:t>rovides</w:t>
      </w:r>
      <w:r w:rsidR="007C697E">
        <w:rPr>
          <w:rFonts w:ascii="Arial" w:hAnsi="Arial" w:cs="Arial"/>
          <w:sz w:val="24"/>
          <w:szCs w:val="24"/>
        </w:rPr>
        <w:t xml:space="preserve"> the greatest volume of fraud investigations</w:t>
      </w:r>
      <w:r w:rsidR="00F67F4F">
        <w:rPr>
          <w:rFonts w:ascii="Arial" w:hAnsi="Arial" w:cs="Arial"/>
          <w:sz w:val="24"/>
          <w:szCs w:val="24"/>
        </w:rPr>
        <w:t xml:space="preserve">, including Single Person Discount, Empty Properties, </w:t>
      </w:r>
      <w:r w:rsidR="00805FE6">
        <w:rPr>
          <w:rFonts w:ascii="Arial" w:hAnsi="Arial" w:cs="Arial"/>
          <w:sz w:val="24"/>
          <w:szCs w:val="24"/>
        </w:rPr>
        <w:t xml:space="preserve">and Exemptions.  </w:t>
      </w:r>
      <w:r w:rsidR="009A428C">
        <w:rPr>
          <w:rFonts w:ascii="Arial" w:hAnsi="Arial" w:cs="Arial"/>
          <w:sz w:val="24"/>
          <w:szCs w:val="24"/>
        </w:rPr>
        <w:t>Outcomes are broken down as follows:</w:t>
      </w:r>
    </w:p>
    <w:p w14:paraId="20629CCC" w14:textId="77777777" w:rsidR="009A428C" w:rsidRDefault="009A428C" w:rsidP="000854C1">
      <w:pPr>
        <w:rPr>
          <w:rFonts w:ascii="Arial" w:hAnsi="Arial" w:cs="Arial"/>
          <w:sz w:val="24"/>
          <w:szCs w:val="24"/>
        </w:rPr>
      </w:pPr>
    </w:p>
    <w:tbl>
      <w:tblPr>
        <w:tblStyle w:val="TableGrid"/>
        <w:tblW w:w="0" w:type="auto"/>
        <w:tblLook w:val="04A0" w:firstRow="1" w:lastRow="0" w:firstColumn="1" w:lastColumn="0" w:noHBand="0" w:noVBand="1"/>
      </w:tblPr>
      <w:tblGrid>
        <w:gridCol w:w="5949"/>
        <w:gridCol w:w="3067"/>
      </w:tblGrid>
      <w:tr w:rsidR="00850016" w14:paraId="0363CBAF" w14:textId="77777777" w:rsidTr="3A111552">
        <w:tc>
          <w:tcPr>
            <w:tcW w:w="5949" w:type="dxa"/>
          </w:tcPr>
          <w:p w14:paraId="7ABF97D0" w14:textId="2D0325F8" w:rsidR="009A428C" w:rsidRPr="006F7ABA" w:rsidRDefault="007E4CE0" w:rsidP="006F7ABA">
            <w:pPr>
              <w:jc w:val="center"/>
              <w:rPr>
                <w:rFonts w:ascii="Arial" w:hAnsi="Arial" w:cs="Arial"/>
                <w:b/>
                <w:bCs/>
                <w:sz w:val="24"/>
                <w:szCs w:val="24"/>
              </w:rPr>
            </w:pPr>
            <w:r w:rsidRPr="006F7ABA">
              <w:rPr>
                <w:rFonts w:ascii="Arial" w:hAnsi="Arial" w:cs="Arial"/>
                <w:b/>
                <w:bCs/>
                <w:sz w:val="24"/>
                <w:szCs w:val="24"/>
              </w:rPr>
              <w:t>Outcome Type</w:t>
            </w:r>
          </w:p>
        </w:tc>
        <w:tc>
          <w:tcPr>
            <w:tcW w:w="3067" w:type="dxa"/>
          </w:tcPr>
          <w:p w14:paraId="232FFF59" w14:textId="4DCAC24A" w:rsidR="009A428C" w:rsidRPr="006F7ABA" w:rsidRDefault="006F7ABA" w:rsidP="006F7ABA">
            <w:pPr>
              <w:jc w:val="center"/>
              <w:rPr>
                <w:rFonts w:ascii="Arial" w:hAnsi="Arial" w:cs="Arial"/>
                <w:b/>
                <w:bCs/>
                <w:sz w:val="24"/>
                <w:szCs w:val="24"/>
              </w:rPr>
            </w:pPr>
            <w:r w:rsidRPr="006F7ABA">
              <w:rPr>
                <w:rFonts w:ascii="Arial" w:hAnsi="Arial" w:cs="Arial"/>
                <w:b/>
                <w:bCs/>
                <w:sz w:val="24"/>
                <w:szCs w:val="24"/>
              </w:rPr>
              <w:t>Amount</w:t>
            </w:r>
          </w:p>
        </w:tc>
      </w:tr>
      <w:tr w:rsidR="00850016" w14:paraId="378F672F" w14:textId="77777777" w:rsidTr="3A111552">
        <w:tc>
          <w:tcPr>
            <w:tcW w:w="5949" w:type="dxa"/>
          </w:tcPr>
          <w:p w14:paraId="26899D97" w14:textId="14A84DC6" w:rsidR="009A428C" w:rsidRDefault="00425782" w:rsidP="000854C1">
            <w:pPr>
              <w:rPr>
                <w:rFonts w:ascii="Arial" w:hAnsi="Arial" w:cs="Arial"/>
                <w:sz w:val="24"/>
                <w:szCs w:val="24"/>
              </w:rPr>
            </w:pPr>
            <w:r>
              <w:rPr>
                <w:rFonts w:ascii="Arial" w:hAnsi="Arial" w:cs="Arial"/>
                <w:sz w:val="24"/>
                <w:szCs w:val="24"/>
              </w:rPr>
              <w:t>Prosecution</w:t>
            </w:r>
          </w:p>
        </w:tc>
        <w:tc>
          <w:tcPr>
            <w:tcW w:w="3067" w:type="dxa"/>
          </w:tcPr>
          <w:p w14:paraId="086F795C" w14:textId="51685C2D" w:rsidR="009A428C" w:rsidRDefault="007C4FD2" w:rsidP="000854C1">
            <w:pPr>
              <w:rPr>
                <w:rFonts w:ascii="Arial" w:hAnsi="Arial" w:cs="Arial"/>
                <w:sz w:val="24"/>
                <w:szCs w:val="24"/>
              </w:rPr>
            </w:pPr>
            <w:r>
              <w:rPr>
                <w:rFonts w:ascii="Arial" w:hAnsi="Arial" w:cs="Arial"/>
                <w:sz w:val="24"/>
                <w:szCs w:val="24"/>
              </w:rPr>
              <w:t>0</w:t>
            </w:r>
          </w:p>
        </w:tc>
      </w:tr>
      <w:tr w:rsidR="00850016" w14:paraId="4DE75819" w14:textId="77777777" w:rsidTr="3A111552">
        <w:tc>
          <w:tcPr>
            <w:tcW w:w="5949" w:type="dxa"/>
          </w:tcPr>
          <w:p w14:paraId="137648B9" w14:textId="3FF0BF19" w:rsidR="009A428C" w:rsidRDefault="00425782" w:rsidP="000854C1">
            <w:pPr>
              <w:rPr>
                <w:rFonts w:ascii="Arial" w:hAnsi="Arial" w:cs="Arial"/>
                <w:sz w:val="24"/>
                <w:szCs w:val="24"/>
              </w:rPr>
            </w:pPr>
            <w:r>
              <w:rPr>
                <w:rFonts w:ascii="Arial" w:hAnsi="Arial" w:cs="Arial"/>
                <w:sz w:val="24"/>
                <w:szCs w:val="24"/>
              </w:rPr>
              <w:t>Caution</w:t>
            </w:r>
          </w:p>
        </w:tc>
        <w:tc>
          <w:tcPr>
            <w:tcW w:w="3067" w:type="dxa"/>
          </w:tcPr>
          <w:p w14:paraId="3BD0A218" w14:textId="2BA51B0B" w:rsidR="009A428C" w:rsidRDefault="007C4FD2" w:rsidP="000854C1">
            <w:pPr>
              <w:rPr>
                <w:rFonts w:ascii="Arial" w:hAnsi="Arial" w:cs="Arial"/>
                <w:sz w:val="24"/>
                <w:szCs w:val="24"/>
              </w:rPr>
            </w:pPr>
            <w:r>
              <w:rPr>
                <w:rFonts w:ascii="Arial" w:hAnsi="Arial" w:cs="Arial"/>
                <w:sz w:val="24"/>
                <w:szCs w:val="24"/>
              </w:rPr>
              <w:t>0</w:t>
            </w:r>
          </w:p>
        </w:tc>
      </w:tr>
      <w:tr w:rsidR="00850016" w14:paraId="5946B19E" w14:textId="77777777" w:rsidTr="3A111552">
        <w:tc>
          <w:tcPr>
            <w:tcW w:w="5949" w:type="dxa"/>
          </w:tcPr>
          <w:p w14:paraId="3F2B87B5" w14:textId="781E4026" w:rsidR="009A428C" w:rsidRDefault="00C73192" w:rsidP="000854C1">
            <w:pPr>
              <w:rPr>
                <w:rFonts w:ascii="Arial" w:hAnsi="Arial" w:cs="Arial"/>
                <w:sz w:val="24"/>
                <w:szCs w:val="24"/>
              </w:rPr>
            </w:pPr>
            <w:r>
              <w:rPr>
                <w:rFonts w:ascii="Arial" w:hAnsi="Arial" w:cs="Arial"/>
                <w:sz w:val="24"/>
                <w:szCs w:val="24"/>
              </w:rPr>
              <w:t>Warning Letter</w:t>
            </w:r>
          </w:p>
        </w:tc>
        <w:tc>
          <w:tcPr>
            <w:tcW w:w="3067" w:type="dxa"/>
          </w:tcPr>
          <w:p w14:paraId="0401EF51" w14:textId="60306F36" w:rsidR="009A428C" w:rsidRDefault="007C4FD2" w:rsidP="000854C1">
            <w:pPr>
              <w:rPr>
                <w:rFonts w:ascii="Arial" w:hAnsi="Arial" w:cs="Arial"/>
                <w:sz w:val="24"/>
                <w:szCs w:val="24"/>
              </w:rPr>
            </w:pPr>
            <w:r>
              <w:rPr>
                <w:rFonts w:ascii="Arial" w:hAnsi="Arial" w:cs="Arial"/>
                <w:sz w:val="24"/>
                <w:szCs w:val="24"/>
              </w:rPr>
              <w:t>20</w:t>
            </w:r>
          </w:p>
        </w:tc>
      </w:tr>
      <w:tr w:rsidR="00850016" w14:paraId="7A6449FE" w14:textId="77777777" w:rsidTr="3A111552">
        <w:tc>
          <w:tcPr>
            <w:tcW w:w="5949" w:type="dxa"/>
          </w:tcPr>
          <w:p w14:paraId="0818E746" w14:textId="298B0F93" w:rsidR="009A428C" w:rsidRDefault="14DB6352" w:rsidP="000854C1">
            <w:pPr>
              <w:rPr>
                <w:rFonts w:ascii="Arial" w:hAnsi="Arial" w:cs="Arial"/>
                <w:sz w:val="24"/>
                <w:szCs w:val="24"/>
              </w:rPr>
            </w:pPr>
            <w:r w:rsidRPr="3A111552">
              <w:rPr>
                <w:rFonts w:ascii="Arial" w:hAnsi="Arial" w:cs="Arial"/>
                <w:sz w:val="24"/>
                <w:szCs w:val="24"/>
              </w:rPr>
              <w:t>Insufficient Evidence</w:t>
            </w:r>
          </w:p>
        </w:tc>
        <w:tc>
          <w:tcPr>
            <w:tcW w:w="3067" w:type="dxa"/>
          </w:tcPr>
          <w:p w14:paraId="3E6D18FC" w14:textId="3CD90240" w:rsidR="009A428C" w:rsidRDefault="00220473" w:rsidP="000854C1">
            <w:pPr>
              <w:rPr>
                <w:rFonts w:ascii="Arial" w:hAnsi="Arial" w:cs="Arial"/>
                <w:sz w:val="24"/>
                <w:szCs w:val="24"/>
              </w:rPr>
            </w:pPr>
            <w:r>
              <w:rPr>
                <w:rFonts w:ascii="Arial" w:hAnsi="Arial" w:cs="Arial"/>
                <w:sz w:val="24"/>
                <w:szCs w:val="24"/>
              </w:rPr>
              <w:t>49</w:t>
            </w:r>
          </w:p>
        </w:tc>
      </w:tr>
      <w:tr w:rsidR="00850016" w14:paraId="2C275F88" w14:textId="77777777" w:rsidTr="3A111552">
        <w:tc>
          <w:tcPr>
            <w:tcW w:w="5949" w:type="dxa"/>
          </w:tcPr>
          <w:p w14:paraId="74779C4B" w14:textId="006F6B4A" w:rsidR="009A428C" w:rsidRDefault="00C73192" w:rsidP="000854C1">
            <w:pPr>
              <w:rPr>
                <w:rFonts w:ascii="Arial" w:hAnsi="Arial" w:cs="Arial"/>
                <w:sz w:val="24"/>
                <w:szCs w:val="24"/>
              </w:rPr>
            </w:pPr>
            <w:r>
              <w:rPr>
                <w:rFonts w:ascii="Arial" w:hAnsi="Arial" w:cs="Arial"/>
                <w:sz w:val="24"/>
                <w:szCs w:val="24"/>
              </w:rPr>
              <w:t>Ongoing</w:t>
            </w:r>
          </w:p>
        </w:tc>
        <w:tc>
          <w:tcPr>
            <w:tcW w:w="3067" w:type="dxa"/>
          </w:tcPr>
          <w:p w14:paraId="2BB3CF60" w14:textId="45F767D5" w:rsidR="009A428C" w:rsidRDefault="00216496" w:rsidP="000854C1">
            <w:pPr>
              <w:rPr>
                <w:rFonts w:ascii="Arial" w:hAnsi="Arial" w:cs="Arial"/>
                <w:sz w:val="24"/>
                <w:szCs w:val="24"/>
              </w:rPr>
            </w:pPr>
            <w:r>
              <w:rPr>
                <w:rFonts w:ascii="Arial" w:hAnsi="Arial" w:cs="Arial"/>
                <w:sz w:val="24"/>
                <w:szCs w:val="24"/>
              </w:rPr>
              <w:t>22</w:t>
            </w:r>
          </w:p>
        </w:tc>
      </w:tr>
      <w:tr w:rsidR="00850016" w14:paraId="6C48EE6E" w14:textId="77777777" w:rsidTr="3A111552">
        <w:tc>
          <w:tcPr>
            <w:tcW w:w="5949" w:type="dxa"/>
          </w:tcPr>
          <w:p w14:paraId="1C782756" w14:textId="52819CC7" w:rsidR="00C73192" w:rsidRDefault="00C73192" w:rsidP="000854C1">
            <w:pPr>
              <w:rPr>
                <w:rFonts w:ascii="Arial" w:hAnsi="Arial" w:cs="Arial"/>
                <w:sz w:val="24"/>
                <w:szCs w:val="24"/>
              </w:rPr>
            </w:pPr>
            <w:r>
              <w:rPr>
                <w:rFonts w:ascii="Arial" w:hAnsi="Arial" w:cs="Arial"/>
                <w:sz w:val="24"/>
                <w:szCs w:val="24"/>
              </w:rPr>
              <w:t xml:space="preserve">Loss Recovered </w:t>
            </w:r>
            <w:r w:rsidR="007C4FD2">
              <w:rPr>
                <w:rFonts w:ascii="Arial" w:hAnsi="Arial" w:cs="Arial"/>
                <w:sz w:val="24"/>
                <w:szCs w:val="24"/>
              </w:rPr>
              <w:t>/ Increased Liability</w:t>
            </w:r>
          </w:p>
        </w:tc>
        <w:tc>
          <w:tcPr>
            <w:tcW w:w="3067" w:type="dxa"/>
          </w:tcPr>
          <w:p w14:paraId="4889DF50" w14:textId="142EB930" w:rsidR="00C73192" w:rsidRDefault="009A3260" w:rsidP="000854C1">
            <w:pPr>
              <w:rPr>
                <w:rFonts w:ascii="Arial" w:hAnsi="Arial" w:cs="Arial"/>
                <w:sz w:val="24"/>
                <w:szCs w:val="24"/>
              </w:rPr>
            </w:pPr>
            <w:r>
              <w:rPr>
                <w:rFonts w:ascii="Arial" w:hAnsi="Arial" w:cs="Arial"/>
                <w:sz w:val="24"/>
                <w:szCs w:val="24"/>
              </w:rPr>
              <w:t>£40,062</w:t>
            </w:r>
          </w:p>
        </w:tc>
      </w:tr>
    </w:tbl>
    <w:p w14:paraId="076979DF" w14:textId="77777777" w:rsidR="009A428C" w:rsidRPr="000854C1" w:rsidRDefault="009A428C" w:rsidP="000854C1">
      <w:pPr>
        <w:rPr>
          <w:rFonts w:ascii="Arial" w:hAnsi="Arial" w:cs="Arial"/>
          <w:sz w:val="24"/>
          <w:szCs w:val="24"/>
        </w:rPr>
      </w:pPr>
    </w:p>
    <w:p w14:paraId="22D7D52B" w14:textId="77777777" w:rsidR="00EE44D1" w:rsidRDefault="00EE44D1" w:rsidP="00EE44D1"/>
    <w:p w14:paraId="467AEB69" w14:textId="77777777" w:rsidR="008D7E6C" w:rsidRDefault="008D7E6C" w:rsidP="00E5389B">
      <w:pPr>
        <w:jc w:val="both"/>
        <w:rPr>
          <w:rFonts w:ascii="Arial" w:hAnsi="Arial" w:cs="Arial"/>
          <w:sz w:val="24"/>
          <w:szCs w:val="24"/>
        </w:rPr>
      </w:pPr>
    </w:p>
    <w:p w14:paraId="7B99F437" w14:textId="77777777" w:rsidR="008D7E6C" w:rsidRPr="00F6354E" w:rsidRDefault="00AC6B09" w:rsidP="008D7E6C">
      <w:pPr>
        <w:pStyle w:val="Heading2"/>
        <w:rPr>
          <w:rFonts w:ascii="Arial" w:hAnsi="Arial" w:cs="Arial"/>
          <w:b/>
          <w:bCs/>
          <w:color w:val="0070C0"/>
        </w:rPr>
      </w:pPr>
      <w:r w:rsidRPr="3A111552">
        <w:rPr>
          <w:rFonts w:ascii="Arial" w:hAnsi="Arial" w:cs="Arial"/>
          <w:sz w:val="24"/>
          <w:szCs w:val="24"/>
        </w:rPr>
        <w:t xml:space="preserve"> </w:t>
      </w:r>
      <w:r w:rsidR="008D7E6C" w:rsidRPr="00F6354E">
        <w:rPr>
          <w:rFonts w:ascii="Arial" w:hAnsi="Arial" w:cs="Arial"/>
          <w:b/>
          <w:bCs/>
          <w:color w:val="0070C0"/>
        </w:rPr>
        <w:t>Council Tax Support</w:t>
      </w:r>
    </w:p>
    <w:p w14:paraId="5C3AD24C" w14:textId="77777777" w:rsidR="008D7E6C" w:rsidRPr="008D7E6C" w:rsidRDefault="008D7E6C" w:rsidP="008D7E6C"/>
    <w:p w14:paraId="57A2923D" w14:textId="1D7D3BE2" w:rsidR="008D7E6C" w:rsidRPr="008D7E6C" w:rsidRDefault="008D7E6C" w:rsidP="008D7E6C">
      <w:pPr>
        <w:jc w:val="both"/>
        <w:rPr>
          <w:rFonts w:ascii="Arial" w:hAnsi="Arial" w:cs="Arial"/>
          <w:sz w:val="24"/>
          <w:szCs w:val="24"/>
        </w:rPr>
      </w:pPr>
      <w:r w:rsidRPr="3A111552">
        <w:rPr>
          <w:rFonts w:ascii="Arial" w:hAnsi="Arial" w:cs="Arial"/>
          <w:sz w:val="24"/>
          <w:szCs w:val="24"/>
        </w:rPr>
        <w:t xml:space="preserve">Investigations are conducted under the Council Tax Regulations where claimants are suspected, for example, to have undeclared assets, or property, that would affect their claims.  </w:t>
      </w:r>
      <w:r w:rsidR="7AC1DEC8" w:rsidRPr="3A111552">
        <w:rPr>
          <w:rFonts w:ascii="Arial" w:hAnsi="Arial" w:cs="Arial"/>
          <w:sz w:val="24"/>
          <w:szCs w:val="24"/>
        </w:rPr>
        <w:t xml:space="preserve">The past two years have seen a significant reduction in allegations – this is mainly due to fact </w:t>
      </w:r>
      <w:r w:rsidR="5DB90581" w:rsidRPr="3A111552">
        <w:rPr>
          <w:rFonts w:ascii="Arial" w:hAnsi="Arial" w:cs="Arial"/>
          <w:sz w:val="24"/>
          <w:szCs w:val="24"/>
        </w:rPr>
        <w:t xml:space="preserve">the Council now uses real time information to verify things like earnings and fraud is being prevented </w:t>
      </w:r>
      <w:r w:rsidR="5B052E9E" w:rsidRPr="3A111552">
        <w:rPr>
          <w:rFonts w:ascii="Arial" w:hAnsi="Arial" w:cs="Arial"/>
          <w:sz w:val="24"/>
          <w:szCs w:val="24"/>
        </w:rPr>
        <w:t>by this more proactive approach to applications</w:t>
      </w:r>
      <w:r w:rsidR="740640E9" w:rsidRPr="3A111552">
        <w:rPr>
          <w:rFonts w:ascii="Arial" w:hAnsi="Arial" w:cs="Arial"/>
          <w:sz w:val="24"/>
          <w:szCs w:val="24"/>
        </w:rPr>
        <w:t xml:space="preserve">.  </w:t>
      </w:r>
    </w:p>
    <w:p w14:paraId="77D95D6B" w14:textId="315B87F3" w:rsidR="008D7E6C" w:rsidRPr="008D7E6C" w:rsidRDefault="008D7E6C" w:rsidP="50A97535">
      <w:pPr>
        <w:jc w:val="both"/>
        <w:rPr>
          <w:rFonts w:ascii="Arial" w:hAnsi="Arial" w:cs="Arial"/>
          <w:sz w:val="24"/>
          <w:szCs w:val="24"/>
        </w:rPr>
      </w:pPr>
    </w:p>
    <w:p w14:paraId="68E1D60B" w14:textId="77777777" w:rsidR="008D7E6C" w:rsidRPr="008D7E6C" w:rsidRDefault="008D7E6C" w:rsidP="008D7E6C">
      <w:pPr>
        <w:jc w:val="both"/>
        <w:rPr>
          <w:rFonts w:ascii="Arial" w:hAnsi="Arial" w:cs="Arial"/>
          <w:sz w:val="24"/>
          <w:szCs w:val="24"/>
        </w:rPr>
      </w:pPr>
    </w:p>
    <w:p w14:paraId="56621475" w14:textId="77777777" w:rsidR="00D37338" w:rsidRPr="00DE5881" w:rsidRDefault="00D37338" w:rsidP="00D37338">
      <w:pPr>
        <w:pStyle w:val="Heading2"/>
        <w:rPr>
          <w:rFonts w:ascii="Arial" w:hAnsi="Arial" w:cs="Arial"/>
          <w:b/>
          <w:bCs/>
          <w:color w:val="auto"/>
          <w:u w:val="single"/>
        </w:rPr>
      </w:pPr>
      <w:r w:rsidRPr="00DE5881">
        <w:rPr>
          <w:rFonts w:ascii="Arial" w:hAnsi="Arial" w:cs="Arial"/>
          <w:b/>
          <w:bCs/>
          <w:color w:val="0070C0"/>
          <w:u w:val="single"/>
        </w:rPr>
        <w:t>Disabled Persons Blue Badge Scheme</w:t>
      </w:r>
    </w:p>
    <w:p w14:paraId="0BB7ABF7" w14:textId="77777777" w:rsidR="00D37338" w:rsidRDefault="00D37338" w:rsidP="00D37338">
      <w:pPr>
        <w:jc w:val="both"/>
        <w:rPr>
          <w:rFonts w:ascii="Arial" w:hAnsi="Arial" w:cs="Arial"/>
          <w:sz w:val="24"/>
          <w:szCs w:val="24"/>
        </w:rPr>
      </w:pPr>
    </w:p>
    <w:p w14:paraId="204CE5F2" w14:textId="46A0BE38" w:rsidR="00D37338" w:rsidRPr="006D0A1E" w:rsidRDefault="00D37338" w:rsidP="00D37338">
      <w:pPr>
        <w:jc w:val="both"/>
        <w:rPr>
          <w:rFonts w:ascii="Arial" w:hAnsi="Arial" w:cs="Arial"/>
          <w:sz w:val="24"/>
          <w:szCs w:val="24"/>
        </w:rPr>
      </w:pPr>
      <w:r w:rsidRPr="24B6AD16">
        <w:rPr>
          <w:rFonts w:ascii="Arial" w:hAnsi="Arial" w:cs="Arial"/>
          <w:sz w:val="24"/>
          <w:szCs w:val="24"/>
        </w:rPr>
        <w:t>The Blue Badge (Disabled Parking) Scheme provides a national arrangement of parking concessions for those people who have a permanent or substantial disability.</w:t>
      </w:r>
      <w:r>
        <w:t xml:space="preserve"> </w:t>
      </w:r>
      <w:r w:rsidRPr="24B6AD16">
        <w:rPr>
          <w:rFonts w:ascii="Arial" w:hAnsi="Arial" w:cs="Arial"/>
          <w:sz w:val="24"/>
          <w:szCs w:val="24"/>
        </w:rPr>
        <w:t>The misuse of the Blue Badge scheme undermines the benefits of the scheme, impacts upon local traffic management and creates hostility amongst other badge holders and members of the public. It can result in a genuinely disabled person being unable to access designated parking spaces.</w:t>
      </w:r>
      <w:r w:rsidR="6A4BFD85" w:rsidRPr="24B6AD16">
        <w:rPr>
          <w:rFonts w:ascii="Arial" w:hAnsi="Arial" w:cs="Arial"/>
          <w:sz w:val="24"/>
          <w:szCs w:val="24"/>
        </w:rPr>
        <w:t xml:space="preserve">  Many alleged offences relating to misuse, and parking, are dealt with by Enforcement Officers and</w:t>
      </w:r>
      <w:r w:rsidR="543210C3" w:rsidRPr="24B6AD16">
        <w:rPr>
          <w:rFonts w:ascii="Arial" w:hAnsi="Arial" w:cs="Arial"/>
          <w:sz w:val="24"/>
          <w:szCs w:val="24"/>
        </w:rPr>
        <w:t xml:space="preserve"> a small number are referred to the Fraud Team.</w:t>
      </w:r>
      <w:r w:rsidR="00CF18A3">
        <w:rPr>
          <w:rFonts w:ascii="Arial" w:hAnsi="Arial" w:cs="Arial"/>
          <w:sz w:val="24"/>
          <w:szCs w:val="24"/>
        </w:rPr>
        <w:t xml:space="preserve">  The relevant policy for Blue Badge enforcement is being refreshed this year, and training is being developed for enforcement staff.  </w:t>
      </w:r>
    </w:p>
    <w:p w14:paraId="411E25C4" w14:textId="77777777" w:rsidR="00D37338" w:rsidRDefault="00D37338" w:rsidP="00D37338">
      <w:pPr>
        <w:shd w:val="clear" w:color="auto" w:fill="FFFFFF"/>
        <w:spacing w:after="200"/>
        <w:jc w:val="both"/>
        <w:rPr>
          <w:rFonts w:ascii="Arial" w:hAnsi="Arial" w:cs="Arial"/>
          <w:sz w:val="24"/>
          <w:szCs w:val="24"/>
        </w:rPr>
      </w:pPr>
    </w:p>
    <w:p w14:paraId="3C9BBA87" w14:textId="7D74C81F" w:rsidR="00D37338" w:rsidRDefault="21F1FFAB" w:rsidP="283EE096">
      <w:pPr>
        <w:shd w:val="clear" w:color="auto" w:fill="FFFFFF" w:themeFill="background1"/>
        <w:spacing w:after="200"/>
        <w:jc w:val="both"/>
        <w:rPr>
          <w:rFonts w:ascii="Arial" w:hAnsi="Arial" w:cs="Arial"/>
          <w:sz w:val="24"/>
          <w:szCs w:val="24"/>
        </w:rPr>
      </w:pPr>
      <w:r w:rsidRPr="24B6AD16">
        <w:rPr>
          <w:rFonts w:ascii="Arial" w:hAnsi="Arial" w:cs="Arial"/>
          <w:sz w:val="24"/>
          <w:szCs w:val="24"/>
        </w:rPr>
        <w:t>Up to</w:t>
      </w:r>
      <w:r w:rsidR="34E36C98" w:rsidRPr="24B6AD16">
        <w:rPr>
          <w:rFonts w:ascii="Arial" w:hAnsi="Arial" w:cs="Arial"/>
          <w:sz w:val="24"/>
          <w:szCs w:val="24"/>
        </w:rPr>
        <w:t xml:space="preserve"> 28 February </w:t>
      </w:r>
      <w:r w:rsidR="2C1275E2" w:rsidRPr="24B6AD16">
        <w:rPr>
          <w:rFonts w:ascii="Arial" w:hAnsi="Arial" w:cs="Arial"/>
          <w:sz w:val="24"/>
          <w:szCs w:val="24"/>
        </w:rPr>
        <w:t>20</w:t>
      </w:r>
      <w:r w:rsidR="53021963" w:rsidRPr="24B6AD16">
        <w:rPr>
          <w:rFonts w:ascii="Arial" w:hAnsi="Arial" w:cs="Arial"/>
          <w:sz w:val="24"/>
          <w:szCs w:val="24"/>
        </w:rPr>
        <w:t xml:space="preserve">26 </w:t>
      </w:r>
      <w:r w:rsidR="5670A218" w:rsidRPr="24B6AD16">
        <w:rPr>
          <w:rFonts w:ascii="Arial" w:hAnsi="Arial" w:cs="Arial"/>
          <w:sz w:val="24"/>
          <w:szCs w:val="24"/>
        </w:rPr>
        <w:t>seven reports of</w:t>
      </w:r>
      <w:r w:rsidR="03BD1FD0" w:rsidRPr="24B6AD16">
        <w:rPr>
          <w:rFonts w:ascii="Arial" w:hAnsi="Arial" w:cs="Arial"/>
          <w:sz w:val="24"/>
          <w:szCs w:val="24"/>
        </w:rPr>
        <w:t xml:space="preserve"> alleged misuse of </w:t>
      </w:r>
      <w:r w:rsidR="4B024164" w:rsidRPr="24B6AD16">
        <w:rPr>
          <w:rFonts w:ascii="Arial" w:hAnsi="Arial" w:cs="Arial"/>
          <w:sz w:val="24"/>
          <w:szCs w:val="24"/>
        </w:rPr>
        <w:t xml:space="preserve">Blue Badge </w:t>
      </w:r>
      <w:r w:rsidR="03BD1FD0" w:rsidRPr="24B6AD16">
        <w:rPr>
          <w:rFonts w:ascii="Arial" w:hAnsi="Arial" w:cs="Arial"/>
          <w:sz w:val="24"/>
          <w:szCs w:val="24"/>
        </w:rPr>
        <w:t xml:space="preserve">were received. </w:t>
      </w:r>
      <w:r w:rsidR="7938A379" w:rsidRPr="24B6AD16">
        <w:rPr>
          <w:rFonts w:ascii="Arial" w:hAnsi="Arial" w:cs="Arial"/>
          <w:sz w:val="24"/>
          <w:szCs w:val="24"/>
        </w:rPr>
        <w:t>T</w:t>
      </w:r>
      <w:r w:rsidR="00D37338" w:rsidRPr="24B6AD16">
        <w:rPr>
          <w:rFonts w:ascii="Arial" w:hAnsi="Arial" w:cs="Arial"/>
          <w:sz w:val="24"/>
          <w:szCs w:val="24"/>
        </w:rPr>
        <w:t>he following action has been taken in relation to misuse of the blue badge scheme</w:t>
      </w:r>
      <w:r w:rsidR="00AC6B09" w:rsidRPr="24B6AD16">
        <w:rPr>
          <w:rFonts w:ascii="Arial" w:hAnsi="Arial" w:cs="Arial"/>
          <w:sz w:val="24"/>
          <w:szCs w:val="24"/>
        </w:rPr>
        <w:t>.</w:t>
      </w:r>
    </w:p>
    <w:p w14:paraId="1522DFAE" w14:textId="77777777" w:rsidR="00D37338" w:rsidRDefault="00D37338" w:rsidP="00D37338">
      <w:pPr>
        <w:shd w:val="clear" w:color="auto" w:fill="FFFFFF"/>
        <w:jc w:val="both"/>
        <w:rPr>
          <w:rFonts w:ascii="Arial" w:hAnsi="Arial" w:cs="Arial"/>
          <w:b/>
          <w:sz w:val="24"/>
          <w:szCs w:val="24"/>
        </w:rPr>
      </w:pPr>
    </w:p>
    <w:tbl>
      <w:tblPr>
        <w:tblStyle w:val="TableGrid"/>
        <w:tblW w:w="0" w:type="auto"/>
        <w:tblLook w:val="04A0" w:firstRow="1" w:lastRow="0" w:firstColumn="1" w:lastColumn="0" w:noHBand="0" w:noVBand="1"/>
      </w:tblPr>
      <w:tblGrid>
        <w:gridCol w:w="5240"/>
        <w:gridCol w:w="3776"/>
      </w:tblGrid>
      <w:tr w:rsidR="00850016" w14:paraId="42D98F7F" w14:textId="77777777" w:rsidTr="3A111552">
        <w:tc>
          <w:tcPr>
            <w:tcW w:w="5240" w:type="dxa"/>
          </w:tcPr>
          <w:p w14:paraId="0AFC4E3C" w14:textId="3DA342FA" w:rsidR="00AC6B09" w:rsidRPr="00AC6B09" w:rsidRDefault="00AC6B09" w:rsidP="00E749D8">
            <w:pPr>
              <w:jc w:val="both"/>
              <w:rPr>
                <w:rFonts w:ascii="Arial" w:hAnsi="Arial" w:cs="Arial"/>
                <w:b/>
                <w:bCs/>
                <w:sz w:val="24"/>
                <w:szCs w:val="24"/>
                <w:lang w:val="en-US" w:eastAsia="en-US"/>
              </w:rPr>
            </w:pPr>
            <w:r w:rsidRPr="00AC6B09">
              <w:rPr>
                <w:rFonts w:ascii="Arial" w:hAnsi="Arial" w:cs="Arial"/>
                <w:b/>
                <w:bCs/>
                <w:sz w:val="24"/>
                <w:szCs w:val="24"/>
                <w:lang w:val="en-US" w:eastAsia="en-US"/>
              </w:rPr>
              <w:lastRenderedPageBreak/>
              <w:t>Measure</w:t>
            </w:r>
          </w:p>
        </w:tc>
        <w:tc>
          <w:tcPr>
            <w:tcW w:w="3776" w:type="dxa"/>
          </w:tcPr>
          <w:p w14:paraId="0C520D6C" w14:textId="101F0C32" w:rsidR="00AC6B09" w:rsidRPr="00AC6B09" w:rsidRDefault="00AC6B09" w:rsidP="00E749D8">
            <w:pPr>
              <w:jc w:val="both"/>
              <w:rPr>
                <w:rFonts w:ascii="Arial" w:hAnsi="Arial" w:cs="Arial"/>
                <w:b/>
                <w:bCs/>
                <w:sz w:val="24"/>
                <w:szCs w:val="24"/>
                <w:lang w:val="en-US" w:eastAsia="en-US"/>
              </w:rPr>
            </w:pPr>
            <w:r w:rsidRPr="00AC6B09">
              <w:rPr>
                <w:rFonts w:ascii="Arial" w:hAnsi="Arial" w:cs="Arial"/>
                <w:b/>
                <w:bCs/>
                <w:sz w:val="24"/>
                <w:szCs w:val="24"/>
                <w:lang w:val="en-US" w:eastAsia="en-US"/>
              </w:rPr>
              <w:t>Number</w:t>
            </w:r>
          </w:p>
        </w:tc>
      </w:tr>
      <w:tr w:rsidR="00850016" w14:paraId="6B7E651A" w14:textId="77777777" w:rsidTr="3A111552">
        <w:tc>
          <w:tcPr>
            <w:tcW w:w="5240" w:type="dxa"/>
          </w:tcPr>
          <w:p w14:paraId="2F62DBDF" w14:textId="47514B32" w:rsidR="00AC6B09" w:rsidRDefault="00AC6B09" w:rsidP="00E749D8">
            <w:pPr>
              <w:jc w:val="both"/>
              <w:rPr>
                <w:rFonts w:ascii="Arial" w:hAnsi="Arial" w:cs="Arial"/>
                <w:sz w:val="24"/>
                <w:szCs w:val="24"/>
                <w:lang w:val="en-US" w:eastAsia="en-US"/>
              </w:rPr>
            </w:pPr>
            <w:r>
              <w:rPr>
                <w:rFonts w:ascii="Arial" w:hAnsi="Arial" w:cs="Arial"/>
                <w:sz w:val="24"/>
                <w:szCs w:val="24"/>
                <w:lang w:val="en-US" w:eastAsia="en-US"/>
              </w:rPr>
              <w:t>Reports Received</w:t>
            </w:r>
          </w:p>
        </w:tc>
        <w:tc>
          <w:tcPr>
            <w:tcW w:w="3776" w:type="dxa"/>
          </w:tcPr>
          <w:p w14:paraId="7E99C097" w14:textId="67582444" w:rsidR="00AC6B09" w:rsidRDefault="68699FB7" w:rsidP="00E749D8">
            <w:pPr>
              <w:jc w:val="both"/>
              <w:rPr>
                <w:rFonts w:ascii="Arial" w:hAnsi="Arial" w:cs="Arial"/>
                <w:sz w:val="24"/>
                <w:szCs w:val="24"/>
                <w:lang w:val="en-US" w:eastAsia="en-US"/>
              </w:rPr>
            </w:pPr>
            <w:r w:rsidRPr="3A111552">
              <w:rPr>
                <w:rFonts w:ascii="Arial" w:hAnsi="Arial" w:cs="Arial"/>
                <w:sz w:val="24"/>
                <w:szCs w:val="24"/>
                <w:lang w:val="en-US" w:eastAsia="en-US"/>
              </w:rPr>
              <w:t>7</w:t>
            </w:r>
          </w:p>
        </w:tc>
      </w:tr>
      <w:tr w:rsidR="00850016" w14:paraId="7F380DAD" w14:textId="77777777" w:rsidTr="3A111552">
        <w:tc>
          <w:tcPr>
            <w:tcW w:w="5240" w:type="dxa"/>
          </w:tcPr>
          <w:p w14:paraId="6AF98736" w14:textId="7A14880E" w:rsidR="00AC6B09" w:rsidRDefault="00AC6B09" w:rsidP="00E749D8">
            <w:pPr>
              <w:jc w:val="both"/>
              <w:rPr>
                <w:rFonts w:ascii="Arial" w:hAnsi="Arial" w:cs="Arial"/>
                <w:sz w:val="24"/>
                <w:szCs w:val="24"/>
                <w:lang w:val="en-US" w:eastAsia="en-US"/>
              </w:rPr>
            </w:pPr>
            <w:r>
              <w:rPr>
                <w:rFonts w:ascii="Arial" w:hAnsi="Arial" w:cs="Arial"/>
                <w:sz w:val="24"/>
                <w:szCs w:val="24"/>
                <w:lang w:val="en-US" w:eastAsia="en-US"/>
              </w:rPr>
              <w:t>Investigations Completed</w:t>
            </w:r>
          </w:p>
        </w:tc>
        <w:tc>
          <w:tcPr>
            <w:tcW w:w="3776" w:type="dxa"/>
          </w:tcPr>
          <w:p w14:paraId="01C50AB2" w14:textId="67C5B7E0" w:rsidR="00AC6B09" w:rsidRDefault="52693267" w:rsidP="00E749D8">
            <w:pPr>
              <w:jc w:val="both"/>
              <w:rPr>
                <w:rFonts w:ascii="Arial" w:hAnsi="Arial" w:cs="Arial"/>
                <w:sz w:val="24"/>
                <w:szCs w:val="24"/>
                <w:lang w:val="en-US" w:eastAsia="en-US"/>
              </w:rPr>
            </w:pPr>
            <w:r w:rsidRPr="24B6AD16">
              <w:rPr>
                <w:rFonts w:ascii="Arial" w:hAnsi="Arial" w:cs="Arial"/>
                <w:sz w:val="24"/>
                <w:szCs w:val="24"/>
                <w:lang w:val="en-US" w:eastAsia="en-US"/>
              </w:rPr>
              <w:t>7</w:t>
            </w:r>
          </w:p>
        </w:tc>
      </w:tr>
      <w:tr w:rsidR="00850016" w14:paraId="06FAFDB3" w14:textId="77777777" w:rsidTr="3A111552">
        <w:tc>
          <w:tcPr>
            <w:tcW w:w="5240" w:type="dxa"/>
          </w:tcPr>
          <w:p w14:paraId="24719CD7" w14:textId="0363E0D4" w:rsidR="00AC6B09" w:rsidRDefault="00AC6B09" w:rsidP="00E749D8">
            <w:pPr>
              <w:jc w:val="both"/>
              <w:rPr>
                <w:rFonts w:ascii="Arial" w:hAnsi="Arial" w:cs="Arial"/>
                <w:sz w:val="24"/>
                <w:szCs w:val="24"/>
                <w:lang w:val="en-US" w:eastAsia="en-US"/>
              </w:rPr>
            </w:pPr>
            <w:r>
              <w:rPr>
                <w:rFonts w:ascii="Arial" w:hAnsi="Arial" w:cs="Arial"/>
                <w:sz w:val="24"/>
                <w:szCs w:val="24"/>
                <w:lang w:val="en-US" w:eastAsia="en-US"/>
              </w:rPr>
              <w:t>Prosecutions</w:t>
            </w:r>
          </w:p>
        </w:tc>
        <w:tc>
          <w:tcPr>
            <w:tcW w:w="3776" w:type="dxa"/>
          </w:tcPr>
          <w:p w14:paraId="359A9961" w14:textId="29B4CB4E" w:rsidR="00AC6B09" w:rsidRDefault="00AC6B09" w:rsidP="00E749D8">
            <w:pPr>
              <w:jc w:val="both"/>
              <w:rPr>
                <w:rFonts w:ascii="Arial" w:hAnsi="Arial" w:cs="Arial"/>
                <w:sz w:val="24"/>
                <w:szCs w:val="24"/>
                <w:lang w:val="en-US" w:eastAsia="en-US"/>
              </w:rPr>
            </w:pPr>
            <w:r>
              <w:rPr>
                <w:rFonts w:ascii="Arial" w:hAnsi="Arial" w:cs="Arial"/>
                <w:sz w:val="24"/>
                <w:szCs w:val="24"/>
                <w:lang w:val="en-US" w:eastAsia="en-US"/>
              </w:rPr>
              <w:t>0</w:t>
            </w:r>
          </w:p>
        </w:tc>
      </w:tr>
      <w:tr w:rsidR="00850016" w14:paraId="6ABB3332" w14:textId="77777777" w:rsidTr="3A111552">
        <w:tc>
          <w:tcPr>
            <w:tcW w:w="5240" w:type="dxa"/>
          </w:tcPr>
          <w:p w14:paraId="65E37F3C" w14:textId="4EA2E020" w:rsidR="00AC6B09" w:rsidRDefault="7C0F973C" w:rsidP="00E749D8">
            <w:pPr>
              <w:jc w:val="both"/>
              <w:rPr>
                <w:rFonts w:ascii="Arial" w:hAnsi="Arial" w:cs="Arial"/>
                <w:sz w:val="24"/>
                <w:szCs w:val="24"/>
                <w:lang w:val="en-US" w:eastAsia="en-US"/>
              </w:rPr>
            </w:pPr>
            <w:r w:rsidRPr="24B6AD16">
              <w:rPr>
                <w:rFonts w:ascii="Arial" w:hAnsi="Arial" w:cs="Arial"/>
                <w:sz w:val="24"/>
                <w:szCs w:val="24"/>
                <w:lang w:val="en-US" w:eastAsia="en-US"/>
              </w:rPr>
              <w:t>Insufficient Evidence</w:t>
            </w:r>
          </w:p>
        </w:tc>
        <w:tc>
          <w:tcPr>
            <w:tcW w:w="3776" w:type="dxa"/>
          </w:tcPr>
          <w:p w14:paraId="63951E60" w14:textId="5136F2B0" w:rsidR="00AC6B09" w:rsidRDefault="008B097E" w:rsidP="00E749D8">
            <w:pPr>
              <w:jc w:val="both"/>
              <w:rPr>
                <w:rFonts w:ascii="Arial" w:hAnsi="Arial" w:cs="Arial"/>
                <w:sz w:val="24"/>
                <w:szCs w:val="24"/>
                <w:lang w:val="en-US" w:eastAsia="en-US"/>
              </w:rPr>
            </w:pPr>
            <w:r>
              <w:rPr>
                <w:rFonts w:ascii="Arial" w:hAnsi="Arial" w:cs="Arial"/>
                <w:sz w:val="24"/>
                <w:szCs w:val="24"/>
                <w:lang w:val="en-US" w:eastAsia="en-US"/>
              </w:rPr>
              <w:t>5</w:t>
            </w:r>
          </w:p>
        </w:tc>
      </w:tr>
      <w:tr w:rsidR="00850016" w14:paraId="255DCDC9" w14:textId="77777777" w:rsidTr="3A111552">
        <w:tc>
          <w:tcPr>
            <w:tcW w:w="5240" w:type="dxa"/>
          </w:tcPr>
          <w:p w14:paraId="2AA7FBB4" w14:textId="2253DC33" w:rsidR="00AC6B09" w:rsidRDefault="00AC6B09" w:rsidP="00E749D8">
            <w:pPr>
              <w:jc w:val="both"/>
              <w:rPr>
                <w:rFonts w:ascii="Arial" w:hAnsi="Arial" w:cs="Arial"/>
                <w:sz w:val="24"/>
                <w:szCs w:val="24"/>
                <w:lang w:val="en-US" w:eastAsia="en-US"/>
              </w:rPr>
            </w:pPr>
            <w:r>
              <w:rPr>
                <w:rFonts w:ascii="Arial" w:hAnsi="Arial" w:cs="Arial"/>
                <w:sz w:val="24"/>
                <w:szCs w:val="24"/>
                <w:lang w:val="en-US" w:eastAsia="en-US"/>
              </w:rPr>
              <w:t>Formal Warning Sanction Letter</w:t>
            </w:r>
          </w:p>
        </w:tc>
        <w:tc>
          <w:tcPr>
            <w:tcW w:w="3776" w:type="dxa"/>
          </w:tcPr>
          <w:p w14:paraId="096FE982" w14:textId="2428D0F0" w:rsidR="00AC6B09" w:rsidRDefault="009B3274" w:rsidP="00E749D8">
            <w:pPr>
              <w:jc w:val="both"/>
              <w:rPr>
                <w:rFonts w:ascii="Arial" w:hAnsi="Arial" w:cs="Arial"/>
                <w:sz w:val="24"/>
                <w:szCs w:val="24"/>
                <w:lang w:val="en-US" w:eastAsia="en-US"/>
              </w:rPr>
            </w:pPr>
            <w:r>
              <w:rPr>
                <w:rFonts w:ascii="Arial" w:hAnsi="Arial" w:cs="Arial"/>
                <w:sz w:val="24"/>
                <w:szCs w:val="24"/>
                <w:lang w:val="en-US" w:eastAsia="en-US"/>
              </w:rPr>
              <w:t>2</w:t>
            </w:r>
          </w:p>
        </w:tc>
      </w:tr>
    </w:tbl>
    <w:p w14:paraId="2E4F53B9" w14:textId="77777777" w:rsidR="008B097E" w:rsidRDefault="008B097E" w:rsidP="00407264">
      <w:pPr>
        <w:pStyle w:val="Heading2"/>
        <w:rPr>
          <w:rFonts w:ascii="Arial" w:hAnsi="Arial" w:cs="Arial"/>
          <w:b/>
          <w:bCs/>
          <w:color w:val="0070C0"/>
          <w:u w:val="single"/>
          <w:lang w:val="en-US" w:eastAsia="en-US"/>
        </w:rPr>
      </w:pPr>
    </w:p>
    <w:p w14:paraId="4C9949E6" w14:textId="77777777" w:rsidR="00D96F96" w:rsidRPr="00D96F96" w:rsidRDefault="00D96F96" w:rsidP="00D96F96">
      <w:pPr>
        <w:keepNext/>
        <w:keepLines/>
        <w:spacing w:before="40"/>
        <w:outlineLvl w:val="1"/>
        <w:rPr>
          <w:rFonts w:ascii="Arial" w:eastAsiaTheme="majorEastAsia" w:hAnsi="Arial" w:cs="Arial"/>
          <w:b/>
          <w:bCs/>
          <w:color w:val="0070C0"/>
          <w:sz w:val="26"/>
          <w:szCs w:val="26"/>
          <w:u w:val="single"/>
        </w:rPr>
      </w:pPr>
      <w:r w:rsidRPr="00D96F96">
        <w:rPr>
          <w:rFonts w:ascii="Arial" w:eastAsiaTheme="majorEastAsia" w:hAnsi="Arial" w:cs="Arial"/>
          <w:b/>
          <w:bCs/>
          <w:color w:val="0070C0"/>
          <w:sz w:val="26"/>
          <w:szCs w:val="26"/>
          <w:u w:val="single"/>
        </w:rPr>
        <w:t xml:space="preserve">Participation in the National Fraud Initiative (NFI) </w:t>
      </w:r>
    </w:p>
    <w:p w14:paraId="2FB4EAED" w14:textId="77777777" w:rsidR="00D96F96" w:rsidRPr="00D96F96" w:rsidRDefault="00D96F96" w:rsidP="00D96F96">
      <w:pPr>
        <w:shd w:val="clear" w:color="auto" w:fill="FFFFFF"/>
        <w:jc w:val="both"/>
        <w:rPr>
          <w:rFonts w:ascii="Arial" w:hAnsi="Arial" w:cs="Arial"/>
          <w:b/>
          <w:sz w:val="24"/>
          <w:szCs w:val="24"/>
        </w:rPr>
      </w:pPr>
    </w:p>
    <w:p w14:paraId="4AA54EED" w14:textId="77777777" w:rsidR="00D96F96" w:rsidRPr="00D96F96" w:rsidRDefault="00D96F96" w:rsidP="00D96F96">
      <w:pPr>
        <w:jc w:val="both"/>
        <w:rPr>
          <w:rFonts w:ascii="Arial" w:hAnsi="Arial" w:cs="Arial"/>
          <w:sz w:val="24"/>
          <w:szCs w:val="24"/>
        </w:rPr>
      </w:pPr>
      <w:r w:rsidRPr="00D96F96">
        <w:rPr>
          <w:rFonts w:ascii="Arial" w:hAnsi="Arial" w:cs="Arial"/>
          <w:sz w:val="24"/>
          <w:szCs w:val="24"/>
        </w:rPr>
        <w:t>The NFI is a Cabinet Office data matching initiative which brings together data from several public sector sources which indicate a risk of fraud or error.</w:t>
      </w:r>
    </w:p>
    <w:p w14:paraId="42D1C937" w14:textId="77777777" w:rsidR="00D96F96" w:rsidRPr="00D96F96" w:rsidRDefault="00D96F96" w:rsidP="00D96F96">
      <w:pPr>
        <w:jc w:val="both"/>
        <w:rPr>
          <w:rFonts w:ascii="Arial" w:hAnsi="Arial" w:cs="Arial"/>
          <w:sz w:val="24"/>
          <w:szCs w:val="24"/>
        </w:rPr>
      </w:pPr>
    </w:p>
    <w:p w14:paraId="30054096" w14:textId="15745024" w:rsidR="00D96F96" w:rsidRDefault="00D96F96" w:rsidP="50A97535">
      <w:pPr>
        <w:spacing w:line="259" w:lineRule="auto"/>
        <w:jc w:val="both"/>
        <w:rPr>
          <w:rFonts w:ascii="Arial" w:hAnsi="Arial" w:cs="Arial"/>
          <w:sz w:val="24"/>
          <w:szCs w:val="24"/>
          <w:lang w:val="en-US" w:eastAsia="en-US"/>
        </w:rPr>
      </w:pPr>
      <w:r w:rsidRPr="50A97535">
        <w:rPr>
          <w:rFonts w:ascii="Arial" w:hAnsi="Arial" w:cs="Arial"/>
          <w:sz w:val="24"/>
          <w:szCs w:val="24"/>
        </w:rPr>
        <w:t xml:space="preserve">Data returned to the Council from the 2024/25 bi-annual exercise is currently being </w:t>
      </w:r>
      <w:r w:rsidR="717B055A" w:rsidRPr="50A97535">
        <w:rPr>
          <w:rFonts w:ascii="Arial" w:hAnsi="Arial" w:cs="Arial"/>
          <w:sz w:val="24"/>
          <w:szCs w:val="24"/>
        </w:rPr>
        <w:t xml:space="preserve">investigated and will be reported when complete. </w:t>
      </w:r>
    </w:p>
    <w:p w14:paraId="7B267A0B" w14:textId="07305AEB" w:rsidR="50A97535" w:rsidRDefault="50A97535" w:rsidP="50A97535">
      <w:pPr>
        <w:spacing w:line="259" w:lineRule="auto"/>
        <w:jc w:val="both"/>
        <w:rPr>
          <w:rFonts w:ascii="Arial" w:hAnsi="Arial" w:cs="Arial"/>
          <w:sz w:val="24"/>
          <w:szCs w:val="24"/>
        </w:rPr>
      </w:pPr>
    </w:p>
    <w:p w14:paraId="617328DD" w14:textId="77777777" w:rsidR="00D96F96" w:rsidRPr="00D96F96" w:rsidRDefault="00D96F96" w:rsidP="00D96F96">
      <w:pPr>
        <w:rPr>
          <w:lang w:val="en-US" w:eastAsia="en-US"/>
        </w:rPr>
      </w:pPr>
    </w:p>
    <w:p w14:paraId="4E1A6F2F" w14:textId="440927F9" w:rsidR="00E749D8" w:rsidRPr="00DE5881" w:rsidRDefault="0090045E" w:rsidP="00407264">
      <w:pPr>
        <w:pStyle w:val="Heading2"/>
        <w:rPr>
          <w:rFonts w:ascii="Arial" w:hAnsi="Arial" w:cs="Arial"/>
          <w:b/>
          <w:bCs/>
          <w:color w:val="0070C0"/>
          <w:u w:val="single"/>
          <w:lang w:val="en-US" w:eastAsia="en-US"/>
        </w:rPr>
      </w:pPr>
      <w:r w:rsidRPr="00DE5881">
        <w:rPr>
          <w:rFonts w:ascii="Arial" w:hAnsi="Arial" w:cs="Arial"/>
          <w:b/>
          <w:bCs/>
          <w:color w:val="0070C0"/>
          <w:u w:val="single"/>
          <w:lang w:val="en-US" w:eastAsia="en-US"/>
        </w:rPr>
        <w:t xml:space="preserve">Third </w:t>
      </w:r>
      <w:r w:rsidR="00DE5881" w:rsidRPr="00DE5881">
        <w:rPr>
          <w:rFonts w:ascii="Arial" w:hAnsi="Arial" w:cs="Arial"/>
          <w:b/>
          <w:bCs/>
          <w:color w:val="0070C0"/>
          <w:u w:val="single"/>
          <w:lang w:val="en-US" w:eastAsia="en-US"/>
        </w:rPr>
        <w:t>P</w:t>
      </w:r>
      <w:r w:rsidRPr="00DE5881">
        <w:rPr>
          <w:rFonts w:ascii="Arial" w:hAnsi="Arial" w:cs="Arial"/>
          <w:b/>
          <w:bCs/>
          <w:color w:val="0070C0"/>
          <w:u w:val="single"/>
          <w:lang w:val="en-US" w:eastAsia="en-US"/>
        </w:rPr>
        <w:t xml:space="preserve">arty </w:t>
      </w:r>
      <w:r w:rsidR="00DE5881" w:rsidRPr="00DE5881">
        <w:rPr>
          <w:rFonts w:ascii="Arial" w:hAnsi="Arial" w:cs="Arial"/>
          <w:b/>
          <w:bCs/>
          <w:color w:val="0070C0"/>
          <w:u w:val="single"/>
          <w:lang w:val="en-US" w:eastAsia="en-US"/>
        </w:rPr>
        <w:t>R</w:t>
      </w:r>
      <w:r w:rsidRPr="00DE5881">
        <w:rPr>
          <w:rFonts w:ascii="Arial" w:hAnsi="Arial" w:cs="Arial"/>
          <w:b/>
          <w:bCs/>
          <w:color w:val="0070C0"/>
          <w:u w:val="single"/>
          <w:lang w:val="en-US" w:eastAsia="en-US"/>
        </w:rPr>
        <w:t xml:space="preserve">equests for </w:t>
      </w:r>
      <w:r w:rsidR="00DE5881" w:rsidRPr="00DE5881">
        <w:rPr>
          <w:rFonts w:ascii="Arial" w:hAnsi="Arial" w:cs="Arial"/>
          <w:b/>
          <w:bCs/>
          <w:color w:val="0070C0"/>
          <w:u w:val="single"/>
          <w:lang w:val="en-US" w:eastAsia="en-US"/>
        </w:rPr>
        <w:t>I</w:t>
      </w:r>
      <w:r w:rsidRPr="00DE5881">
        <w:rPr>
          <w:rFonts w:ascii="Arial" w:hAnsi="Arial" w:cs="Arial"/>
          <w:b/>
          <w:bCs/>
          <w:color w:val="0070C0"/>
          <w:u w:val="single"/>
          <w:lang w:val="en-US" w:eastAsia="en-US"/>
        </w:rPr>
        <w:t>nformation</w:t>
      </w:r>
    </w:p>
    <w:p w14:paraId="67282E8C" w14:textId="77777777" w:rsidR="0090045E" w:rsidRPr="0090045E" w:rsidRDefault="0090045E" w:rsidP="00E749D8">
      <w:pPr>
        <w:jc w:val="both"/>
        <w:rPr>
          <w:rFonts w:ascii="Arial" w:hAnsi="Arial" w:cs="Arial"/>
          <w:b/>
          <w:sz w:val="24"/>
          <w:szCs w:val="24"/>
          <w:lang w:val="en-US" w:eastAsia="en-US"/>
        </w:rPr>
      </w:pPr>
    </w:p>
    <w:p w14:paraId="6D352B5D" w14:textId="0F527ECE" w:rsidR="005867B0" w:rsidRDefault="003C4822" w:rsidP="24B6AD16">
      <w:pPr>
        <w:jc w:val="both"/>
        <w:rPr>
          <w:rFonts w:ascii="Arial" w:hAnsi="Arial" w:cs="Arial"/>
          <w:sz w:val="24"/>
          <w:szCs w:val="24"/>
          <w:lang w:eastAsia="en-US"/>
        </w:rPr>
      </w:pPr>
      <w:r w:rsidRPr="3A111552">
        <w:rPr>
          <w:rFonts w:ascii="Arial" w:hAnsi="Arial" w:cs="Arial"/>
          <w:sz w:val="24"/>
          <w:szCs w:val="24"/>
          <w:lang w:eastAsia="en-US"/>
        </w:rPr>
        <w:t xml:space="preserve">The Fraud Team continue to support the crucial information sharing work facilitated by the Transparency Team.  This includes responding to Data Protection Act requests in the main, but also information provided to the DWP under the Local Authority Information Exchange Form process.  The information shared ensures investigations can progress, and in the case of Police requests supports the prevention and detection of crime in the community.  </w:t>
      </w:r>
    </w:p>
    <w:p w14:paraId="76E48144" w14:textId="77777777" w:rsidR="00FE2FBB" w:rsidRDefault="00FE2FBB" w:rsidP="00E749D8">
      <w:pPr>
        <w:jc w:val="both"/>
        <w:rPr>
          <w:rFonts w:ascii="Arial" w:hAnsi="Arial" w:cs="Arial"/>
          <w:sz w:val="24"/>
          <w:szCs w:val="24"/>
          <w:lang w:val="en-US" w:eastAsia="en-US"/>
        </w:rPr>
      </w:pPr>
    </w:p>
    <w:p w14:paraId="373FF9D3" w14:textId="77777777" w:rsidR="00BD6C81" w:rsidRPr="00E749D8" w:rsidRDefault="00BD6C81" w:rsidP="00E749D8">
      <w:pPr>
        <w:jc w:val="both"/>
        <w:rPr>
          <w:rFonts w:ascii="Arial" w:hAnsi="Arial" w:cs="Arial"/>
          <w:sz w:val="24"/>
          <w:szCs w:val="24"/>
          <w:lang w:val="en-US" w:eastAsia="en-US"/>
        </w:rPr>
      </w:pPr>
    </w:p>
    <w:tbl>
      <w:tblPr>
        <w:tblStyle w:val="TableGrid"/>
        <w:tblW w:w="0" w:type="auto"/>
        <w:tblLook w:val="04A0" w:firstRow="1" w:lastRow="0" w:firstColumn="1" w:lastColumn="0" w:noHBand="0" w:noVBand="1"/>
      </w:tblPr>
      <w:tblGrid>
        <w:gridCol w:w="5240"/>
        <w:gridCol w:w="3776"/>
      </w:tblGrid>
      <w:tr w:rsidR="00850016" w14:paraId="40BD1A72" w14:textId="77777777" w:rsidTr="3A111552">
        <w:tc>
          <w:tcPr>
            <w:tcW w:w="5240" w:type="dxa"/>
          </w:tcPr>
          <w:p w14:paraId="486C7C83" w14:textId="1068C5BE" w:rsidR="00092D03" w:rsidRPr="00092D03" w:rsidRDefault="00092D03" w:rsidP="00E749D8">
            <w:pPr>
              <w:jc w:val="both"/>
              <w:rPr>
                <w:rFonts w:ascii="Arial" w:hAnsi="Arial" w:cs="Arial"/>
                <w:b/>
                <w:bCs/>
                <w:sz w:val="24"/>
                <w:szCs w:val="24"/>
                <w:lang w:val="en-US" w:eastAsia="en-US"/>
              </w:rPr>
            </w:pPr>
            <w:bookmarkStart w:id="2" w:name="_Hlk222232025"/>
            <w:r w:rsidRPr="00092D03">
              <w:rPr>
                <w:rFonts w:ascii="Arial" w:hAnsi="Arial" w:cs="Arial"/>
                <w:b/>
                <w:bCs/>
                <w:sz w:val="24"/>
                <w:szCs w:val="24"/>
                <w:lang w:val="en-US" w:eastAsia="en-US"/>
              </w:rPr>
              <w:t>Request Type</w:t>
            </w:r>
          </w:p>
        </w:tc>
        <w:tc>
          <w:tcPr>
            <w:tcW w:w="3776" w:type="dxa"/>
          </w:tcPr>
          <w:p w14:paraId="04F18662" w14:textId="01D21FDD" w:rsidR="00092D03" w:rsidRPr="00092D03" w:rsidRDefault="00092D03" w:rsidP="00E749D8">
            <w:pPr>
              <w:jc w:val="both"/>
              <w:rPr>
                <w:rFonts w:ascii="Arial" w:hAnsi="Arial" w:cs="Arial"/>
                <w:b/>
                <w:bCs/>
                <w:sz w:val="24"/>
                <w:szCs w:val="24"/>
                <w:lang w:val="en-US" w:eastAsia="en-US"/>
              </w:rPr>
            </w:pPr>
            <w:r w:rsidRPr="00092D03">
              <w:rPr>
                <w:rFonts w:ascii="Arial" w:hAnsi="Arial" w:cs="Arial"/>
                <w:b/>
                <w:bCs/>
                <w:sz w:val="24"/>
                <w:szCs w:val="24"/>
                <w:lang w:val="en-US" w:eastAsia="en-US"/>
              </w:rPr>
              <w:t>Number</w:t>
            </w:r>
          </w:p>
        </w:tc>
      </w:tr>
      <w:tr w:rsidR="00850016" w14:paraId="6EF55A56" w14:textId="77777777" w:rsidTr="3A111552">
        <w:tc>
          <w:tcPr>
            <w:tcW w:w="5240" w:type="dxa"/>
          </w:tcPr>
          <w:p w14:paraId="31AC4DC6" w14:textId="3E143432" w:rsidR="00092D03" w:rsidRDefault="00092D03" w:rsidP="00E749D8">
            <w:pPr>
              <w:jc w:val="both"/>
              <w:rPr>
                <w:rFonts w:ascii="Arial" w:hAnsi="Arial" w:cs="Arial"/>
                <w:sz w:val="24"/>
                <w:szCs w:val="24"/>
                <w:lang w:val="en-US" w:eastAsia="en-US"/>
              </w:rPr>
            </w:pPr>
            <w:r>
              <w:rPr>
                <w:rFonts w:ascii="Arial" w:hAnsi="Arial" w:cs="Arial"/>
                <w:sz w:val="24"/>
                <w:szCs w:val="24"/>
                <w:lang w:val="en-US" w:eastAsia="en-US"/>
              </w:rPr>
              <w:t xml:space="preserve">DWP </w:t>
            </w:r>
          </w:p>
        </w:tc>
        <w:tc>
          <w:tcPr>
            <w:tcW w:w="3776" w:type="dxa"/>
          </w:tcPr>
          <w:p w14:paraId="3A306DE9" w14:textId="1F135236" w:rsidR="00092D03" w:rsidRDefault="002D5286" w:rsidP="00E749D8">
            <w:pPr>
              <w:jc w:val="both"/>
              <w:rPr>
                <w:rFonts w:ascii="Arial" w:hAnsi="Arial" w:cs="Arial"/>
                <w:sz w:val="24"/>
                <w:szCs w:val="24"/>
                <w:lang w:val="en-US" w:eastAsia="en-US"/>
              </w:rPr>
            </w:pPr>
            <w:r>
              <w:rPr>
                <w:rFonts w:ascii="Arial" w:hAnsi="Arial" w:cs="Arial"/>
                <w:sz w:val="24"/>
                <w:szCs w:val="24"/>
                <w:lang w:val="en-US" w:eastAsia="en-US"/>
              </w:rPr>
              <w:t>3</w:t>
            </w:r>
          </w:p>
        </w:tc>
      </w:tr>
      <w:tr w:rsidR="00850016" w14:paraId="04AFC683" w14:textId="77777777" w:rsidTr="3A111552">
        <w:tc>
          <w:tcPr>
            <w:tcW w:w="5240" w:type="dxa"/>
          </w:tcPr>
          <w:p w14:paraId="55977526" w14:textId="0AA420EB" w:rsidR="00092D03" w:rsidRDefault="00092D03" w:rsidP="00E749D8">
            <w:pPr>
              <w:jc w:val="both"/>
              <w:rPr>
                <w:rFonts w:ascii="Arial" w:hAnsi="Arial" w:cs="Arial"/>
                <w:sz w:val="24"/>
                <w:szCs w:val="24"/>
                <w:lang w:val="en-US" w:eastAsia="en-US"/>
              </w:rPr>
            </w:pPr>
            <w:r>
              <w:rPr>
                <w:rFonts w:ascii="Arial" w:hAnsi="Arial" w:cs="Arial"/>
                <w:sz w:val="24"/>
                <w:szCs w:val="24"/>
                <w:lang w:val="en-US" w:eastAsia="en-US"/>
              </w:rPr>
              <w:t>Police</w:t>
            </w:r>
          </w:p>
        </w:tc>
        <w:tc>
          <w:tcPr>
            <w:tcW w:w="3776" w:type="dxa"/>
          </w:tcPr>
          <w:p w14:paraId="2E761FD4" w14:textId="520572B7" w:rsidR="00092D03" w:rsidRDefault="002D5286" w:rsidP="00E749D8">
            <w:pPr>
              <w:jc w:val="both"/>
              <w:rPr>
                <w:rFonts w:ascii="Arial" w:hAnsi="Arial" w:cs="Arial"/>
                <w:sz w:val="24"/>
                <w:szCs w:val="24"/>
                <w:lang w:val="en-US" w:eastAsia="en-US"/>
              </w:rPr>
            </w:pPr>
            <w:r>
              <w:rPr>
                <w:rFonts w:ascii="Arial" w:hAnsi="Arial" w:cs="Arial"/>
                <w:sz w:val="24"/>
                <w:szCs w:val="24"/>
                <w:lang w:val="en-US" w:eastAsia="en-US"/>
              </w:rPr>
              <w:t>265</w:t>
            </w:r>
          </w:p>
        </w:tc>
      </w:tr>
      <w:tr w:rsidR="00850016" w14:paraId="0DC262DF" w14:textId="77777777" w:rsidTr="3A111552">
        <w:tc>
          <w:tcPr>
            <w:tcW w:w="5240" w:type="dxa"/>
          </w:tcPr>
          <w:p w14:paraId="665F2F6F" w14:textId="7B038EDC" w:rsidR="00092D03" w:rsidRDefault="00092D03" w:rsidP="00E749D8">
            <w:pPr>
              <w:jc w:val="both"/>
              <w:rPr>
                <w:rFonts w:ascii="Arial" w:hAnsi="Arial" w:cs="Arial"/>
                <w:sz w:val="24"/>
                <w:szCs w:val="24"/>
                <w:lang w:val="en-US" w:eastAsia="en-US"/>
              </w:rPr>
            </w:pPr>
            <w:r>
              <w:rPr>
                <w:rFonts w:ascii="Arial" w:hAnsi="Arial" w:cs="Arial"/>
                <w:sz w:val="24"/>
                <w:szCs w:val="24"/>
                <w:lang w:val="en-US" w:eastAsia="en-US"/>
              </w:rPr>
              <w:t>Other Agency</w:t>
            </w:r>
          </w:p>
        </w:tc>
        <w:tc>
          <w:tcPr>
            <w:tcW w:w="3776" w:type="dxa"/>
          </w:tcPr>
          <w:p w14:paraId="6CAB96BB" w14:textId="4328EFAD" w:rsidR="00092D03" w:rsidRDefault="00DE0A2A" w:rsidP="00E749D8">
            <w:pPr>
              <w:jc w:val="both"/>
              <w:rPr>
                <w:rFonts w:ascii="Arial" w:hAnsi="Arial" w:cs="Arial"/>
                <w:sz w:val="24"/>
                <w:szCs w:val="24"/>
                <w:lang w:val="en-US" w:eastAsia="en-US"/>
              </w:rPr>
            </w:pPr>
            <w:r>
              <w:rPr>
                <w:rFonts w:ascii="Arial" w:hAnsi="Arial" w:cs="Arial"/>
                <w:sz w:val="24"/>
                <w:szCs w:val="24"/>
                <w:lang w:val="en-US" w:eastAsia="en-US"/>
              </w:rPr>
              <w:t>126</w:t>
            </w:r>
          </w:p>
        </w:tc>
      </w:tr>
      <w:tr w:rsidR="00850016" w14:paraId="3482EDEE" w14:textId="77777777" w:rsidTr="3A111552">
        <w:trPr>
          <w:trHeight w:val="300"/>
        </w:trPr>
        <w:tc>
          <w:tcPr>
            <w:tcW w:w="5240" w:type="dxa"/>
          </w:tcPr>
          <w:p w14:paraId="417ACD0D" w14:textId="050C883C" w:rsidR="00F248CD" w:rsidRDefault="00F248CD" w:rsidP="24B6AD16">
            <w:pPr>
              <w:jc w:val="both"/>
              <w:rPr>
                <w:rFonts w:ascii="Arial" w:hAnsi="Arial" w:cs="Arial"/>
                <w:b/>
                <w:bCs/>
                <w:sz w:val="24"/>
                <w:szCs w:val="24"/>
                <w:lang w:val="en-US" w:eastAsia="en-US"/>
              </w:rPr>
            </w:pPr>
            <w:r w:rsidRPr="24B6AD16">
              <w:rPr>
                <w:rFonts w:ascii="Arial" w:hAnsi="Arial" w:cs="Arial"/>
                <w:b/>
                <w:bCs/>
                <w:sz w:val="24"/>
                <w:szCs w:val="24"/>
                <w:lang w:val="en-US" w:eastAsia="en-US"/>
              </w:rPr>
              <w:t>Total</w:t>
            </w:r>
          </w:p>
        </w:tc>
        <w:tc>
          <w:tcPr>
            <w:tcW w:w="3776" w:type="dxa"/>
          </w:tcPr>
          <w:p w14:paraId="10762792" w14:textId="58B3F4FC" w:rsidR="00F248CD" w:rsidRDefault="002D5286" w:rsidP="24B6AD16">
            <w:pPr>
              <w:jc w:val="both"/>
              <w:rPr>
                <w:rFonts w:ascii="Arial" w:hAnsi="Arial" w:cs="Arial"/>
                <w:b/>
                <w:bCs/>
                <w:sz w:val="24"/>
                <w:szCs w:val="24"/>
                <w:lang w:val="en-US" w:eastAsia="en-US"/>
              </w:rPr>
            </w:pPr>
            <w:r>
              <w:rPr>
                <w:rFonts w:ascii="Arial" w:hAnsi="Arial" w:cs="Arial"/>
                <w:b/>
                <w:bCs/>
                <w:sz w:val="24"/>
                <w:szCs w:val="24"/>
                <w:lang w:val="en-US" w:eastAsia="en-US"/>
              </w:rPr>
              <w:t>394</w:t>
            </w:r>
          </w:p>
        </w:tc>
      </w:tr>
      <w:bookmarkEnd w:id="2"/>
    </w:tbl>
    <w:p w14:paraId="020B95FB" w14:textId="77777777" w:rsidR="00612C46" w:rsidRDefault="00612C46" w:rsidP="00E749D8">
      <w:pPr>
        <w:jc w:val="both"/>
        <w:rPr>
          <w:rFonts w:ascii="Arial" w:hAnsi="Arial" w:cs="Arial"/>
          <w:sz w:val="24"/>
          <w:szCs w:val="24"/>
          <w:lang w:val="en-US" w:eastAsia="en-US"/>
        </w:rPr>
      </w:pPr>
    </w:p>
    <w:p w14:paraId="118572C9" w14:textId="069197B6" w:rsidR="00E749D8" w:rsidRPr="007F16DD" w:rsidRDefault="00E749D8" w:rsidP="00407264">
      <w:pPr>
        <w:pStyle w:val="Heading1"/>
        <w:rPr>
          <w:rFonts w:ascii="Arial" w:hAnsi="Arial" w:cs="Arial"/>
          <w:b/>
          <w:color w:val="auto"/>
          <w:sz w:val="28"/>
          <w:szCs w:val="28"/>
          <w:lang w:val="en-US" w:eastAsia="en-US"/>
        </w:rPr>
      </w:pPr>
      <w:r w:rsidRPr="007F16DD">
        <w:rPr>
          <w:rFonts w:ascii="Arial" w:hAnsi="Arial" w:cs="Arial"/>
          <w:b/>
          <w:color w:val="auto"/>
          <w:sz w:val="28"/>
          <w:szCs w:val="28"/>
        </w:rPr>
        <w:t>Pursue</w:t>
      </w:r>
    </w:p>
    <w:p w14:paraId="47915021" w14:textId="77777777" w:rsidR="00E749D8" w:rsidRPr="00E749D8" w:rsidRDefault="00E749D8" w:rsidP="00E749D8">
      <w:pPr>
        <w:jc w:val="both"/>
        <w:rPr>
          <w:rFonts w:ascii="Arial" w:hAnsi="Arial" w:cs="Arial"/>
          <w:b/>
          <w:bCs/>
          <w:iCs/>
          <w:sz w:val="24"/>
          <w:szCs w:val="24"/>
        </w:rPr>
      </w:pPr>
    </w:p>
    <w:p w14:paraId="481CF866" w14:textId="46022B53" w:rsidR="00FA7CB7" w:rsidRPr="00FA7CB7" w:rsidRDefault="00FA7CB7" w:rsidP="04BD2A26">
      <w:pPr>
        <w:jc w:val="both"/>
        <w:rPr>
          <w:rFonts w:ascii="Arial" w:hAnsi="Arial" w:cs="Arial"/>
          <w:sz w:val="24"/>
          <w:szCs w:val="24"/>
        </w:rPr>
      </w:pPr>
      <w:r w:rsidRPr="04BD2A26">
        <w:rPr>
          <w:rFonts w:ascii="Arial" w:hAnsi="Arial" w:cs="Arial"/>
          <w:sz w:val="24"/>
          <w:szCs w:val="24"/>
        </w:rPr>
        <w:t xml:space="preserve">All losses identified (including those identified from reviews of single residency discounts) are pursued in line with the Council’s debt recovery strategy. </w:t>
      </w:r>
      <w:r w:rsidR="002C0CE8" w:rsidRPr="04BD2A26">
        <w:rPr>
          <w:rFonts w:ascii="Arial" w:hAnsi="Arial" w:cs="Arial"/>
          <w:sz w:val="24"/>
          <w:szCs w:val="24"/>
        </w:rPr>
        <w:t xml:space="preserve">The </w:t>
      </w:r>
      <w:r w:rsidR="4C1D9FDF" w:rsidRPr="04BD2A26">
        <w:rPr>
          <w:rFonts w:ascii="Arial" w:hAnsi="Arial" w:cs="Arial"/>
          <w:sz w:val="24"/>
          <w:szCs w:val="24"/>
        </w:rPr>
        <w:t xml:space="preserve">Fraud Team works closely with wider teams to ensure fraud prevention is </w:t>
      </w:r>
      <w:r w:rsidR="5E08D599" w:rsidRPr="04BD2A26">
        <w:rPr>
          <w:rFonts w:ascii="Arial" w:hAnsi="Arial" w:cs="Arial"/>
          <w:sz w:val="24"/>
          <w:szCs w:val="24"/>
        </w:rPr>
        <w:t xml:space="preserve">followed.  </w:t>
      </w:r>
      <w:r w:rsidR="79EFEAD2" w:rsidRPr="04BD2A26">
        <w:rPr>
          <w:rFonts w:ascii="Arial" w:hAnsi="Arial" w:cs="Arial"/>
          <w:sz w:val="24"/>
          <w:szCs w:val="24"/>
        </w:rPr>
        <w:t>Close collaboration takes place with Council teams where fraud and error is identified as a key risk.  Examples of this are Local Taxation and Be</w:t>
      </w:r>
      <w:r w:rsidR="092CC895" w:rsidRPr="04BD2A26">
        <w:rPr>
          <w:rFonts w:ascii="Arial" w:hAnsi="Arial" w:cs="Arial"/>
          <w:sz w:val="24"/>
          <w:szCs w:val="24"/>
        </w:rPr>
        <w:t>nefits, where evidence from investigations is shared to ensure lost revenue can be recovered</w:t>
      </w:r>
      <w:r w:rsidR="12D8E4C1" w:rsidRPr="04BD2A26">
        <w:rPr>
          <w:rFonts w:ascii="Arial" w:hAnsi="Arial" w:cs="Arial"/>
          <w:sz w:val="24"/>
          <w:szCs w:val="24"/>
        </w:rPr>
        <w:t xml:space="preserve">.  </w:t>
      </w:r>
    </w:p>
    <w:p w14:paraId="2B7B14C9" w14:textId="36E42749" w:rsidR="00FA7CB7" w:rsidRPr="00FA7CB7" w:rsidRDefault="12D8E4C1" w:rsidP="283EE096">
      <w:pPr>
        <w:jc w:val="both"/>
        <w:rPr>
          <w:rFonts w:ascii="Arial" w:hAnsi="Arial" w:cs="Arial"/>
          <w:sz w:val="24"/>
          <w:szCs w:val="24"/>
        </w:rPr>
      </w:pPr>
      <w:r w:rsidRPr="04BD2A26">
        <w:rPr>
          <w:rFonts w:ascii="Arial" w:hAnsi="Arial" w:cs="Arial"/>
          <w:sz w:val="24"/>
          <w:szCs w:val="24"/>
        </w:rPr>
        <w:t>The Insurance Team deal with many claims from members of the public and</w:t>
      </w:r>
      <w:r w:rsidR="06A3EAAA" w:rsidRPr="04BD2A26">
        <w:rPr>
          <w:rFonts w:ascii="Arial" w:hAnsi="Arial" w:cs="Arial"/>
          <w:sz w:val="24"/>
          <w:szCs w:val="24"/>
        </w:rPr>
        <w:t xml:space="preserve"> consult with the Fraud Team where suspicions exist around validity of claims; this </w:t>
      </w:r>
      <w:r w:rsidR="552503A4" w:rsidRPr="04BD2A26">
        <w:rPr>
          <w:rFonts w:ascii="Arial" w:hAnsi="Arial" w:cs="Arial"/>
          <w:sz w:val="24"/>
          <w:szCs w:val="24"/>
        </w:rPr>
        <w:t>information</w:t>
      </w:r>
      <w:r w:rsidR="06A3EAAA" w:rsidRPr="04BD2A26">
        <w:rPr>
          <w:rFonts w:ascii="Arial" w:hAnsi="Arial" w:cs="Arial"/>
          <w:sz w:val="24"/>
          <w:szCs w:val="24"/>
        </w:rPr>
        <w:t xml:space="preserve"> is then passed to the Council’s insurers to ensure </w:t>
      </w:r>
      <w:r w:rsidR="45959D7F" w:rsidRPr="04BD2A26">
        <w:rPr>
          <w:rFonts w:ascii="Arial" w:hAnsi="Arial" w:cs="Arial"/>
          <w:sz w:val="24"/>
          <w:szCs w:val="24"/>
        </w:rPr>
        <w:t>proper scrutiny of claims and, where evidence can be found to negate claims,</w:t>
      </w:r>
      <w:r w:rsidR="08285C45" w:rsidRPr="04BD2A26">
        <w:rPr>
          <w:rFonts w:ascii="Arial" w:hAnsi="Arial" w:cs="Arial"/>
          <w:sz w:val="24"/>
          <w:szCs w:val="24"/>
        </w:rPr>
        <w:t xml:space="preserve"> losses are reduced. </w:t>
      </w:r>
      <w:r w:rsidR="3CB3A42B" w:rsidRPr="04BD2A26">
        <w:rPr>
          <w:rFonts w:ascii="Arial" w:hAnsi="Arial" w:cs="Arial"/>
          <w:sz w:val="24"/>
          <w:szCs w:val="24"/>
        </w:rPr>
        <w:t xml:space="preserve"> </w:t>
      </w:r>
    </w:p>
    <w:p w14:paraId="183D0BD3" w14:textId="36B8C8F8" w:rsidR="24B6AD16" w:rsidRDefault="24B6AD16" w:rsidP="24B6AD16">
      <w:pPr>
        <w:jc w:val="both"/>
        <w:rPr>
          <w:rFonts w:ascii="Arial" w:hAnsi="Arial" w:cs="Arial"/>
          <w:sz w:val="24"/>
          <w:szCs w:val="24"/>
        </w:rPr>
      </w:pPr>
    </w:p>
    <w:p w14:paraId="78F58259" w14:textId="1C657C54" w:rsidR="00092D03" w:rsidRPr="00FA7CB7" w:rsidRDefault="00092D03" w:rsidP="24B6AD16">
      <w:pPr>
        <w:jc w:val="both"/>
        <w:rPr>
          <w:rFonts w:ascii="Arial" w:hAnsi="Arial" w:cs="Arial"/>
          <w:sz w:val="24"/>
          <w:szCs w:val="24"/>
        </w:rPr>
      </w:pPr>
      <w:r w:rsidRPr="24B6AD16">
        <w:rPr>
          <w:rFonts w:ascii="Arial" w:hAnsi="Arial" w:cs="Arial"/>
          <w:sz w:val="24"/>
          <w:szCs w:val="24"/>
        </w:rPr>
        <w:t xml:space="preserve">Outcome decisions in respect of fraud investigations </w:t>
      </w:r>
      <w:r w:rsidR="193252CB" w:rsidRPr="24B6AD16">
        <w:rPr>
          <w:rFonts w:ascii="Arial" w:hAnsi="Arial" w:cs="Arial"/>
          <w:sz w:val="24"/>
          <w:szCs w:val="24"/>
        </w:rPr>
        <w:t>are</w:t>
      </w:r>
      <w:r w:rsidRPr="24B6AD16">
        <w:rPr>
          <w:rFonts w:ascii="Arial" w:hAnsi="Arial" w:cs="Arial"/>
          <w:sz w:val="24"/>
          <w:szCs w:val="24"/>
        </w:rPr>
        <w:t xml:space="preserve"> in accordance with the sanction policies to ensure proportionate and lawful disposals.  The Council reserves </w:t>
      </w:r>
      <w:r w:rsidRPr="24B6AD16">
        <w:rPr>
          <w:rFonts w:ascii="Arial" w:hAnsi="Arial" w:cs="Arial"/>
          <w:sz w:val="24"/>
          <w:szCs w:val="24"/>
        </w:rPr>
        <w:lastRenderedPageBreak/>
        <w:t xml:space="preserve">the right to seek prosecution in the Criminal Justice System to ensure the public are deterred from committing relevant offences. </w:t>
      </w:r>
    </w:p>
    <w:p w14:paraId="7F4E4651" w14:textId="77777777" w:rsidR="00FA7CB7" w:rsidRPr="00FA7CB7" w:rsidRDefault="00FA7CB7" w:rsidP="00FA7CB7">
      <w:pPr>
        <w:jc w:val="both"/>
        <w:rPr>
          <w:rFonts w:ascii="Arial" w:hAnsi="Arial" w:cs="Arial"/>
          <w:bCs/>
          <w:iCs/>
          <w:sz w:val="24"/>
          <w:szCs w:val="24"/>
        </w:rPr>
      </w:pPr>
    </w:p>
    <w:p w14:paraId="6269FD89" w14:textId="6CF177E6" w:rsidR="00FD6ABC" w:rsidRPr="007F16DD" w:rsidRDefault="00FD6ABC" w:rsidP="00FD6ABC">
      <w:pPr>
        <w:pStyle w:val="Heading1"/>
        <w:rPr>
          <w:rFonts w:ascii="Arial" w:hAnsi="Arial" w:cs="Arial"/>
          <w:b/>
          <w:bCs/>
          <w:color w:val="auto"/>
          <w:sz w:val="28"/>
          <w:szCs w:val="28"/>
        </w:rPr>
      </w:pPr>
      <w:r w:rsidRPr="007F16DD">
        <w:rPr>
          <w:rFonts w:ascii="Arial" w:hAnsi="Arial" w:cs="Arial"/>
          <w:b/>
          <w:bCs/>
          <w:color w:val="auto"/>
          <w:sz w:val="28"/>
          <w:szCs w:val="28"/>
        </w:rPr>
        <w:t xml:space="preserve">Protect </w:t>
      </w:r>
    </w:p>
    <w:p w14:paraId="753487A0" w14:textId="7B43FF8E" w:rsidR="00FD6ABC" w:rsidRDefault="00FD6ABC" w:rsidP="00FD6ABC"/>
    <w:p w14:paraId="206ADA41" w14:textId="205D01C2" w:rsidR="0073307D" w:rsidRDefault="0073307D" w:rsidP="24B6AD16">
      <w:pPr>
        <w:spacing w:after="160" w:line="259" w:lineRule="auto"/>
        <w:jc w:val="both"/>
        <w:rPr>
          <w:rFonts w:ascii="Arial" w:eastAsia="Arial" w:hAnsi="Arial"/>
          <w:sz w:val="24"/>
          <w:szCs w:val="24"/>
        </w:rPr>
      </w:pPr>
      <w:r w:rsidRPr="3A111552">
        <w:rPr>
          <w:rFonts w:ascii="Arial" w:eastAsia="Arial" w:hAnsi="Arial"/>
          <w:sz w:val="24"/>
          <w:szCs w:val="24"/>
        </w:rPr>
        <w:t>The actions outlined above provide a robust response to the risks of fraud occurring, its detection and investigation. T</w:t>
      </w:r>
      <w:r w:rsidR="58214CC1" w:rsidRPr="3A111552">
        <w:rPr>
          <w:rFonts w:ascii="Arial" w:eastAsia="Arial" w:hAnsi="Arial"/>
          <w:sz w:val="24"/>
          <w:szCs w:val="24"/>
        </w:rPr>
        <w:t xml:space="preserve">he Council seeks to protect itself from the risk of fraud, and the community it serves, ensuring funds are preserved to deliver vital services.  </w:t>
      </w:r>
      <w:r w:rsidR="58C146C2" w:rsidRPr="3A111552">
        <w:rPr>
          <w:rFonts w:ascii="Arial" w:eastAsia="Arial" w:hAnsi="Arial"/>
          <w:sz w:val="24"/>
          <w:szCs w:val="24"/>
        </w:rPr>
        <w:t>The Council proactively looks for opportunities to design out fraud – acknowledging that prevention is far more effe</w:t>
      </w:r>
      <w:r w:rsidR="4FB5134B" w:rsidRPr="3A111552">
        <w:rPr>
          <w:rFonts w:ascii="Arial" w:eastAsia="Arial" w:hAnsi="Arial"/>
          <w:sz w:val="24"/>
          <w:szCs w:val="24"/>
        </w:rPr>
        <w:t xml:space="preserve">ctive than responding where fraud has happened. </w:t>
      </w:r>
    </w:p>
    <w:p w14:paraId="14DE9330" w14:textId="3BAB0784" w:rsidR="0073307D" w:rsidRPr="007F16DD" w:rsidRDefault="0073307D" w:rsidP="00ED0A31">
      <w:pPr>
        <w:pStyle w:val="Heading1"/>
        <w:jc w:val="both"/>
        <w:rPr>
          <w:rFonts w:ascii="Arial" w:hAnsi="Arial" w:cs="Arial"/>
          <w:b/>
          <w:bCs/>
          <w:color w:val="auto"/>
          <w:sz w:val="28"/>
          <w:szCs w:val="28"/>
        </w:rPr>
      </w:pPr>
      <w:r w:rsidRPr="007F16DD">
        <w:rPr>
          <w:rFonts w:ascii="Arial" w:hAnsi="Arial" w:cs="Arial"/>
          <w:b/>
          <w:bCs/>
          <w:color w:val="auto"/>
          <w:sz w:val="28"/>
          <w:szCs w:val="28"/>
        </w:rPr>
        <w:t xml:space="preserve">Future </w:t>
      </w:r>
      <w:r w:rsidR="007F16DD">
        <w:rPr>
          <w:rFonts w:ascii="Arial" w:hAnsi="Arial" w:cs="Arial"/>
          <w:b/>
          <w:bCs/>
          <w:color w:val="auto"/>
          <w:sz w:val="28"/>
          <w:szCs w:val="28"/>
        </w:rPr>
        <w:t>D</w:t>
      </w:r>
      <w:r w:rsidRPr="007F16DD">
        <w:rPr>
          <w:rFonts w:ascii="Arial" w:hAnsi="Arial" w:cs="Arial"/>
          <w:b/>
          <w:bCs/>
          <w:color w:val="auto"/>
          <w:sz w:val="28"/>
          <w:szCs w:val="28"/>
        </w:rPr>
        <w:t>evelopments</w:t>
      </w:r>
    </w:p>
    <w:p w14:paraId="39C14D6A" w14:textId="77777777" w:rsidR="0073307D" w:rsidRPr="0073307D" w:rsidRDefault="0073307D" w:rsidP="00ED0A31">
      <w:pPr>
        <w:jc w:val="both"/>
        <w:rPr>
          <w:rFonts w:ascii="Arial" w:hAnsi="Arial" w:cs="Arial"/>
          <w:b/>
          <w:bCs/>
          <w:iCs/>
          <w:sz w:val="24"/>
          <w:szCs w:val="24"/>
        </w:rPr>
      </w:pPr>
    </w:p>
    <w:p w14:paraId="047A1489" w14:textId="56E3D41C" w:rsidR="004C1115" w:rsidRDefault="007A7BC6" w:rsidP="3D7176A0">
      <w:pPr>
        <w:jc w:val="both"/>
        <w:rPr>
          <w:rFonts w:ascii="Arial" w:eastAsia="Arial" w:hAnsi="Arial"/>
          <w:sz w:val="24"/>
          <w:szCs w:val="24"/>
          <w:lang w:eastAsia="en-US"/>
        </w:rPr>
      </w:pPr>
      <w:r w:rsidRPr="04BD2A26">
        <w:rPr>
          <w:rFonts w:ascii="Arial" w:eastAsia="Arial" w:hAnsi="Arial"/>
          <w:sz w:val="24"/>
          <w:szCs w:val="24"/>
          <w:lang w:eastAsia="en-US"/>
        </w:rPr>
        <w:t>The Fraud Plan</w:t>
      </w:r>
      <w:r w:rsidR="0057148F" w:rsidRPr="04BD2A26">
        <w:rPr>
          <w:rFonts w:ascii="Arial" w:eastAsia="Arial" w:hAnsi="Arial"/>
          <w:sz w:val="24"/>
          <w:szCs w:val="24"/>
          <w:lang w:eastAsia="en-US"/>
        </w:rPr>
        <w:t xml:space="preserve"> (Appendix2</w:t>
      </w:r>
      <w:r w:rsidR="09FDB6AB" w:rsidRPr="04BD2A26">
        <w:rPr>
          <w:rFonts w:ascii="Arial" w:eastAsia="Arial" w:hAnsi="Arial"/>
          <w:sz w:val="24"/>
          <w:szCs w:val="24"/>
          <w:lang w:eastAsia="en-US"/>
        </w:rPr>
        <w:t>) outlines</w:t>
      </w:r>
      <w:r w:rsidRPr="04BD2A26">
        <w:rPr>
          <w:rFonts w:ascii="Arial" w:eastAsia="Arial" w:hAnsi="Arial"/>
          <w:sz w:val="24"/>
          <w:szCs w:val="24"/>
          <w:lang w:eastAsia="en-US"/>
        </w:rPr>
        <w:t xml:space="preserve"> the Council's priorities for the coming year and includes improvements to the service by using technology to assess information and more effectively identify fraudulent activity.  </w:t>
      </w:r>
      <w:r w:rsidR="00934DE6" w:rsidRPr="04BD2A26">
        <w:rPr>
          <w:rFonts w:ascii="Arial" w:eastAsia="Arial" w:hAnsi="Arial"/>
          <w:sz w:val="24"/>
          <w:szCs w:val="24"/>
          <w:lang w:eastAsia="en-US"/>
        </w:rPr>
        <w:t>Working in</w:t>
      </w:r>
      <w:r w:rsidRPr="04BD2A26">
        <w:rPr>
          <w:rFonts w:ascii="Arial" w:eastAsia="Arial" w:hAnsi="Arial"/>
          <w:sz w:val="24"/>
          <w:szCs w:val="24"/>
          <w:lang w:eastAsia="en-US"/>
        </w:rPr>
        <w:t xml:space="preserve"> closer partnership with staff involved in areas associated with a high risk of fraud, such a</w:t>
      </w:r>
      <w:r w:rsidR="19344A4C" w:rsidRPr="04BD2A26">
        <w:rPr>
          <w:rFonts w:ascii="Arial" w:eastAsia="Arial" w:hAnsi="Arial"/>
          <w:sz w:val="24"/>
          <w:szCs w:val="24"/>
          <w:lang w:eastAsia="en-US"/>
        </w:rPr>
        <w:t>s</w:t>
      </w:r>
      <w:r w:rsidRPr="04BD2A26">
        <w:rPr>
          <w:rFonts w:ascii="Arial" w:eastAsia="Arial" w:hAnsi="Arial"/>
          <w:sz w:val="24"/>
          <w:szCs w:val="24"/>
          <w:lang w:eastAsia="en-US"/>
        </w:rPr>
        <w:t xml:space="preserve"> Council Tax, Business Rates, HR, and Procurement, will bring </w:t>
      </w:r>
      <w:r w:rsidR="00934DE6" w:rsidRPr="04BD2A26">
        <w:rPr>
          <w:rFonts w:ascii="Arial" w:eastAsia="Arial" w:hAnsi="Arial"/>
          <w:sz w:val="24"/>
          <w:szCs w:val="24"/>
          <w:lang w:eastAsia="en-US"/>
        </w:rPr>
        <w:t xml:space="preserve">a more robust response and consequently increase resilience in this important area of threat and harm.  </w:t>
      </w:r>
    </w:p>
    <w:p w14:paraId="760F7F7A" w14:textId="77777777" w:rsidR="004C1115" w:rsidRDefault="004C1115" w:rsidP="3D7176A0">
      <w:pPr>
        <w:jc w:val="both"/>
        <w:rPr>
          <w:rFonts w:ascii="Arial" w:eastAsia="Arial" w:hAnsi="Arial"/>
          <w:sz w:val="24"/>
          <w:szCs w:val="24"/>
          <w:lang w:eastAsia="en-US"/>
        </w:rPr>
      </w:pPr>
    </w:p>
    <w:p w14:paraId="7DC2A95B" w14:textId="77777777" w:rsidR="004C1115" w:rsidRDefault="004C1115" w:rsidP="3D7176A0">
      <w:pPr>
        <w:jc w:val="both"/>
        <w:rPr>
          <w:rFonts w:ascii="Arial" w:eastAsia="Arial" w:hAnsi="Arial"/>
          <w:sz w:val="24"/>
          <w:szCs w:val="24"/>
          <w:lang w:eastAsia="en-US"/>
        </w:rPr>
      </w:pPr>
    </w:p>
    <w:p w14:paraId="75664F14" w14:textId="77777777" w:rsidR="004C1115" w:rsidRDefault="004C1115" w:rsidP="3D7176A0">
      <w:pPr>
        <w:jc w:val="both"/>
        <w:rPr>
          <w:rFonts w:ascii="Arial" w:eastAsia="Arial" w:hAnsi="Arial"/>
          <w:sz w:val="24"/>
          <w:szCs w:val="24"/>
          <w:lang w:eastAsia="en-US"/>
        </w:rPr>
      </w:pPr>
    </w:p>
    <w:p w14:paraId="7586A1E3" w14:textId="77777777" w:rsidR="004C1115" w:rsidRDefault="004C1115" w:rsidP="3D7176A0">
      <w:pPr>
        <w:jc w:val="both"/>
        <w:rPr>
          <w:rFonts w:ascii="Arial" w:eastAsia="Arial" w:hAnsi="Arial"/>
          <w:sz w:val="24"/>
          <w:szCs w:val="24"/>
          <w:lang w:eastAsia="en-US"/>
        </w:rPr>
      </w:pPr>
    </w:p>
    <w:p w14:paraId="64CB84A9" w14:textId="77777777" w:rsidR="000F3EFF" w:rsidRDefault="000F3EFF" w:rsidP="3D7176A0">
      <w:pPr>
        <w:jc w:val="both"/>
        <w:rPr>
          <w:rFonts w:ascii="Arial" w:eastAsia="Arial" w:hAnsi="Arial"/>
          <w:sz w:val="24"/>
          <w:szCs w:val="24"/>
          <w:lang w:eastAsia="en-US"/>
        </w:rPr>
      </w:pPr>
    </w:p>
    <w:p w14:paraId="07CEB3B3" w14:textId="77777777" w:rsidR="000F3EFF" w:rsidRDefault="000F3EFF" w:rsidP="3D7176A0">
      <w:pPr>
        <w:jc w:val="both"/>
        <w:rPr>
          <w:rFonts w:ascii="Arial" w:eastAsia="Arial" w:hAnsi="Arial"/>
          <w:sz w:val="24"/>
          <w:szCs w:val="24"/>
          <w:lang w:eastAsia="en-US"/>
        </w:rPr>
      </w:pPr>
    </w:p>
    <w:p w14:paraId="1DDA2AA9" w14:textId="77777777" w:rsidR="000F3EFF" w:rsidRDefault="000F3EFF" w:rsidP="3D7176A0">
      <w:pPr>
        <w:jc w:val="both"/>
        <w:rPr>
          <w:rFonts w:ascii="Arial" w:eastAsia="Arial" w:hAnsi="Arial"/>
          <w:sz w:val="24"/>
          <w:szCs w:val="24"/>
          <w:lang w:eastAsia="en-US"/>
        </w:rPr>
      </w:pPr>
    </w:p>
    <w:p w14:paraId="757CD5AE" w14:textId="77777777" w:rsidR="000F3EFF" w:rsidRDefault="000F3EFF" w:rsidP="3D7176A0">
      <w:pPr>
        <w:jc w:val="both"/>
        <w:rPr>
          <w:rFonts w:ascii="Arial" w:eastAsia="Arial" w:hAnsi="Arial"/>
          <w:sz w:val="24"/>
          <w:szCs w:val="24"/>
          <w:lang w:eastAsia="en-US"/>
        </w:rPr>
      </w:pPr>
    </w:p>
    <w:p w14:paraId="15AD378E" w14:textId="77777777" w:rsidR="000F3EFF" w:rsidRDefault="000F3EFF" w:rsidP="3D7176A0">
      <w:pPr>
        <w:jc w:val="both"/>
        <w:rPr>
          <w:rFonts w:ascii="Arial" w:eastAsia="Arial" w:hAnsi="Arial"/>
          <w:sz w:val="24"/>
          <w:szCs w:val="24"/>
          <w:lang w:eastAsia="en-US"/>
        </w:rPr>
      </w:pPr>
    </w:p>
    <w:p w14:paraId="7238EA7D" w14:textId="77777777" w:rsidR="000F3EFF" w:rsidRDefault="000F3EFF" w:rsidP="3D7176A0">
      <w:pPr>
        <w:jc w:val="both"/>
        <w:rPr>
          <w:rFonts w:ascii="Arial" w:eastAsia="Arial" w:hAnsi="Arial"/>
          <w:sz w:val="24"/>
          <w:szCs w:val="24"/>
          <w:lang w:eastAsia="en-US"/>
        </w:rPr>
      </w:pPr>
    </w:p>
    <w:p w14:paraId="740D2B4B" w14:textId="77777777" w:rsidR="000F3EFF" w:rsidRDefault="000F3EFF" w:rsidP="3D7176A0">
      <w:pPr>
        <w:jc w:val="both"/>
        <w:rPr>
          <w:rFonts w:ascii="Arial" w:eastAsia="Arial" w:hAnsi="Arial"/>
          <w:sz w:val="24"/>
          <w:szCs w:val="24"/>
          <w:lang w:eastAsia="en-US"/>
        </w:rPr>
      </w:pPr>
    </w:p>
    <w:p w14:paraId="792C8CCB" w14:textId="77777777" w:rsidR="000F3EFF" w:rsidRDefault="000F3EFF" w:rsidP="3D7176A0">
      <w:pPr>
        <w:jc w:val="both"/>
        <w:rPr>
          <w:rFonts w:ascii="Arial" w:eastAsia="Arial" w:hAnsi="Arial"/>
          <w:sz w:val="24"/>
          <w:szCs w:val="24"/>
          <w:lang w:eastAsia="en-US"/>
        </w:rPr>
      </w:pPr>
    </w:p>
    <w:p w14:paraId="658E39D9" w14:textId="77777777" w:rsidR="000F3EFF" w:rsidRDefault="000F3EFF" w:rsidP="3D7176A0">
      <w:pPr>
        <w:jc w:val="both"/>
        <w:rPr>
          <w:rFonts w:ascii="Arial" w:eastAsia="Arial" w:hAnsi="Arial"/>
          <w:sz w:val="24"/>
          <w:szCs w:val="24"/>
          <w:lang w:eastAsia="en-US"/>
        </w:rPr>
      </w:pPr>
    </w:p>
    <w:p w14:paraId="7FAAE1B9" w14:textId="77777777" w:rsidR="000F3EFF" w:rsidRDefault="000F3EFF" w:rsidP="3D7176A0">
      <w:pPr>
        <w:jc w:val="both"/>
        <w:rPr>
          <w:rFonts w:ascii="Arial" w:eastAsia="Arial" w:hAnsi="Arial"/>
          <w:sz w:val="24"/>
          <w:szCs w:val="24"/>
          <w:lang w:eastAsia="en-US"/>
        </w:rPr>
      </w:pPr>
    </w:p>
    <w:p w14:paraId="486ECE46" w14:textId="77777777" w:rsidR="000F3EFF" w:rsidRDefault="000F3EFF" w:rsidP="3D7176A0">
      <w:pPr>
        <w:jc w:val="both"/>
        <w:rPr>
          <w:rFonts w:ascii="Arial" w:eastAsia="Arial" w:hAnsi="Arial"/>
          <w:sz w:val="24"/>
          <w:szCs w:val="24"/>
          <w:lang w:eastAsia="en-US"/>
        </w:rPr>
      </w:pPr>
    </w:p>
    <w:p w14:paraId="48BC9FCC" w14:textId="77777777" w:rsidR="000F3EFF" w:rsidRDefault="000F3EFF" w:rsidP="3D7176A0">
      <w:pPr>
        <w:jc w:val="both"/>
        <w:rPr>
          <w:rFonts w:ascii="Arial" w:eastAsia="Arial" w:hAnsi="Arial"/>
          <w:sz w:val="24"/>
          <w:szCs w:val="24"/>
          <w:lang w:eastAsia="en-US"/>
        </w:rPr>
      </w:pPr>
    </w:p>
    <w:p w14:paraId="6C7FB8FD" w14:textId="77777777" w:rsidR="000F3EFF" w:rsidRDefault="000F3EFF" w:rsidP="3D7176A0">
      <w:pPr>
        <w:jc w:val="both"/>
        <w:rPr>
          <w:rFonts w:ascii="Arial" w:eastAsia="Arial" w:hAnsi="Arial"/>
          <w:sz w:val="24"/>
          <w:szCs w:val="24"/>
          <w:lang w:eastAsia="en-US"/>
        </w:rPr>
      </w:pPr>
    </w:p>
    <w:p w14:paraId="4A2475A1" w14:textId="77777777" w:rsidR="000F3EFF" w:rsidRDefault="000F3EFF" w:rsidP="3D7176A0">
      <w:pPr>
        <w:jc w:val="both"/>
        <w:rPr>
          <w:rFonts w:ascii="Arial" w:eastAsia="Arial" w:hAnsi="Arial"/>
          <w:sz w:val="24"/>
          <w:szCs w:val="24"/>
          <w:lang w:eastAsia="en-US"/>
        </w:rPr>
      </w:pPr>
    </w:p>
    <w:p w14:paraId="62430490" w14:textId="77777777" w:rsidR="000F3EFF" w:rsidRDefault="000F3EFF" w:rsidP="3D7176A0">
      <w:pPr>
        <w:jc w:val="both"/>
        <w:rPr>
          <w:rFonts w:ascii="Arial" w:eastAsia="Arial" w:hAnsi="Arial"/>
          <w:sz w:val="24"/>
          <w:szCs w:val="24"/>
          <w:lang w:eastAsia="en-US"/>
        </w:rPr>
      </w:pPr>
    </w:p>
    <w:p w14:paraId="327D212E" w14:textId="77777777" w:rsidR="000F3EFF" w:rsidRDefault="000F3EFF" w:rsidP="3D7176A0">
      <w:pPr>
        <w:jc w:val="both"/>
        <w:rPr>
          <w:rFonts w:ascii="Arial" w:eastAsia="Arial" w:hAnsi="Arial"/>
          <w:sz w:val="24"/>
          <w:szCs w:val="24"/>
          <w:lang w:eastAsia="en-US"/>
        </w:rPr>
      </w:pPr>
    </w:p>
    <w:p w14:paraId="054314B5" w14:textId="77777777" w:rsidR="000F3EFF" w:rsidRDefault="000F3EFF" w:rsidP="3D7176A0">
      <w:pPr>
        <w:jc w:val="both"/>
        <w:rPr>
          <w:rFonts w:ascii="Arial" w:eastAsia="Arial" w:hAnsi="Arial"/>
          <w:sz w:val="24"/>
          <w:szCs w:val="24"/>
          <w:lang w:eastAsia="en-US"/>
        </w:rPr>
      </w:pPr>
    </w:p>
    <w:p w14:paraId="757C0209" w14:textId="77777777" w:rsidR="000F3EFF" w:rsidRDefault="000F3EFF" w:rsidP="3D7176A0">
      <w:pPr>
        <w:jc w:val="both"/>
        <w:rPr>
          <w:rFonts w:ascii="Arial" w:eastAsia="Arial" w:hAnsi="Arial"/>
          <w:sz w:val="24"/>
          <w:szCs w:val="24"/>
          <w:lang w:eastAsia="en-US"/>
        </w:rPr>
      </w:pPr>
    </w:p>
    <w:p w14:paraId="56358AD0" w14:textId="77777777" w:rsidR="000F3EFF" w:rsidRDefault="000F3EFF" w:rsidP="3D7176A0">
      <w:pPr>
        <w:jc w:val="both"/>
        <w:rPr>
          <w:rFonts w:ascii="Arial" w:eastAsia="Arial" w:hAnsi="Arial"/>
          <w:sz w:val="24"/>
          <w:szCs w:val="24"/>
          <w:lang w:eastAsia="en-US"/>
        </w:rPr>
      </w:pPr>
    </w:p>
    <w:p w14:paraId="3084036D" w14:textId="77777777" w:rsidR="000F3EFF" w:rsidRDefault="000F3EFF" w:rsidP="3D7176A0">
      <w:pPr>
        <w:jc w:val="both"/>
        <w:rPr>
          <w:rFonts w:ascii="Arial" w:eastAsia="Arial" w:hAnsi="Arial"/>
          <w:sz w:val="24"/>
          <w:szCs w:val="24"/>
          <w:lang w:eastAsia="en-US"/>
        </w:rPr>
      </w:pPr>
    </w:p>
    <w:p w14:paraId="135B7633" w14:textId="77777777" w:rsidR="000F3EFF" w:rsidRDefault="000F3EFF" w:rsidP="3D7176A0">
      <w:pPr>
        <w:jc w:val="both"/>
        <w:rPr>
          <w:rFonts w:ascii="Arial" w:eastAsia="Arial" w:hAnsi="Arial"/>
          <w:sz w:val="24"/>
          <w:szCs w:val="24"/>
          <w:lang w:eastAsia="en-US"/>
        </w:rPr>
      </w:pPr>
    </w:p>
    <w:p w14:paraId="3C349618" w14:textId="77777777" w:rsidR="000F3EFF" w:rsidRDefault="000F3EFF" w:rsidP="3D7176A0">
      <w:pPr>
        <w:jc w:val="both"/>
        <w:rPr>
          <w:rFonts w:ascii="Arial" w:eastAsia="Arial" w:hAnsi="Arial"/>
          <w:sz w:val="24"/>
          <w:szCs w:val="24"/>
          <w:lang w:eastAsia="en-US"/>
        </w:rPr>
      </w:pPr>
    </w:p>
    <w:p w14:paraId="5FED73B4" w14:textId="77777777" w:rsidR="000F3EFF" w:rsidRDefault="000F3EFF" w:rsidP="3D7176A0">
      <w:pPr>
        <w:jc w:val="both"/>
        <w:rPr>
          <w:rFonts w:ascii="Arial" w:eastAsia="Arial" w:hAnsi="Arial"/>
          <w:sz w:val="24"/>
          <w:szCs w:val="24"/>
          <w:lang w:eastAsia="en-US"/>
        </w:rPr>
      </w:pPr>
    </w:p>
    <w:p w14:paraId="4DF93DD2" w14:textId="77777777" w:rsidR="000F3EFF" w:rsidRDefault="000F3EFF" w:rsidP="3D7176A0">
      <w:pPr>
        <w:jc w:val="both"/>
        <w:rPr>
          <w:rFonts w:ascii="Arial" w:eastAsia="Arial" w:hAnsi="Arial"/>
          <w:sz w:val="24"/>
          <w:szCs w:val="24"/>
          <w:lang w:eastAsia="en-US"/>
        </w:rPr>
      </w:pPr>
    </w:p>
    <w:p w14:paraId="651009ED" w14:textId="77777777" w:rsidR="005F4198" w:rsidRDefault="005F4198" w:rsidP="00C006D7">
      <w:pPr>
        <w:jc w:val="both"/>
        <w:rPr>
          <w:rFonts w:ascii="Arial" w:eastAsia="Arial" w:hAnsi="Arial"/>
          <w:sz w:val="24"/>
          <w:szCs w:val="24"/>
          <w:lang w:eastAsia="en-US"/>
        </w:rPr>
      </w:pPr>
    </w:p>
    <w:p w14:paraId="161965D2" w14:textId="77777777" w:rsidR="005F4198" w:rsidRDefault="005F4198" w:rsidP="00C006D7">
      <w:pPr>
        <w:jc w:val="both"/>
        <w:rPr>
          <w:rFonts w:ascii="Arial" w:eastAsia="Arial" w:hAnsi="Arial"/>
          <w:sz w:val="24"/>
          <w:szCs w:val="24"/>
          <w:lang w:eastAsia="en-US"/>
        </w:rPr>
      </w:pPr>
    </w:p>
    <w:p w14:paraId="69366477" w14:textId="5EB3BF9B" w:rsidR="007E7E02" w:rsidRPr="007E7E02" w:rsidRDefault="007E7E02" w:rsidP="00C006D7">
      <w:pPr>
        <w:jc w:val="both"/>
        <w:rPr>
          <w:rFonts w:ascii="Arial" w:hAnsi="Arial" w:cs="Arial"/>
          <w:b/>
          <w:bCs/>
          <w:iCs/>
          <w:sz w:val="24"/>
          <w:szCs w:val="24"/>
        </w:rPr>
      </w:pPr>
      <w:r>
        <w:rPr>
          <w:rFonts w:ascii="Arial" w:hAnsi="Arial" w:cs="Arial"/>
          <w:b/>
          <w:bCs/>
          <w:iCs/>
          <w:sz w:val="24"/>
          <w:szCs w:val="24"/>
        </w:rPr>
        <w:lastRenderedPageBreak/>
        <w:t>Appendix 1 – CIPFA Checklist (</w:t>
      </w:r>
      <w:r w:rsidR="00CF43BA">
        <w:rPr>
          <w:rFonts w:ascii="Arial" w:hAnsi="Arial" w:cs="Arial"/>
          <w:b/>
          <w:bCs/>
          <w:iCs/>
          <w:sz w:val="24"/>
          <w:szCs w:val="24"/>
        </w:rPr>
        <w:t>Self-Assessment</w:t>
      </w:r>
      <w:r>
        <w:rPr>
          <w:rFonts w:ascii="Arial" w:hAnsi="Arial" w:cs="Arial"/>
          <w:b/>
          <w:bCs/>
          <w:iCs/>
          <w:sz w:val="24"/>
          <w:szCs w:val="24"/>
        </w:rPr>
        <w:t>)</w:t>
      </w:r>
    </w:p>
    <w:p w14:paraId="4F8570B1" w14:textId="77777777" w:rsidR="007E7E02" w:rsidRDefault="007E7E02" w:rsidP="00C006D7">
      <w:pPr>
        <w:jc w:val="both"/>
        <w:rPr>
          <w:rFonts w:ascii="Arial" w:hAnsi="Arial" w:cs="Arial"/>
          <w:b/>
          <w:bCs/>
          <w:iCs/>
          <w:sz w:val="32"/>
          <w:szCs w:val="32"/>
        </w:rPr>
      </w:pPr>
    </w:p>
    <w:tbl>
      <w:tblPr>
        <w:tblStyle w:val="TableGrid2"/>
        <w:tblW w:w="0" w:type="auto"/>
        <w:tblInd w:w="0" w:type="dxa"/>
        <w:tblLook w:val="04A0" w:firstRow="1" w:lastRow="0" w:firstColumn="1" w:lastColumn="0" w:noHBand="0" w:noVBand="1"/>
      </w:tblPr>
      <w:tblGrid>
        <w:gridCol w:w="3697"/>
        <w:gridCol w:w="1551"/>
        <w:gridCol w:w="3768"/>
      </w:tblGrid>
      <w:tr w:rsidR="00A6289F" w:rsidRPr="00356842" w14:paraId="0469B02C"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1787E56E" w14:textId="77777777" w:rsidR="00356842" w:rsidRPr="00356842" w:rsidRDefault="4E557ABC" w:rsidP="24B6AD16">
            <w:pPr>
              <w:jc w:val="center"/>
              <w:rPr>
                <w:rFonts w:ascii="Arial" w:eastAsia="Arial" w:hAnsi="Arial" w:cs="Arial"/>
                <w:b/>
                <w:bCs/>
              </w:rPr>
            </w:pPr>
            <w:r w:rsidRPr="24B6AD16">
              <w:rPr>
                <w:rFonts w:ascii="Arial" w:eastAsia="Arial" w:hAnsi="Arial" w:cs="Arial"/>
                <w:b/>
                <w:bCs/>
              </w:rPr>
              <w:t>Area</w:t>
            </w:r>
          </w:p>
        </w:tc>
        <w:tc>
          <w:tcPr>
            <w:tcW w:w="1984" w:type="dxa"/>
            <w:tcBorders>
              <w:top w:val="single" w:sz="4" w:space="0" w:color="auto"/>
              <w:left w:val="single" w:sz="4" w:space="0" w:color="auto"/>
              <w:bottom w:val="single" w:sz="4" w:space="0" w:color="auto"/>
              <w:right w:val="single" w:sz="4" w:space="0" w:color="auto"/>
            </w:tcBorders>
            <w:hideMark/>
          </w:tcPr>
          <w:p w14:paraId="53795CC4" w14:textId="77777777" w:rsidR="00356842" w:rsidRPr="00356842" w:rsidRDefault="4E557ABC" w:rsidP="24B6AD16">
            <w:pPr>
              <w:jc w:val="center"/>
              <w:rPr>
                <w:rFonts w:ascii="Arial" w:eastAsia="Arial" w:hAnsi="Arial" w:cs="Arial"/>
                <w:b/>
                <w:bCs/>
              </w:rPr>
            </w:pPr>
            <w:r w:rsidRPr="24B6AD16">
              <w:rPr>
                <w:rFonts w:ascii="Arial" w:eastAsia="Arial" w:hAnsi="Arial" w:cs="Arial"/>
                <w:b/>
                <w:bCs/>
              </w:rPr>
              <w:t>Standard</w:t>
            </w:r>
          </w:p>
        </w:tc>
        <w:tc>
          <w:tcPr>
            <w:tcW w:w="6015" w:type="dxa"/>
            <w:tcBorders>
              <w:top w:val="single" w:sz="4" w:space="0" w:color="auto"/>
              <w:left w:val="single" w:sz="4" w:space="0" w:color="auto"/>
              <w:bottom w:val="single" w:sz="4" w:space="0" w:color="auto"/>
              <w:right w:val="single" w:sz="4" w:space="0" w:color="auto"/>
            </w:tcBorders>
            <w:hideMark/>
          </w:tcPr>
          <w:p w14:paraId="71E8A0B2" w14:textId="77777777" w:rsidR="00356842" w:rsidRPr="00356842" w:rsidRDefault="4E557ABC" w:rsidP="24B6AD16">
            <w:pPr>
              <w:jc w:val="center"/>
              <w:rPr>
                <w:rFonts w:ascii="Arial" w:eastAsia="Arial" w:hAnsi="Arial" w:cs="Arial"/>
                <w:b/>
                <w:bCs/>
              </w:rPr>
            </w:pPr>
            <w:r w:rsidRPr="24B6AD16">
              <w:rPr>
                <w:rFonts w:ascii="Arial" w:eastAsia="Arial" w:hAnsi="Arial" w:cs="Arial"/>
                <w:b/>
                <w:bCs/>
              </w:rPr>
              <w:t>Evidence</w:t>
            </w:r>
          </w:p>
        </w:tc>
      </w:tr>
      <w:tr w:rsidR="00A6289F" w:rsidRPr="00356842" w14:paraId="3C3FAB9D" w14:textId="77777777" w:rsidTr="04BD2A26">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9843DA" w14:textId="77777777" w:rsidR="00356842" w:rsidRPr="00356842" w:rsidRDefault="309716BD" w:rsidP="24B6AD16">
            <w:pPr>
              <w:rPr>
                <w:rFonts w:ascii="Arial" w:eastAsia="Arial" w:hAnsi="Arial" w:cs="Arial"/>
                <w:b/>
                <w:bCs/>
              </w:rPr>
            </w:pPr>
            <w:r w:rsidRPr="3A111552">
              <w:rPr>
                <w:rFonts w:ascii="Arial" w:eastAsia="Arial" w:hAnsi="Arial" w:cs="Arial"/>
                <w:b/>
                <w:bCs/>
              </w:rPr>
              <w:t>Acknowledge Responsibility</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FE10F" w14:textId="77777777" w:rsidR="00356842" w:rsidRPr="00356842" w:rsidRDefault="00356842" w:rsidP="24B6AD16">
            <w:pPr>
              <w:rPr>
                <w:rFonts w:ascii="Arial" w:eastAsia="Arial" w:hAnsi="Arial" w:cs="Arial"/>
              </w:rPr>
            </w:pPr>
          </w:p>
        </w:tc>
        <w:tc>
          <w:tcPr>
            <w:tcW w:w="6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9AE46" w14:textId="77777777" w:rsidR="00356842" w:rsidRPr="00356842" w:rsidRDefault="00356842" w:rsidP="24B6AD16">
            <w:pPr>
              <w:rPr>
                <w:rFonts w:ascii="Arial" w:eastAsia="Arial" w:hAnsi="Arial" w:cs="Arial"/>
              </w:rPr>
            </w:pPr>
          </w:p>
        </w:tc>
      </w:tr>
      <w:tr w:rsidR="00A6289F" w:rsidRPr="00356842" w14:paraId="21A7DF37"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71A78D5C" w14:textId="77777777" w:rsidR="00356842" w:rsidRPr="00356842" w:rsidRDefault="4E557ABC" w:rsidP="24B6AD16">
            <w:pPr>
              <w:rPr>
                <w:rFonts w:ascii="Arial" w:eastAsia="Arial" w:hAnsi="Arial" w:cs="Arial"/>
              </w:rPr>
            </w:pPr>
            <w:r w:rsidRPr="24B6AD16">
              <w:rPr>
                <w:rFonts w:ascii="Arial" w:eastAsia="Arial" w:hAnsi="Arial" w:cs="Arial"/>
              </w:rPr>
              <w:t>The organisation’s leadership team acknowledge the threats of fraud and corruption and the harm they can cause to the organisation, its aims and objectives and to its service users.</w:t>
            </w:r>
          </w:p>
        </w:tc>
        <w:tc>
          <w:tcPr>
            <w:tcW w:w="1984" w:type="dxa"/>
            <w:tcBorders>
              <w:top w:val="single" w:sz="4" w:space="0" w:color="auto"/>
              <w:left w:val="single" w:sz="4" w:space="0" w:color="auto"/>
              <w:bottom w:val="single" w:sz="4" w:space="0" w:color="auto"/>
              <w:right w:val="single" w:sz="4" w:space="0" w:color="auto"/>
            </w:tcBorders>
            <w:hideMark/>
          </w:tcPr>
          <w:p w14:paraId="43E6EEC5" w14:textId="77777777" w:rsidR="00356842" w:rsidRPr="00356842" w:rsidRDefault="4E557ABC"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4D8A4CB7" w14:textId="14BACA4F" w:rsidR="00356842" w:rsidRPr="00356842" w:rsidRDefault="309716BD" w:rsidP="24B6AD16">
            <w:pPr>
              <w:rPr>
                <w:rFonts w:ascii="Arial" w:eastAsia="Arial" w:hAnsi="Arial" w:cs="Arial"/>
              </w:rPr>
            </w:pPr>
            <w:r w:rsidRPr="3A111552">
              <w:rPr>
                <w:rFonts w:ascii="Arial" w:eastAsia="Arial" w:hAnsi="Arial" w:cs="Arial"/>
              </w:rPr>
              <w:t>Senior leaders fully acknowledge the risk to the organisation, both financially and reputationally, and understand the impacts on the community.</w:t>
            </w:r>
            <w:r w:rsidR="00984C7E" w:rsidRPr="3A111552">
              <w:rPr>
                <w:rFonts w:ascii="Arial" w:eastAsia="Arial" w:hAnsi="Arial" w:cs="Arial"/>
              </w:rPr>
              <w:t xml:space="preserve"> </w:t>
            </w:r>
          </w:p>
          <w:p w14:paraId="0D62C839" w14:textId="5E7A0DC5" w:rsidR="00356842" w:rsidRPr="00356842" w:rsidRDefault="794A1D29" w:rsidP="24B6AD16">
            <w:pPr>
              <w:rPr>
                <w:rFonts w:ascii="Arial" w:eastAsia="Arial" w:hAnsi="Arial" w:cs="Arial"/>
              </w:rPr>
            </w:pPr>
            <w:r w:rsidRPr="24B6AD16">
              <w:rPr>
                <w:rFonts w:ascii="Arial" w:eastAsia="Arial" w:hAnsi="Arial" w:cs="Arial"/>
              </w:rPr>
              <w:t xml:space="preserve">The Portfolio holder for </w:t>
            </w:r>
            <w:r w:rsidR="165CC319" w:rsidRPr="24B6AD16">
              <w:rPr>
                <w:rFonts w:ascii="Arial" w:eastAsia="Arial" w:hAnsi="Arial" w:cs="Arial"/>
              </w:rPr>
              <w:t xml:space="preserve">Finance, Resources, and Assets acts as Fraud Champion and receives 6-monthly </w:t>
            </w:r>
            <w:r w:rsidR="0F7222F0" w:rsidRPr="24B6AD16">
              <w:rPr>
                <w:rFonts w:ascii="Arial" w:eastAsia="Arial" w:hAnsi="Arial" w:cs="Arial"/>
              </w:rPr>
              <w:t xml:space="preserve">updates from the Head of Audit and Assurance and the Fraud Lead. </w:t>
            </w:r>
          </w:p>
        </w:tc>
      </w:tr>
      <w:tr w:rsidR="00A6289F" w:rsidRPr="00356842" w14:paraId="04F5E6C2"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402B16C6" w14:textId="77777777" w:rsidR="00356842" w:rsidRPr="00356842" w:rsidRDefault="4E557ABC" w:rsidP="24B6AD16">
            <w:pPr>
              <w:rPr>
                <w:rFonts w:ascii="Arial" w:eastAsia="Arial" w:hAnsi="Arial" w:cs="Arial"/>
              </w:rPr>
            </w:pPr>
            <w:r w:rsidRPr="24B6AD16">
              <w:rPr>
                <w:rFonts w:ascii="Arial" w:eastAsia="Arial" w:hAnsi="Arial" w:cs="Arial"/>
              </w:rPr>
              <w:t>The organisation’s leadership team acknowledge the importance of a culture that is resilient to the threats of fraud and corruption and aligns to the principles of good governance.</w:t>
            </w:r>
          </w:p>
        </w:tc>
        <w:tc>
          <w:tcPr>
            <w:tcW w:w="1984" w:type="dxa"/>
            <w:tcBorders>
              <w:top w:val="single" w:sz="4" w:space="0" w:color="auto"/>
              <w:left w:val="single" w:sz="4" w:space="0" w:color="auto"/>
              <w:bottom w:val="single" w:sz="4" w:space="0" w:color="auto"/>
              <w:right w:val="single" w:sz="4" w:space="0" w:color="auto"/>
            </w:tcBorders>
            <w:hideMark/>
          </w:tcPr>
          <w:p w14:paraId="501582F2" w14:textId="77777777" w:rsidR="00356842" w:rsidRPr="00356842" w:rsidRDefault="4E557ABC"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644D4FA9" w14:textId="420E5EEF" w:rsidR="00356842" w:rsidRPr="00356842" w:rsidRDefault="4E557ABC" w:rsidP="24B6AD16">
            <w:pPr>
              <w:rPr>
                <w:rFonts w:ascii="Arial" w:eastAsia="Arial" w:hAnsi="Arial" w:cs="Arial"/>
              </w:rPr>
            </w:pPr>
            <w:r w:rsidRPr="24B6AD16">
              <w:rPr>
                <w:rFonts w:ascii="Arial" w:eastAsia="Arial" w:hAnsi="Arial" w:cs="Arial"/>
              </w:rPr>
              <w:t xml:space="preserve">The organisation supports a culture where the responsibility to tackle fraud is everyone’s and should be part of daily business.  The Council </w:t>
            </w:r>
            <w:r w:rsidR="512F66D9" w:rsidRPr="24B6AD16">
              <w:rPr>
                <w:rFonts w:ascii="Arial" w:eastAsia="Arial" w:hAnsi="Arial" w:cs="Arial"/>
              </w:rPr>
              <w:t>maintains the response to prevent fraud in line with the</w:t>
            </w:r>
            <w:r w:rsidRPr="24B6AD16">
              <w:rPr>
                <w:rFonts w:ascii="Arial" w:eastAsia="Arial" w:hAnsi="Arial" w:cs="Arial"/>
              </w:rPr>
              <w:t xml:space="preserve"> requirements of the Economic Crime and Corporate Transparency Act of 2023.</w:t>
            </w:r>
            <w:r w:rsidR="2D51DCDB" w:rsidRPr="24B6AD16">
              <w:rPr>
                <w:rFonts w:ascii="Arial" w:eastAsia="Arial" w:hAnsi="Arial" w:cs="Arial"/>
              </w:rPr>
              <w:t xml:space="preserve">  Working in partnership is being refreshed as the team revisits preventative work during the year 2025/26.</w:t>
            </w:r>
          </w:p>
        </w:tc>
      </w:tr>
      <w:tr w:rsidR="00A6289F" w:rsidRPr="00356842" w14:paraId="2071B4C9"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68A24437" w14:textId="77777777" w:rsidR="00356842" w:rsidRPr="00356842" w:rsidRDefault="4E557ABC" w:rsidP="24B6AD16">
            <w:pPr>
              <w:rPr>
                <w:rFonts w:ascii="Arial" w:eastAsia="Arial" w:hAnsi="Arial" w:cs="Arial"/>
              </w:rPr>
            </w:pPr>
            <w:r w:rsidRPr="24B6AD16">
              <w:rPr>
                <w:rFonts w:ascii="Arial" w:eastAsia="Arial" w:hAnsi="Arial" w:cs="Arial"/>
              </w:rPr>
              <w:t>The governing body acknowledges its responsibility for ensuring the management of its fraud and corruption risks and will be accountable for the actions it takes through its governance reports.</w:t>
            </w:r>
          </w:p>
        </w:tc>
        <w:tc>
          <w:tcPr>
            <w:tcW w:w="1984" w:type="dxa"/>
            <w:tcBorders>
              <w:top w:val="single" w:sz="4" w:space="0" w:color="auto"/>
              <w:left w:val="single" w:sz="4" w:space="0" w:color="auto"/>
              <w:bottom w:val="single" w:sz="4" w:space="0" w:color="auto"/>
              <w:right w:val="single" w:sz="4" w:space="0" w:color="auto"/>
            </w:tcBorders>
            <w:hideMark/>
          </w:tcPr>
          <w:p w14:paraId="341FE479" w14:textId="77777777" w:rsidR="00356842" w:rsidRPr="00356842" w:rsidRDefault="4E557ABC"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468CBE6A" w14:textId="000FFB6F" w:rsidR="00356842" w:rsidRPr="00356842" w:rsidRDefault="4E557ABC" w:rsidP="24B6AD16">
            <w:pPr>
              <w:rPr>
                <w:rFonts w:ascii="Arial" w:eastAsia="Arial" w:hAnsi="Arial" w:cs="Arial"/>
              </w:rPr>
            </w:pPr>
            <w:r w:rsidRPr="24B6AD16">
              <w:rPr>
                <w:rFonts w:ascii="Arial" w:eastAsia="Arial" w:hAnsi="Arial" w:cs="Arial"/>
              </w:rPr>
              <w:t>The reporting process is well established and welcomes challenge and scrutiny of the counter-fraud arrangements. The production of an annual Fraud Plan (202</w:t>
            </w:r>
            <w:r w:rsidR="019A77F3" w:rsidRPr="24B6AD16">
              <w:rPr>
                <w:rFonts w:ascii="Arial" w:eastAsia="Arial" w:hAnsi="Arial" w:cs="Arial"/>
              </w:rPr>
              <w:t>6</w:t>
            </w:r>
            <w:r w:rsidR="5C304D6E" w:rsidRPr="24B6AD16">
              <w:rPr>
                <w:rFonts w:ascii="Arial" w:eastAsia="Arial" w:hAnsi="Arial" w:cs="Arial"/>
              </w:rPr>
              <w:t>/2</w:t>
            </w:r>
            <w:r w:rsidR="019A77F3" w:rsidRPr="24B6AD16">
              <w:rPr>
                <w:rFonts w:ascii="Arial" w:eastAsia="Arial" w:hAnsi="Arial" w:cs="Arial"/>
              </w:rPr>
              <w:t>7</w:t>
            </w:r>
            <w:r w:rsidRPr="24B6AD16">
              <w:rPr>
                <w:rFonts w:ascii="Arial" w:eastAsia="Arial" w:hAnsi="Arial" w:cs="Arial"/>
              </w:rPr>
              <w:t xml:space="preserve">) demonstrates the commitment to manage the threat of harm. </w:t>
            </w:r>
            <w:r w:rsidR="5C304D6E" w:rsidRPr="24B6AD16">
              <w:rPr>
                <w:rFonts w:ascii="Arial" w:eastAsia="Arial" w:hAnsi="Arial" w:cs="Arial"/>
              </w:rPr>
              <w:t xml:space="preserve">  The Audit Committe</w:t>
            </w:r>
            <w:r w:rsidR="01FD9EA8" w:rsidRPr="24B6AD16">
              <w:rPr>
                <w:rFonts w:ascii="Arial" w:eastAsia="Arial" w:hAnsi="Arial" w:cs="Arial"/>
              </w:rPr>
              <w:t xml:space="preserve">e is able to probe the annual reports and practice to ensure the service provision is what the public deserve. </w:t>
            </w:r>
          </w:p>
        </w:tc>
      </w:tr>
      <w:tr w:rsidR="00A6289F" w:rsidRPr="00356842" w14:paraId="024D8293"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45315969" w14:textId="77777777" w:rsidR="00356842" w:rsidRPr="00356842" w:rsidRDefault="4E557ABC" w:rsidP="24B6AD16">
            <w:pPr>
              <w:rPr>
                <w:rFonts w:ascii="Arial" w:eastAsia="Arial" w:hAnsi="Arial" w:cs="Arial"/>
              </w:rPr>
            </w:pPr>
            <w:r w:rsidRPr="24B6AD16">
              <w:rPr>
                <w:rFonts w:ascii="Arial" w:eastAsia="Arial" w:hAnsi="Arial" w:cs="Arial"/>
              </w:rPr>
              <w:t>The governing body sets a specific goal of ensuring and maintaining its resilience to fraud and corruption and explores opportunities for financial savings from enhanced fraud detection and prevention.</w:t>
            </w:r>
          </w:p>
        </w:tc>
        <w:tc>
          <w:tcPr>
            <w:tcW w:w="1984" w:type="dxa"/>
            <w:tcBorders>
              <w:top w:val="single" w:sz="4" w:space="0" w:color="auto"/>
              <w:left w:val="single" w:sz="4" w:space="0" w:color="auto"/>
              <w:bottom w:val="single" w:sz="4" w:space="0" w:color="auto"/>
              <w:right w:val="single" w:sz="4" w:space="0" w:color="auto"/>
            </w:tcBorders>
            <w:hideMark/>
          </w:tcPr>
          <w:p w14:paraId="113FFB8C" w14:textId="136C2DBD" w:rsidR="00356842" w:rsidRPr="00356842" w:rsidRDefault="4E557ABC"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34BF0E1B" w14:textId="72BE2CBB" w:rsidR="00CE0B59" w:rsidRDefault="3B967785" w:rsidP="24B6AD16">
            <w:pPr>
              <w:rPr>
                <w:rFonts w:ascii="Arial" w:eastAsia="Arial" w:hAnsi="Arial" w:cs="Arial"/>
              </w:rPr>
            </w:pPr>
            <w:r w:rsidRPr="24B6AD16">
              <w:rPr>
                <w:rFonts w:ascii="Arial" w:eastAsia="Arial" w:hAnsi="Arial" w:cs="Arial"/>
              </w:rPr>
              <w:t>Allegations of fraud are subject to proportionate investigation – financial loss</w:t>
            </w:r>
            <w:r w:rsidR="58ABDCE1" w:rsidRPr="24B6AD16">
              <w:rPr>
                <w:rFonts w:ascii="Arial" w:eastAsia="Arial" w:hAnsi="Arial" w:cs="Arial"/>
              </w:rPr>
              <w:t xml:space="preserve"> and prospects of recovery are considered in each case. </w:t>
            </w:r>
          </w:p>
          <w:p w14:paraId="5EA1DAA3" w14:textId="0D314595" w:rsidR="00265F92" w:rsidRPr="00356842" w:rsidRDefault="718A76D0" w:rsidP="24B6AD16">
            <w:pPr>
              <w:rPr>
                <w:rFonts w:ascii="Arial" w:eastAsia="Arial" w:hAnsi="Arial" w:cs="Arial"/>
              </w:rPr>
            </w:pPr>
            <w:r w:rsidRPr="24B6AD16">
              <w:rPr>
                <w:rFonts w:ascii="Arial" w:eastAsia="Arial" w:hAnsi="Arial" w:cs="Arial"/>
              </w:rPr>
              <w:t xml:space="preserve">Themes identified from methods of offending are considered in conjunction with wider teams </w:t>
            </w:r>
            <w:r w:rsidR="2AE7ED14" w:rsidRPr="24B6AD16">
              <w:rPr>
                <w:rFonts w:ascii="Arial" w:eastAsia="Arial" w:hAnsi="Arial" w:cs="Arial"/>
              </w:rPr>
              <w:t>to ensure maximised reporting and prevention.</w:t>
            </w:r>
            <w:r w:rsidR="2307ABA6" w:rsidRPr="24B6AD16">
              <w:rPr>
                <w:rFonts w:ascii="Arial" w:eastAsia="Arial" w:hAnsi="Arial" w:cs="Arial"/>
              </w:rPr>
              <w:t xml:space="preserve">  An example of this is fraudulent council tax in respect of empty properties where the council can be subject to signific</w:t>
            </w:r>
            <w:r w:rsidR="0920EABD" w:rsidRPr="24B6AD16">
              <w:rPr>
                <w:rFonts w:ascii="Arial" w:eastAsia="Arial" w:hAnsi="Arial" w:cs="Arial"/>
              </w:rPr>
              <w:t xml:space="preserve">ant loss of revenue. </w:t>
            </w:r>
          </w:p>
        </w:tc>
      </w:tr>
      <w:tr w:rsidR="00A6289F" w:rsidRPr="00356842" w14:paraId="7348F528" w14:textId="77777777" w:rsidTr="04BD2A26">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6EF55" w14:textId="77777777" w:rsidR="00356842" w:rsidRPr="00356842" w:rsidRDefault="4E557ABC" w:rsidP="24B6AD16">
            <w:pPr>
              <w:rPr>
                <w:rFonts w:ascii="Arial" w:eastAsia="Arial" w:hAnsi="Arial" w:cs="Arial"/>
                <w:b/>
                <w:bCs/>
              </w:rPr>
            </w:pPr>
            <w:r w:rsidRPr="24B6AD16">
              <w:rPr>
                <w:rFonts w:ascii="Arial" w:eastAsia="Arial" w:hAnsi="Arial" w:cs="Arial"/>
                <w:b/>
                <w:bCs/>
              </w:rPr>
              <w:t>Identify Risks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876FC" w14:textId="77777777" w:rsidR="00356842" w:rsidRPr="00356842" w:rsidRDefault="00356842" w:rsidP="24B6AD16">
            <w:pPr>
              <w:rPr>
                <w:rFonts w:ascii="Arial" w:eastAsia="Arial" w:hAnsi="Arial" w:cs="Arial"/>
              </w:rPr>
            </w:pPr>
          </w:p>
        </w:tc>
        <w:tc>
          <w:tcPr>
            <w:tcW w:w="6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A969B3" w14:textId="77777777" w:rsidR="00356842" w:rsidRPr="00356842" w:rsidRDefault="00356842" w:rsidP="24B6AD16">
            <w:pPr>
              <w:rPr>
                <w:rFonts w:ascii="Arial" w:eastAsia="Arial" w:hAnsi="Arial" w:cs="Arial"/>
              </w:rPr>
            </w:pPr>
          </w:p>
        </w:tc>
      </w:tr>
      <w:tr w:rsidR="00A6289F" w:rsidRPr="00356842" w14:paraId="2CC3402F"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50F1E68F" w14:textId="77777777" w:rsidR="00356842" w:rsidRPr="00356842" w:rsidRDefault="4E557ABC" w:rsidP="24B6AD16">
            <w:pPr>
              <w:rPr>
                <w:rFonts w:ascii="Arial" w:eastAsia="Arial" w:hAnsi="Arial" w:cs="Arial"/>
              </w:rPr>
            </w:pPr>
            <w:r w:rsidRPr="24B6AD16">
              <w:rPr>
                <w:rFonts w:ascii="Arial" w:eastAsia="Arial" w:hAnsi="Arial" w:cs="Arial"/>
              </w:rPr>
              <w:t xml:space="preserve">Fraud risks are routinely considered as part of the </w:t>
            </w:r>
            <w:r w:rsidRPr="24B6AD16">
              <w:rPr>
                <w:rFonts w:ascii="Arial" w:eastAsia="Arial" w:hAnsi="Arial" w:cs="Arial"/>
              </w:rPr>
              <w:lastRenderedPageBreak/>
              <w:t>organisation’s risk management arrangements.</w:t>
            </w:r>
          </w:p>
        </w:tc>
        <w:tc>
          <w:tcPr>
            <w:tcW w:w="1984" w:type="dxa"/>
            <w:tcBorders>
              <w:top w:val="single" w:sz="4" w:space="0" w:color="auto"/>
              <w:left w:val="single" w:sz="4" w:space="0" w:color="auto"/>
              <w:bottom w:val="single" w:sz="4" w:space="0" w:color="auto"/>
              <w:right w:val="single" w:sz="4" w:space="0" w:color="auto"/>
            </w:tcBorders>
            <w:hideMark/>
          </w:tcPr>
          <w:p w14:paraId="6B26CC7F" w14:textId="77777777" w:rsidR="00356842" w:rsidRPr="00356842" w:rsidRDefault="4E557ABC" w:rsidP="24B6AD16">
            <w:pPr>
              <w:rPr>
                <w:rFonts w:ascii="Arial" w:eastAsia="Arial" w:hAnsi="Arial" w:cs="Arial"/>
              </w:rPr>
            </w:pPr>
            <w:r w:rsidRPr="24B6AD16">
              <w:rPr>
                <w:rFonts w:ascii="Arial" w:eastAsia="Arial" w:hAnsi="Arial" w:cs="Arial"/>
              </w:rPr>
              <w:lastRenderedPageBreak/>
              <w:t>Met</w:t>
            </w:r>
          </w:p>
        </w:tc>
        <w:tc>
          <w:tcPr>
            <w:tcW w:w="6015" w:type="dxa"/>
            <w:tcBorders>
              <w:top w:val="single" w:sz="4" w:space="0" w:color="auto"/>
              <w:left w:val="single" w:sz="4" w:space="0" w:color="auto"/>
              <w:bottom w:val="single" w:sz="4" w:space="0" w:color="auto"/>
              <w:right w:val="single" w:sz="4" w:space="0" w:color="auto"/>
            </w:tcBorders>
            <w:hideMark/>
          </w:tcPr>
          <w:p w14:paraId="4A800817" w14:textId="0570DF9C" w:rsidR="00356842" w:rsidRPr="00356842" w:rsidRDefault="309716BD" w:rsidP="24B6AD16">
            <w:pPr>
              <w:rPr>
                <w:rFonts w:ascii="Arial" w:eastAsia="Arial" w:hAnsi="Arial" w:cs="Arial"/>
              </w:rPr>
            </w:pPr>
            <w:r w:rsidRPr="3A111552">
              <w:rPr>
                <w:rFonts w:ascii="Arial" w:eastAsia="Arial" w:hAnsi="Arial" w:cs="Arial"/>
              </w:rPr>
              <w:t xml:space="preserve">The Council has a Fraud Risk Profile which documents key areas </w:t>
            </w:r>
            <w:r w:rsidRPr="3A111552">
              <w:rPr>
                <w:rFonts w:ascii="Arial" w:eastAsia="Arial" w:hAnsi="Arial" w:cs="Arial"/>
              </w:rPr>
              <w:lastRenderedPageBreak/>
              <w:t>of risk to the Council (internal and external) and each area is risk-assessed to inform the allocation of resources and to allow due diligence around preventative measures.  This work is completed in conjunction with the Audit and Assurance Team to ensure processes can be reviewed, where possible, to reduce opportunities for fraudulent behaviour</w:t>
            </w:r>
            <w:r w:rsidR="4AB04EEC" w:rsidRPr="3A111552">
              <w:rPr>
                <w:rFonts w:ascii="Arial" w:eastAsia="Arial" w:hAnsi="Arial" w:cs="Arial"/>
              </w:rPr>
              <w:t xml:space="preserve"> and to identify and test controls designed to reduce the risk of fraud.</w:t>
            </w:r>
          </w:p>
        </w:tc>
      </w:tr>
      <w:tr w:rsidR="00A6289F" w:rsidRPr="00356842" w14:paraId="144DD054"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59821F24" w14:textId="77777777" w:rsidR="00356842" w:rsidRPr="00356842" w:rsidRDefault="4E557ABC" w:rsidP="24B6AD16">
            <w:pPr>
              <w:rPr>
                <w:rFonts w:ascii="Arial" w:eastAsia="Arial" w:hAnsi="Arial" w:cs="Arial"/>
              </w:rPr>
            </w:pPr>
            <w:r w:rsidRPr="24B6AD16">
              <w:rPr>
                <w:rFonts w:ascii="Arial" w:eastAsia="Arial" w:hAnsi="Arial" w:cs="Arial"/>
              </w:rPr>
              <w:lastRenderedPageBreak/>
              <w:t>The organisation identifies the risks of corruption and the importance of behaving with integrity in its governance framework.</w:t>
            </w:r>
          </w:p>
        </w:tc>
        <w:tc>
          <w:tcPr>
            <w:tcW w:w="1984" w:type="dxa"/>
            <w:tcBorders>
              <w:top w:val="single" w:sz="4" w:space="0" w:color="auto"/>
              <w:left w:val="single" w:sz="4" w:space="0" w:color="auto"/>
              <w:bottom w:val="single" w:sz="4" w:space="0" w:color="auto"/>
              <w:right w:val="single" w:sz="4" w:space="0" w:color="auto"/>
            </w:tcBorders>
          </w:tcPr>
          <w:p w14:paraId="6FF1A0A3" w14:textId="6A63061E" w:rsidR="00356842" w:rsidRPr="00356842" w:rsidRDefault="615D95FC" w:rsidP="24B6AD16">
            <w:pPr>
              <w:rPr>
                <w:rFonts w:ascii="Arial" w:eastAsia="Arial" w:hAnsi="Arial" w:cs="Arial"/>
              </w:rPr>
            </w:pPr>
            <w:r w:rsidRPr="24B6AD16">
              <w:rPr>
                <w:rFonts w:ascii="Arial" w:eastAsia="Arial" w:hAnsi="Arial" w:cs="Arial"/>
              </w:rPr>
              <w:t>Met</w:t>
            </w:r>
          </w:p>
          <w:p w14:paraId="23AC7105" w14:textId="77777777" w:rsidR="00356842" w:rsidRPr="00356842" w:rsidRDefault="00356842" w:rsidP="24B6AD16">
            <w:pPr>
              <w:rPr>
                <w:rFonts w:ascii="Arial" w:eastAsia="Arial" w:hAnsi="Arial" w:cs="Arial"/>
              </w:rPr>
            </w:pPr>
          </w:p>
        </w:tc>
        <w:tc>
          <w:tcPr>
            <w:tcW w:w="6015" w:type="dxa"/>
            <w:tcBorders>
              <w:top w:val="single" w:sz="4" w:space="0" w:color="auto"/>
              <w:left w:val="single" w:sz="4" w:space="0" w:color="auto"/>
              <w:bottom w:val="single" w:sz="4" w:space="0" w:color="auto"/>
              <w:right w:val="single" w:sz="4" w:space="0" w:color="auto"/>
            </w:tcBorders>
            <w:hideMark/>
          </w:tcPr>
          <w:p w14:paraId="24D4E353" w14:textId="2D818130" w:rsidR="00356842" w:rsidRPr="00356842" w:rsidRDefault="15554A68" w:rsidP="24B6AD16">
            <w:pPr>
              <w:rPr>
                <w:rFonts w:ascii="Arial" w:eastAsia="Arial" w:hAnsi="Arial" w:cs="Arial"/>
              </w:rPr>
            </w:pPr>
            <w:r w:rsidRPr="3A111552">
              <w:rPr>
                <w:rFonts w:ascii="Arial" w:eastAsia="Arial" w:hAnsi="Arial" w:cs="Arial"/>
              </w:rPr>
              <w:t xml:space="preserve">The Council has appropriate </w:t>
            </w:r>
            <w:r w:rsidR="67F4C6B0" w:rsidRPr="3A111552">
              <w:rPr>
                <w:rFonts w:ascii="Arial" w:eastAsia="Arial" w:hAnsi="Arial" w:cs="Arial"/>
              </w:rPr>
              <w:t xml:space="preserve">policies which demonstrate the awareness of </w:t>
            </w:r>
            <w:r w:rsidR="2F090F72" w:rsidRPr="3A111552">
              <w:rPr>
                <w:rFonts w:ascii="Arial" w:eastAsia="Arial" w:hAnsi="Arial" w:cs="Arial"/>
              </w:rPr>
              <w:t>aspects of corruption and provide guidance on reporting mechanisms</w:t>
            </w:r>
            <w:r w:rsidR="56F24155" w:rsidRPr="3A111552">
              <w:rPr>
                <w:rFonts w:ascii="Arial" w:eastAsia="Arial" w:hAnsi="Arial" w:cs="Arial"/>
              </w:rPr>
              <w:t xml:space="preserve">. </w:t>
            </w:r>
            <w:r w:rsidR="240F8F1C" w:rsidRPr="3A111552">
              <w:rPr>
                <w:rFonts w:ascii="Arial" w:eastAsia="Arial" w:hAnsi="Arial" w:cs="Arial"/>
              </w:rPr>
              <w:t xml:space="preserve">The Code of Corporate Governance now includes standards of ethical behaviour, and the Council maintains a register of </w:t>
            </w:r>
            <w:r w:rsidR="66907D07" w:rsidRPr="3A111552">
              <w:rPr>
                <w:rFonts w:ascii="Arial" w:eastAsia="Arial" w:hAnsi="Arial" w:cs="Arial"/>
              </w:rPr>
              <w:t xml:space="preserve">interests, gifts and hospitalities and this is regularly reinforced to all staff. </w:t>
            </w:r>
            <w:r w:rsidR="56F24155" w:rsidRPr="3A111552">
              <w:rPr>
                <w:rFonts w:ascii="Arial" w:eastAsia="Arial" w:hAnsi="Arial" w:cs="Arial"/>
              </w:rPr>
              <w:t xml:space="preserve"> </w:t>
            </w:r>
          </w:p>
          <w:p w14:paraId="2978A48F" w14:textId="3C9E4EDA" w:rsidR="00356842" w:rsidRPr="00356842" w:rsidRDefault="29F3704E" w:rsidP="24B6AD16">
            <w:pPr>
              <w:rPr>
                <w:rFonts w:ascii="Arial" w:eastAsia="Arial" w:hAnsi="Arial" w:cs="Arial"/>
              </w:rPr>
            </w:pPr>
            <w:r w:rsidRPr="24B6AD16">
              <w:rPr>
                <w:rFonts w:ascii="Arial" w:eastAsia="Arial" w:hAnsi="Arial" w:cs="Arial"/>
              </w:rPr>
              <w:t xml:space="preserve">Publicity completed during 2025 </w:t>
            </w:r>
            <w:r w:rsidR="04F37626" w:rsidRPr="24B6AD16">
              <w:rPr>
                <w:rFonts w:ascii="Arial" w:eastAsia="Arial" w:hAnsi="Arial" w:cs="Arial"/>
              </w:rPr>
              <w:t xml:space="preserve">included corruption awareness in addition to fraud as there are clear overlaps between the two areas of offending. </w:t>
            </w:r>
          </w:p>
        </w:tc>
      </w:tr>
      <w:tr w:rsidR="00A6289F" w:rsidRPr="00356842" w14:paraId="5F724D27"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083DD9D8" w14:textId="77777777" w:rsidR="00356842" w:rsidRPr="00356842" w:rsidRDefault="4E557ABC" w:rsidP="24B6AD16">
            <w:pPr>
              <w:rPr>
                <w:rFonts w:ascii="Arial" w:eastAsia="Arial" w:hAnsi="Arial" w:cs="Arial"/>
              </w:rPr>
            </w:pPr>
            <w:r w:rsidRPr="24B6AD16">
              <w:rPr>
                <w:rFonts w:ascii="Arial" w:eastAsia="Arial" w:hAnsi="Arial" w:cs="Arial"/>
              </w:rPr>
              <w:t>The organisation uses published estimates of fraud loss, and where appropriate its own measurement exercises, to aid its evaluation of fraud risk exposures.</w:t>
            </w:r>
          </w:p>
        </w:tc>
        <w:tc>
          <w:tcPr>
            <w:tcW w:w="1984" w:type="dxa"/>
            <w:tcBorders>
              <w:top w:val="single" w:sz="4" w:space="0" w:color="auto"/>
              <w:left w:val="single" w:sz="4" w:space="0" w:color="auto"/>
              <w:bottom w:val="single" w:sz="4" w:space="0" w:color="auto"/>
              <w:right w:val="single" w:sz="4" w:space="0" w:color="auto"/>
            </w:tcBorders>
            <w:hideMark/>
          </w:tcPr>
          <w:p w14:paraId="47DAF734" w14:textId="77777777" w:rsidR="00356842" w:rsidRPr="00356842" w:rsidRDefault="4E557ABC"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364A6786" w14:textId="77777777" w:rsidR="00356842" w:rsidRPr="00356842" w:rsidRDefault="4E557ABC" w:rsidP="24B6AD16">
            <w:pPr>
              <w:rPr>
                <w:rFonts w:ascii="Arial" w:eastAsia="Arial" w:hAnsi="Arial" w:cs="Arial"/>
              </w:rPr>
            </w:pPr>
            <w:r w:rsidRPr="24B6AD16">
              <w:rPr>
                <w:rFonts w:ascii="Arial" w:eastAsia="Arial" w:hAnsi="Arial" w:cs="Arial"/>
              </w:rPr>
              <w:t xml:space="preserve">The majority of Council fraud relies on risk indicators to alert staff to circumstances that justify further investigation.  National (CIPFA) and local data is utilised to determine bulk fraud risk areas to allow informed decisions around areas where resources and technology should be allocated, with a view to protecting the public funds.  </w:t>
            </w:r>
          </w:p>
        </w:tc>
      </w:tr>
      <w:tr w:rsidR="00A6289F" w:rsidRPr="00356842" w14:paraId="34291766"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3F06CA54" w14:textId="77777777" w:rsidR="00356842" w:rsidRPr="00356842" w:rsidRDefault="4E557ABC" w:rsidP="24B6AD16">
            <w:pPr>
              <w:rPr>
                <w:rFonts w:ascii="Arial" w:eastAsia="Arial" w:hAnsi="Arial" w:cs="Arial"/>
              </w:rPr>
            </w:pPr>
            <w:r w:rsidRPr="24B6AD16">
              <w:rPr>
                <w:rFonts w:ascii="Arial" w:eastAsia="Arial" w:hAnsi="Arial" w:cs="Arial"/>
              </w:rPr>
              <w:t>The organisation evaluates the harm to its aims and objectives and service users that different fraud risks can cause.</w:t>
            </w:r>
          </w:p>
        </w:tc>
        <w:tc>
          <w:tcPr>
            <w:tcW w:w="1984" w:type="dxa"/>
            <w:tcBorders>
              <w:top w:val="single" w:sz="4" w:space="0" w:color="auto"/>
              <w:left w:val="single" w:sz="4" w:space="0" w:color="auto"/>
              <w:bottom w:val="single" w:sz="4" w:space="0" w:color="auto"/>
              <w:right w:val="single" w:sz="4" w:space="0" w:color="auto"/>
            </w:tcBorders>
            <w:hideMark/>
          </w:tcPr>
          <w:p w14:paraId="028CC758" w14:textId="77777777" w:rsidR="00356842" w:rsidRPr="00356842" w:rsidRDefault="4E557ABC"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6DC831BD" w14:textId="77777777" w:rsidR="00356842" w:rsidRPr="00356842" w:rsidRDefault="4E557ABC" w:rsidP="24B6AD16">
            <w:pPr>
              <w:rPr>
                <w:rFonts w:ascii="Arial" w:eastAsia="Arial" w:hAnsi="Arial" w:cs="Arial"/>
              </w:rPr>
            </w:pPr>
            <w:r w:rsidRPr="24B6AD16">
              <w:rPr>
                <w:rFonts w:ascii="Arial" w:eastAsia="Arial" w:hAnsi="Arial" w:cs="Arial"/>
              </w:rPr>
              <w:t xml:space="preserve">The Fraud Risk profile, a live document, records issues of threat, risk, and harm, and allows strategic decisions to be considered around the policies which hopefully reduce risk and keep the Council safe.  </w:t>
            </w:r>
          </w:p>
        </w:tc>
      </w:tr>
      <w:tr w:rsidR="00A6289F" w:rsidRPr="00356842" w14:paraId="6EAAAAE0" w14:textId="77777777" w:rsidTr="04BD2A26">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7378A7" w14:textId="77777777" w:rsidR="00356842" w:rsidRPr="00356842" w:rsidRDefault="4E557ABC" w:rsidP="24B6AD16">
            <w:pPr>
              <w:rPr>
                <w:rFonts w:ascii="Arial" w:eastAsia="Arial" w:hAnsi="Arial" w:cs="Arial"/>
                <w:b/>
                <w:bCs/>
              </w:rPr>
            </w:pPr>
            <w:r w:rsidRPr="24B6AD16">
              <w:rPr>
                <w:rFonts w:ascii="Arial" w:eastAsia="Arial" w:hAnsi="Arial" w:cs="Arial"/>
                <w:b/>
                <w:bCs/>
              </w:rPr>
              <w:t>Develop a Strategy</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854EB" w14:textId="77777777" w:rsidR="00356842" w:rsidRPr="00356842" w:rsidRDefault="00356842" w:rsidP="24B6AD16">
            <w:pPr>
              <w:rPr>
                <w:rFonts w:ascii="Arial" w:eastAsia="Arial" w:hAnsi="Arial" w:cs="Arial"/>
              </w:rPr>
            </w:pPr>
          </w:p>
        </w:tc>
        <w:tc>
          <w:tcPr>
            <w:tcW w:w="6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E8254" w14:textId="77777777" w:rsidR="00356842" w:rsidRPr="00356842" w:rsidRDefault="00356842" w:rsidP="24B6AD16">
            <w:pPr>
              <w:rPr>
                <w:rFonts w:ascii="Arial" w:eastAsia="Arial" w:hAnsi="Arial" w:cs="Arial"/>
              </w:rPr>
            </w:pPr>
          </w:p>
        </w:tc>
      </w:tr>
      <w:tr w:rsidR="00A6289F" w:rsidRPr="00356842" w14:paraId="41C04D77"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246A55D4" w14:textId="77777777" w:rsidR="00356842" w:rsidRPr="00356842" w:rsidRDefault="4E557ABC" w:rsidP="24B6AD16">
            <w:pPr>
              <w:rPr>
                <w:rFonts w:ascii="Arial" w:eastAsia="Arial" w:hAnsi="Arial" w:cs="Arial"/>
              </w:rPr>
            </w:pPr>
            <w:r w:rsidRPr="24B6AD16">
              <w:rPr>
                <w:rFonts w:ascii="Arial" w:eastAsia="Arial" w:hAnsi="Arial" w:cs="Arial"/>
              </w:rPr>
              <w:t>The governing body formally adopts a counter fraud and corruption strategy to address the identified risks and align with the organisation’s acknowledged responsibilities and goals.</w:t>
            </w:r>
          </w:p>
        </w:tc>
        <w:tc>
          <w:tcPr>
            <w:tcW w:w="1984" w:type="dxa"/>
            <w:tcBorders>
              <w:top w:val="single" w:sz="4" w:space="0" w:color="auto"/>
              <w:left w:val="single" w:sz="4" w:space="0" w:color="auto"/>
              <w:bottom w:val="single" w:sz="4" w:space="0" w:color="auto"/>
              <w:right w:val="single" w:sz="4" w:space="0" w:color="auto"/>
            </w:tcBorders>
            <w:hideMark/>
          </w:tcPr>
          <w:p w14:paraId="1E6B62A3" w14:textId="77777777" w:rsidR="00356842" w:rsidRPr="00356842" w:rsidRDefault="4E557ABC"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6A375CA6" w14:textId="77777777" w:rsidR="00356842" w:rsidRDefault="4E557ABC" w:rsidP="24B6AD16">
            <w:pPr>
              <w:rPr>
                <w:rFonts w:ascii="Arial" w:eastAsia="Arial" w:hAnsi="Arial" w:cs="Arial"/>
              </w:rPr>
            </w:pPr>
            <w:r w:rsidRPr="24B6AD16">
              <w:rPr>
                <w:rFonts w:ascii="Arial" w:eastAsia="Arial" w:hAnsi="Arial" w:cs="Arial"/>
              </w:rPr>
              <w:t xml:space="preserve">The Council’s Counter Fraud Strategy has been in place for an extended period of time and is subject to proper review.  The strategy is reviewed by Senior Managers and is approved by elected members.  </w:t>
            </w:r>
          </w:p>
          <w:p w14:paraId="18B3B8AC" w14:textId="76411DBE" w:rsidR="00B86E67" w:rsidRPr="00356842" w:rsidRDefault="6EB7F64C" w:rsidP="24B6AD16">
            <w:pPr>
              <w:rPr>
                <w:rFonts w:ascii="Arial" w:eastAsia="Arial" w:hAnsi="Arial" w:cs="Arial"/>
              </w:rPr>
            </w:pPr>
            <w:r w:rsidRPr="24B6AD16">
              <w:rPr>
                <w:rFonts w:ascii="Arial" w:eastAsia="Arial" w:hAnsi="Arial" w:cs="Arial"/>
              </w:rPr>
              <w:lastRenderedPageBreak/>
              <w:t xml:space="preserve">The policy and strategy documents are being refreshed for 2026/27 to ensure they are current </w:t>
            </w:r>
            <w:r w:rsidR="03C599E9" w:rsidRPr="24B6AD16">
              <w:rPr>
                <w:rFonts w:ascii="Arial" w:eastAsia="Arial" w:hAnsi="Arial" w:cs="Arial"/>
              </w:rPr>
              <w:t>and reporting mechanisms effective.</w:t>
            </w:r>
          </w:p>
        </w:tc>
      </w:tr>
      <w:tr w:rsidR="00A6289F" w:rsidRPr="00356842" w14:paraId="6B5EB864"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0968A3CD" w14:textId="77777777" w:rsidR="00356842" w:rsidRPr="00356842" w:rsidRDefault="4E557ABC" w:rsidP="24B6AD16">
            <w:pPr>
              <w:rPr>
                <w:rFonts w:ascii="Arial" w:eastAsia="Arial" w:hAnsi="Arial" w:cs="Arial"/>
              </w:rPr>
            </w:pPr>
            <w:r w:rsidRPr="24B6AD16">
              <w:rPr>
                <w:rFonts w:ascii="Arial" w:eastAsia="Arial" w:hAnsi="Arial" w:cs="Arial"/>
              </w:rPr>
              <w:lastRenderedPageBreak/>
              <w:t>The strategy includes the organisation’s use of joint working or partnership approaches to managing its risks, where appropriate.</w:t>
            </w:r>
          </w:p>
        </w:tc>
        <w:tc>
          <w:tcPr>
            <w:tcW w:w="1984" w:type="dxa"/>
            <w:tcBorders>
              <w:top w:val="single" w:sz="4" w:space="0" w:color="auto"/>
              <w:left w:val="single" w:sz="4" w:space="0" w:color="auto"/>
              <w:bottom w:val="single" w:sz="4" w:space="0" w:color="auto"/>
              <w:right w:val="single" w:sz="4" w:space="0" w:color="auto"/>
            </w:tcBorders>
            <w:hideMark/>
          </w:tcPr>
          <w:p w14:paraId="0E60B396" w14:textId="77777777" w:rsidR="00356842" w:rsidRPr="00356842" w:rsidRDefault="4E557ABC"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2ED6393D" w14:textId="77777777" w:rsidR="00356842" w:rsidRPr="00356842" w:rsidRDefault="4E557ABC" w:rsidP="24B6AD16">
            <w:pPr>
              <w:rPr>
                <w:rFonts w:ascii="Arial" w:eastAsia="Arial" w:hAnsi="Arial" w:cs="Arial"/>
              </w:rPr>
            </w:pPr>
            <w:r w:rsidRPr="24B6AD16">
              <w:rPr>
                <w:rFonts w:ascii="Arial" w:eastAsia="Arial" w:hAnsi="Arial" w:cs="Arial"/>
              </w:rPr>
              <w:t>Joint working exists across the Council, to ensure a robust response to those who seek to harm the Council across multiple areas, and with external partners to ensure appropriate sharing of information and reporting of alleged offending.  This includes Police, The Department for Work and Pensions (DWP), Health, Education, Social Care.</w:t>
            </w:r>
          </w:p>
        </w:tc>
      </w:tr>
      <w:tr w:rsidR="00A6289F" w:rsidRPr="00356842" w14:paraId="7C72D80B"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2BD4CF5D" w14:textId="77777777" w:rsidR="00356842" w:rsidRPr="00356842" w:rsidRDefault="4E557ABC" w:rsidP="24B6AD16">
            <w:pPr>
              <w:rPr>
                <w:rFonts w:ascii="Arial" w:eastAsia="Arial" w:hAnsi="Arial" w:cs="Arial"/>
              </w:rPr>
            </w:pPr>
            <w:r w:rsidRPr="24B6AD16">
              <w:rPr>
                <w:rFonts w:ascii="Arial" w:eastAsia="Arial" w:hAnsi="Arial" w:cs="Arial"/>
              </w:rPr>
              <w:t xml:space="preserve">The strategy includes both proactive and responsive approaches that are best suited to the organisation’s fraud and corruption risks. </w:t>
            </w:r>
          </w:p>
        </w:tc>
        <w:tc>
          <w:tcPr>
            <w:tcW w:w="1984" w:type="dxa"/>
            <w:tcBorders>
              <w:top w:val="single" w:sz="4" w:space="0" w:color="auto"/>
              <w:left w:val="single" w:sz="4" w:space="0" w:color="auto"/>
              <w:bottom w:val="single" w:sz="4" w:space="0" w:color="auto"/>
              <w:right w:val="single" w:sz="4" w:space="0" w:color="auto"/>
            </w:tcBorders>
            <w:hideMark/>
          </w:tcPr>
          <w:p w14:paraId="1E23E027" w14:textId="02FBC0D0" w:rsidR="00356842" w:rsidRPr="00356842" w:rsidRDefault="4E557ABC"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615B08F0" w14:textId="50FB9E30" w:rsidR="00356842" w:rsidRPr="00356842" w:rsidRDefault="4E557ABC" w:rsidP="24B6AD16">
            <w:pPr>
              <w:rPr>
                <w:rFonts w:ascii="Arial" w:eastAsia="Arial" w:hAnsi="Arial" w:cs="Arial"/>
              </w:rPr>
            </w:pPr>
            <w:r w:rsidRPr="24B6AD16">
              <w:rPr>
                <w:rFonts w:ascii="Arial" w:eastAsia="Arial" w:hAnsi="Arial" w:cs="Arial"/>
              </w:rPr>
              <w:t xml:space="preserve">The Council </w:t>
            </w:r>
            <w:r w:rsidR="00C61B87">
              <w:rPr>
                <w:rFonts w:ascii="Arial" w:eastAsia="Arial" w:hAnsi="Arial" w:cs="Arial"/>
              </w:rPr>
              <w:t>utilises data matching te</w:t>
            </w:r>
            <w:r w:rsidR="003E14FA">
              <w:rPr>
                <w:rFonts w:ascii="Arial" w:eastAsia="Arial" w:hAnsi="Arial" w:cs="Arial"/>
              </w:rPr>
              <w:t xml:space="preserve">chnology </w:t>
            </w:r>
            <w:r w:rsidR="004B304C">
              <w:rPr>
                <w:rFonts w:ascii="Arial" w:eastAsia="Arial" w:hAnsi="Arial" w:cs="Arial"/>
              </w:rPr>
              <w:t xml:space="preserve">both in preventative and </w:t>
            </w:r>
            <w:r w:rsidR="00AB105A">
              <w:rPr>
                <w:rFonts w:ascii="Arial" w:eastAsia="Arial" w:hAnsi="Arial" w:cs="Arial"/>
              </w:rPr>
              <w:t xml:space="preserve">investigative processes, this includes data from the National Fraud Initiative to </w:t>
            </w:r>
            <w:r w:rsidR="00ED2503">
              <w:rPr>
                <w:rFonts w:ascii="Arial" w:eastAsia="Arial" w:hAnsi="Arial" w:cs="Arial"/>
              </w:rPr>
              <w:t>provide a richer product</w:t>
            </w:r>
            <w:r w:rsidRPr="24B6AD16">
              <w:rPr>
                <w:rFonts w:ascii="Arial" w:eastAsia="Arial" w:hAnsi="Arial" w:cs="Arial"/>
              </w:rPr>
              <w:t>.  The use of technology is being advanced to ensure the earlier identification of fraud indicators and reduction in financial harm</w:t>
            </w:r>
            <w:r w:rsidR="00ED2503">
              <w:rPr>
                <w:rFonts w:ascii="Arial" w:eastAsia="Arial" w:hAnsi="Arial" w:cs="Arial"/>
              </w:rPr>
              <w:t xml:space="preserve">; examples of this </w:t>
            </w:r>
            <w:r w:rsidR="00F574EB">
              <w:rPr>
                <w:rFonts w:ascii="Arial" w:eastAsia="Arial" w:hAnsi="Arial" w:cs="Arial"/>
              </w:rPr>
              <w:t>are where real time information on earning and pensions is assessed to assure applications for certain benefit types.</w:t>
            </w:r>
          </w:p>
        </w:tc>
      </w:tr>
      <w:tr w:rsidR="00A6289F" w:rsidRPr="00356842" w14:paraId="66EB792D"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5CD71DAC" w14:textId="77777777" w:rsidR="00356842" w:rsidRPr="00356842" w:rsidRDefault="4E557ABC" w:rsidP="24B6AD16">
            <w:pPr>
              <w:rPr>
                <w:rFonts w:ascii="Arial" w:eastAsia="Arial" w:hAnsi="Arial" w:cs="Arial"/>
              </w:rPr>
            </w:pPr>
            <w:r w:rsidRPr="24B6AD16">
              <w:rPr>
                <w:rFonts w:ascii="Arial" w:eastAsia="Arial" w:hAnsi="Arial" w:cs="Arial"/>
              </w:rPr>
              <w:t>The strategy includes clear identification of responsibility and accountability for delivery of the strategy and for providing oversight.</w:t>
            </w:r>
          </w:p>
        </w:tc>
        <w:tc>
          <w:tcPr>
            <w:tcW w:w="1984" w:type="dxa"/>
            <w:tcBorders>
              <w:top w:val="single" w:sz="4" w:space="0" w:color="auto"/>
              <w:left w:val="single" w:sz="4" w:space="0" w:color="auto"/>
              <w:bottom w:val="single" w:sz="4" w:space="0" w:color="auto"/>
              <w:right w:val="single" w:sz="4" w:space="0" w:color="auto"/>
            </w:tcBorders>
            <w:hideMark/>
          </w:tcPr>
          <w:p w14:paraId="439A3D1B" w14:textId="77777777" w:rsidR="00356842" w:rsidRPr="00356842" w:rsidRDefault="4E557ABC"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0F2704AF" w14:textId="77777777" w:rsidR="00356842" w:rsidRPr="00356842" w:rsidRDefault="4E557ABC" w:rsidP="24B6AD16">
            <w:pPr>
              <w:rPr>
                <w:rFonts w:ascii="Arial" w:eastAsia="Arial" w:hAnsi="Arial" w:cs="Arial"/>
              </w:rPr>
            </w:pPr>
            <w:r w:rsidRPr="24B6AD16">
              <w:rPr>
                <w:rFonts w:ascii="Arial" w:eastAsia="Arial" w:hAnsi="Arial" w:cs="Arial"/>
              </w:rPr>
              <w:t xml:space="preserve">The Counter Fraud strategy ensures accountability and the annual fraud reporting, along with resulting annual Fraud Plan, ensures actions are current and proportionate.  The levels of scrutiny provided by Senior Managers and Elected Members ensures scrutiny and appropriateness of those measures.  </w:t>
            </w:r>
          </w:p>
        </w:tc>
      </w:tr>
      <w:tr w:rsidR="00A6289F" w:rsidRPr="00356842" w14:paraId="10FC8A00" w14:textId="77777777" w:rsidTr="04BD2A26">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497C0" w14:textId="77777777" w:rsidR="00356842" w:rsidRPr="00356842" w:rsidRDefault="4E557ABC" w:rsidP="24B6AD16">
            <w:pPr>
              <w:rPr>
                <w:rFonts w:ascii="Arial" w:eastAsia="Arial" w:hAnsi="Arial" w:cs="Arial"/>
                <w:b/>
                <w:bCs/>
              </w:rPr>
            </w:pPr>
            <w:r w:rsidRPr="24B6AD16">
              <w:rPr>
                <w:rFonts w:ascii="Arial" w:eastAsia="Arial" w:hAnsi="Arial" w:cs="Arial"/>
                <w:b/>
                <w:bCs/>
              </w:rPr>
              <w:t>Provide Resources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E89E0" w14:textId="77777777" w:rsidR="00356842" w:rsidRPr="00356842" w:rsidRDefault="00356842" w:rsidP="24B6AD16">
            <w:pPr>
              <w:rPr>
                <w:rFonts w:ascii="Arial" w:eastAsia="Arial" w:hAnsi="Arial" w:cs="Arial"/>
              </w:rPr>
            </w:pPr>
          </w:p>
        </w:tc>
        <w:tc>
          <w:tcPr>
            <w:tcW w:w="6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C2A37" w14:textId="77777777" w:rsidR="00356842" w:rsidRPr="00356842" w:rsidRDefault="00356842" w:rsidP="24B6AD16">
            <w:pPr>
              <w:rPr>
                <w:rFonts w:ascii="Arial" w:eastAsia="Arial" w:hAnsi="Arial" w:cs="Arial"/>
              </w:rPr>
            </w:pPr>
          </w:p>
        </w:tc>
      </w:tr>
      <w:tr w:rsidR="00A6289F" w:rsidRPr="00356842" w14:paraId="0652B3D1"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4346EBF4" w14:textId="77777777" w:rsidR="00356842" w:rsidRPr="00356842" w:rsidRDefault="4E557ABC" w:rsidP="24B6AD16">
            <w:pPr>
              <w:rPr>
                <w:rFonts w:ascii="Arial" w:eastAsia="Arial" w:hAnsi="Arial" w:cs="Arial"/>
              </w:rPr>
            </w:pPr>
            <w:r w:rsidRPr="24B6AD16">
              <w:rPr>
                <w:rFonts w:ascii="Arial" w:eastAsia="Arial" w:hAnsi="Arial" w:cs="Arial"/>
              </w:rPr>
              <w:t>An annual assessment of whether the level of resource invested to counter fraud and corruption is proportionate for the level of risk.</w:t>
            </w:r>
          </w:p>
        </w:tc>
        <w:tc>
          <w:tcPr>
            <w:tcW w:w="1984" w:type="dxa"/>
            <w:tcBorders>
              <w:top w:val="single" w:sz="4" w:space="0" w:color="auto"/>
              <w:left w:val="single" w:sz="4" w:space="0" w:color="auto"/>
              <w:bottom w:val="single" w:sz="4" w:space="0" w:color="auto"/>
              <w:right w:val="single" w:sz="4" w:space="0" w:color="auto"/>
            </w:tcBorders>
            <w:hideMark/>
          </w:tcPr>
          <w:p w14:paraId="12D6D433" w14:textId="6DCE4BEA" w:rsidR="00356842" w:rsidRPr="00356842" w:rsidRDefault="4E557ABC"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569752DC" w14:textId="12782CEB" w:rsidR="00356842" w:rsidRPr="00356842" w:rsidRDefault="7B8F5717" w:rsidP="24B6AD16">
            <w:pPr>
              <w:rPr>
                <w:rFonts w:ascii="Arial" w:eastAsia="Arial" w:hAnsi="Arial" w:cs="Arial"/>
              </w:rPr>
            </w:pPr>
            <w:r w:rsidRPr="24B6AD16">
              <w:rPr>
                <w:rFonts w:ascii="Arial" w:eastAsia="Arial" w:hAnsi="Arial" w:cs="Arial"/>
              </w:rPr>
              <w:t xml:space="preserve">Several changes influence this assessment </w:t>
            </w:r>
            <w:r w:rsidR="480689CC" w:rsidRPr="24B6AD16">
              <w:rPr>
                <w:rFonts w:ascii="Arial" w:eastAsia="Arial" w:hAnsi="Arial" w:cs="Arial"/>
              </w:rPr>
              <w:t xml:space="preserve">and will continue to impact on this area.  There have been changes to the Fraud Shared Service, </w:t>
            </w:r>
            <w:r w:rsidR="45D7B265" w:rsidRPr="24B6AD16">
              <w:rPr>
                <w:rFonts w:ascii="Arial" w:eastAsia="Arial" w:hAnsi="Arial" w:cs="Arial"/>
              </w:rPr>
              <w:t xml:space="preserve">challenges faced by Councils (including Local Government reorganisation), </w:t>
            </w:r>
            <w:r w:rsidR="297FCB82" w:rsidRPr="24B6AD16">
              <w:rPr>
                <w:rFonts w:ascii="Arial" w:eastAsia="Arial" w:hAnsi="Arial" w:cs="Arial"/>
              </w:rPr>
              <w:t>and changes to workflow – progressing from reactive to proactive.  This position will be evaluated throughout 202</w:t>
            </w:r>
            <w:r w:rsidR="3C2EADC5" w:rsidRPr="24B6AD16">
              <w:rPr>
                <w:rFonts w:ascii="Arial" w:eastAsia="Arial" w:hAnsi="Arial" w:cs="Arial"/>
              </w:rPr>
              <w:t>6</w:t>
            </w:r>
            <w:r w:rsidR="297FCB82" w:rsidRPr="24B6AD16">
              <w:rPr>
                <w:rFonts w:ascii="Arial" w:eastAsia="Arial" w:hAnsi="Arial" w:cs="Arial"/>
              </w:rPr>
              <w:t xml:space="preserve">/27 and further </w:t>
            </w:r>
            <w:r w:rsidR="4C4CECA5" w:rsidRPr="24B6AD16">
              <w:rPr>
                <w:rFonts w:ascii="Arial" w:eastAsia="Arial" w:hAnsi="Arial" w:cs="Arial"/>
              </w:rPr>
              <w:t xml:space="preserve">decisions made regarding resourcing requirements. </w:t>
            </w:r>
            <w:r w:rsidR="00CC1C8B">
              <w:rPr>
                <w:rFonts w:ascii="Arial" w:eastAsia="Arial" w:hAnsi="Arial" w:cs="Arial"/>
              </w:rPr>
              <w:t xml:space="preserve">On the current </w:t>
            </w:r>
            <w:r w:rsidR="00A571C1">
              <w:rPr>
                <w:rFonts w:ascii="Arial" w:eastAsia="Arial" w:hAnsi="Arial" w:cs="Arial"/>
              </w:rPr>
              <w:t xml:space="preserve">team format the resource level is deemed appropriate to </w:t>
            </w:r>
            <w:r w:rsidR="00A571C1">
              <w:rPr>
                <w:rFonts w:ascii="Arial" w:eastAsia="Arial" w:hAnsi="Arial" w:cs="Arial"/>
              </w:rPr>
              <w:lastRenderedPageBreak/>
              <w:t>deliver a proportionate response for the Council.</w:t>
            </w:r>
          </w:p>
        </w:tc>
      </w:tr>
      <w:tr w:rsidR="00A6289F" w:rsidRPr="00356842" w14:paraId="77FEFB57"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2DC91000" w14:textId="77777777" w:rsidR="00356842" w:rsidRPr="00356842" w:rsidRDefault="4E557ABC" w:rsidP="24B6AD16">
            <w:pPr>
              <w:rPr>
                <w:rFonts w:ascii="Arial" w:eastAsia="Arial" w:hAnsi="Arial" w:cs="Arial"/>
              </w:rPr>
            </w:pPr>
            <w:r w:rsidRPr="24B6AD16">
              <w:rPr>
                <w:rFonts w:ascii="Arial" w:eastAsia="Arial" w:hAnsi="Arial" w:cs="Arial"/>
              </w:rPr>
              <w:lastRenderedPageBreak/>
              <w:t>The organisation utilises an appropriate mix of experienced and skilled staff, including access to counter fraud staff with professional accreditation.</w:t>
            </w:r>
          </w:p>
        </w:tc>
        <w:tc>
          <w:tcPr>
            <w:tcW w:w="1984" w:type="dxa"/>
            <w:tcBorders>
              <w:top w:val="single" w:sz="4" w:space="0" w:color="auto"/>
              <w:left w:val="single" w:sz="4" w:space="0" w:color="auto"/>
              <w:bottom w:val="single" w:sz="4" w:space="0" w:color="auto"/>
              <w:right w:val="single" w:sz="4" w:space="0" w:color="auto"/>
            </w:tcBorders>
            <w:hideMark/>
          </w:tcPr>
          <w:p w14:paraId="157796E3" w14:textId="77777777" w:rsidR="00356842" w:rsidRPr="00356842" w:rsidRDefault="4E557ABC"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27E42F80" w14:textId="77777777" w:rsidR="00356842" w:rsidRPr="00356842" w:rsidRDefault="4E557ABC" w:rsidP="24B6AD16">
            <w:pPr>
              <w:rPr>
                <w:rFonts w:ascii="Arial" w:eastAsia="Arial" w:hAnsi="Arial" w:cs="Arial"/>
              </w:rPr>
            </w:pPr>
            <w:r w:rsidRPr="24B6AD16">
              <w:rPr>
                <w:rFonts w:ascii="Arial" w:eastAsia="Arial" w:hAnsi="Arial" w:cs="Arial"/>
              </w:rPr>
              <w:t xml:space="preserve">The Council is committed to the continued professional development of staff and currently has a positive blend of experience and qualification to ensure a professional response to any type of fraud investigation.  Steps are currently being taken to enhance development and to learn from regional partners around best practice and learning opportunities.  </w:t>
            </w:r>
          </w:p>
        </w:tc>
      </w:tr>
      <w:tr w:rsidR="00A6289F" w:rsidRPr="00356842" w14:paraId="59F8D10E"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0BFD4181" w14:textId="77777777" w:rsidR="00356842" w:rsidRPr="00356842" w:rsidRDefault="4E557ABC" w:rsidP="24B6AD16">
            <w:pPr>
              <w:rPr>
                <w:rFonts w:ascii="Arial" w:eastAsia="Arial" w:hAnsi="Arial" w:cs="Arial"/>
              </w:rPr>
            </w:pPr>
            <w:r w:rsidRPr="24B6AD16">
              <w:rPr>
                <w:rFonts w:ascii="Arial" w:eastAsia="Arial" w:hAnsi="Arial" w:cs="Arial"/>
              </w:rPr>
              <w:t>The organisation grants counter fraud staff unhindered access to its employees, information and other resources as required for investigation purposes.</w:t>
            </w:r>
          </w:p>
        </w:tc>
        <w:tc>
          <w:tcPr>
            <w:tcW w:w="1984" w:type="dxa"/>
            <w:tcBorders>
              <w:top w:val="single" w:sz="4" w:space="0" w:color="auto"/>
              <w:left w:val="single" w:sz="4" w:space="0" w:color="auto"/>
              <w:bottom w:val="single" w:sz="4" w:space="0" w:color="auto"/>
              <w:right w:val="single" w:sz="4" w:space="0" w:color="auto"/>
            </w:tcBorders>
            <w:hideMark/>
          </w:tcPr>
          <w:p w14:paraId="0DC69FF3" w14:textId="77777777" w:rsidR="00356842" w:rsidRPr="00356842" w:rsidRDefault="4E557ABC"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17F2D597" w14:textId="360E203A" w:rsidR="00356842" w:rsidRPr="00356842" w:rsidRDefault="4566F57B" w:rsidP="24B6AD16">
            <w:pPr>
              <w:rPr>
                <w:rFonts w:ascii="Arial" w:eastAsia="Arial" w:hAnsi="Arial" w:cs="Arial"/>
              </w:rPr>
            </w:pPr>
            <w:r w:rsidRPr="24B6AD16">
              <w:rPr>
                <w:rFonts w:ascii="Arial" w:eastAsia="Arial" w:hAnsi="Arial" w:cs="Arial"/>
              </w:rPr>
              <w:t xml:space="preserve">The Fraud Team, along with members of the Audit and Assurance Team, </w:t>
            </w:r>
            <w:r w:rsidR="48E8BF7C" w:rsidRPr="24B6AD16">
              <w:rPr>
                <w:rFonts w:ascii="Arial" w:eastAsia="Arial" w:hAnsi="Arial" w:cs="Arial"/>
              </w:rPr>
              <w:t>are provided with free access to material and members of staff as is necessary to conduct investigations with a level of independence</w:t>
            </w:r>
            <w:r w:rsidR="2382F552" w:rsidRPr="24B6AD16">
              <w:rPr>
                <w:rFonts w:ascii="Arial" w:eastAsia="Arial" w:hAnsi="Arial" w:cs="Arial"/>
              </w:rPr>
              <w:t>.  Decisions are made w</w:t>
            </w:r>
            <w:r w:rsidR="2E4D1113" w:rsidRPr="24B6AD16">
              <w:rPr>
                <w:rFonts w:ascii="Arial" w:eastAsia="Arial" w:hAnsi="Arial" w:cs="Arial"/>
              </w:rPr>
              <w:t>ith reference to Legal where necessary and in the public interest.</w:t>
            </w:r>
          </w:p>
        </w:tc>
      </w:tr>
      <w:tr w:rsidR="00A6289F" w:rsidRPr="00356842" w14:paraId="465EB3D2"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3978DFB3" w14:textId="77777777" w:rsidR="00356842" w:rsidRPr="00356842" w:rsidRDefault="4E557ABC" w:rsidP="24B6AD16">
            <w:pPr>
              <w:rPr>
                <w:rFonts w:ascii="Arial" w:eastAsia="Arial" w:hAnsi="Arial" w:cs="Arial"/>
              </w:rPr>
            </w:pPr>
            <w:r w:rsidRPr="24B6AD16">
              <w:rPr>
                <w:rFonts w:ascii="Arial" w:eastAsia="Arial" w:hAnsi="Arial" w:cs="Arial"/>
              </w:rPr>
              <w:t>The organisation has protocols in place to facilitate joint working and data and intelligence sharing to support counter fraud activity.</w:t>
            </w:r>
          </w:p>
        </w:tc>
        <w:tc>
          <w:tcPr>
            <w:tcW w:w="1984" w:type="dxa"/>
            <w:tcBorders>
              <w:top w:val="single" w:sz="4" w:space="0" w:color="auto"/>
              <w:left w:val="single" w:sz="4" w:space="0" w:color="auto"/>
              <w:bottom w:val="single" w:sz="4" w:space="0" w:color="auto"/>
              <w:right w:val="single" w:sz="4" w:space="0" w:color="auto"/>
            </w:tcBorders>
            <w:hideMark/>
          </w:tcPr>
          <w:p w14:paraId="6D2AB928" w14:textId="3369DCAA" w:rsidR="00356842" w:rsidRPr="00356842" w:rsidRDefault="6DB44BD2"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1B0E1949" w14:textId="77777777" w:rsidR="00356842" w:rsidRPr="00356842" w:rsidRDefault="4E557ABC" w:rsidP="24B6AD16">
            <w:pPr>
              <w:rPr>
                <w:rFonts w:ascii="Arial" w:eastAsia="Arial" w:hAnsi="Arial" w:cs="Arial"/>
              </w:rPr>
            </w:pPr>
            <w:r w:rsidRPr="24B6AD16">
              <w:rPr>
                <w:rFonts w:ascii="Arial" w:eastAsia="Arial" w:hAnsi="Arial" w:cs="Arial"/>
              </w:rPr>
              <w:t>The Council has refreshed its information sharing arrangements around The Data Protection Act 2018 and work has been completed with relevant partners to ensure full cooperation and compliance.  The Council acknowledges its essential part in preventing and detecting crime with wider partners to make communities safer.</w:t>
            </w:r>
          </w:p>
          <w:p w14:paraId="06ECD2C6" w14:textId="3E77712C" w:rsidR="00356842" w:rsidRPr="00356842" w:rsidRDefault="53EDEBAF" w:rsidP="24B6AD16">
            <w:pPr>
              <w:rPr>
                <w:rFonts w:ascii="Arial" w:eastAsia="Arial" w:hAnsi="Arial" w:cs="Arial"/>
              </w:rPr>
            </w:pPr>
            <w:r w:rsidRPr="24B6AD16">
              <w:rPr>
                <w:rFonts w:ascii="Arial" w:eastAsia="Arial" w:hAnsi="Arial" w:cs="Arial"/>
              </w:rPr>
              <w:t xml:space="preserve">All sources of fraud indicators are now captured </w:t>
            </w:r>
            <w:r w:rsidR="5C4D9AF6" w:rsidRPr="24B6AD16">
              <w:rPr>
                <w:rFonts w:ascii="Arial" w:eastAsia="Arial" w:hAnsi="Arial" w:cs="Arial"/>
              </w:rPr>
              <w:t xml:space="preserve">and </w:t>
            </w:r>
            <w:r w:rsidR="430CA219" w:rsidRPr="24B6AD16">
              <w:rPr>
                <w:rFonts w:ascii="Arial" w:eastAsia="Arial" w:hAnsi="Arial" w:cs="Arial"/>
              </w:rPr>
              <w:t xml:space="preserve">wider teams / Council partners are regularly consulted to support </w:t>
            </w:r>
            <w:r w:rsidR="681C5FB8" w:rsidRPr="24B6AD16">
              <w:rPr>
                <w:rFonts w:ascii="Arial" w:eastAsia="Arial" w:hAnsi="Arial" w:cs="Arial"/>
              </w:rPr>
              <w:t>the right outcomes.</w:t>
            </w:r>
          </w:p>
        </w:tc>
      </w:tr>
      <w:tr w:rsidR="00A6289F" w:rsidRPr="00356842" w14:paraId="641A64E5" w14:textId="77777777" w:rsidTr="04BD2A26">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255A7A" w14:textId="77777777" w:rsidR="00356842" w:rsidRPr="00356842" w:rsidRDefault="4E557ABC" w:rsidP="24B6AD16">
            <w:pPr>
              <w:rPr>
                <w:rFonts w:ascii="Arial" w:eastAsia="Arial" w:hAnsi="Arial" w:cs="Arial"/>
                <w:b/>
                <w:bCs/>
              </w:rPr>
            </w:pPr>
            <w:r w:rsidRPr="24B6AD16">
              <w:rPr>
                <w:rFonts w:ascii="Arial" w:eastAsia="Arial" w:hAnsi="Arial" w:cs="Arial"/>
                <w:b/>
                <w:bCs/>
              </w:rPr>
              <w:t>Take Action</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CD655" w14:textId="77777777" w:rsidR="00356842" w:rsidRPr="00356842" w:rsidRDefault="00356842" w:rsidP="24B6AD16">
            <w:pPr>
              <w:rPr>
                <w:rFonts w:ascii="Arial" w:eastAsia="Arial" w:hAnsi="Arial" w:cs="Arial"/>
              </w:rPr>
            </w:pPr>
          </w:p>
        </w:tc>
        <w:tc>
          <w:tcPr>
            <w:tcW w:w="6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8756D0" w14:textId="77777777" w:rsidR="00356842" w:rsidRPr="00356842" w:rsidRDefault="00356842" w:rsidP="24B6AD16">
            <w:pPr>
              <w:rPr>
                <w:rFonts w:ascii="Arial" w:eastAsia="Arial" w:hAnsi="Arial" w:cs="Arial"/>
              </w:rPr>
            </w:pPr>
          </w:p>
        </w:tc>
      </w:tr>
      <w:tr w:rsidR="00A6289F" w:rsidRPr="00356842" w14:paraId="5A5EBCF8"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639D7E6E" w14:textId="77777777" w:rsidR="00356842" w:rsidRPr="00356842" w:rsidRDefault="4E557ABC" w:rsidP="24B6AD16">
            <w:pPr>
              <w:rPr>
                <w:rFonts w:ascii="Arial" w:eastAsia="Arial" w:hAnsi="Arial" w:cs="Arial"/>
              </w:rPr>
            </w:pPr>
            <w:r w:rsidRPr="24B6AD16">
              <w:rPr>
                <w:rFonts w:ascii="Arial" w:eastAsia="Arial" w:hAnsi="Arial" w:cs="Arial"/>
              </w:rPr>
              <w:t>The organisation has put in place a policy framework which supports the implementation of the counter fraud strategy. As a minimum the framework includes:</w:t>
            </w:r>
          </w:p>
          <w:p w14:paraId="2C08289D" w14:textId="77777777" w:rsidR="00356842" w:rsidRPr="00356842" w:rsidRDefault="4E557ABC" w:rsidP="24B6AD16">
            <w:pPr>
              <w:rPr>
                <w:rFonts w:ascii="Arial" w:eastAsia="Arial" w:hAnsi="Arial" w:cs="Arial"/>
              </w:rPr>
            </w:pPr>
            <w:r w:rsidRPr="24B6AD16">
              <w:rPr>
                <w:rFonts w:ascii="Arial" w:eastAsia="Arial" w:hAnsi="Arial" w:cs="Arial"/>
              </w:rPr>
              <w:t xml:space="preserve"> Counter fraud policy</w:t>
            </w:r>
          </w:p>
          <w:p w14:paraId="500AE307" w14:textId="77777777" w:rsidR="00356842" w:rsidRPr="00356842" w:rsidRDefault="4E557ABC" w:rsidP="24B6AD16">
            <w:pPr>
              <w:rPr>
                <w:rFonts w:ascii="Arial" w:eastAsia="Arial" w:hAnsi="Arial" w:cs="Arial"/>
              </w:rPr>
            </w:pPr>
            <w:r w:rsidRPr="24B6AD16">
              <w:rPr>
                <w:rFonts w:ascii="Arial" w:eastAsia="Arial" w:hAnsi="Arial" w:cs="Arial"/>
              </w:rPr>
              <w:t xml:space="preserve"> Whistleblowing policy</w:t>
            </w:r>
          </w:p>
          <w:p w14:paraId="4CB47522" w14:textId="77777777" w:rsidR="00356842" w:rsidRPr="00356842" w:rsidRDefault="4E557ABC" w:rsidP="24B6AD16">
            <w:pPr>
              <w:rPr>
                <w:rFonts w:ascii="Arial" w:eastAsia="Arial" w:hAnsi="Arial" w:cs="Arial"/>
              </w:rPr>
            </w:pPr>
            <w:r w:rsidRPr="24B6AD16">
              <w:rPr>
                <w:rFonts w:ascii="Arial" w:eastAsia="Arial" w:hAnsi="Arial" w:cs="Arial"/>
              </w:rPr>
              <w:t xml:space="preserve"> Anti-money laundering policy</w:t>
            </w:r>
          </w:p>
          <w:p w14:paraId="41FE8147" w14:textId="77777777" w:rsidR="00356842" w:rsidRPr="00356842" w:rsidRDefault="4E557ABC" w:rsidP="24B6AD16">
            <w:pPr>
              <w:rPr>
                <w:rFonts w:ascii="Arial" w:eastAsia="Arial" w:hAnsi="Arial" w:cs="Arial"/>
              </w:rPr>
            </w:pPr>
            <w:r w:rsidRPr="24B6AD16">
              <w:rPr>
                <w:rFonts w:ascii="Arial" w:eastAsia="Arial" w:hAnsi="Arial" w:cs="Arial"/>
              </w:rPr>
              <w:t xml:space="preserve"> Anti-bribery policy</w:t>
            </w:r>
          </w:p>
          <w:p w14:paraId="5BB25828" w14:textId="77777777" w:rsidR="00356842" w:rsidRPr="00356842" w:rsidRDefault="4E557ABC" w:rsidP="24B6AD16">
            <w:pPr>
              <w:rPr>
                <w:rFonts w:ascii="Arial" w:eastAsia="Arial" w:hAnsi="Arial" w:cs="Arial"/>
              </w:rPr>
            </w:pPr>
            <w:r w:rsidRPr="24B6AD16">
              <w:rPr>
                <w:rFonts w:ascii="Arial" w:eastAsia="Arial" w:hAnsi="Arial" w:cs="Arial"/>
              </w:rPr>
              <w:t xml:space="preserve"> Anti-corruption policy</w:t>
            </w:r>
          </w:p>
          <w:p w14:paraId="63ECEECA" w14:textId="77777777" w:rsidR="00356842" w:rsidRPr="00356842" w:rsidRDefault="4E557ABC" w:rsidP="24B6AD16">
            <w:pPr>
              <w:rPr>
                <w:rFonts w:ascii="Arial" w:eastAsia="Arial" w:hAnsi="Arial" w:cs="Arial"/>
              </w:rPr>
            </w:pPr>
            <w:r w:rsidRPr="24B6AD16">
              <w:rPr>
                <w:rFonts w:ascii="Arial" w:eastAsia="Arial" w:hAnsi="Arial" w:cs="Arial"/>
              </w:rPr>
              <w:t xml:space="preserve"> Gifts and hospitality policy and register</w:t>
            </w:r>
          </w:p>
          <w:p w14:paraId="1391A9AE" w14:textId="77777777" w:rsidR="00356842" w:rsidRPr="00356842" w:rsidRDefault="4E557ABC" w:rsidP="24B6AD16">
            <w:pPr>
              <w:rPr>
                <w:rFonts w:ascii="Arial" w:eastAsia="Arial" w:hAnsi="Arial" w:cs="Arial"/>
              </w:rPr>
            </w:pPr>
            <w:r w:rsidRPr="24B6AD16">
              <w:rPr>
                <w:rFonts w:ascii="Arial" w:eastAsia="Arial" w:hAnsi="Arial" w:cs="Arial"/>
              </w:rPr>
              <w:t xml:space="preserve"> Pecuniary interest and conflicts of interest policies and register</w:t>
            </w:r>
          </w:p>
          <w:p w14:paraId="56273A12" w14:textId="77777777" w:rsidR="00356842" w:rsidRPr="00356842" w:rsidRDefault="4E557ABC" w:rsidP="24B6AD16">
            <w:pPr>
              <w:rPr>
                <w:rFonts w:ascii="Arial" w:eastAsia="Arial" w:hAnsi="Arial" w:cs="Arial"/>
              </w:rPr>
            </w:pPr>
            <w:r w:rsidRPr="24B6AD16">
              <w:rPr>
                <w:rFonts w:ascii="Arial" w:eastAsia="Arial" w:hAnsi="Arial" w:cs="Arial"/>
              </w:rPr>
              <w:lastRenderedPageBreak/>
              <w:t xml:space="preserve"> Codes of conduct and ethics Information security policy  Cyber security policy.</w:t>
            </w:r>
          </w:p>
        </w:tc>
        <w:tc>
          <w:tcPr>
            <w:tcW w:w="1984" w:type="dxa"/>
            <w:tcBorders>
              <w:top w:val="single" w:sz="4" w:space="0" w:color="auto"/>
              <w:left w:val="single" w:sz="4" w:space="0" w:color="auto"/>
              <w:bottom w:val="single" w:sz="4" w:space="0" w:color="auto"/>
              <w:right w:val="single" w:sz="4" w:space="0" w:color="auto"/>
            </w:tcBorders>
            <w:hideMark/>
          </w:tcPr>
          <w:p w14:paraId="39EBB7C8" w14:textId="77777777" w:rsidR="00356842" w:rsidRPr="00356842" w:rsidRDefault="4E557ABC" w:rsidP="24B6AD16">
            <w:pPr>
              <w:rPr>
                <w:rFonts w:ascii="Arial" w:eastAsia="Arial" w:hAnsi="Arial" w:cs="Arial"/>
              </w:rPr>
            </w:pPr>
            <w:r w:rsidRPr="24B6AD16">
              <w:rPr>
                <w:rFonts w:ascii="Arial" w:eastAsia="Arial" w:hAnsi="Arial" w:cs="Arial"/>
              </w:rPr>
              <w:lastRenderedPageBreak/>
              <w:t>Met</w:t>
            </w:r>
          </w:p>
        </w:tc>
        <w:tc>
          <w:tcPr>
            <w:tcW w:w="6015" w:type="dxa"/>
            <w:tcBorders>
              <w:top w:val="single" w:sz="4" w:space="0" w:color="auto"/>
              <w:left w:val="single" w:sz="4" w:space="0" w:color="auto"/>
              <w:bottom w:val="single" w:sz="4" w:space="0" w:color="auto"/>
              <w:right w:val="single" w:sz="4" w:space="0" w:color="auto"/>
            </w:tcBorders>
            <w:hideMark/>
          </w:tcPr>
          <w:p w14:paraId="22F63512" w14:textId="3F60A181" w:rsidR="00356842" w:rsidRPr="00356842" w:rsidRDefault="0475EECD" w:rsidP="24B6AD16">
            <w:pPr>
              <w:rPr>
                <w:rFonts w:ascii="Arial" w:eastAsia="Arial" w:hAnsi="Arial" w:cs="Arial"/>
              </w:rPr>
            </w:pPr>
            <w:r w:rsidRPr="3A111552">
              <w:rPr>
                <w:rFonts w:ascii="Arial" w:eastAsia="Arial" w:hAnsi="Arial" w:cs="Arial"/>
              </w:rPr>
              <w:t>The Council</w:t>
            </w:r>
            <w:r w:rsidR="309716BD" w:rsidRPr="3A111552">
              <w:rPr>
                <w:rFonts w:ascii="Arial" w:eastAsia="Arial" w:hAnsi="Arial" w:cs="Arial"/>
              </w:rPr>
              <w:t xml:space="preserve"> </w:t>
            </w:r>
            <w:r w:rsidR="0C196DEA" w:rsidRPr="3A111552">
              <w:rPr>
                <w:rFonts w:ascii="Arial" w:eastAsia="Arial" w:hAnsi="Arial" w:cs="Arial"/>
              </w:rPr>
              <w:t xml:space="preserve">has </w:t>
            </w:r>
            <w:r w:rsidR="309716BD" w:rsidRPr="3A111552">
              <w:rPr>
                <w:rFonts w:ascii="Arial" w:eastAsia="Arial" w:hAnsi="Arial" w:cs="Arial"/>
              </w:rPr>
              <w:t>relevant policies in place and are subject to regular formal review</w:t>
            </w:r>
          </w:p>
        </w:tc>
      </w:tr>
      <w:tr w:rsidR="00A6289F" w:rsidRPr="00356842" w14:paraId="556983D2"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7F84503B" w14:textId="77777777" w:rsidR="00356842" w:rsidRPr="00356842" w:rsidRDefault="4E557ABC" w:rsidP="24B6AD16">
            <w:pPr>
              <w:rPr>
                <w:rFonts w:ascii="Arial" w:eastAsia="Arial" w:hAnsi="Arial" w:cs="Arial"/>
              </w:rPr>
            </w:pPr>
            <w:r w:rsidRPr="24B6AD16">
              <w:rPr>
                <w:rFonts w:ascii="Arial" w:eastAsia="Arial" w:hAnsi="Arial" w:cs="Arial"/>
              </w:rPr>
              <w:t>Plans and operations are aligned to the strategy and contribute to the achievement of the organisation’s overall goal of maintaining resilience to fraud and corruption.</w:t>
            </w:r>
          </w:p>
        </w:tc>
        <w:tc>
          <w:tcPr>
            <w:tcW w:w="1984" w:type="dxa"/>
            <w:tcBorders>
              <w:top w:val="single" w:sz="4" w:space="0" w:color="auto"/>
              <w:left w:val="single" w:sz="4" w:space="0" w:color="auto"/>
              <w:bottom w:val="single" w:sz="4" w:space="0" w:color="auto"/>
              <w:right w:val="single" w:sz="4" w:space="0" w:color="auto"/>
            </w:tcBorders>
            <w:hideMark/>
          </w:tcPr>
          <w:p w14:paraId="1206D4FB" w14:textId="77777777" w:rsidR="00356842" w:rsidRPr="00356842" w:rsidRDefault="4E557ABC"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2B256A3E" w14:textId="77777777" w:rsidR="00356842" w:rsidRPr="00356842" w:rsidRDefault="4E557ABC" w:rsidP="24B6AD16">
            <w:pPr>
              <w:rPr>
                <w:rFonts w:ascii="Arial" w:eastAsia="Arial" w:hAnsi="Arial" w:cs="Arial"/>
              </w:rPr>
            </w:pPr>
            <w:r w:rsidRPr="24B6AD16">
              <w:rPr>
                <w:rFonts w:ascii="Arial" w:eastAsia="Arial" w:hAnsi="Arial" w:cs="Arial"/>
              </w:rPr>
              <w:t xml:space="preserve">The Counter Fraud resources are allocated in line with the Fraud Risk Profile to ensure the Council’s response is proportionate to its risk assessment.  Investigative actions are allocated based on the sliding scale of threat, risk, and harm.  </w:t>
            </w:r>
          </w:p>
        </w:tc>
      </w:tr>
      <w:tr w:rsidR="00A6289F" w:rsidRPr="00356842" w14:paraId="5666C93B"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4BF2EB13" w14:textId="77777777" w:rsidR="00356842" w:rsidRPr="00356842" w:rsidRDefault="4E557ABC" w:rsidP="24B6AD16">
            <w:pPr>
              <w:rPr>
                <w:rFonts w:ascii="Arial" w:eastAsia="Arial" w:hAnsi="Arial" w:cs="Arial"/>
              </w:rPr>
            </w:pPr>
            <w:r w:rsidRPr="24B6AD16">
              <w:rPr>
                <w:rFonts w:ascii="Arial" w:eastAsia="Arial" w:hAnsi="Arial" w:cs="Arial"/>
              </w:rPr>
              <w:t>Making effective use of national or sectoral initiatives to detect fraud or prevent fraud, such as data matching or intelligence sharing.</w:t>
            </w:r>
          </w:p>
        </w:tc>
        <w:tc>
          <w:tcPr>
            <w:tcW w:w="1984" w:type="dxa"/>
            <w:tcBorders>
              <w:top w:val="single" w:sz="4" w:space="0" w:color="auto"/>
              <w:left w:val="single" w:sz="4" w:space="0" w:color="auto"/>
              <w:bottom w:val="single" w:sz="4" w:space="0" w:color="auto"/>
              <w:right w:val="single" w:sz="4" w:space="0" w:color="auto"/>
            </w:tcBorders>
            <w:hideMark/>
          </w:tcPr>
          <w:p w14:paraId="4131254C" w14:textId="1526C037" w:rsidR="00356842" w:rsidRPr="00356842" w:rsidRDefault="4E557ABC" w:rsidP="24B6AD16">
            <w:pPr>
              <w:rPr>
                <w:rFonts w:ascii="Arial" w:eastAsia="Arial" w:hAnsi="Arial" w:cs="Arial"/>
              </w:rPr>
            </w:pPr>
            <w:r w:rsidRPr="24B6AD16">
              <w:rPr>
                <w:rFonts w:ascii="Arial" w:eastAsia="Arial" w:hAnsi="Arial" w:cs="Arial"/>
              </w:rPr>
              <w:t xml:space="preserve"> Met</w:t>
            </w:r>
          </w:p>
        </w:tc>
        <w:tc>
          <w:tcPr>
            <w:tcW w:w="6015" w:type="dxa"/>
            <w:tcBorders>
              <w:top w:val="single" w:sz="4" w:space="0" w:color="auto"/>
              <w:left w:val="single" w:sz="4" w:space="0" w:color="auto"/>
              <w:bottom w:val="single" w:sz="4" w:space="0" w:color="auto"/>
              <w:right w:val="single" w:sz="4" w:space="0" w:color="auto"/>
            </w:tcBorders>
            <w:hideMark/>
          </w:tcPr>
          <w:p w14:paraId="6945C5BC" w14:textId="2F65C5CF" w:rsidR="00142EF4" w:rsidRDefault="27860159" w:rsidP="24B6AD16">
            <w:pPr>
              <w:rPr>
                <w:rFonts w:ascii="Arial" w:eastAsia="Arial" w:hAnsi="Arial" w:cs="Arial"/>
              </w:rPr>
            </w:pPr>
            <w:r w:rsidRPr="3A111552">
              <w:rPr>
                <w:rFonts w:ascii="Arial" w:eastAsia="Arial" w:hAnsi="Arial" w:cs="Arial"/>
              </w:rPr>
              <w:t xml:space="preserve">The Fraud Team </w:t>
            </w:r>
            <w:r w:rsidR="756BF170" w:rsidRPr="3A111552">
              <w:rPr>
                <w:rFonts w:ascii="Arial" w:eastAsia="Arial" w:hAnsi="Arial" w:cs="Arial"/>
              </w:rPr>
              <w:t xml:space="preserve">and the Audit Team </w:t>
            </w:r>
            <w:r w:rsidRPr="3A111552">
              <w:rPr>
                <w:rFonts w:ascii="Arial" w:eastAsia="Arial" w:hAnsi="Arial" w:cs="Arial"/>
              </w:rPr>
              <w:t xml:space="preserve">has </w:t>
            </w:r>
            <w:r w:rsidR="7EF84956" w:rsidRPr="3A111552">
              <w:rPr>
                <w:rFonts w:ascii="Arial" w:eastAsia="Arial" w:hAnsi="Arial" w:cs="Arial"/>
              </w:rPr>
              <w:t>committed resources to the National Fraud Initiative (NFI) National Exercise</w:t>
            </w:r>
            <w:r w:rsidR="44872FF9" w:rsidRPr="3A111552">
              <w:rPr>
                <w:rFonts w:ascii="Arial" w:eastAsia="Arial" w:hAnsi="Arial" w:cs="Arial"/>
              </w:rPr>
              <w:t xml:space="preserve"> and is evaluating how data can be used to support </w:t>
            </w:r>
            <w:r w:rsidR="0708734F" w:rsidRPr="3A111552">
              <w:rPr>
                <w:rFonts w:ascii="Arial" w:eastAsia="Arial" w:hAnsi="Arial" w:cs="Arial"/>
              </w:rPr>
              <w:t xml:space="preserve">existing controls to prevent loss. </w:t>
            </w:r>
          </w:p>
          <w:p w14:paraId="0D7B5B59" w14:textId="4C122791" w:rsidR="00356842" w:rsidRDefault="54B4BB2B" w:rsidP="24B6AD16">
            <w:pPr>
              <w:rPr>
                <w:rFonts w:ascii="Arial" w:eastAsia="Arial" w:hAnsi="Arial" w:cs="Arial"/>
              </w:rPr>
            </w:pPr>
            <w:r w:rsidRPr="24B6AD16">
              <w:rPr>
                <w:rFonts w:ascii="Arial" w:eastAsia="Arial" w:hAnsi="Arial" w:cs="Arial"/>
              </w:rPr>
              <w:t xml:space="preserve">The data matching completed by the Fraud Team historically in respect of Single Person Discount </w:t>
            </w:r>
            <w:r w:rsidR="2C328621" w:rsidRPr="24B6AD16">
              <w:rPr>
                <w:rFonts w:ascii="Arial" w:eastAsia="Arial" w:hAnsi="Arial" w:cs="Arial"/>
              </w:rPr>
              <w:t xml:space="preserve">was paused for 2025/26 to allow proper evaluation and to </w:t>
            </w:r>
            <w:r w:rsidR="5C4608C1" w:rsidRPr="24B6AD16">
              <w:rPr>
                <w:rFonts w:ascii="Arial" w:eastAsia="Arial" w:hAnsi="Arial" w:cs="Arial"/>
              </w:rPr>
              <w:t>ensure collaboration</w:t>
            </w:r>
            <w:r w:rsidR="2C328621" w:rsidRPr="24B6AD16">
              <w:rPr>
                <w:rFonts w:ascii="Arial" w:eastAsia="Arial" w:hAnsi="Arial" w:cs="Arial"/>
              </w:rPr>
              <w:t xml:space="preserve"> with colleagues in Local Taxation and Benefits </w:t>
            </w:r>
            <w:r w:rsidR="1E2D299E" w:rsidRPr="24B6AD16">
              <w:rPr>
                <w:rFonts w:ascii="Arial" w:eastAsia="Arial" w:hAnsi="Arial" w:cs="Arial"/>
              </w:rPr>
              <w:t xml:space="preserve">who conduct their own reviews.  </w:t>
            </w:r>
          </w:p>
          <w:p w14:paraId="1F5A4AE0" w14:textId="77777777" w:rsidR="004539C7" w:rsidRDefault="1E2D299E" w:rsidP="24B6AD16">
            <w:pPr>
              <w:rPr>
                <w:rFonts w:ascii="Arial" w:eastAsia="Arial" w:hAnsi="Arial" w:cs="Arial"/>
              </w:rPr>
            </w:pPr>
            <w:r w:rsidRPr="24B6AD16">
              <w:rPr>
                <w:rFonts w:ascii="Arial" w:eastAsia="Arial" w:hAnsi="Arial" w:cs="Arial"/>
              </w:rPr>
              <w:t xml:space="preserve">Plans for 2026/27 are in place with a proposal to </w:t>
            </w:r>
            <w:r w:rsidR="08A346DC" w:rsidRPr="24B6AD16">
              <w:rPr>
                <w:rFonts w:ascii="Arial" w:eastAsia="Arial" w:hAnsi="Arial" w:cs="Arial"/>
              </w:rPr>
              <w:t>ensure data is utilised to preve</w:t>
            </w:r>
            <w:r w:rsidR="4B3E29DD" w:rsidRPr="24B6AD16">
              <w:rPr>
                <w:rFonts w:ascii="Arial" w:eastAsia="Arial" w:hAnsi="Arial" w:cs="Arial"/>
              </w:rPr>
              <w:t xml:space="preserve">nt future fraudulent applications – data will be used from the NFI to ensure </w:t>
            </w:r>
            <w:r w:rsidR="3FF823AF" w:rsidRPr="24B6AD16">
              <w:rPr>
                <w:rFonts w:ascii="Arial" w:eastAsia="Arial" w:hAnsi="Arial" w:cs="Arial"/>
              </w:rPr>
              <w:t xml:space="preserve">rich data products are used. </w:t>
            </w:r>
          </w:p>
          <w:p w14:paraId="131A52C3" w14:textId="77777777" w:rsidR="00F30098" w:rsidRDefault="00F30098" w:rsidP="24B6AD16">
            <w:pPr>
              <w:rPr>
                <w:rFonts w:ascii="Arial" w:eastAsia="Arial" w:hAnsi="Arial" w:cs="Arial"/>
              </w:rPr>
            </w:pPr>
            <w:r>
              <w:rPr>
                <w:rFonts w:ascii="Arial" w:eastAsia="Arial" w:hAnsi="Arial" w:cs="Arial"/>
              </w:rPr>
              <w:t xml:space="preserve">Intelligence is shared on a daily basis, both within the Council and also with external partners </w:t>
            </w:r>
            <w:r w:rsidR="00576F05">
              <w:rPr>
                <w:rFonts w:ascii="Arial" w:eastAsia="Arial" w:hAnsi="Arial" w:cs="Arial"/>
              </w:rPr>
              <w:t xml:space="preserve">and such information supports the detection and prevention of high harm criminality across the communities. </w:t>
            </w:r>
          </w:p>
          <w:p w14:paraId="2000B685" w14:textId="70FF83EF" w:rsidR="00120269" w:rsidRPr="00356842" w:rsidRDefault="00120269" w:rsidP="24B6AD16">
            <w:pPr>
              <w:rPr>
                <w:rFonts w:ascii="Arial" w:eastAsia="Arial" w:hAnsi="Arial" w:cs="Arial"/>
              </w:rPr>
            </w:pPr>
            <w:r>
              <w:rPr>
                <w:rFonts w:ascii="Arial" w:eastAsia="Arial" w:hAnsi="Arial" w:cs="Arial"/>
              </w:rPr>
              <w:t xml:space="preserve">Data matching is being used to support intervention across specific themes including empty properties, and illegal HMOs.  </w:t>
            </w:r>
          </w:p>
        </w:tc>
      </w:tr>
      <w:tr w:rsidR="00A6289F" w:rsidRPr="00356842" w14:paraId="2B6B90EC"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4042D020" w14:textId="77777777" w:rsidR="00356842" w:rsidRPr="00356842" w:rsidRDefault="4E557ABC" w:rsidP="24B6AD16">
            <w:pPr>
              <w:rPr>
                <w:rFonts w:ascii="Arial" w:eastAsia="Arial" w:hAnsi="Arial" w:cs="Arial"/>
              </w:rPr>
            </w:pPr>
            <w:r w:rsidRPr="24B6AD16">
              <w:rPr>
                <w:rFonts w:ascii="Arial" w:eastAsia="Arial" w:hAnsi="Arial" w:cs="Arial"/>
              </w:rPr>
              <w:t>Providing for independent assurance over fraud risk management, strategy and activities.</w:t>
            </w:r>
          </w:p>
        </w:tc>
        <w:tc>
          <w:tcPr>
            <w:tcW w:w="1984" w:type="dxa"/>
            <w:tcBorders>
              <w:top w:val="single" w:sz="4" w:space="0" w:color="auto"/>
              <w:left w:val="single" w:sz="4" w:space="0" w:color="auto"/>
              <w:bottom w:val="single" w:sz="4" w:space="0" w:color="auto"/>
              <w:right w:val="single" w:sz="4" w:space="0" w:color="auto"/>
            </w:tcBorders>
            <w:hideMark/>
          </w:tcPr>
          <w:p w14:paraId="5E37207C" w14:textId="77777777" w:rsidR="00356842" w:rsidRPr="00356842" w:rsidRDefault="4E557ABC" w:rsidP="24B6AD16">
            <w:pPr>
              <w:rPr>
                <w:rFonts w:ascii="Arial" w:eastAsia="Arial" w:hAnsi="Arial" w:cs="Arial"/>
              </w:rPr>
            </w:pPr>
            <w:r w:rsidRPr="24B6AD16">
              <w:rPr>
                <w:rFonts w:ascii="Arial" w:eastAsia="Arial" w:hAnsi="Arial" w:cs="Arial"/>
              </w:rPr>
              <w:t>Met</w:t>
            </w:r>
          </w:p>
        </w:tc>
        <w:tc>
          <w:tcPr>
            <w:tcW w:w="6015" w:type="dxa"/>
            <w:tcBorders>
              <w:top w:val="single" w:sz="4" w:space="0" w:color="auto"/>
              <w:left w:val="single" w:sz="4" w:space="0" w:color="auto"/>
              <w:bottom w:val="single" w:sz="4" w:space="0" w:color="auto"/>
              <w:right w:val="single" w:sz="4" w:space="0" w:color="auto"/>
            </w:tcBorders>
            <w:hideMark/>
          </w:tcPr>
          <w:p w14:paraId="03E60C1E" w14:textId="5BF2C697" w:rsidR="00356842" w:rsidRPr="00356842" w:rsidRDefault="4E557ABC" w:rsidP="24B6AD16">
            <w:pPr>
              <w:rPr>
                <w:rFonts w:ascii="Arial" w:eastAsia="Arial" w:hAnsi="Arial" w:cs="Arial"/>
              </w:rPr>
            </w:pPr>
            <w:r w:rsidRPr="24B6AD16">
              <w:rPr>
                <w:rFonts w:ascii="Arial" w:eastAsia="Arial" w:hAnsi="Arial" w:cs="Arial"/>
              </w:rPr>
              <w:t xml:space="preserve">  </w:t>
            </w:r>
            <w:r w:rsidR="21F8CD1B" w:rsidRPr="24B6AD16">
              <w:rPr>
                <w:rFonts w:ascii="Arial" w:eastAsia="Arial" w:hAnsi="Arial" w:cs="Arial"/>
              </w:rPr>
              <w:t xml:space="preserve"> Counter fraud arrangements are subject to cyclical internal audit review.  </w:t>
            </w:r>
            <w:r w:rsidR="49D7AB00" w:rsidRPr="24B6AD16">
              <w:rPr>
                <w:rFonts w:ascii="Arial" w:eastAsia="Arial" w:hAnsi="Arial" w:cs="Arial"/>
              </w:rPr>
              <w:t xml:space="preserve">Due to the responsibilities of </w:t>
            </w:r>
            <w:r w:rsidR="5F71A2FD" w:rsidRPr="24B6AD16">
              <w:rPr>
                <w:rFonts w:ascii="Arial" w:eastAsia="Arial" w:hAnsi="Arial" w:cs="Arial"/>
              </w:rPr>
              <w:t>the Head of Audit and Assurance such audits are carried out by third party audito</w:t>
            </w:r>
            <w:r w:rsidR="4F92373B" w:rsidRPr="24B6AD16">
              <w:rPr>
                <w:rFonts w:ascii="Arial" w:eastAsia="Arial" w:hAnsi="Arial" w:cs="Arial"/>
              </w:rPr>
              <w:t>rs</w:t>
            </w:r>
            <w:r w:rsidR="6A2C1550" w:rsidRPr="24B6AD16">
              <w:rPr>
                <w:rFonts w:ascii="Arial" w:eastAsia="Arial" w:hAnsi="Arial" w:cs="Arial"/>
              </w:rPr>
              <w:t>.</w:t>
            </w:r>
            <w:r w:rsidR="4F92373B" w:rsidRPr="24B6AD16">
              <w:rPr>
                <w:rFonts w:ascii="Arial" w:eastAsia="Arial" w:hAnsi="Arial" w:cs="Arial"/>
              </w:rPr>
              <w:t xml:space="preserve"> </w:t>
            </w:r>
            <w:r w:rsidR="1BAC12B1" w:rsidRPr="24B6AD16">
              <w:rPr>
                <w:rFonts w:ascii="Arial" w:eastAsia="Arial" w:hAnsi="Arial" w:cs="Arial"/>
              </w:rPr>
              <w:t xml:space="preserve"> </w:t>
            </w:r>
            <w:r w:rsidR="41F9C37D" w:rsidRPr="24B6AD16">
              <w:rPr>
                <w:rFonts w:ascii="Arial" w:eastAsia="Arial" w:hAnsi="Arial" w:cs="Arial"/>
              </w:rPr>
              <w:t>The n</w:t>
            </w:r>
            <w:r w:rsidR="1BAC12B1" w:rsidRPr="24B6AD16">
              <w:rPr>
                <w:rFonts w:ascii="Arial" w:eastAsia="Arial" w:hAnsi="Arial" w:cs="Arial"/>
              </w:rPr>
              <w:t xml:space="preserve">ext audit likely in 2027/28. </w:t>
            </w:r>
          </w:p>
        </w:tc>
      </w:tr>
      <w:tr w:rsidR="00A6289F" w:rsidRPr="00356842" w14:paraId="36C8C59F" w14:textId="77777777" w:rsidTr="04BD2A26">
        <w:tc>
          <w:tcPr>
            <w:tcW w:w="5949" w:type="dxa"/>
            <w:tcBorders>
              <w:top w:val="single" w:sz="4" w:space="0" w:color="auto"/>
              <w:left w:val="single" w:sz="4" w:space="0" w:color="auto"/>
              <w:bottom w:val="single" w:sz="4" w:space="0" w:color="auto"/>
              <w:right w:val="single" w:sz="4" w:space="0" w:color="auto"/>
            </w:tcBorders>
            <w:hideMark/>
          </w:tcPr>
          <w:p w14:paraId="58A38626" w14:textId="77777777" w:rsidR="00356842" w:rsidRPr="00356842" w:rsidRDefault="4E557ABC" w:rsidP="24B6AD16">
            <w:pPr>
              <w:rPr>
                <w:rFonts w:ascii="Arial" w:eastAsia="Arial" w:hAnsi="Arial" w:cs="Arial"/>
              </w:rPr>
            </w:pPr>
            <w:r w:rsidRPr="24B6AD16">
              <w:rPr>
                <w:rFonts w:ascii="Arial" w:eastAsia="Arial" w:hAnsi="Arial" w:cs="Arial"/>
              </w:rPr>
              <w:t xml:space="preserve">There is a report to the governing body at least annually on performance against the counter fraud strategy and the effectiveness of the strategy from the lead person(s) designated in the strategy. Conclusions are </w:t>
            </w:r>
            <w:r w:rsidRPr="24B6AD16">
              <w:rPr>
                <w:rFonts w:ascii="Arial" w:eastAsia="Arial" w:hAnsi="Arial" w:cs="Arial"/>
              </w:rPr>
              <w:lastRenderedPageBreak/>
              <w:t>featured in the annual governance report.</w:t>
            </w:r>
          </w:p>
        </w:tc>
        <w:tc>
          <w:tcPr>
            <w:tcW w:w="1984" w:type="dxa"/>
            <w:tcBorders>
              <w:top w:val="single" w:sz="4" w:space="0" w:color="auto"/>
              <w:left w:val="single" w:sz="4" w:space="0" w:color="auto"/>
              <w:bottom w:val="single" w:sz="4" w:space="0" w:color="auto"/>
              <w:right w:val="single" w:sz="4" w:space="0" w:color="auto"/>
            </w:tcBorders>
            <w:hideMark/>
          </w:tcPr>
          <w:p w14:paraId="145E4689" w14:textId="77777777" w:rsidR="00356842" w:rsidRPr="00356842" w:rsidRDefault="4E557ABC" w:rsidP="24B6AD16">
            <w:pPr>
              <w:rPr>
                <w:rFonts w:ascii="Arial" w:eastAsia="Arial" w:hAnsi="Arial" w:cs="Arial"/>
              </w:rPr>
            </w:pPr>
            <w:r w:rsidRPr="24B6AD16">
              <w:rPr>
                <w:rFonts w:ascii="Arial" w:eastAsia="Arial" w:hAnsi="Arial" w:cs="Arial"/>
              </w:rPr>
              <w:lastRenderedPageBreak/>
              <w:t>Met</w:t>
            </w:r>
          </w:p>
        </w:tc>
        <w:tc>
          <w:tcPr>
            <w:tcW w:w="6015" w:type="dxa"/>
            <w:tcBorders>
              <w:top w:val="single" w:sz="4" w:space="0" w:color="auto"/>
              <w:left w:val="single" w:sz="4" w:space="0" w:color="auto"/>
              <w:bottom w:val="single" w:sz="4" w:space="0" w:color="auto"/>
              <w:right w:val="single" w:sz="4" w:space="0" w:color="auto"/>
            </w:tcBorders>
            <w:hideMark/>
          </w:tcPr>
          <w:p w14:paraId="7FC4AA5E" w14:textId="54A8BD93" w:rsidR="00356842" w:rsidRPr="00356842" w:rsidRDefault="3276062C" w:rsidP="24B6AD16">
            <w:pPr>
              <w:rPr>
                <w:rFonts w:ascii="Arial" w:eastAsia="Arial" w:hAnsi="Arial" w:cs="Arial"/>
              </w:rPr>
            </w:pPr>
            <w:r w:rsidRPr="04BD2A26">
              <w:rPr>
                <w:rFonts w:ascii="Arial" w:eastAsia="Arial" w:hAnsi="Arial" w:cs="Arial"/>
              </w:rPr>
              <w:t xml:space="preserve">The Annual Fraud Report comments on the delivery of Counter Fraud work for the preceding year and </w:t>
            </w:r>
            <w:r w:rsidR="5B151D6C" w:rsidRPr="04BD2A26">
              <w:rPr>
                <w:rFonts w:ascii="Arial" w:eastAsia="Arial" w:hAnsi="Arial" w:cs="Arial"/>
              </w:rPr>
              <w:t xml:space="preserve">provides a </w:t>
            </w:r>
            <w:r w:rsidR="45FE48C3" w:rsidRPr="04BD2A26">
              <w:rPr>
                <w:rFonts w:ascii="Arial" w:eastAsia="Arial" w:hAnsi="Arial" w:cs="Arial"/>
              </w:rPr>
              <w:t xml:space="preserve">conclusion </w:t>
            </w:r>
            <w:r w:rsidR="41C8F681" w:rsidRPr="04BD2A26">
              <w:rPr>
                <w:rFonts w:ascii="Arial" w:eastAsia="Arial" w:hAnsi="Arial" w:cs="Arial"/>
              </w:rPr>
              <w:t>on the effectiveness of arrangements</w:t>
            </w:r>
            <w:r w:rsidR="3EC2CACD" w:rsidRPr="04BD2A26">
              <w:rPr>
                <w:rFonts w:ascii="Arial" w:eastAsia="Arial" w:hAnsi="Arial" w:cs="Arial"/>
              </w:rPr>
              <w:t xml:space="preserve">. It </w:t>
            </w:r>
            <w:r w:rsidR="4BDBBF8D" w:rsidRPr="04BD2A26">
              <w:rPr>
                <w:rFonts w:ascii="Arial" w:eastAsia="Arial" w:hAnsi="Arial" w:cs="Arial"/>
              </w:rPr>
              <w:t>also</w:t>
            </w:r>
            <w:r w:rsidRPr="04BD2A26">
              <w:rPr>
                <w:rFonts w:ascii="Arial" w:eastAsia="Arial" w:hAnsi="Arial" w:cs="Arial"/>
              </w:rPr>
              <w:t xml:space="preserve"> makes proposals </w:t>
            </w:r>
            <w:r w:rsidR="48A44F6A" w:rsidRPr="04BD2A26">
              <w:rPr>
                <w:rFonts w:ascii="Arial" w:eastAsia="Arial" w:hAnsi="Arial" w:cs="Arial"/>
              </w:rPr>
              <w:t>around the</w:t>
            </w:r>
            <w:r w:rsidRPr="04BD2A26">
              <w:rPr>
                <w:rFonts w:ascii="Arial" w:eastAsia="Arial" w:hAnsi="Arial" w:cs="Arial"/>
              </w:rPr>
              <w:t xml:space="preserve"> Fraud Plan for the following year.</w:t>
            </w:r>
          </w:p>
        </w:tc>
      </w:tr>
    </w:tbl>
    <w:p w14:paraId="4F5226C6" w14:textId="77777777" w:rsidR="00356842" w:rsidRPr="00356842" w:rsidRDefault="00356842" w:rsidP="00356842">
      <w:pPr>
        <w:spacing w:after="160" w:line="256" w:lineRule="auto"/>
        <w:rPr>
          <w:rFonts w:ascii="Aptos" w:eastAsia="Aptos" w:hAnsi="Aptos"/>
          <w:kern w:val="2"/>
          <w:sz w:val="22"/>
          <w:szCs w:val="22"/>
          <w:lang w:eastAsia="en-US"/>
          <w14:ligatures w14:val="standardContextual"/>
        </w:rPr>
      </w:pPr>
    </w:p>
    <w:p w14:paraId="2D43F0F8" w14:textId="77777777" w:rsidR="00356842" w:rsidRDefault="00356842" w:rsidP="00C006D7">
      <w:pPr>
        <w:jc w:val="both"/>
        <w:rPr>
          <w:rFonts w:ascii="Arial" w:hAnsi="Arial" w:cs="Arial"/>
          <w:b/>
          <w:bCs/>
          <w:iCs/>
          <w:sz w:val="32"/>
          <w:szCs w:val="32"/>
        </w:rPr>
      </w:pPr>
    </w:p>
    <w:p w14:paraId="033A5393" w14:textId="77777777" w:rsidR="007E7E02" w:rsidRDefault="007E7E02" w:rsidP="00C006D7">
      <w:pPr>
        <w:jc w:val="both"/>
        <w:rPr>
          <w:rFonts w:ascii="Arial" w:hAnsi="Arial" w:cs="Arial"/>
          <w:b/>
          <w:bCs/>
          <w:iCs/>
          <w:sz w:val="32"/>
          <w:szCs w:val="32"/>
        </w:rPr>
      </w:pPr>
    </w:p>
    <w:p w14:paraId="2077E913" w14:textId="77777777" w:rsidR="007E7E02" w:rsidRDefault="007E7E02" w:rsidP="00C006D7">
      <w:pPr>
        <w:jc w:val="both"/>
        <w:rPr>
          <w:rFonts w:ascii="Arial" w:hAnsi="Arial" w:cs="Arial"/>
          <w:b/>
          <w:bCs/>
          <w:iCs/>
          <w:sz w:val="32"/>
          <w:szCs w:val="32"/>
        </w:rPr>
      </w:pPr>
    </w:p>
    <w:p w14:paraId="1CE1CED3" w14:textId="77777777" w:rsidR="007E7E02" w:rsidRDefault="007E7E02" w:rsidP="00C006D7">
      <w:pPr>
        <w:jc w:val="both"/>
        <w:rPr>
          <w:rFonts w:ascii="Arial" w:hAnsi="Arial" w:cs="Arial"/>
          <w:b/>
          <w:bCs/>
          <w:iCs/>
          <w:sz w:val="32"/>
          <w:szCs w:val="32"/>
        </w:rPr>
      </w:pPr>
    </w:p>
    <w:p w14:paraId="2392C1D5" w14:textId="77777777" w:rsidR="007E7E02" w:rsidRDefault="007E7E02" w:rsidP="00C006D7">
      <w:pPr>
        <w:jc w:val="both"/>
        <w:rPr>
          <w:rFonts w:ascii="Arial" w:hAnsi="Arial" w:cs="Arial"/>
          <w:b/>
          <w:bCs/>
          <w:iCs/>
          <w:sz w:val="32"/>
          <w:szCs w:val="32"/>
        </w:rPr>
      </w:pPr>
    </w:p>
    <w:p w14:paraId="644A9BA7" w14:textId="77777777" w:rsidR="007E7E02" w:rsidRDefault="007E7E02" w:rsidP="00C006D7">
      <w:pPr>
        <w:jc w:val="both"/>
        <w:rPr>
          <w:rFonts w:ascii="Arial" w:hAnsi="Arial" w:cs="Arial"/>
          <w:b/>
          <w:bCs/>
          <w:iCs/>
          <w:sz w:val="32"/>
          <w:szCs w:val="32"/>
        </w:rPr>
      </w:pPr>
    </w:p>
    <w:p w14:paraId="12EB3473" w14:textId="77777777" w:rsidR="007E7E02" w:rsidRDefault="007E7E02" w:rsidP="00C006D7">
      <w:pPr>
        <w:jc w:val="both"/>
        <w:rPr>
          <w:rFonts w:ascii="Arial" w:hAnsi="Arial" w:cs="Arial"/>
          <w:b/>
          <w:bCs/>
          <w:iCs/>
          <w:sz w:val="32"/>
          <w:szCs w:val="32"/>
        </w:rPr>
      </w:pPr>
    </w:p>
    <w:p w14:paraId="5241BC04" w14:textId="77777777" w:rsidR="00120269" w:rsidRDefault="00120269" w:rsidP="00C006D7">
      <w:pPr>
        <w:jc w:val="both"/>
        <w:rPr>
          <w:rFonts w:ascii="Arial" w:hAnsi="Arial" w:cs="Arial"/>
          <w:b/>
          <w:bCs/>
          <w:iCs/>
          <w:sz w:val="32"/>
          <w:szCs w:val="32"/>
        </w:rPr>
      </w:pPr>
    </w:p>
    <w:p w14:paraId="50B48390" w14:textId="77777777" w:rsidR="00120269" w:rsidRDefault="00120269" w:rsidP="00C006D7">
      <w:pPr>
        <w:jc w:val="both"/>
        <w:rPr>
          <w:rFonts w:ascii="Arial" w:hAnsi="Arial" w:cs="Arial"/>
          <w:b/>
          <w:bCs/>
          <w:iCs/>
          <w:sz w:val="32"/>
          <w:szCs w:val="32"/>
        </w:rPr>
      </w:pPr>
    </w:p>
    <w:p w14:paraId="72B95692" w14:textId="77777777" w:rsidR="00120269" w:rsidRDefault="00120269" w:rsidP="00C006D7">
      <w:pPr>
        <w:jc w:val="both"/>
        <w:rPr>
          <w:rFonts w:ascii="Arial" w:hAnsi="Arial" w:cs="Arial"/>
          <w:b/>
          <w:bCs/>
          <w:iCs/>
          <w:sz w:val="32"/>
          <w:szCs w:val="32"/>
        </w:rPr>
      </w:pPr>
    </w:p>
    <w:p w14:paraId="32F72434" w14:textId="77777777" w:rsidR="00120269" w:rsidRDefault="00120269" w:rsidP="00C006D7">
      <w:pPr>
        <w:jc w:val="both"/>
        <w:rPr>
          <w:rFonts w:ascii="Arial" w:hAnsi="Arial" w:cs="Arial"/>
          <w:b/>
          <w:bCs/>
          <w:iCs/>
          <w:sz w:val="32"/>
          <w:szCs w:val="32"/>
        </w:rPr>
      </w:pPr>
    </w:p>
    <w:p w14:paraId="576ED1CE" w14:textId="77777777" w:rsidR="00120269" w:rsidRDefault="00120269" w:rsidP="00C006D7">
      <w:pPr>
        <w:jc w:val="both"/>
        <w:rPr>
          <w:rFonts w:ascii="Arial" w:hAnsi="Arial" w:cs="Arial"/>
          <w:b/>
          <w:bCs/>
          <w:iCs/>
          <w:sz w:val="32"/>
          <w:szCs w:val="32"/>
        </w:rPr>
      </w:pPr>
    </w:p>
    <w:p w14:paraId="5B969BCE" w14:textId="77777777" w:rsidR="00120269" w:rsidRDefault="00120269" w:rsidP="00C006D7">
      <w:pPr>
        <w:jc w:val="both"/>
        <w:rPr>
          <w:rFonts w:ascii="Arial" w:hAnsi="Arial" w:cs="Arial"/>
          <w:b/>
          <w:bCs/>
          <w:iCs/>
          <w:sz w:val="32"/>
          <w:szCs w:val="32"/>
        </w:rPr>
      </w:pPr>
    </w:p>
    <w:p w14:paraId="3723DCB8" w14:textId="77777777" w:rsidR="00120269" w:rsidRDefault="00120269" w:rsidP="00C006D7">
      <w:pPr>
        <w:jc w:val="both"/>
        <w:rPr>
          <w:rFonts w:ascii="Arial" w:hAnsi="Arial" w:cs="Arial"/>
          <w:b/>
          <w:bCs/>
          <w:iCs/>
          <w:sz w:val="32"/>
          <w:szCs w:val="32"/>
        </w:rPr>
      </w:pPr>
    </w:p>
    <w:p w14:paraId="5DBA8E0D" w14:textId="77777777" w:rsidR="00120269" w:rsidRDefault="00120269" w:rsidP="00C006D7">
      <w:pPr>
        <w:jc w:val="both"/>
        <w:rPr>
          <w:rFonts w:ascii="Arial" w:hAnsi="Arial" w:cs="Arial"/>
          <w:b/>
          <w:bCs/>
          <w:iCs/>
          <w:sz w:val="32"/>
          <w:szCs w:val="32"/>
        </w:rPr>
      </w:pPr>
    </w:p>
    <w:p w14:paraId="693EDBC5" w14:textId="77777777" w:rsidR="00120269" w:rsidRDefault="00120269" w:rsidP="00C006D7">
      <w:pPr>
        <w:jc w:val="both"/>
        <w:rPr>
          <w:rFonts w:ascii="Arial" w:hAnsi="Arial" w:cs="Arial"/>
          <w:b/>
          <w:bCs/>
          <w:iCs/>
          <w:sz w:val="32"/>
          <w:szCs w:val="32"/>
        </w:rPr>
      </w:pPr>
    </w:p>
    <w:p w14:paraId="37DF6130" w14:textId="77777777" w:rsidR="00120269" w:rsidRDefault="00120269" w:rsidP="00C006D7">
      <w:pPr>
        <w:jc w:val="both"/>
        <w:rPr>
          <w:rFonts w:ascii="Arial" w:hAnsi="Arial" w:cs="Arial"/>
          <w:b/>
          <w:bCs/>
          <w:iCs/>
          <w:sz w:val="32"/>
          <w:szCs w:val="32"/>
        </w:rPr>
      </w:pPr>
    </w:p>
    <w:p w14:paraId="129A2220" w14:textId="77777777" w:rsidR="00120269" w:rsidRDefault="00120269" w:rsidP="00C006D7">
      <w:pPr>
        <w:jc w:val="both"/>
        <w:rPr>
          <w:rFonts w:ascii="Arial" w:hAnsi="Arial" w:cs="Arial"/>
          <w:b/>
          <w:bCs/>
          <w:iCs/>
          <w:sz w:val="32"/>
          <w:szCs w:val="32"/>
        </w:rPr>
      </w:pPr>
    </w:p>
    <w:p w14:paraId="4C8FD5B0" w14:textId="77777777" w:rsidR="00120269" w:rsidRDefault="00120269" w:rsidP="00C006D7">
      <w:pPr>
        <w:jc w:val="both"/>
        <w:rPr>
          <w:rFonts w:ascii="Arial" w:hAnsi="Arial" w:cs="Arial"/>
          <w:b/>
          <w:bCs/>
          <w:iCs/>
          <w:sz w:val="32"/>
          <w:szCs w:val="32"/>
        </w:rPr>
      </w:pPr>
    </w:p>
    <w:p w14:paraId="02B39A1B" w14:textId="77777777" w:rsidR="00120269" w:rsidRDefault="00120269" w:rsidP="00C006D7">
      <w:pPr>
        <w:jc w:val="both"/>
        <w:rPr>
          <w:rFonts w:ascii="Arial" w:hAnsi="Arial" w:cs="Arial"/>
          <w:b/>
          <w:bCs/>
          <w:iCs/>
          <w:sz w:val="32"/>
          <w:szCs w:val="32"/>
        </w:rPr>
      </w:pPr>
    </w:p>
    <w:p w14:paraId="0CAFB301" w14:textId="77777777" w:rsidR="00120269" w:rsidRDefault="00120269" w:rsidP="00C006D7">
      <w:pPr>
        <w:jc w:val="both"/>
        <w:rPr>
          <w:rFonts w:ascii="Arial" w:hAnsi="Arial" w:cs="Arial"/>
          <w:b/>
          <w:bCs/>
          <w:iCs/>
          <w:sz w:val="32"/>
          <w:szCs w:val="32"/>
        </w:rPr>
      </w:pPr>
    </w:p>
    <w:p w14:paraId="12227E87" w14:textId="77777777" w:rsidR="00120269" w:rsidRDefault="00120269" w:rsidP="00C006D7">
      <w:pPr>
        <w:jc w:val="both"/>
        <w:rPr>
          <w:rFonts w:ascii="Arial" w:hAnsi="Arial" w:cs="Arial"/>
          <w:b/>
          <w:bCs/>
          <w:iCs/>
          <w:sz w:val="32"/>
          <w:szCs w:val="32"/>
        </w:rPr>
      </w:pPr>
    </w:p>
    <w:p w14:paraId="1337D971" w14:textId="77777777" w:rsidR="00120269" w:rsidRDefault="00120269" w:rsidP="00C006D7">
      <w:pPr>
        <w:jc w:val="both"/>
        <w:rPr>
          <w:rFonts w:ascii="Arial" w:hAnsi="Arial" w:cs="Arial"/>
          <w:b/>
          <w:bCs/>
          <w:iCs/>
          <w:sz w:val="32"/>
          <w:szCs w:val="32"/>
        </w:rPr>
      </w:pPr>
    </w:p>
    <w:p w14:paraId="17B6BCE9" w14:textId="77777777" w:rsidR="00120269" w:rsidRDefault="00120269" w:rsidP="00C006D7">
      <w:pPr>
        <w:jc w:val="both"/>
        <w:rPr>
          <w:rFonts w:ascii="Arial" w:hAnsi="Arial" w:cs="Arial"/>
          <w:b/>
          <w:bCs/>
          <w:iCs/>
          <w:sz w:val="32"/>
          <w:szCs w:val="32"/>
        </w:rPr>
      </w:pPr>
    </w:p>
    <w:p w14:paraId="5A92BC5A" w14:textId="77777777" w:rsidR="00120269" w:rsidRDefault="00120269" w:rsidP="00C006D7">
      <w:pPr>
        <w:jc w:val="both"/>
        <w:rPr>
          <w:rFonts w:ascii="Arial" w:hAnsi="Arial" w:cs="Arial"/>
          <w:b/>
          <w:bCs/>
          <w:iCs/>
          <w:sz w:val="32"/>
          <w:szCs w:val="32"/>
        </w:rPr>
      </w:pPr>
    </w:p>
    <w:p w14:paraId="13E54305" w14:textId="77777777" w:rsidR="00120269" w:rsidRDefault="00120269" w:rsidP="00C006D7">
      <w:pPr>
        <w:jc w:val="both"/>
        <w:rPr>
          <w:rFonts w:ascii="Arial" w:hAnsi="Arial" w:cs="Arial"/>
          <w:b/>
          <w:bCs/>
          <w:iCs/>
          <w:sz w:val="32"/>
          <w:szCs w:val="32"/>
        </w:rPr>
      </w:pPr>
    </w:p>
    <w:p w14:paraId="4E823A07" w14:textId="77777777" w:rsidR="00120269" w:rsidRDefault="00120269" w:rsidP="00C006D7">
      <w:pPr>
        <w:jc w:val="both"/>
        <w:rPr>
          <w:rFonts w:ascii="Arial" w:hAnsi="Arial" w:cs="Arial"/>
          <w:b/>
          <w:bCs/>
          <w:iCs/>
          <w:sz w:val="32"/>
          <w:szCs w:val="32"/>
        </w:rPr>
      </w:pPr>
    </w:p>
    <w:p w14:paraId="0E383AF5" w14:textId="77777777" w:rsidR="00120269" w:rsidRDefault="00120269" w:rsidP="00C006D7">
      <w:pPr>
        <w:jc w:val="both"/>
        <w:rPr>
          <w:rFonts w:ascii="Arial" w:hAnsi="Arial" w:cs="Arial"/>
          <w:b/>
          <w:bCs/>
          <w:iCs/>
          <w:sz w:val="32"/>
          <w:szCs w:val="32"/>
        </w:rPr>
      </w:pPr>
    </w:p>
    <w:p w14:paraId="46FF72C0" w14:textId="77777777" w:rsidR="00120269" w:rsidRDefault="00120269" w:rsidP="00C006D7">
      <w:pPr>
        <w:jc w:val="both"/>
        <w:rPr>
          <w:rFonts w:ascii="Arial" w:hAnsi="Arial" w:cs="Arial"/>
          <w:b/>
          <w:bCs/>
          <w:iCs/>
          <w:sz w:val="32"/>
          <w:szCs w:val="32"/>
        </w:rPr>
      </w:pPr>
    </w:p>
    <w:p w14:paraId="31E4FD45" w14:textId="77777777" w:rsidR="007E7E02" w:rsidRDefault="007E7E02" w:rsidP="00C006D7">
      <w:pPr>
        <w:jc w:val="both"/>
        <w:rPr>
          <w:rFonts w:ascii="Arial" w:hAnsi="Arial" w:cs="Arial"/>
          <w:b/>
          <w:bCs/>
          <w:iCs/>
          <w:sz w:val="32"/>
          <w:szCs w:val="32"/>
        </w:rPr>
      </w:pPr>
    </w:p>
    <w:p w14:paraId="611938EB" w14:textId="77777777" w:rsidR="007E7E02" w:rsidRDefault="007E7E02" w:rsidP="00C006D7">
      <w:pPr>
        <w:jc w:val="both"/>
        <w:rPr>
          <w:rFonts w:ascii="Arial" w:hAnsi="Arial" w:cs="Arial"/>
          <w:b/>
          <w:bCs/>
          <w:iCs/>
          <w:sz w:val="32"/>
          <w:szCs w:val="32"/>
        </w:rPr>
      </w:pPr>
    </w:p>
    <w:p w14:paraId="449A273C" w14:textId="77777777" w:rsidR="007E7E02" w:rsidRDefault="007E7E02" w:rsidP="00C006D7">
      <w:pPr>
        <w:jc w:val="both"/>
        <w:rPr>
          <w:rFonts w:ascii="Arial" w:hAnsi="Arial" w:cs="Arial"/>
          <w:b/>
          <w:bCs/>
          <w:iCs/>
          <w:sz w:val="32"/>
          <w:szCs w:val="32"/>
        </w:rPr>
      </w:pPr>
    </w:p>
    <w:p w14:paraId="723716E3" w14:textId="77777777" w:rsidR="007E7E02" w:rsidRDefault="007E7E02" w:rsidP="04BD2A26">
      <w:pPr>
        <w:jc w:val="both"/>
        <w:rPr>
          <w:rFonts w:ascii="Arial" w:hAnsi="Arial" w:cs="Arial"/>
          <w:b/>
          <w:bCs/>
          <w:sz w:val="32"/>
          <w:szCs w:val="32"/>
        </w:rPr>
      </w:pPr>
    </w:p>
    <w:p w14:paraId="2A6C1C21" w14:textId="6497BFCC" w:rsidR="04BD2A26" w:rsidRDefault="04BD2A26" w:rsidP="04BD2A26">
      <w:pPr>
        <w:jc w:val="both"/>
        <w:rPr>
          <w:rFonts w:ascii="Arial" w:hAnsi="Arial" w:cs="Arial"/>
          <w:b/>
          <w:bCs/>
          <w:sz w:val="32"/>
          <w:szCs w:val="32"/>
        </w:rPr>
      </w:pPr>
    </w:p>
    <w:p w14:paraId="29F463BB" w14:textId="09712BE1" w:rsidR="04BD2A26" w:rsidRDefault="04BD2A26" w:rsidP="04BD2A26">
      <w:pPr>
        <w:jc w:val="both"/>
        <w:rPr>
          <w:rFonts w:ascii="Arial" w:hAnsi="Arial" w:cs="Arial"/>
          <w:b/>
          <w:bCs/>
          <w:sz w:val="32"/>
          <w:szCs w:val="32"/>
        </w:rPr>
      </w:pPr>
    </w:p>
    <w:p w14:paraId="6E3337C0" w14:textId="40F9F5C6" w:rsidR="007E7E02" w:rsidRDefault="007E7E02" w:rsidP="3D7176A0">
      <w:pPr>
        <w:jc w:val="both"/>
        <w:rPr>
          <w:rFonts w:ascii="Arial" w:hAnsi="Arial" w:cs="Arial"/>
          <w:b/>
          <w:bCs/>
          <w:sz w:val="24"/>
          <w:szCs w:val="24"/>
        </w:rPr>
      </w:pPr>
      <w:r w:rsidRPr="3D7176A0">
        <w:rPr>
          <w:rFonts w:ascii="Arial" w:hAnsi="Arial" w:cs="Arial"/>
          <w:b/>
          <w:bCs/>
          <w:sz w:val="24"/>
          <w:szCs w:val="24"/>
        </w:rPr>
        <w:lastRenderedPageBreak/>
        <w:t>Appendix 2 – Annual Fraud Plan 202</w:t>
      </w:r>
      <w:r w:rsidR="40F9D9E1" w:rsidRPr="3D7176A0">
        <w:rPr>
          <w:rFonts w:ascii="Arial" w:hAnsi="Arial" w:cs="Arial"/>
          <w:b/>
          <w:bCs/>
          <w:sz w:val="24"/>
          <w:szCs w:val="24"/>
        </w:rPr>
        <w:t>6</w:t>
      </w:r>
      <w:r w:rsidRPr="3D7176A0">
        <w:rPr>
          <w:rFonts w:ascii="Arial" w:hAnsi="Arial" w:cs="Arial"/>
          <w:b/>
          <w:bCs/>
          <w:sz w:val="24"/>
          <w:szCs w:val="24"/>
        </w:rPr>
        <w:t>/2</w:t>
      </w:r>
      <w:r w:rsidR="4BC44DDB" w:rsidRPr="3D7176A0">
        <w:rPr>
          <w:rFonts w:ascii="Arial" w:hAnsi="Arial" w:cs="Arial"/>
          <w:b/>
          <w:bCs/>
          <w:sz w:val="24"/>
          <w:szCs w:val="24"/>
        </w:rPr>
        <w:t>7</w:t>
      </w:r>
    </w:p>
    <w:p w14:paraId="1B5D8EB7" w14:textId="77777777" w:rsidR="007E7E02" w:rsidRDefault="007E7E02" w:rsidP="00C006D7">
      <w:pPr>
        <w:jc w:val="both"/>
        <w:rPr>
          <w:rFonts w:ascii="Arial" w:hAnsi="Arial" w:cs="Arial"/>
          <w:b/>
          <w:bCs/>
          <w:iCs/>
          <w:sz w:val="24"/>
          <w:szCs w:val="24"/>
        </w:rPr>
      </w:pPr>
    </w:p>
    <w:p w14:paraId="74BA4C21" w14:textId="77777777" w:rsidR="004058AC" w:rsidRDefault="004058AC" w:rsidP="00C006D7">
      <w:pPr>
        <w:jc w:val="both"/>
        <w:rPr>
          <w:rFonts w:ascii="Arial" w:hAnsi="Arial" w:cs="Arial"/>
          <w:b/>
          <w:bCs/>
          <w:iCs/>
          <w:sz w:val="24"/>
          <w:szCs w:val="24"/>
        </w:rPr>
      </w:pPr>
    </w:p>
    <w:tbl>
      <w:tblPr>
        <w:tblStyle w:val="TableGrid"/>
        <w:tblW w:w="0" w:type="auto"/>
        <w:tblLook w:val="04A0" w:firstRow="1" w:lastRow="0" w:firstColumn="1" w:lastColumn="0" w:noHBand="0" w:noVBand="1"/>
      </w:tblPr>
      <w:tblGrid>
        <w:gridCol w:w="9016"/>
      </w:tblGrid>
      <w:tr w:rsidR="00004656" w14:paraId="60499D5E" w14:textId="77777777" w:rsidTr="004058AC">
        <w:tc>
          <w:tcPr>
            <w:tcW w:w="9016" w:type="dxa"/>
          </w:tcPr>
          <w:p w14:paraId="43AA36E9" w14:textId="77777777" w:rsidR="004058AC" w:rsidRDefault="004058AC" w:rsidP="004058AC">
            <w:pPr>
              <w:jc w:val="both"/>
              <w:rPr>
                <w:rFonts w:ascii="Arial" w:hAnsi="Arial" w:cs="Arial"/>
                <w:b/>
                <w:bCs/>
                <w:iCs/>
                <w:sz w:val="24"/>
                <w:szCs w:val="24"/>
              </w:rPr>
            </w:pPr>
          </w:p>
          <w:p w14:paraId="740969C0" w14:textId="7309D6BF" w:rsidR="004058AC" w:rsidRDefault="004058AC" w:rsidP="004058AC">
            <w:pPr>
              <w:rPr>
                <w:rFonts w:ascii="Arial" w:hAnsi="Arial" w:cs="Arial"/>
                <w:sz w:val="24"/>
                <w:szCs w:val="24"/>
              </w:rPr>
            </w:pPr>
            <w:r>
              <w:rPr>
                <w:rFonts w:ascii="Arial" w:hAnsi="Arial" w:cs="Arial"/>
                <w:sz w:val="24"/>
                <w:szCs w:val="24"/>
              </w:rPr>
              <w:t xml:space="preserve">The Fraud Plan is informed by local performance indicators along with trends reported both regionally and nationally.  The Fraud Risk Profile for North East Lincolnshire Council is used to risk assess different areas of threat and harm, and to inform the proportionate investigative and preventative measures in place.  The Fraud Team work in conjunction </w:t>
            </w:r>
            <w:r w:rsidR="00996CDF">
              <w:rPr>
                <w:rFonts w:ascii="Arial" w:hAnsi="Arial" w:cs="Arial"/>
                <w:sz w:val="24"/>
                <w:szCs w:val="24"/>
              </w:rPr>
              <w:t>with Audit</w:t>
            </w:r>
            <w:r>
              <w:rPr>
                <w:rFonts w:ascii="Arial" w:hAnsi="Arial" w:cs="Arial"/>
                <w:sz w:val="24"/>
                <w:szCs w:val="24"/>
              </w:rPr>
              <w:t xml:space="preserve"> and Assurance to evaluate current processes in areas of increased risk, with a view to completing preventative work to reduce the risk of loss and error.</w:t>
            </w:r>
          </w:p>
          <w:p w14:paraId="282AD42D" w14:textId="77777777" w:rsidR="004058AC" w:rsidRDefault="004058AC" w:rsidP="004058AC">
            <w:pPr>
              <w:rPr>
                <w:rFonts w:ascii="Arial" w:hAnsi="Arial" w:cs="Arial"/>
                <w:sz w:val="24"/>
                <w:szCs w:val="24"/>
              </w:rPr>
            </w:pPr>
          </w:p>
          <w:p w14:paraId="0E1A8BB5" w14:textId="77777777" w:rsidR="004058AC" w:rsidRDefault="004058AC" w:rsidP="004058AC">
            <w:pPr>
              <w:rPr>
                <w:rFonts w:ascii="Arial" w:hAnsi="Arial" w:cs="Arial"/>
                <w:sz w:val="24"/>
                <w:szCs w:val="24"/>
              </w:rPr>
            </w:pPr>
            <w:r>
              <w:rPr>
                <w:rFonts w:ascii="Arial" w:hAnsi="Arial" w:cs="Arial"/>
                <w:sz w:val="24"/>
                <w:szCs w:val="24"/>
              </w:rPr>
              <w:t>Details of identified priorities and delivery strategies are summarised below.</w:t>
            </w:r>
          </w:p>
          <w:p w14:paraId="56825026" w14:textId="77777777" w:rsidR="004058AC" w:rsidRDefault="004058AC" w:rsidP="00C006D7">
            <w:pPr>
              <w:jc w:val="both"/>
              <w:rPr>
                <w:rFonts w:ascii="Arial" w:hAnsi="Arial" w:cs="Arial"/>
                <w:b/>
                <w:bCs/>
                <w:iCs/>
                <w:sz w:val="24"/>
                <w:szCs w:val="24"/>
              </w:rPr>
            </w:pPr>
          </w:p>
        </w:tc>
      </w:tr>
    </w:tbl>
    <w:p w14:paraId="7FF21371" w14:textId="77777777" w:rsidR="004058AC" w:rsidRDefault="004058AC" w:rsidP="00C006D7">
      <w:pPr>
        <w:jc w:val="both"/>
        <w:rPr>
          <w:rFonts w:ascii="Arial" w:hAnsi="Arial" w:cs="Arial"/>
          <w:b/>
          <w:bCs/>
          <w:iCs/>
          <w:sz w:val="24"/>
          <w:szCs w:val="24"/>
        </w:rPr>
      </w:pPr>
    </w:p>
    <w:p w14:paraId="40856D91" w14:textId="77777777" w:rsidR="004058AC" w:rsidRDefault="004058AC" w:rsidP="00C006D7">
      <w:pPr>
        <w:jc w:val="both"/>
        <w:rPr>
          <w:rFonts w:ascii="Arial" w:hAnsi="Arial" w:cs="Arial"/>
          <w:b/>
          <w:bCs/>
          <w:iCs/>
          <w:sz w:val="24"/>
          <w:szCs w:val="24"/>
        </w:rPr>
      </w:pPr>
    </w:p>
    <w:tbl>
      <w:tblPr>
        <w:tblStyle w:val="TableGrid"/>
        <w:tblW w:w="0" w:type="auto"/>
        <w:tblLook w:val="04A0" w:firstRow="1" w:lastRow="0" w:firstColumn="1" w:lastColumn="0" w:noHBand="0" w:noVBand="1"/>
      </w:tblPr>
      <w:tblGrid>
        <w:gridCol w:w="2830"/>
        <w:gridCol w:w="6186"/>
      </w:tblGrid>
      <w:tr w:rsidR="00850016" w14:paraId="4156EFCC" w14:textId="77777777" w:rsidTr="3A111552">
        <w:tc>
          <w:tcPr>
            <w:tcW w:w="2830" w:type="dxa"/>
          </w:tcPr>
          <w:p w14:paraId="59914369" w14:textId="5477E298" w:rsidR="00B70143" w:rsidRDefault="00B70143" w:rsidP="00C006D7">
            <w:pPr>
              <w:jc w:val="both"/>
              <w:rPr>
                <w:rFonts w:ascii="Arial" w:hAnsi="Arial" w:cs="Arial"/>
                <w:b/>
                <w:bCs/>
                <w:iCs/>
                <w:sz w:val="24"/>
                <w:szCs w:val="24"/>
              </w:rPr>
            </w:pPr>
            <w:r>
              <w:rPr>
                <w:rFonts w:ascii="Arial" w:hAnsi="Arial" w:cs="Arial"/>
                <w:b/>
                <w:bCs/>
                <w:iCs/>
                <w:sz w:val="24"/>
                <w:szCs w:val="24"/>
              </w:rPr>
              <w:t>Risk Area</w:t>
            </w:r>
          </w:p>
        </w:tc>
        <w:tc>
          <w:tcPr>
            <w:tcW w:w="6186" w:type="dxa"/>
          </w:tcPr>
          <w:p w14:paraId="34D3EDCF" w14:textId="57EBDA03" w:rsidR="00B70143" w:rsidRDefault="38945A35" w:rsidP="283EE096">
            <w:pPr>
              <w:jc w:val="both"/>
              <w:rPr>
                <w:rFonts w:ascii="Arial" w:hAnsi="Arial" w:cs="Arial"/>
                <w:b/>
                <w:bCs/>
                <w:sz w:val="24"/>
                <w:szCs w:val="24"/>
              </w:rPr>
            </w:pPr>
            <w:r w:rsidRPr="3A111552">
              <w:rPr>
                <w:rFonts w:ascii="Arial" w:hAnsi="Arial" w:cs="Arial"/>
                <w:b/>
                <w:bCs/>
                <w:sz w:val="24"/>
                <w:szCs w:val="24"/>
              </w:rPr>
              <w:t>Delivery Plan</w:t>
            </w:r>
          </w:p>
        </w:tc>
      </w:tr>
      <w:tr w:rsidR="00850016" w14:paraId="0C1B6D7F" w14:textId="77777777" w:rsidTr="3A111552">
        <w:tc>
          <w:tcPr>
            <w:tcW w:w="2830" w:type="dxa"/>
          </w:tcPr>
          <w:p w14:paraId="3F3A3788" w14:textId="3637A13F" w:rsidR="00B70143" w:rsidRPr="00B70143" w:rsidRDefault="00B70143" w:rsidP="00C006D7">
            <w:pPr>
              <w:jc w:val="both"/>
              <w:rPr>
                <w:rFonts w:ascii="Arial" w:hAnsi="Arial" w:cs="Arial"/>
                <w:iCs/>
                <w:sz w:val="24"/>
                <w:szCs w:val="24"/>
              </w:rPr>
            </w:pPr>
            <w:r>
              <w:rPr>
                <w:rFonts w:ascii="Arial" w:hAnsi="Arial" w:cs="Arial"/>
                <w:iCs/>
                <w:sz w:val="24"/>
                <w:szCs w:val="24"/>
              </w:rPr>
              <w:t>Council Tax</w:t>
            </w:r>
          </w:p>
        </w:tc>
        <w:tc>
          <w:tcPr>
            <w:tcW w:w="6186" w:type="dxa"/>
          </w:tcPr>
          <w:p w14:paraId="4F9F36BF" w14:textId="4910D922" w:rsidR="00B70143" w:rsidRPr="00A45C8B" w:rsidRDefault="68866563" w:rsidP="3D7176A0">
            <w:pPr>
              <w:pStyle w:val="ListParagraph"/>
              <w:numPr>
                <w:ilvl w:val="0"/>
                <w:numId w:val="1"/>
              </w:numPr>
              <w:jc w:val="both"/>
              <w:rPr>
                <w:rFonts w:ascii="Arial" w:hAnsi="Arial" w:cs="Arial"/>
                <w:sz w:val="24"/>
                <w:szCs w:val="24"/>
              </w:rPr>
            </w:pPr>
            <w:r w:rsidRPr="3D7176A0">
              <w:rPr>
                <w:rFonts w:ascii="Arial" w:hAnsi="Arial" w:cs="Arial"/>
                <w:sz w:val="24"/>
                <w:szCs w:val="24"/>
              </w:rPr>
              <w:t xml:space="preserve">Themes are prioritised, eg Empty Properties where work can be conducted with other teams to address wider community issues such as anti-social behaviour and </w:t>
            </w:r>
            <w:r w:rsidR="7EBB0B62" w:rsidRPr="3D7176A0">
              <w:rPr>
                <w:rFonts w:ascii="Arial" w:hAnsi="Arial" w:cs="Arial"/>
                <w:sz w:val="24"/>
                <w:szCs w:val="24"/>
              </w:rPr>
              <w:t>environmental</w:t>
            </w:r>
            <w:r w:rsidRPr="3D7176A0">
              <w:rPr>
                <w:rFonts w:ascii="Arial" w:hAnsi="Arial" w:cs="Arial"/>
                <w:sz w:val="24"/>
                <w:szCs w:val="24"/>
              </w:rPr>
              <w:t xml:space="preserve"> issues. </w:t>
            </w:r>
          </w:p>
          <w:p w14:paraId="37712EC1" w14:textId="27A505D0" w:rsidR="00B70143" w:rsidRPr="00A45C8B" w:rsidRDefault="6523F869" w:rsidP="3D7176A0">
            <w:pPr>
              <w:pStyle w:val="ListParagraph"/>
              <w:numPr>
                <w:ilvl w:val="0"/>
                <w:numId w:val="1"/>
              </w:numPr>
              <w:jc w:val="both"/>
              <w:rPr>
                <w:rFonts w:ascii="Arial" w:hAnsi="Arial" w:cs="Arial"/>
                <w:sz w:val="24"/>
                <w:szCs w:val="24"/>
              </w:rPr>
            </w:pPr>
            <w:r w:rsidRPr="3D7176A0">
              <w:rPr>
                <w:rFonts w:ascii="Arial" w:hAnsi="Arial" w:cs="Arial"/>
                <w:sz w:val="24"/>
                <w:szCs w:val="24"/>
              </w:rPr>
              <w:t>Working jointly with Local Taxation &amp; Benefits to prevent inappropriate Single Person Discounts from being granted and preserving revenue for the community.</w:t>
            </w:r>
            <w:r w:rsidR="68866563" w:rsidRPr="3D7176A0">
              <w:rPr>
                <w:rFonts w:ascii="Arial" w:hAnsi="Arial" w:cs="Arial"/>
                <w:sz w:val="24"/>
                <w:szCs w:val="24"/>
              </w:rPr>
              <w:t xml:space="preserve"> </w:t>
            </w:r>
          </w:p>
        </w:tc>
      </w:tr>
      <w:tr w:rsidR="00850016" w14:paraId="2920D03C" w14:textId="77777777" w:rsidTr="3A111552">
        <w:tc>
          <w:tcPr>
            <w:tcW w:w="2830" w:type="dxa"/>
          </w:tcPr>
          <w:p w14:paraId="13444A47" w14:textId="5CCB5C2D" w:rsidR="00B70143" w:rsidRPr="00A45C8B" w:rsidRDefault="00A45C8B" w:rsidP="00C006D7">
            <w:pPr>
              <w:jc w:val="both"/>
              <w:rPr>
                <w:rFonts w:ascii="Arial" w:hAnsi="Arial" w:cs="Arial"/>
                <w:iCs/>
                <w:sz w:val="24"/>
                <w:szCs w:val="24"/>
              </w:rPr>
            </w:pPr>
            <w:r w:rsidRPr="00A45C8B">
              <w:rPr>
                <w:rFonts w:ascii="Arial" w:hAnsi="Arial" w:cs="Arial"/>
                <w:iCs/>
                <w:sz w:val="24"/>
                <w:szCs w:val="24"/>
              </w:rPr>
              <w:t>Business Rates</w:t>
            </w:r>
          </w:p>
        </w:tc>
        <w:tc>
          <w:tcPr>
            <w:tcW w:w="6186" w:type="dxa"/>
          </w:tcPr>
          <w:p w14:paraId="6B4AACC6" w14:textId="77777777" w:rsidR="00A45C8B" w:rsidRPr="000C5824" w:rsidRDefault="00A45C8B" w:rsidP="000C5824">
            <w:pPr>
              <w:pStyle w:val="ListParagraph"/>
              <w:numPr>
                <w:ilvl w:val="0"/>
                <w:numId w:val="22"/>
              </w:numPr>
              <w:jc w:val="both"/>
              <w:rPr>
                <w:rFonts w:ascii="Arial" w:hAnsi="Arial" w:cs="Arial"/>
                <w:iCs/>
                <w:sz w:val="24"/>
                <w:szCs w:val="24"/>
              </w:rPr>
            </w:pPr>
            <w:r w:rsidRPr="000C5824">
              <w:rPr>
                <w:rFonts w:ascii="Arial" w:hAnsi="Arial" w:cs="Arial"/>
                <w:iCs/>
                <w:sz w:val="24"/>
                <w:szCs w:val="24"/>
              </w:rPr>
              <w:t>Increase the indicators of fraudulent applications for Business Rate relief.</w:t>
            </w:r>
          </w:p>
          <w:p w14:paraId="2AD31A1F" w14:textId="77777777" w:rsidR="00A45C8B" w:rsidRPr="000C5824" w:rsidRDefault="00A45C8B" w:rsidP="000C5824">
            <w:pPr>
              <w:pStyle w:val="ListParagraph"/>
              <w:numPr>
                <w:ilvl w:val="0"/>
                <w:numId w:val="22"/>
              </w:numPr>
              <w:jc w:val="both"/>
              <w:rPr>
                <w:rFonts w:ascii="Arial" w:hAnsi="Arial" w:cs="Arial"/>
                <w:iCs/>
                <w:sz w:val="24"/>
                <w:szCs w:val="24"/>
              </w:rPr>
            </w:pPr>
            <w:r w:rsidRPr="000C5824">
              <w:rPr>
                <w:rFonts w:ascii="Arial" w:hAnsi="Arial" w:cs="Arial"/>
                <w:iCs/>
                <w:sz w:val="24"/>
                <w:szCs w:val="24"/>
              </w:rPr>
              <w:t>Promote enforcement of fraud cases with the objective of deterring future offending.</w:t>
            </w:r>
          </w:p>
          <w:p w14:paraId="7F9DEA34" w14:textId="77777777" w:rsidR="00A45C8B" w:rsidRPr="000C5824" w:rsidRDefault="00A45C8B" w:rsidP="000C5824">
            <w:pPr>
              <w:pStyle w:val="ListParagraph"/>
              <w:numPr>
                <w:ilvl w:val="0"/>
                <w:numId w:val="22"/>
              </w:numPr>
              <w:jc w:val="both"/>
              <w:rPr>
                <w:rFonts w:ascii="Arial" w:hAnsi="Arial" w:cs="Arial"/>
                <w:iCs/>
                <w:sz w:val="24"/>
                <w:szCs w:val="24"/>
              </w:rPr>
            </w:pPr>
            <w:r w:rsidRPr="000C5824">
              <w:rPr>
                <w:rFonts w:ascii="Arial" w:hAnsi="Arial" w:cs="Arial"/>
                <w:iCs/>
                <w:sz w:val="24"/>
                <w:szCs w:val="24"/>
              </w:rPr>
              <w:t xml:space="preserve">Joint working with wider Council colleagues to ensure evidence gathering opportunities are maximised. </w:t>
            </w:r>
          </w:p>
          <w:p w14:paraId="3DE22E8E" w14:textId="18E28225" w:rsidR="00B70143" w:rsidRPr="00A45C8B" w:rsidRDefault="7C0E7911" w:rsidP="3D7176A0">
            <w:pPr>
              <w:pStyle w:val="ListParagraph"/>
              <w:numPr>
                <w:ilvl w:val="0"/>
                <w:numId w:val="22"/>
              </w:numPr>
              <w:jc w:val="both"/>
              <w:rPr>
                <w:rFonts w:ascii="Arial" w:hAnsi="Arial" w:cs="Arial"/>
                <w:sz w:val="24"/>
                <w:szCs w:val="24"/>
              </w:rPr>
            </w:pPr>
            <w:r w:rsidRPr="3D7176A0">
              <w:rPr>
                <w:rFonts w:ascii="Arial" w:hAnsi="Arial" w:cs="Arial"/>
                <w:sz w:val="24"/>
                <w:szCs w:val="24"/>
              </w:rPr>
              <w:t>Use of data analytics to identify cases of fraud and error.</w:t>
            </w:r>
          </w:p>
        </w:tc>
      </w:tr>
      <w:tr w:rsidR="00850016" w14:paraId="3A578557" w14:textId="77777777" w:rsidTr="3A111552">
        <w:tc>
          <w:tcPr>
            <w:tcW w:w="2830" w:type="dxa"/>
          </w:tcPr>
          <w:p w14:paraId="6AE14EAF" w14:textId="74130509" w:rsidR="00B70143" w:rsidRPr="00216ED4" w:rsidRDefault="00216ED4" w:rsidP="00C006D7">
            <w:pPr>
              <w:jc w:val="both"/>
              <w:rPr>
                <w:rFonts w:ascii="Arial" w:hAnsi="Arial" w:cs="Arial"/>
                <w:iCs/>
                <w:sz w:val="24"/>
                <w:szCs w:val="24"/>
              </w:rPr>
            </w:pPr>
            <w:r w:rsidRPr="00216ED4">
              <w:rPr>
                <w:rFonts w:ascii="Arial" w:hAnsi="Arial" w:cs="Arial"/>
                <w:iCs/>
                <w:sz w:val="24"/>
                <w:szCs w:val="24"/>
              </w:rPr>
              <w:t>Staff Awareness</w:t>
            </w:r>
          </w:p>
        </w:tc>
        <w:tc>
          <w:tcPr>
            <w:tcW w:w="6186" w:type="dxa"/>
          </w:tcPr>
          <w:p w14:paraId="441D27B9" w14:textId="77777777" w:rsidR="00216ED4" w:rsidRPr="005F4198" w:rsidRDefault="1D0A7B23" w:rsidP="283EE096">
            <w:pPr>
              <w:pStyle w:val="ListParagraph"/>
              <w:numPr>
                <w:ilvl w:val="0"/>
                <w:numId w:val="24"/>
              </w:numPr>
              <w:jc w:val="both"/>
              <w:rPr>
                <w:rFonts w:ascii="Arial" w:hAnsi="Arial" w:cs="Arial"/>
                <w:sz w:val="24"/>
                <w:szCs w:val="24"/>
              </w:rPr>
            </w:pPr>
            <w:r w:rsidRPr="3A111552">
              <w:rPr>
                <w:rFonts w:ascii="Arial" w:hAnsi="Arial" w:cs="Arial"/>
                <w:sz w:val="24"/>
                <w:szCs w:val="24"/>
              </w:rPr>
              <w:t xml:space="preserve">Strengthening partnership work with People &amp; Culture, and Communications Team to promote the message that it is everyone’s responsibility to support the identification and reporting of potential fraud.  </w:t>
            </w:r>
          </w:p>
          <w:p w14:paraId="1704E5B5" w14:textId="645AEAE2" w:rsidR="1ABD4B58" w:rsidRDefault="10B5222F" w:rsidP="283EE096">
            <w:pPr>
              <w:pStyle w:val="ListParagraph"/>
              <w:numPr>
                <w:ilvl w:val="0"/>
                <w:numId w:val="24"/>
              </w:numPr>
              <w:jc w:val="both"/>
              <w:rPr>
                <w:rFonts w:ascii="Arial" w:hAnsi="Arial" w:cs="Arial"/>
                <w:sz w:val="24"/>
                <w:szCs w:val="24"/>
              </w:rPr>
            </w:pPr>
            <w:r w:rsidRPr="24B6AD16">
              <w:rPr>
                <w:rFonts w:ascii="Arial" w:hAnsi="Arial" w:cs="Arial"/>
                <w:sz w:val="24"/>
                <w:szCs w:val="24"/>
              </w:rPr>
              <w:t xml:space="preserve">Promoting fraud awareness in areas </w:t>
            </w:r>
            <w:r w:rsidR="0C6205C9" w:rsidRPr="24B6AD16">
              <w:rPr>
                <w:rFonts w:ascii="Arial" w:hAnsi="Arial" w:cs="Arial"/>
                <w:sz w:val="24"/>
                <w:szCs w:val="24"/>
              </w:rPr>
              <w:t xml:space="preserve">identified </w:t>
            </w:r>
            <w:r w:rsidRPr="24B6AD16">
              <w:rPr>
                <w:rFonts w:ascii="Arial" w:hAnsi="Arial" w:cs="Arial"/>
                <w:sz w:val="24"/>
                <w:szCs w:val="24"/>
              </w:rPr>
              <w:t xml:space="preserve">as being </w:t>
            </w:r>
            <w:r w:rsidR="0C84FA17" w:rsidRPr="24B6AD16">
              <w:rPr>
                <w:rFonts w:ascii="Arial" w:hAnsi="Arial" w:cs="Arial"/>
                <w:sz w:val="24"/>
                <w:szCs w:val="24"/>
              </w:rPr>
              <w:t>at</w:t>
            </w:r>
            <w:r w:rsidRPr="24B6AD16">
              <w:rPr>
                <w:rFonts w:ascii="Arial" w:hAnsi="Arial" w:cs="Arial"/>
                <w:sz w:val="24"/>
                <w:szCs w:val="24"/>
              </w:rPr>
              <w:t xml:space="preserve"> risk of fraud and corruption </w:t>
            </w:r>
          </w:p>
          <w:p w14:paraId="609474F3" w14:textId="77777777" w:rsidR="00B70143" w:rsidRDefault="00B70143" w:rsidP="00C006D7">
            <w:pPr>
              <w:jc w:val="both"/>
              <w:rPr>
                <w:rFonts w:ascii="Arial" w:hAnsi="Arial" w:cs="Arial"/>
                <w:b/>
                <w:bCs/>
                <w:iCs/>
                <w:sz w:val="24"/>
                <w:szCs w:val="24"/>
              </w:rPr>
            </w:pPr>
          </w:p>
        </w:tc>
      </w:tr>
      <w:tr w:rsidR="00850016" w14:paraId="40B43A33" w14:textId="77777777" w:rsidTr="3A111552">
        <w:tc>
          <w:tcPr>
            <w:tcW w:w="2830" w:type="dxa"/>
          </w:tcPr>
          <w:p w14:paraId="685C7B3F" w14:textId="2E6A2EA0" w:rsidR="00B70143" w:rsidRPr="001C186C" w:rsidRDefault="4CD15289" w:rsidP="3D7176A0">
            <w:pPr>
              <w:jc w:val="both"/>
              <w:rPr>
                <w:rFonts w:ascii="Arial" w:hAnsi="Arial" w:cs="Arial"/>
                <w:sz w:val="24"/>
                <w:szCs w:val="24"/>
              </w:rPr>
            </w:pPr>
            <w:r w:rsidRPr="3D7176A0">
              <w:rPr>
                <w:rFonts w:ascii="Arial" w:hAnsi="Arial" w:cs="Arial"/>
                <w:sz w:val="24"/>
                <w:szCs w:val="24"/>
              </w:rPr>
              <w:t>Risk Assessment – Preventing Fraud</w:t>
            </w:r>
          </w:p>
        </w:tc>
        <w:tc>
          <w:tcPr>
            <w:tcW w:w="6186" w:type="dxa"/>
          </w:tcPr>
          <w:p w14:paraId="774ACAC9" w14:textId="1B4A4657" w:rsidR="001C186C" w:rsidRPr="000C5824" w:rsidRDefault="14C590EC" w:rsidP="3D7176A0">
            <w:pPr>
              <w:pStyle w:val="ListParagraph"/>
              <w:numPr>
                <w:ilvl w:val="0"/>
                <w:numId w:val="23"/>
              </w:numPr>
              <w:jc w:val="both"/>
              <w:rPr>
                <w:rFonts w:ascii="Arial" w:hAnsi="Arial" w:cs="Arial"/>
                <w:sz w:val="24"/>
                <w:szCs w:val="24"/>
              </w:rPr>
            </w:pPr>
            <w:r w:rsidRPr="3D7176A0">
              <w:rPr>
                <w:rFonts w:ascii="Arial" w:hAnsi="Arial" w:cs="Arial"/>
                <w:sz w:val="24"/>
                <w:szCs w:val="24"/>
              </w:rPr>
              <w:t xml:space="preserve">Complete </w:t>
            </w:r>
            <w:r w:rsidR="64EDAC62" w:rsidRPr="3D7176A0">
              <w:rPr>
                <w:rFonts w:ascii="Arial" w:hAnsi="Arial" w:cs="Arial"/>
                <w:sz w:val="24"/>
                <w:szCs w:val="24"/>
              </w:rPr>
              <w:t xml:space="preserve">risk assessments across all areas where the Council is vulnerable to fraud risk to inform the effectiveness of the </w:t>
            </w:r>
            <w:r w:rsidR="3A1E77D4" w:rsidRPr="3D7176A0">
              <w:rPr>
                <w:rFonts w:ascii="Arial" w:hAnsi="Arial" w:cs="Arial"/>
                <w:sz w:val="24"/>
                <w:szCs w:val="24"/>
              </w:rPr>
              <w:t>Council’s ability to prevent fraud and where identified make improvement.</w:t>
            </w:r>
          </w:p>
          <w:p w14:paraId="3EF10E09" w14:textId="77777777" w:rsidR="00B70143" w:rsidRDefault="00B70143" w:rsidP="00C006D7">
            <w:pPr>
              <w:jc w:val="both"/>
              <w:rPr>
                <w:rFonts w:ascii="Arial" w:hAnsi="Arial" w:cs="Arial"/>
                <w:b/>
                <w:bCs/>
                <w:iCs/>
                <w:sz w:val="24"/>
                <w:szCs w:val="24"/>
              </w:rPr>
            </w:pPr>
          </w:p>
        </w:tc>
      </w:tr>
      <w:tr w:rsidR="00850016" w14:paraId="26C582C5" w14:textId="77777777" w:rsidTr="3A111552">
        <w:trPr>
          <w:trHeight w:val="300"/>
        </w:trPr>
        <w:tc>
          <w:tcPr>
            <w:tcW w:w="2830" w:type="dxa"/>
          </w:tcPr>
          <w:p w14:paraId="16BADE3B" w14:textId="6F60E170" w:rsidR="030A8EF2" w:rsidRDefault="030A8EF2" w:rsidP="24B6AD16">
            <w:pPr>
              <w:jc w:val="both"/>
              <w:rPr>
                <w:rFonts w:ascii="Arial" w:hAnsi="Arial" w:cs="Arial"/>
                <w:sz w:val="24"/>
                <w:szCs w:val="24"/>
              </w:rPr>
            </w:pPr>
            <w:r w:rsidRPr="24B6AD16">
              <w:rPr>
                <w:rFonts w:ascii="Arial" w:hAnsi="Arial" w:cs="Arial"/>
                <w:sz w:val="24"/>
                <w:szCs w:val="24"/>
              </w:rPr>
              <w:lastRenderedPageBreak/>
              <w:t>Strategic Direction</w:t>
            </w:r>
          </w:p>
        </w:tc>
        <w:tc>
          <w:tcPr>
            <w:tcW w:w="6186" w:type="dxa"/>
          </w:tcPr>
          <w:p w14:paraId="0C628145" w14:textId="479A8946" w:rsidR="030A8EF2" w:rsidRDefault="030A8EF2" w:rsidP="24B6AD16">
            <w:pPr>
              <w:pStyle w:val="ListParagraph"/>
              <w:numPr>
                <w:ilvl w:val="0"/>
                <w:numId w:val="23"/>
              </w:numPr>
              <w:jc w:val="both"/>
              <w:rPr>
                <w:rFonts w:ascii="Arial" w:hAnsi="Arial" w:cs="Arial"/>
                <w:sz w:val="24"/>
                <w:szCs w:val="24"/>
              </w:rPr>
            </w:pPr>
            <w:r w:rsidRPr="24B6AD16">
              <w:rPr>
                <w:rFonts w:ascii="Arial" w:hAnsi="Arial" w:cs="Arial"/>
                <w:sz w:val="24"/>
                <w:szCs w:val="24"/>
              </w:rPr>
              <w:t xml:space="preserve">Strategy and Policy documents relating to anti-fraud and corruption and being revised.  This will </w:t>
            </w:r>
            <w:r w:rsidR="05FE4984" w:rsidRPr="24B6AD16">
              <w:rPr>
                <w:rFonts w:ascii="Arial" w:hAnsi="Arial" w:cs="Arial"/>
                <w:sz w:val="24"/>
                <w:szCs w:val="24"/>
              </w:rPr>
              <w:t>strengthen</w:t>
            </w:r>
            <w:r w:rsidRPr="24B6AD16">
              <w:rPr>
                <w:rFonts w:ascii="Arial" w:hAnsi="Arial" w:cs="Arial"/>
                <w:sz w:val="24"/>
                <w:szCs w:val="24"/>
              </w:rPr>
              <w:t xml:space="preserve"> </w:t>
            </w:r>
            <w:r w:rsidR="16096A01" w:rsidRPr="24B6AD16">
              <w:rPr>
                <w:rFonts w:ascii="Arial" w:hAnsi="Arial" w:cs="Arial"/>
                <w:sz w:val="24"/>
                <w:szCs w:val="24"/>
              </w:rPr>
              <w:t>arrangements in line with the duty to prevent fraud.</w:t>
            </w:r>
          </w:p>
        </w:tc>
      </w:tr>
    </w:tbl>
    <w:p w14:paraId="6B136BF7" w14:textId="77777777" w:rsidR="00B70143" w:rsidRDefault="00B70143" w:rsidP="00C006D7">
      <w:pPr>
        <w:jc w:val="both"/>
        <w:rPr>
          <w:rFonts w:ascii="Arial" w:hAnsi="Arial" w:cs="Arial"/>
          <w:b/>
          <w:bCs/>
          <w:iCs/>
          <w:sz w:val="24"/>
          <w:szCs w:val="24"/>
        </w:rPr>
      </w:pPr>
    </w:p>
    <w:p w14:paraId="6FB75202" w14:textId="77777777" w:rsidR="007E7E02" w:rsidRDefault="007E7E02" w:rsidP="00C006D7">
      <w:pPr>
        <w:jc w:val="both"/>
        <w:rPr>
          <w:rFonts w:ascii="Arial" w:hAnsi="Arial" w:cs="Arial"/>
          <w:b/>
          <w:bCs/>
          <w:iCs/>
          <w:sz w:val="24"/>
          <w:szCs w:val="24"/>
        </w:rPr>
      </w:pPr>
    </w:p>
    <w:p w14:paraId="67C1585B" w14:textId="77777777" w:rsidR="001950C5" w:rsidRDefault="001950C5" w:rsidP="007E7E02">
      <w:pPr>
        <w:rPr>
          <w:rFonts w:ascii="Arial" w:hAnsi="Arial" w:cs="Arial"/>
          <w:sz w:val="24"/>
          <w:szCs w:val="24"/>
        </w:rPr>
      </w:pPr>
    </w:p>
    <w:sectPr w:rsidR="001950C5" w:rsidSect="00F1358B">
      <w:headerReference w:type="even" r:id="rId9"/>
      <w:headerReference w:type="default" r:id="rId10"/>
      <w:footerReference w:type="default" r:id="rId11"/>
      <w:head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4755" w14:textId="77777777" w:rsidR="000E3CC4" w:rsidRDefault="000E3CC4" w:rsidP="00D37338">
      <w:r>
        <w:separator/>
      </w:r>
    </w:p>
  </w:endnote>
  <w:endnote w:type="continuationSeparator" w:id="0">
    <w:p w14:paraId="4CB2A5A7" w14:textId="77777777" w:rsidR="000E3CC4" w:rsidRDefault="000E3CC4" w:rsidP="00D3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6F82" w14:textId="61DB3AEC" w:rsidR="00CA4BD4" w:rsidRPr="00CA4BD4" w:rsidRDefault="00CA4BD4">
    <w:pPr>
      <w:pStyle w:val="Footer"/>
      <w:rPr>
        <w:rFonts w:ascii="Arial" w:hAnsi="Arial" w:cs="Arial"/>
      </w:rPr>
    </w:pPr>
    <w:r w:rsidRPr="00CA4BD4">
      <w:rPr>
        <w:rFonts w:ascii="Arial" w:hAnsi="Arial" w:cs="Arial"/>
      </w:rPr>
      <w:t xml:space="preserve">NELC annual fraud report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56C4" w14:textId="77777777" w:rsidR="000E3CC4" w:rsidRDefault="000E3CC4" w:rsidP="00D37338">
      <w:r>
        <w:separator/>
      </w:r>
    </w:p>
  </w:footnote>
  <w:footnote w:type="continuationSeparator" w:id="0">
    <w:p w14:paraId="1EB9F51C" w14:textId="77777777" w:rsidR="000E3CC4" w:rsidRDefault="000E3CC4" w:rsidP="00D37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A977" w14:textId="7C814916" w:rsidR="005B3936" w:rsidRDefault="000926D8">
    <w:pPr>
      <w:pStyle w:val="Header"/>
    </w:pPr>
    <w:r>
      <w:rPr>
        <w:noProof/>
      </w:rPr>
      <mc:AlternateContent>
        <mc:Choice Requires="wps">
          <w:drawing>
            <wp:anchor distT="0" distB="0" distL="0" distR="0" simplePos="0" relativeHeight="251659264" behindDoc="0" locked="0" layoutInCell="1" allowOverlap="1" wp14:anchorId="06DDC758" wp14:editId="22101479">
              <wp:simplePos x="635" y="635"/>
              <wp:positionH relativeFrom="page">
                <wp:align>left</wp:align>
              </wp:positionH>
              <wp:positionV relativeFrom="page">
                <wp:align>top</wp:align>
              </wp:positionV>
              <wp:extent cx="1289050" cy="345440"/>
              <wp:effectExtent l="0" t="0" r="6350" b="16510"/>
              <wp:wrapNone/>
              <wp:docPr id="1850873693"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45440"/>
                      </a:xfrm>
                      <a:prstGeom prst="rect">
                        <a:avLst/>
                      </a:prstGeom>
                      <a:noFill/>
                      <a:ln>
                        <a:noFill/>
                      </a:ln>
                    </wps:spPr>
                    <wps:txbx>
                      <w:txbxContent>
                        <w:p w14:paraId="6693C271" w14:textId="4D9763DC" w:rsidR="000926D8" w:rsidRPr="000926D8" w:rsidRDefault="000926D8" w:rsidP="000926D8">
                          <w:pPr>
                            <w:rPr>
                              <w:rFonts w:ascii="Aptos" w:eastAsia="Aptos" w:hAnsi="Aptos" w:cs="Aptos"/>
                              <w:noProof/>
                              <w:color w:val="000000"/>
                            </w:rPr>
                          </w:pPr>
                          <w:r w:rsidRPr="000926D8">
                            <w:rPr>
                              <w:rFonts w:ascii="Aptos" w:eastAsia="Aptos" w:hAnsi="Aptos" w:cs="Aptos"/>
                              <w:noProof/>
                              <w:color w:val="00000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DDC758" id="_x0000_t202" coordsize="21600,21600" o:spt="202" path="m,l,21600r21600,l21600,xe">
              <v:stroke joinstyle="miter"/>
              <v:path gradientshapeok="t" o:connecttype="rect"/>
            </v:shapetype>
            <v:shape id="Text Box 2" o:spid="_x0000_s1026" type="#_x0000_t202" alt="NO RESTRICTIONS" style="position:absolute;margin-left:0;margin-top:0;width:10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" filled="f" stroked="f">
              <v:fill o:detectmouseclick="t"/>
              <v:textbox style="mso-fit-shape-to-text:t" inset="20pt,15pt,0,0">
                <w:txbxContent>
                  <w:p w14:paraId="6693C271" w14:textId="4D9763DC" w:rsidR="000926D8" w:rsidRPr="000926D8" w:rsidRDefault="000926D8" w:rsidP="000926D8">
                    <w:pPr>
                      <w:rPr>
                        <w:rFonts w:ascii="Aptos" w:eastAsia="Aptos" w:hAnsi="Aptos" w:cs="Aptos"/>
                        <w:noProof/>
                        <w:color w:val="000000"/>
                      </w:rPr>
                    </w:pPr>
                    <w:r w:rsidRPr="000926D8">
                      <w:rPr>
                        <w:rFonts w:ascii="Aptos" w:eastAsia="Aptos" w:hAnsi="Aptos" w:cs="Aptos"/>
                        <w:noProof/>
                        <w:color w:val="00000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5E82" w14:textId="178B2CDD" w:rsidR="007E7E02" w:rsidRPr="007E7E02" w:rsidRDefault="000926D8">
    <w:pPr>
      <w:pStyle w:val="Header"/>
      <w:rPr>
        <w:rFonts w:ascii="Arabic Typesetting" w:hAnsi="Arabic Typesetting" w:cs="Arabic Typesetting"/>
      </w:rPr>
    </w:pPr>
    <w:r>
      <w:rPr>
        <w:rFonts w:ascii="Arabic Typesetting" w:hAnsi="Arabic Typesetting" w:cs="Arabic Typesetting"/>
        <w:noProof/>
      </w:rPr>
      <mc:AlternateContent>
        <mc:Choice Requires="wps">
          <w:drawing>
            <wp:anchor distT="0" distB="0" distL="0" distR="0" simplePos="0" relativeHeight="251660288" behindDoc="0" locked="0" layoutInCell="1" allowOverlap="1" wp14:anchorId="5144CF2F" wp14:editId="3D3A04E8">
              <wp:simplePos x="914400" y="450850"/>
              <wp:positionH relativeFrom="page">
                <wp:align>left</wp:align>
              </wp:positionH>
              <wp:positionV relativeFrom="page">
                <wp:align>top</wp:align>
              </wp:positionV>
              <wp:extent cx="1289050" cy="345440"/>
              <wp:effectExtent l="0" t="0" r="6350" b="16510"/>
              <wp:wrapNone/>
              <wp:docPr id="183014638"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45440"/>
                      </a:xfrm>
                      <a:prstGeom prst="rect">
                        <a:avLst/>
                      </a:prstGeom>
                      <a:noFill/>
                      <a:ln>
                        <a:noFill/>
                      </a:ln>
                    </wps:spPr>
                    <wps:txbx>
                      <w:txbxContent>
                        <w:p w14:paraId="7379EDE6" w14:textId="27A88C43" w:rsidR="000926D8" w:rsidRPr="000926D8" w:rsidRDefault="000926D8" w:rsidP="000926D8">
                          <w:pPr>
                            <w:rPr>
                              <w:rFonts w:ascii="Aptos" w:eastAsia="Aptos" w:hAnsi="Aptos" w:cs="Aptos"/>
                              <w:noProof/>
                              <w:color w:val="000000"/>
                            </w:rPr>
                          </w:pPr>
                          <w:r w:rsidRPr="000926D8">
                            <w:rPr>
                              <w:rFonts w:ascii="Aptos" w:eastAsia="Aptos" w:hAnsi="Aptos" w:cs="Aptos"/>
                              <w:noProof/>
                              <w:color w:val="00000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44CF2F" id="_x0000_t202" coordsize="21600,21600" o:spt="202" path="m,l,21600r21600,l21600,xe">
              <v:stroke joinstyle="miter"/>
              <v:path gradientshapeok="t" o:connecttype="rect"/>
            </v:shapetype>
            <v:shape id="Text Box 3" o:spid="_x0000_s1027" type="#_x0000_t202" alt="NO RESTRICTIONS" style="position:absolute;margin-left:0;margin-top:0;width:10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" filled="f" stroked="f">
              <v:fill o:detectmouseclick="t"/>
              <v:textbox style="mso-fit-shape-to-text:t" inset="20pt,15pt,0,0">
                <w:txbxContent>
                  <w:p w14:paraId="7379EDE6" w14:textId="27A88C43" w:rsidR="000926D8" w:rsidRPr="000926D8" w:rsidRDefault="000926D8" w:rsidP="000926D8">
                    <w:pPr>
                      <w:rPr>
                        <w:rFonts w:ascii="Aptos" w:eastAsia="Aptos" w:hAnsi="Aptos" w:cs="Aptos"/>
                        <w:noProof/>
                        <w:color w:val="000000"/>
                      </w:rPr>
                    </w:pPr>
                    <w:r w:rsidRPr="000926D8">
                      <w:rPr>
                        <w:rFonts w:ascii="Aptos" w:eastAsia="Aptos" w:hAnsi="Aptos" w:cs="Aptos"/>
                        <w:noProof/>
                        <w:color w:val="00000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2230" w14:textId="670FC51B" w:rsidR="005B3936" w:rsidRDefault="000926D8">
    <w:pPr>
      <w:pStyle w:val="Header"/>
    </w:pPr>
    <w:r>
      <w:rPr>
        <w:noProof/>
      </w:rPr>
      <mc:AlternateContent>
        <mc:Choice Requires="wps">
          <w:drawing>
            <wp:anchor distT="0" distB="0" distL="0" distR="0" simplePos="0" relativeHeight="251658240" behindDoc="0" locked="0" layoutInCell="1" allowOverlap="1" wp14:anchorId="63099DC2" wp14:editId="012FD3F5">
              <wp:simplePos x="635" y="635"/>
              <wp:positionH relativeFrom="page">
                <wp:align>left</wp:align>
              </wp:positionH>
              <wp:positionV relativeFrom="page">
                <wp:align>top</wp:align>
              </wp:positionV>
              <wp:extent cx="1289050" cy="345440"/>
              <wp:effectExtent l="0" t="0" r="6350" b="16510"/>
              <wp:wrapNone/>
              <wp:docPr id="1751293855"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45440"/>
                      </a:xfrm>
                      <a:prstGeom prst="rect">
                        <a:avLst/>
                      </a:prstGeom>
                      <a:noFill/>
                      <a:ln>
                        <a:noFill/>
                      </a:ln>
                    </wps:spPr>
                    <wps:txbx>
                      <w:txbxContent>
                        <w:p w14:paraId="34492E23" w14:textId="767BC6B0" w:rsidR="000926D8" w:rsidRPr="000926D8" w:rsidRDefault="000926D8" w:rsidP="000926D8">
                          <w:pPr>
                            <w:rPr>
                              <w:rFonts w:ascii="Aptos" w:eastAsia="Aptos" w:hAnsi="Aptos" w:cs="Aptos"/>
                              <w:noProof/>
                              <w:color w:val="000000"/>
                            </w:rPr>
                          </w:pPr>
                          <w:r w:rsidRPr="000926D8">
                            <w:rPr>
                              <w:rFonts w:ascii="Aptos" w:eastAsia="Aptos" w:hAnsi="Aptos" w:cs="Aptos"/>
                              <w:noProof/>
                              <w:color w:val="00000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099DC2" id="_x0000_t202" coordsize="21600,21600" o:spt="202" path="m,l,21600r21600,l21600,xe">
              <v:stroke joinstyle="miter"/>
              <v:path gradientshapeok="t" o:connecttype="rect"/>
            </v:shapetype>
            <v:shape id="Text Box 1" o:spid="_x0000_s1028" type="#_x0000_t202" alt="NO RESTRICTIONS" style="position:absolute;margin-left:0;margin-top:0;width:10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" filled="f" stroked="f">
              <v:fill o:detectmouseclick="t"/>
              <v:textbox style="mso-fit-shape-to-text:t" inset="20pt,15pt,0,0">
                <w:txbxContent>
                  <w:p w14:paraId="34492E23" w14:textId="767BC6B0" w:rsidR="000926D8" w:rsidRPr="000926D8" w:rsidRDefault="000926D8" w:rsidP="000926D8">
                    <w:pPr>
                      <w:rPr>
                        <w:rFonts w:ascii="Aptos" w:eastAsia="Aptos" w:hAnsi="Aptos" w:cs="Aptos"/>
                        <w:noProof/>
                        <w:color w:val="000000"/>
                      </w:rPr>
                    </w:pPr>
                    <w:r w:rsidRPr="000926D8">
                      <w:rPr>
                        <w:rFonts w:ascii="Aptos" w:eastAsia="Aptos" w:hAnsi="Aptos" w:cs="Aptos"/>
                        <w:noProof/>
                        <w:color w:val="00000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75F0"/>
    <w:multiLevelType w:val="hybridMultilevel"/>
    <w:tmpl w:val="95C2C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696BB8"/>
    <w:multiLevelType w:val="hybridMultilevel"/>
    <w:tmpl w:val="716A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D108A"/>
    <w:multiLevelType w:val="hybridMultilevel"/>
    <w:tmpl w:val="8514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12498"/>
    <w:multiLevelType w:val="hybridMultilevel"/>
    <w:tmpl w:val="385C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C3237"/>
    <w:multiLevelType w:val="hybridMultilevel"/>
    <w:tmpl w:val="C64E314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F28C3"/>
    <w:multiLevelType w:val="hybridMultilevel"/>
    <w:tmpl w:val="AADE7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01A77"/>
    <w:multiLevelType w:val="multilevel"/>
    <w:tmpl w:val="9652775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5B5E6A"/>
    <w:multiLevelType w:val="hybridMultilevel"/>
    <w:tmpl w:val="8CF4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57EE2"/>
    <w:multiLevelType w:val="hybridMultilevel"/>
    <w:tmpl w:val="2FEC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E658C"/>
    <w:multiLevelType w:val="hybridMultilevel"/>
    <w:tmpl w:val="94EA8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7A48D2"/>
    <w:multiLevelType w:val="hybridMultilevel"/>
    <w:tmpl w:val="C6986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A5430"/>
    <w:multiLevelType w:val="hybridMultilevel"/>
    <w:tmpl w:val="16F658AE"/>
    <w:lvl w:ilvl="0" w:tplc="0FA8F2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244C51"/>
    <w:multiLevelType w:val="hybridMultilevel"/>
    <w:tmpl w:val="0FCE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667E0B"/>
    <w:multiLevelType w:val="hybridMultilevel"/>
    <w:tmpl w:val="10AA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9D1EE9"/>
    <w:multiLevelType w:val="hybridMultilevel"/>
    <w:tmpl w:val="1244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D3491E"/>
    <w:multiLevelType w:val="hybridMultilevel"/>
    <w:tmpl w:val="6B3E8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CB0675"/>
    <w:multiLevelType w:val="hybridMultilevel"/>
    <w:tmpl w:val="EF6A577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C00951"/>
    <w:multiLevelType w:val="hybridMultilevel"/>
    <w:tmpl w:val="2C7AC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2171D6"/>
    <w:multiLevelType w:val="hybridMultilevel"/>
    <w:tmpl w:val="FF063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B114FB"/>
    <w:multiLevelType w:val="hybridMultilevel"/>
    <w:tmpl w:val="51B2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E967FB"/>
    <w:multiLevelType w:val="multilevel"/>
    <w:tmpl w:val="2BE414BA"/>
    <w:lvl w:ilvl="0">
      <w:start w:val="1"/>
      <w:numFmt w:val="decimal"/>
      <w:suff w:val="space"/>
      <w:lvlText w:val="%1."/>
      <w:lvlJc w:val="left"/>
      <w:pPr>
        <w:ind w:left="567" w:hanging="567"/>
      </w:pPr>
      <w:rPr>
        <w:rFonts w:hint="default"/>
      </w:rPr>
    </w:lvl>
    <w:lvl w:ilvl="1">
      <w:start w:val="3"/>
      <w:numFmt w:val="decimal"/>
      <w:isLgl/>
      <w:lvlText w:val="%1.%2."/>
      <w:lvlJc w:val="left"/>
      <w:pPr>
        <w:ind w:left="1004" w:hanging="720"/>
      </w:pPr>
      <w:rPr>
        <w:rFonts w:hint="default"/>
      </w:rPr>
    </w:lvl>
    <w:lvl w:ilvl="2">
      <w:start w:val="1"/>
      <w:numFmt w:val="bullet"/>
      <w:lvlText w:val=""/>
      <w:lvlJc w:val="left"/>
      <w:pPr>
        <w:ind w:left="928" w:hanging="360"/>
      </w:pPr>
      <w:rPr>
        <w:rFonts w:ascii="Symbol" w:hAnsi="Symbol"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432" w:hanging="2160"/>
      </w:pPr>
      <w:rPr>
        <w:rFonts w:hint="default"/>
      </w:rPr>
    </w:lvl>
  </w:abstractNum>
  <w:abstractNum w:abstractNumId="21" w15:restartNumberingAfterBreak="0">
    <w:nsid w:val="78B34E67"/>
    <w:multiLevelType w:val="hybridMultilevel"/>
    <w:tmpl w:val="7D92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2258B1"/>
    <w:multiLevelType w:val="hybridMultilevel"/>
    <w:tmpl w:val="4808A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8E50E8"/>
    <w:multiLevelType w:val="hybridMultilevel"/>
    <w:tmpl w:val="5F40802C"/>
    <w:lvl w:ilvl="0" w:tplc="78B8D10E">
      <w:start w:val="1"/>
      <w:numFmt w:val="bullet"/>
      <w:lvlText w:val=""/>
      <w:lvlJc w:val="left"/>
      <w:pPr>
        <w:ind w:left="720" w:hanging="360"/>
      </w:pPr>
      <w:rPr>
        <w:rFonts w:ascii="Symbol" w:hAnsi="Symbol" w:hint="default"/>
      </w:rPr>
    </w:lvl>
    <w:lvl w:ilvl="1" w:tplc="8F60DF1A">
      <w:start w:val="1"/>
      <w:numFmt w:val="bullet"/>
      <w:lvlText w:val="o"/>
      <w:lvlJc w:val="left"/>
      <w:pPr>
        <w:ind w:left="1440" w:hanging="360"/>
      </w:pPr>
      <w:rPr>
        <w:rFonts w:ascii="Courier New" w:hAnsi="Courier New" w:hint="default"/>
      </w:rPr>
    </w:lvl>
    <w:lvl w:ilvl="2" w:tplc="AC1061E2">
      <w:start w:val="1"/>
      <w:numFmt w:val="bullet"/>
      <w:lvlText w:val=""/>
      <w:lvlJc w:val="left"/>
      <w:pPr>
        <w:ind w:left="2160" w:hanging="360"/>
      </w:pPr>
      <w:rPr>
        <w:rFonts w:ascii="Wingdings" w:hAnsi="Wingdings" w:hint="default"/>
      </w:rPr>
    </w:lvl>
    <w:lvl w:ilvl="3" w:tplc="7918FCB8">
      <w:start w:val="1"/>
      <w:numFmt w:val="bullet"/>
      <w:lvlText w:val=""/>
      <w:lvlJc w:val="left"/>
      <w:pPr>
        <w:ind w:left="2880" w:hanging="360"/>
      </w:pPr>
      <w:rPr>
        <w:rFonts w:ascii="Symbol" w:hAnsi="Symbol" w:hint="default"/>
      </w:rPr>
    </w:lvl>
    <w:lvl w:ilvl="4" w:tplc="DD2A46FE">
      <w:start w:val="1"/>
      <w:numFmt w:val="bullet"/>
      <w:lvlText w:val="o"/>
      <w:lvlJc w:val="left"/>
      <w:pPr>
        <w:ind w:left="3600" w:hanging="360"/>
      </w:pPr>
      <w:rPr>
        <w:rFonts w:ascii="Courier New" w:hAnsi="Courier New" w:hint="default"/>
      </w:rPr>
    </w:lvl>
    <w:lvl w:ilvl="5" w:tplc="D93A076A">
      <w:start w:val="1"/>
      <w:numFmt w:val="bullet"/>
      <w:lvlText w:val=""/>
      <w:lvlJc w:val="left"/>
      <w:pPr>
        <w:ind w:left="4320" w:hanging="360"/>
      </w:pPr>
      <w:rPr>
        <w:rFonts w:ascii="Wingdings" w:hAnsi="Wingdings" w:hint="default"/>
      </w:rPr>
    </w:lvl>
    <w:lvl w:ilvl="6" w:tplc="E8AC9ACE">
      <w:start w:val="1"/>
      <w:numFmt w:val="bullet"/>
      <w:lvlText w:val=""/>
      <w:lvlJc w:val="left"/>
      <w:pPr>
        <w:ind w:left="5040" w:hanging="360"/>
      </w:pPr>
      <w:rPr>
        <w:rFonts w:ascii="Symbol" w:hAnsi="Symbol" w:hint="default"/>
      </w:rPr>
    </w:lvl>
    <w:lvl w:ilvl="7" w:tplc="4A0AC92E">
      <w:start w:val="1"/>
      <w:numFmt w:val="bullet"/>
      <w:lvlText w:val="o"/>
      <w:lvlJc w:val="left"/>
      <w:pPr>
        <w:ind w:left="5760" w:hanging="360"/>
      </w:pPr>
      <w:rPr>
        <w:rFonts w:ascii="Courier New" w:hAnsi="Courier New" w:hint="default"/>
      </w:rPr>
    </w:lvl>
    <w:lvl w:ilvl="8" w:tplc="8D42C26C">
      <w:start w:val="1"/>
      <w:numFmt w:val="bullet"/>
      <w:lvlText w:val=""/>
      <w:lvlJc w:val="left"/>
      <w:pPr>
        <w:ind w:left="6480" w:hanging="360"/>
      </w:pPr>
      <w:rPr>
        <w:rFonts w:ascii="Wingdings" w:hAnsi="Wingdings" w:hint="default"/>
      </w:rPr>
    </w:lvl>
  </w:abstractNum>
  <w:num w:numId="1" w16cid:durableId="239217652">
    <w:abstractNumId w:val="23"/>
  </w:num>
  <w:num w:numId="2" w16cid:durableId="943806328">
    <w:abstractNumId w:val="6"/>
  </w:num>
  <w:num w:numId="3" w16cid:durableId="1747263894">
    <w:abstractNumId w:val="18"/>
  </w:num>
  <w:num w:numId="4" w16cid:durableId="1327896767">
    <w:abstractNumId w:val="2"/>
  </w:num>
  <w:num w:numId="5" w16cid:durableId="1411777975">
    <w:abstractNumId w:val="4"/>
  </w:num>
  <w:num w:numId="6" w16cid:durableId="1734349978">
    <w:abstractNumId w:val="17"/>
  </w:num>
  <w:num w:numId="7" w16cid:durableId="153305063">
    <w:abstractNumId w:val="1"/>
  </w:num>
  <w:num w:numId="8" w16cid:durableId="44766981">
    <w:abstractNumId w:val="21"/>
  </w:num>
  <w:num w:numId="9" w16cid:durableId="852063588">
    <w:abstractNumId w:val="3"/>
  </w:num>
  <w:num w:numId="10" w16cid:durableId="52849904">
    <w:abstractNumId w:val="16"/>
  </w:num>
  <w:num w:numId="11" w16cid:durableId="1571964268">
    <w:abstractNumId w:val="22"/>
  </w:num>
  <w:num w:numId="12" w16cid:durableId="1765762854">
    <w:abstractNumId w:val="13"/>
  </w:num>
  <w:num w:numId="13" w16cid:durableId="350649607">
    <w:abstractNumId w:val="11"/>
  </w:num>
  <w:num w:numId="14" w16cid:durableId="552431307">
    <w:abstractNumId w:val="9"/>
  </w:num>
  <w:num w:numId="15" w16cid:durableId="647905677">
    <w:abstractNumId w:val="0"/>
  </w:num>
  <w:num w:numId="16" w16cid:durableId="489096861">
    <w:abstractNumId w:val="15"/>
  </w:num>
  <w:num w:numId="17" w16cid:durableId="1495024552">
    <w:abstractNumId w:val="12"/>
  </w:num>
  <w:num w:numId="18" w16cid:durableId="378018479">
    <w:abstractNumId w:val="20"/>
  </w:num>
  <w:num w:numId="19" w16cid:durableId="560866785">
    <w:abstractNumId w:val="5"/>
  </w:num>
  <w:num w:numId="20" w16cid:durableId="2081975766">
    <w:abstractNumId w:val="19"/>
  </w:num>
  <w:num w:numId="21" w16cid:durableId="855848465">
    <w:abstractNumId w:val="14"/>
  </w:num>
  <w:num w:numId="22" w16cid:durableId="1624069126">
    <w:abstractNumId w:val="7"/>
  </w:num>
  <w:num w:numId="23" w16cid:durableId="689726508">
    <w:abstractNumId w:val="10"/>
  </w:num>
  <w:num w:numId="24" w16cid:durableId="177146517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9C"/>
    <w:rsid w:val="00000BD9"/>
    <w:rsid w:val="00001AE1"/>
    <w:rsid w:val="00002466"/>
    <w:rsid w:val="00003D5F"/>
    <w:rsid w:val="00004656"/>
    <w:rsid w:val="00004815"/>
    <w:rsid w:val="00005D68"/>
    <w:rsid w:val="00007477"/>
    <w:rsid w:val="000105DD"/>
    <w:rsid w:val="00011039"/>
    <w:rsid w:val="00014E32"/>
    <w:rsid w:val="00015696"/>
    <w:rsid w:val="00016D0C"/>
    <w:rsid w:val="000206FA"/>
    <w:rsid w:val="00024921"/>
    <w:rsid w:val="00024F34"/>
    <w:rsid w:val="000253B8"/>
    <w:rsid w:val="00026AA3"/>
    <w:rsid w:val="00030E6B"/>
    <w:rsid w:val="00031B4D"/>
    <w:rsid w:val="00033462"/>
    <w:rsid w:val="00036418"/>
    <w:rsid w:val="00037966"/>
    <w:rsid w:val="0004124A"/>
    <w:rsid w:val="00044164"/>
    <w:rsid w:val="00047D91"/>
    <w:rsid w:val="00050843"/>
    <w:rsid w:val="000520FF"/>
    <w:rsid w:val="00052581"/>
    <w:rsid w:val="00053696"/>
    <w:rsid w:val="00054325"/>
    <w:rsid w:val="0005714A"/>
    <w:rsid w:val="00062D55"/>
    <w:rsid w:val="00062DE5"/>
    <w:rsid w:val="000633A3"/>
    <w:rsid w:val="00065576"/>
    <w:rsid w:val="00071041"/>
    <w:rsid w:val="0007199E"/>
    <w:rsid w:val="00072999"/>
    <w:rsid w:val="00073C5E"/>
    <w:rsid w:val="00074317"/>
    <w:rsid w:val="00077BAD"/>
    <w:rsid w:val="00080044"/>
    <w:rsid w:val="00083BF3"/>
    <w:rsid w:val="00083D40"/>
    <w:rsid w:val="000854C1"/>
    <w:rsid w:val="00085831"/>
    <w:rsid w:val="00091180"/>
    <w:rsid w:val="000914C3"/>
    <w:rsid w:val="00091B6E"/>
    <w:rsid w:val="000926D8"/>
    <w:rsid w:val="00092D03"/>
    <w:rsid w:val="00093934"/>
    <w:rsid w:val="000943EE"/>
    <w:rsid w:val="00095644"/>
    <w:rsid w:val="000975FB"/>
    <w:rsid w:val="00097BD1"/>
    <w:rsid w:val="000A3861"/>
    <w:rsid w:val="000A46A3"/>
    <w:rsid w:val="000A722C"/>
    <w:rsid w:val="000A742B"/>
    <w:rsid w:val="000B1A86"/>
    <w:rsid w:val="000B2B1C"/>
    <w:rsid w:val="000B31B3"/>
    <w:rsid w:val="000B4F9E"/>
    <w:rsid w:val="000C5581"/>
    <w:rsid w:val="000C5824"/>
    <w:rsid w:val="000C7B32"/>
    <w:rsid w:val="000C7BC8"/>
    <w:rsid w:val="000D0308"/>
    <w:rsid w:val="000D0EE8"/>
    <w:rsid w:val="000D1DDE"/>
    <w:rsid w:val="000D20D1"/>
    <w:rsid w:val="000E02A7"/>
    <w:rsid w:val="000E0C17"/>
    <w:rsid w:val="000E1CC6"/>
    <w:rsid w:val="000E3CC4"/>
    <w:rsid w:val="000E4AE9"/>
    <w:rsid w:val="000E5B34"/>
    <w:rsid w:val="000E6D24"/>
    <w:rsid w:val="000F1B25"/>
    <w:rsid w:val="000F24A4"/>
    <w:rsid w:val="000F3EFF"/>
    <w:rsid w:val="000F4CD2"/>
    <w:rsid w:val="00100346"/>
    <w:rsid w:val="001009D1"/>
    <w:rsid w:val="00103A52"/>
    <w:rsid w:val="001065D7"/>
    <w:rsid w:val="00107B22"/>
    <w:rsid w:val="00111482"/>
    <w:rsid w:val="00111910"/>
    <w:rsid w:val="00113D68"/>
    <w:rsid w:val="00120269"/>
    <w:rsid w:val="00120775"/>
    <w:rsid w:val="00120BDD"/>
    <w:rsid w:val="00120F32"/>
    <w:rsid w:val="00121F26"/>
    <w:rsid w:val="001229ED"/>
    <w:rsid w:val="00122A21"/>
    <w:rsid w:val="0012422A"/>
    <w:rsid w:val="00124259"/>
    <w:rsid w:val="001266E4"/>
    <w:rsid w:val="001367D4"/>
    <w:rsid w:val="00136A6A"/>
    <w:rsid w:val="00137340"/>
    <w:rsid w:val="00137DF5"/>
    <w:rsid w:val="00142E8F"/>
    <w:rsid w:val="00142EF4"/>
    <w:rsid w:val="00145FA7"/>
    <w:rsid w:val="00146990"/>
    <w:rsid w:val="00146DA6"/>
    <w:rsid w:val="00146DF9"/>
    <w:rsid w:val="001478E4"/>
    <w:rsid w:val="00147AA6"/>
    <w:rsid w:val="00150970"/>
    <w:rsid w:val="001512DC"/>
    <w:rsid w:val="001528F2"/>
    <w:rsid w:val="00153282"/>
    <w:rsid w:val="00154172"/>
    <w:rsid w:val="0015669D"/>
    <w:rsid w:val="00157D7F"/>
    <w:rsid w:val="001627B4"/>
    <w:rsid w:val="001635D0"/>
    <w:rsid w:val="001658FD"/>
    <w:rsid w:val="00166AE4"/>
    <w:rsid w:val="00170217"/>
    <w:rsid w:val="00170E80"/>
    <w:rsid w:val="00170FF6"/>
    <w:rsid w:val="001716A5"/>
    <w:rsid w:val="0017531C"/>
    <w:rsid w:val="00175A92"/>
    <w:rsid w:val="00177D71"/>
    <w:rsid w:val="0018136C"/>
    <w:rsid w:val="00182584"/>
    <w:rsid w:val="00182626"/>
    <w:rsid w:val="00184A5C"/>
    <w:rsid w:val="0018511E"/>
    <w:rsid w:val="0018645F"/>
    <w:rsid w:val="001875F2"/>
    <w:rsid w:val="00190571"/>
    <w:rsid w:val="00190F5C"/>
    <w:rsid w:val="001935B2"/>
    <w:rsid w:val="00194B5D"/>
    <w:rsid w:val="001950C5"/>
    <w:rsid w:val="00197059"/>
    <w:rsid w:val="001A14A5"/>
    <w:rsid w:val="001A4AC4"/>
    <w:rsid w:val="001A581B"/>
    <w:rsid w:val="001A7ACB"/>
    <w:rsid w:val="001A7BF4"/>
    <w:rsid w:val="001B1FF0"/>
    <w:rsid w:val="001B2EDB"/>
    <w:rsid w:val="001C186C"/>
    <w:rsid w:val="001C71D9"/>
    <w:rsid w:val="001C78E3"/>
    <w:rsid w:val="001C7941"/>
    <w:rsid w:val="001D2405"/>
    <w:rsid w:val="001D35BF"/>
    <w:rsid w:val="001D3F63"/>
    <w:rsid w:val="001D449E"/>
    <w:rsid w:val="001D50D2"/>
    <w:rsid w:val="001D5C14"/>
    <w:rsid w:val="001D6D82"/>
    <w:rsid w:val="001D73DB"/>
    <w:rsid w:val="001E06F8"/>
    <w:rsid w:val="001E13B7"/>
    <w:rsid w:val="001E1D9D"/>
    <w:rsid w:val="001E54BD"/>
    <w:rsid w:val="001F0648"/>
    <w:rsid w:val="001F192D"/>
    <w:rsid w:val="001F21E9"/>
    <w:rsid w:val="001F2AA4"/>
    <w:rsid w:val="001F3F64"/>
    <w:rsid w:val="001F4108"/>
    <w:rsid w:val="001F45FA"/>
    <w:rsid w:val="001F6AC1"/>
    <w:rsid w:val="0020032B"/>
    <w:rsid w:val="002015B8"/>
    <w:rsid w:val="00201738"/>
    <w:rsid w:val="00205CA4"/>
    <w:rsid w:val="00211A5A"/>
    <w:rsid w:val="002124D6"/>
    <w:rsid w:val="00213152"/>
    <w:rsid w:val="002131A4"/>
    <w:rsid w:val="0021340E"/>
    <w:rsid w:val="00216496"/>
    <w:rsid w:val="00216ED4"/>
    <w:rsid w:val="00220473"/>
    <w:rsid w:val="002210D5"/>
    <w:rsid w:val="002219AB"/>
    <w:rsid w:val="00221A8D"/>
    <w:rsid w:val="002245A3"/>
    <w:rsid w:val="00226E6D"/>
    <w:rsid w:val="0023053C"/>
    <w:rsid w:val="0023777B"/>
    <w:rsid w:val="0024153F"/>
    <w:rsid w:val="002440FA"/>
    <w:rsid w:val="002467BD"/>
    <w:rsid w:val="00252EFB"/>
    <w:rsid w:val="00253A2F"/>
    <w:rsid w:val="00255D20"/>
    <w:rsid w:val="00257D23"/>
    <w:rsid w:val="00260B45"/>
    <w:rsid w:val="002623F5"/>
    <w:rsid w:val="0026341A"/>
    <w:rsid w:val="00265A29"/>
    <w:rsid w:val="00265F92"/>
    <w:rsid w:val="00266FC9"/>
    <w:rsid w:val="00267612"/>
    <w:rsid w:val="00272D80"/>
    <w:rsid w:val="00273171"/>
    <w:rsid w:val="00274365"/>
    <w:rsid w:val="00275F8B"/>
    <w:rsid w:val="00276FDB"/>
    <w:rsid w:val="00277B36"/>
    <w:rsid w:val="00281A6F"/>
    <w:rsid w:val="002855E1"/>
    <w:rsid w:val="00286379"/>
    <w:rsid w:val="002903B2"/>
    <w:rsid w:val="00291220"/>
    <w:rsid w:val="00292517"/>
    <w:rsid w:val="0029383D"/>
    <w:rsid w:val="00293C15"/>
    <w:rsid w:val="00297930"/>
    <w:rsid w:val="002A1A6E"/>
    <w:rsid w:val="002A1DED"/>
    <w:rsid w:val="002A2694"/>
    <w:rsid w:val="002A4DD0"/>
    <w:rsid w:val="002A6E20"/>
    <w:rsid w:val="002A7B09"/>
    <w:rsid w:val="002B1A8C"/>
    <w:rsid w:val="002B216E"/>
    <w:rsid w:val="002B5FE1"/>
    <w:rsid w:val="002B6CED"/>
    <w:rsid w:val="002C0CE8"/>
    <w:rsid w:val="002C333A"/>
    <w:rsid w:val="002C3EE9"/>
    <w:rsid w:val="002C4EB4"/>
    <w:rsid w:val="002C68C0"/>
    <w:rsid w:val="002D010A"/>
    <w:rsid w:val="002D0A93"/>
    <w:rsid w:val="002D5286"/>
    <w:rsid w:val="002D6DBE"/>
    <w:rsid w:val="002E1654"/>
    <w:rsid w:val="002E3E78"/>
    <w:rsid w:val="002E5C5B"/>
    <w:rsid w:val="002E5C92"/>
    <w:rsid w:val="002E60EF"/>
    <w:rsid w:val="002E70B5"/>
    <w:rsid w:val="002E7794"/>
    <w:rsid w:val="002F1114"/>
    <w:rsid w:val="002F1F60"/>
    <w:rsid w:val="002F2064"/>
    <w:rsid w:val="002F38B0"/>
    <w:rsid w:val="002F5FBB"/>
    <w:rsid w:val="002F7320"/>
    <w:rsid w:val="00300725"/>
    <w:rsid w:val="003008B9"/>
    <w:rsid w:val="00302AF9"/>
    <w:rsid w:val="0030315A"/>
    <w:rsid w:val="003072C8"/>
    <w:rsid w:val="003076E2"/>
    <w:rsid w:val="00311F6B"/>
    <w:rsid w:val="00312825"/>
    <w:rsid w:val="00313F66"/>
    <w:rsid w:val="0031581E"/>
    <w:rsid w:val="003159E8"/>
    <w:rsid w:val="003174B5"/>
    <w:rsid w:val="00317F0D"/>
    <w:rsid w:val="003200EB"/>
    <w:rsid w:val="003201F4"/>
    <w:rsid w:val="0032211F"/>
    <w:rsid w:val="0032452C"/>
    <w:rsid w:val="00325426"/>
    <w:rsid w:val="003257B8"/>
    <w:rsid w:val="00326F4B"/>
    <w:rsid w:val="003319BB"/>
    <w:rsid w:val="00331D71"/>
    <w:rsid w:val="00332CB0"/>
    <w:rsid w:val="003331F8"/>
    <w:rsid w:val="00333AD2"/>
    <w:rsid w:val="00335E32"/>
    <w:rsid w:val="003403A8"/>
    <w:rsid w:val="0034050B"/>
    <w:rsid w:val="00340E1E"/>
    <w:rsid w:val="00341D77"/>
    <w:rsid w:val="00342B5C"/>
    <w:rsid w:val="00342F0F"/>
    <w:rsid w:val="003435B9"/>
    <w:rsid w:val="003438BC"/>
    <w:rsid w:val="00345898"/>
    <w:rsid w:val="003470FB"/>
    <w:rsid w:val="0035294D"/>
    <w:rsid w:val="00356842"/>
    <w:rsid w:val="003609A9"/>
    <w:rsid w:val="0036207D"/>
    <w:rsid w:val="00364CD4"/>
    <w:rsid w:val="00366D38"/>
    <w:rsid w:val="00366F79"/>
    <w:rsid w:val="0036774F"/>
    <w:rsid w:val="00367B8B"/>
    <w:rsid w:val="00373485"/>
    <w:rsid w:val="00376195"/>
    <w:rsid w:val="00380593"/>
    <w:rsid w:val="00381BFC"/>
    <w:rsid w:val="00382994"/>
    <w:rsid w:val="00382A3A"/>
    <w:rsid w:val="00383709"/>
    <w:rsid w:val="00383A73"/>
    <w:rsid w:val="00384BF7"/>
    <w:rsid w:val="00385F0D"/>
    <w:rsid w:val="00390D1F"/>
    <w:rsid w:val="0039111E"/>
    <w:rsid w:val="0039159C"/>
    <w:rsid w:val="003954C7"/>
    <w:rsid w:val="00395631"/>
    <w:rsid w:val="003A0BEB"/>
    <w:rsid w:val="003A3407"/>
    <w:rsid w:val="003B0068"/>
    <w:rsid w:val="003B2D67"/>
    <w:rsid w:val="003B2EA1"/>
    <w:rsid w:val="003B535F"/>
    <w:rsid w:val="003B72F5"/>
    <w:rsid w:val="003B78DD"/>
    <w:rsid w:val="003C00A2"/>
    <w:rsid w:val="003C066A"/>
    <w:rsid w:val="003C11C8"/>
    <w:rsid w:val="003C1747"/>
    <w:rsid w:val="003C2155"/>
    <w:rsid w:val="003C2EF8"/>
    <w:rsid w:val="003C4822"/>
    <w:rsid w:val="003C5B19"/>
    <w:rsid w:val="003D104C"/>
    <w:rsid w:val="003D1FC4"/>
    <w:rsid w:val="003D2A64"/>
    <w:rsid w:val="003D6008"/>
    <w:rsid w:val="003D717E"/>
    <w:rsid w:val="003D7AE8"/>
    <w:rsid w:val="003E0AAA"/>
    <w:rsid w:val="003E14FA"/>
    <w:rsid w:val="003E1F6B"/>
    <w:rsid w:val="003E3FC7"/>
    <w:rsid w:val="003E49FB"/>
    <w:rsid w:val="003E5E2D"/>
    <w:rsid w:val="003E6A3A"/>
    <w:rsid w:val="003F352E"/>
    <w:rsid w:val="003F678F"/>
    <w:rsid w:val="003F7C24"/>
    <w:rsid w:val="00401F2F"/>
    <w:rsid w:val="00403994"/>
    <w:rsid w:val="00405027"/>
    <w:rsid w:val="004058AC"/>
    <w:rsid w:val="00407264"/>
    <w:rsid w:val="0040789C"/>
    <w:rsid w:val="00412ADA"/>
    <w:rsid w:val="004149EE"/>
    <w:rsid w:val="00415049"/>
    <w:rsid w:val="00415E7F"/>
    <w:rsid w:val="00415F3A"/>
    <w:rsid w:val="00416294"/>
    <w:rsid w:val="00417968"/>
    <w:rsid w:val="00417C08"/>
    <w:rsid w:val="00420388"/>
    <w:rsid w:val="00424100"/>
    <w:rsid w:val="00424B61"/>
    <w:rsid w:val="00425782"/>
    <w:rsid w:val="0042704C"/>
    <w:rsid w:val="00431A22"/>
    <w:rsid w:val="00431E8E"/>
    <w:rsid w:val="00434DCA"/>
    <w:rsid w:val="004410BA"/>
    <w:rsid w:val="0044229D"/>
    <w:rsid w:val="004444CC"/>
    <w:rsid w:val="00446363"/>
    <w:rsid w:val="004472A3"/>
    <w:rsid w:val="00447E55"/>
    <w:rsid w:val="00450B2B"/>
    <w:rsid w:val="00451C99"/>
    <w:rsid w:val="00451E21"/>
    <w:rsid w:val="004520DB"/>
    <w:rsid w:val="004528F9"/>
    <w:rsid w:val="004539C7"/>
    <w:rsid w:val="00453CD4"/>
    <w:rsid w:val="00453DBF"/>
    <w:rsid w:val="0045423E"/>
    <w:rsid w:val="00455B1C"/>
    <w:rsid w:val="00455BD6"/>
    <w:rsid w:val="00457CC6"/>
    <w:rsid w:val="00460F68"/>
    <w:rsid w:val="00461463"/>
    <w:rsid w:val="00461FCB"/>
    <w:rsid w:val="00465BA3"/>
    <w:rsid w:val="004668C7"/>
    <w:rsid w:val="00466EA3"/>
    <w:rsid w:val="00467EC4"/>
    <w:rsid w:val="00470218"/>
    <w:rsid w:val="00470C3A"/>
    <w:rsid w:val="00470EDD"/>
    <w:rsid w:val="00471E16"/>
    <w:rsid w:val="00473313"/>
    <w:rsid w:val="00476BBC"/>
    <w:rsid w:val="004776C4"/>
    <w:rsid w:val="004824BE"/>
    <w:rsid w:val="004831FE"/>
    <w:rsid w:val="00483256"/>
    <w:rsid w:val="00485D6F"/>
    <w:rsid w:val="004860D4"/>
    <w:rsid w:val="004906B8"/>
    <w:rsid w:val="00490FCE"/>
    <w:rsid w:val="004914F1"/>
    <w:rsid w:val="00492CB6"/>
    <w:rsid w:val="0049527B"/>
    <w:rsid w:val="004974DE"/>
    <w:rsid w:val="004A3D2A"/>
    <w:rsid w:val="004A44DF"/>
    <w:rsid w:val="004A5174"/>
    <w:rsid w:val="004A51D2"/>
    <w:rsid w:val="004A564D"/>
    <w:rsid w:val="004A5FAE"/>
    <w:rsid w:val="004B05AE"/>
    <w:rsid w:val="004B1AD9"/>
    <w:rsid w:val="004B235D"/>
    <w:rsid w:val="004B2F5B"/>
    <w:rsid w:val="004B304C"/>
    <w:rsid w:val="004B313B"/>
    <w:rsid w:val="004B3DDC"/>
    <w:rsid w:val="004B4423"/>
    <w:rsid w:val="004C0424"/>
    <w:rsid w:val="004C065F"/>
    <w:rsid w:val="004C1115"/>
    <w:rsid w:val="004C19E3"/>
    <w:rsid w:val="004C5CB6"/>
    <w:rsid w:val="004C636D"/>
    <w:rsid w:val="004C6DBD"/>
    <w:rsid w:val="004C7329"/>
    <w:rsid w:val="004C73AB"/>
    <w:rsid w:val="004D04C3"/>
    <w:rsid w:val="004D19B3"/>
    <w:rsid w:val="004D510D"/>
    <w:rsid w:val="004D527D"/>
    <w:rsid w:val="004D7D8C"/>
    <w:rsid w:val="004E1161"/>
    <w:rsid w:val="004E3424"/>
    <w:rsid w:val="004E6475"/>
    <w:rsid w:val="004E6C50"/>
    <w:rsid w:val="004E7611"/>
    <w:rsid w:val="004F1661"/>
    <w:rsid w:val="004F20EA"/>
    <w:rsid w:val="004F29DE"/>
    <w:rsid w:val="004F36DA"/>
    <w:rsid w:val="004F594A"/>
    <w:rsid w:val="00502410"/>
    <w:rsid w:val="00504B80"/>
    <w:rsid w:val="00504D62"/>
    <w:rsid w:val="00505C38"/>
    <w:rsid w:val="00506EF7"/>
    <w:rsid w:val="00511F65"/>
    <w:rsid w:val="00512240"/>
    <w:rsid w:val="00514178"/>
    <w:rsid w:val="0051474C"/>
    <w:rsid w:val="00514892"/>
    <w:rsid w:val="00516932"/>
    <w:rsid w:val="005218F3"/>
    <w:rsid w:val="00523990"/>
    <w:rsid w:val="00524B05"/>
    <w:rsid w:val="005276AA"/>
    <w:rsid w:val="005278FB"/>
    <w:rsid w:val="00530DFD"/>
    <w:rsid w:val="00530EE8"/>
    <w:rsid w:val="0053502C"/>
    <w:rsid w:val="005369DF"/>
    <w:rsid w:val="00537299"/>
    <w:rsid w:val="0054143B"/>
    <w:rsid w:val="00542B5D"/>
    <w:rsid w:val="00543EDE"/>
    <w:rsid w:val="005450D3"/>
    <w:rsid w:val="00545661"/>
    <w:rsid w:val="005460B3"/>
    <w:rsid w:val="00546297"/>
    <w:rsid w:val="00551784"/>
    <w:rsid w:val="00551E57"/>
    <w:rsid w:val="00554522"/>
    <w:rsid w:val="00555CB5"/>
    <w:rsid w:val="00556B78"/>
    <w:rsid w:val="00560886"/>
    <w:rsid w:val="00562061"/>
    <w:rsid w:val="00563DCE"/>
    <w:rsid w:val="005640D3"/>
    <w:rsid w:val="00565CCC"/>
    <w:rsid w:val="00565D5F"/>
    <w:rsid w:val="00565FBC"/>
    <w:rsid w:val="00566D28"/>
    <w:rsid w:val="0057148F"/>
    <w:rsid w:val="005715FB"/>
    <w:rsid w:val="005733F4"/>
    <w:rsid w:val="005752BC"/>
    <w:rsid w:val="005762B3"/>
    <w:rsid w:val="00576F05"/>
    <w:rsid w:val="0057753C"/>
    <w:rsid w:val="005815CF"/>
    <w:rsid w:val="00582975"/>
    <w:rsid w:val="00582F47"/>
    <w:rsid w:val="00583E48"/>
    <w:rsid w:val="00584FAC"/>
    <w:rsid w:val="005867B0"/>
    <w:rsid w:val="00590B3C"/>
    <w:rsid w:val="0059570C"/>
    <w:rsid w:val="00596A13"/>
    <w:rsid w:val="005A02AB"/>
    <w:rsid w:val="005A2CED"/>
    <w:rsid w:val="005A566E"/>
    <w:rsid w:val="005A614D"/>
    <w:rsid w:val="005B1B80"/>
    <w:rsid w:val="005B3936"/>
    <w:rsid w:val="005B474F"/>
    <w:rsid w:val="005B799D"/>
    <w:rsid w:val="005C2929"/>
    <w:rsid w:val="005C563E"/>
    <w:rsid w:val="005C5C71"/>
    <w:rsid w:val="005D0BB0"/>
    <w:rsid w:val="005E00C3"/>
    <w:rsid w:val="005E296A"/>
    <w:rsid w:val="005E2ABD"/>
    <w:rsid w:val="005E3873"/>
    <w:rsid w:val="005E5C0B"/>
    <w:rsid w:val="005F36FD"/>
    <w:rsid w:val="005F4198"/>
    <w:rsid w:val="005F4958"/>
    <w:rsid w:val="005F76B0"/>
    <w:rsid w:val="00600328"/>
    <w:rsid w:val="006008AB"/>
    <w:rsid w:val="006018D7"/>
    <w:rsid w:val="00601BF4"/>
    <w:rsid w:val="00601F1C"/>
    <w:rsid w:val="0060349E"/>
    <w:rsid w:val="00606B97"/>
    <w:rsid w:val="00609C89"/>
    <w:rsid w:val="0061096C"/>
    <w:rsid w:val="0061163E"/>
    <w:rsid w:val="00611AC0"/>
    <w:rsid w:val="00611B82"/>
    <w:rsid w:val="00612098"/>
    <w:rsid w:val="00612C46"/>
    <w:rsid w:val="00613D5A"/>
    <w:rsid w:val="006143C0"/>
    <w:rsid w:val="0061521D"/>
    <w:rsid w:val="0061588D"/>
    <w:rsid w:val="006160D4"/>
    <w:rsid w:val="0061769A"/>
    <w:rsid w:val="0062101D"/>
    <w:rsid w:val="006220C5"/>
    <w:rsid w:val="0062438B"/>
    <w:rsid w:val="00630D22"/>
    <w:rsid w:val="00631757"/>
    <w:rsid w:val="0063508F"/>
    <w:rsid w:val="00640F45"/>
    <w:rsid w:val="006422AB"/>
    <w:rsid w:val="0064271B"/>
    <w:rsid w:val="0064392A"/>
    <w:rsid w:val="00647EB2"/>
    <w:rsid w:val="0065124F"/>
    <w:rsid w:val="00653975"/>
    <w:rsid w:val="00654AD3"/>
    <w:rsid w:val="00655C82"/>
    <w:rsid w:val="0066122D"/>
    <w:rsid w:val="0067621A"/>
    <w:rsid w:val="006808E6"/>
    <w:rsid w:val="00682550"/>
    <w:rsid w:val="0068642F"/>
    <w:rsid w:val="00686BE4"/>
    <w:rsid w:val="006900D9"/>
    <w:rsid w:val="006902CA"/>
    <w:rsid w:val="006925C4"/>
    <w:rsid w:val="006935A1"/>
    <w:rsid w:val="00693730"/>
    <w:rsid w:val="006937B8"/>
    <w:rsid w:val="006965F1"/>
    <w:rsid w:val="00697E40"/>
    <w:rsid w:val="006A5AE4"/>
    <w:rsid w:val="006A6B05"/>
    <w:rsid w:val="006A7FFD"/>
    <w:rsid w:val="006B1065"/>
    <w:rsid w:val="006B1924"/>
    <w:rsid w:val="006B321B"/>
    <w:rsid w:val="006B3A38"/>
    <w:rsid w:val="006B5797"/>
    <w:rsid w:val="006B7126"/>
    <w:rsid w:val="006C2B2B"/>
    <w:rsid w:val="006C3814"/>
    <w:rsid w:val="006C521C"/>
    <w:rsid w:val="006C7F4E"/>
    <w:rsid w:val="006D0A1E"/>
    <w:rsid w:val="006D26DB"/>
    <w:rsid w:val="006D39E5"/>
    <w:rsid w:val="006D5115"/>
    <w:rsid w:val="006D6C0A"/>
    <w:rsid w:val="006E3ABD"/>
    <w:rsid w:val="006E3DD7"/>
    <w:rsid w:val="006E67AD"/>
    <w:rsid w:val="006F019D"/>
    <w:rsid w:val="006F1F7E"/>
    <w:rsid w:val="006F34AA"/>
    <w:rsid w:val="006F3677"/>
    <w:rsid w:val="006F77E3"/>
    <w:rsid w:val="006F7ABA"/>
    <w:rsid w:val="00702A4E"/>
    <w:rsid w:val="00702E63"/>
    <w:rsid w:val="00703E3E"/>
    <w:rsid w:val="00704444"/>
    <w:rsid w:val="00704CA3"/>
    <w:rsid w:val="00705D6B"/>
    <w:rsid w:val="00706203"/>
    <w:rsid w:val="007111EE"/>
    <w:rsid w:val="00713608"/>
    <w:rsid w:val="0071505A"/>
    <w:rsid w:val="007217A9"/>
    <w:rsid w:val="00722131"/>
    <w:rsid w:val="00723D9F"/>
    <w:rsid w:val="00724C75"/>
    <w:rsid w:val="00724D9F"/>
    <w:rsid w:val="00726C6B"/>
    <w:rsid w:val="0073051F"/>
    <w:rsid w:val="0073307D"/>
    <w:rsid w:val="0073350F"/>
    <w:rsid w:val="00733D5A"/>
    <w:rsid w:val="00740129"/>
    <w:rsid w:val="0074085F"/>
    <w:rsid w:val="00742167"/>
    <w:rsid w:val="00743170"/>
    <w:rsid w:val="0074317D"/>
    <w:rsid w:val="00750DEB"/>
    <w:rsid w:val="00751DAF"/>
    <w:rsid w:val="00752877"/>
    <w:rsid w:val="00754F3D"/>
    <w:rsid w:val="00754FC6"/>
    <w:rsid w:val="00756104"/>
    <w:rsid w:val="00756B67"/>
    <w:rsid w:val="00756DFF"/>
    <w:rsid w:val="00761C28"/>
    <w:rsid w:val="00764F5C"/>
    <w:rsid w:val="0076500F"/>
    <w:rsid w:val="007652FA"/>
    <w:rsid w:val="00765B9C"/>
    <w:rsid w:val="0076708A"/>
    <w:rsid w:val="00767A77"/>
    <w:rsid w:val="00767F61"/>
    <w:rsid w:val="0077162A"/>
    <w:rsid w:val="00772280"/>
    <w:rsid w:val="00773D40"/>
    <w:rsid w:val="00775A98"/>
    <w:rsid w:val="00775D91"/>
    <w:rsid w:val="00776469"/>
    <w:rsid w:val="00777250"/>
    <w:rsid w:val="0078136A"/>
    <w:rsid w:val="00781FCA"/>
    <w:rsid w:val="00783853"/>
    <w:rsid w:val="007865EB"/>
    <w:rsid w:val="00790759"/>
    <w:rsid w:val="00790C5E"/>
    <w:rsid w:val="0079211E"/>
    <w:rsid w:val="007A0719"/>
    <w:rsid w:val="007A220C"/>
    <w:rsid w:val="007A2D31"/>
    <w:rsid w:val="007A4C39"/>
    <w:rsid w:val="007A610B"/>
    <w:rsid w:val="007A6DBE"/>
    <w:rsid w:val="007A7BC6"/>
    <w:rsid w:val="007B0B23"/>
    <w:rsid w:val="007B0F1F"/>
    <w:rsid w:val="007B1548"/>
    <w:rsid w:val="007B18F4"/>
    <w:rsid w:val="007B54D3"/>
    <w:rsid w:val="007B72F8"/>
    <w:rsid w:val="007C1695"/>
    <w:rsid w:val="007C1801"/>
    <w:rsid w:val="007C24FF"/>
    <w:rsid w:val="007C336F"/>
    <w:rsid w:val="007C3AA3"/>
    <w:rsid w:val="007C4FD2"/>
    <w:rsid w:val="007C5E77"/>
    <w:rsid w:val="007C697E"/>
    <w:rsid w:val="007C7234"/>
    <w:rsid w:val="007D15C0"/>
    <w:rsid w:val="007D2BFF"/>
    <w:rsid w:val="007D516A"/>
    <w:rsid w:val="007E15A8"/>
    <w:rsid w:val="007E1B8C"/>
    <w:rsid w:val="007E236B"/>
    <w:rsid w:val="007E3581"/>
    <w:rsid w:val="007E36DB"/>
    <w:rsid w:val="007E3AAC"/>
    <w:rsid w:val="007E40B3"/>
    <w:rsid w:val="007E4CE0"/>
    <w:rsid w:val="007E7DCF"/>
    <w:rsid w:val="007E7E02"/>
    <w:rsid w:val="007F071F"/>
    <w:rsid w:val="007F16DD"/>
    <w:rsid w:val="007F35E0"/>
    <w:rsid w:val="007F4810"/>
    <w:rsid w:val="007F558C"/>
    <w:rsid w:val="007F56CB"/>
    <w:rsid w:val="007F6F02"/>
    <w:rsid w:val="007F7D51"/>
    <w:rsid w:val="00800852"/>
    <w:rsid w:val="00802909"/>
    <w:rsid w:val="008037B2"/>
    <w:rsid w:val="00804D70"/>
    <w:rsid w:val="00805FE6"/>
    <w:rsid w:val="00810981"/>
    <w:rsid w:val="00811036"/>
    <w:rsid w:val="00812071"/>
    <w:rsid w:val="0081549B"/>
    <w:rsid w:val="00820952"/>
    <w:rsid w:val="008211E6"/>
    <w:rsid w:val="0082146B"/>
    <w:rsid w:val="00822859"/>
    <w:rsid w:val="0082431A"/>
    <w:rsid w:val="00825284"/>
    <w:rsid w:val="00830C44"/>
    <w:rsid w:val="00831E9B"/>
    <w:rsid w:val="008323D0"/>
    <w:rsid w:val="00834647"/>
    <w:rsid w:val="00842450"/>
    <w:rsid w:val="0084299E"/>
    <w:rsid w:val="0084471A"/>
    <w:rsid w:val="0084564D"/>
    <w:rsid w:val="00845C8B"/>
    <w:rsid w:val="008463FD"/>
    <w:rsid w:val="00846A5C"/>
    <w:rsid w:val="008475AB"/>
    <w:rsid w:val="00850016"/>
    <w:rsid w:val="0085247E"/>
    <w:rsid w:val="00852D26"/>
    <w:rsid w:val="008578AE"/>
    <w:rsid w:val="00861F87"/>
    <w:rsid w:val="00862EC3"/>
    <w:rsid w:val="00863095"/>
    <w:rsid w:val="00864791"/>
    <w:rsid w:val="00864D71"/>
    <w:rsid w:val="00865490"/>
    <w:rsid w:val="00865BD5"/>
    <w:rsid w:val="00867ACD"/>
    <w:rsid w:val="00872897"/>
    <w:rsid w:val="00873467"/>
    <w:rsid w:val="008739E0"/>
    <w:rsid w:val="00873BD3"/>
    <w:rsid w:val="00876D82"/>
    <w:rsid w:val="00877EE1"/>
    <w:rsid w:val="008812AF"/>
    <w:rsid w:val="00883A83"/>
    <w:rsid w:val="00883BA1"/>
    <w:rsid w:val="00891BEF"/>
    <w:rsid w:val="008931A4"/>
    <w:rsid w:val="00893372"/>
    <w:rsid w:val="008951F3"/>
    <w:rsid w:val="00897C59"/>
    <w:rsid w:val="008A605D"/>
    <w:rsid w:val="008A725C"/>
    <w:rsid w:val="008A770B"/>
    <w:rsid w:val="008B097E"/>
    <w:rsid w:val="008B14DC"/>
    <w:rsid w:val="008B1F89"/>
    <w:rsid w:val="008B3CE3"/>
    <w:rsid w:val="008B63C9"/>
    <w:rsid w:val="008B7159"/>
    <w:rsid w:val="008C08C1"/>
    <w:rsid w:val="008C0D1D"/>
    <w:rsid w:val="008C24F4"/>
    <w:rsid w:val="008C263D"/>
    <w:rsid w:val="008C3B8A"/>
    <w:rsid w:val="008C3F25"/>
    <w:rsid w:val="008C4655"/>
    <w:rsid w:val="008C46A4"/>
    <w:rsid w:val="008C556B"/>
    <w:rsid w:val="008C616D"/>
    <w:rsid w:val="008C7576"/>
    <w:rsid w:val="008C7C25"/>
    <w:rsid w:val="008D0CB1"/>
    <w:rsid w:val="008D1474"/>
    <w:rsid w:val="008D2CEF"/>
    <w:rsid w:val="008D500C"/>
    <w:rsid w:val="008D7E6C"/>
    <w:rsid w:val="008E1C54"/>
    <w:rsid w:val="008E31F5"/>
    <w:rsid w:val="008E3B2E"/>
    <w:rsid w:val="008E481F"/>
    <w:rsid w:val="008E55A8"/>
    <w:rsid w:val="008E7290"/>
    <w:rsid w:val="008F015B"/>
    <w:rsid w:val="008F388D"/>
    <w:rsid w:val="008F3CB3"/>
    <w:rsid w:val="008F3FF7"/>
    <w:rsid w:val="008F541A"/>
    <w:rsid w:val="008F5AE9"/>
    <w:rsid w:val="008F5F81"/>
    <w:rsid w:val="009002B6"/>
    <w:rsid w:val="0090045E"/>
    <w:rsid w:val="00902B32"/>
    <w:rsid w:val="0090417F"/>
    <w:rsid w:val="009053CF"/>
    <w:rsid w:val="00907323"/>
    <w:rsid w:val="00907F74"/>
    <w:rsid w:val="0091030B"/>
    <w:rsid w:val="00910812"/>
    <w:rsid w:val="00910AAC"/>
    <w:rsid w:val="00910EBB"/>
    <w:rsid w:val="00911045"/>
    <w:rsid w:val="00911FAC"/>
    <w:rsid w:val="00915C2E"/>
    <w:rsid w:val="00915FEB"/>
    <w:rsid w:val="00916FE5"/>
    <w:rsid w:val="00921DF1"/>
    <w:rsid w:val="00922A60"/>
    <w:rsid w:val="00922E3C"/>
    <w:rsid w:val="00925163"/>
    <w:rsid w:val="00926F25"/>
    <w:rsid w:val="009279DA"/>
    <w:rsid w:val="00927F78"/>
    <w:rsid w:val="00931F68"/>
    <w:rsid w:val="009322D3"/>
    <w:rsid w:val="00934DE6"/>
    <w:rsid w:val="009351FF"/>
    <w:rsid w:val="00935641"/>
    <w:rsid w:val="009413D1"/>
    <w:rsid w:val="009416E4"/>
    <w:rsid w:val="00942085"/>
    <w:rsid w:val="00944699"/>
    <w:rsid w:val="00951A22"/>
    <w:rsid w:val="00952DA0"/>
    <w:rsid w:val="009553D5"/>
    <w:rsid w:val="00955517"/>
    <w:rsid w:val="009632C9"/>
    <w:rsid w:val="00963B01"/>
    <w:rsid w:val="00964510"/>
    <w:rsid w:val="00964A60"/>
    <w:rsid w:val="009653B7"/>
    <w:rsid w:val="00970C00"/>
    <w:rsid w:val="009719EA"/>
    <w:rsid w:val="00972F64"/>
    <w:rsid w:val="009730B5"/>
    <w:rsid w:val="009745D0"/>
    <w:rsid w:val="00975334"/>
    <w:rsid w:val="009753B8"/>
    <w:rsid w:val="00977E28"/>
    <w:rsid w:val="009839E1"/>
    <w:rsid w:val="009841B4"/>
    <w:rsid w:val="00984C7E"/>
    <w:rsid w:val="00984F90"/>
    <w:rsid w:val="00986768"/>
    <w:rsid w:val="009870EA"/>
    <w:rsid w:val="00987B2F"/>
    <w:rsid w:val="009908B4"/>
    <w:rsid w:val="0099347B"/>
    <w:rsid w:val="00996CDF"/>
    <w:rsid w:val="0099735D"/>
    <w:rsid w:val="00997F14"/>
    <w:rsid w:val="009A1AFE"/>
    <w:rsid w:val="009A2E46"/>
    <w:rsid w:val="009A3260"/>
    <w:rsid w:val="009A3944"/>
    <w:rsid w:val="009A428C"/>
    <w:rsid w:val="009B0B0B"/>
    <w:rsid w:val="009B0B54"/>
    <w:rsid w:val="009B195C"/>
    <w:rsid w:val="009B3274"/>
    <w:rsid w:val="009B5A4E"/>
    <w:rsid w:val="009B5C92"/>
    <w:rsid w:val="009B5D23"/>
    <w:rsid w:val="009B65B5"/>
    <w:rsid w:val="009B6816"/>
    <w:rsid w:val="009C1260"/>
    <w:rsid w:val="009C1586"/>
    <w:rsid w:val="009C169F"/>
    <w:rsid w:val="009C31D3"/>
    <w:rsid w:val="009C37D1"/>
    <w:rsid w:val="009C42AF"/>
    <w:rsid w:val="009C61BC"/>
    <w:rsid w:val="009C6B1B"/>
    <w:rsid w:val="009C7086"/>
    <w:rsid w:val="009D0568"/>
    <w:rsid w:val="009D1170"/>
    <w:rsid w:val="009D23E6"/>
    <w:rsid w:val="009D4DEB"/>
    <w:rsid w:val="009D7634"/>
    <w:rsid w:val="009D7E5D"/>
    <w:rsid w:val="009E137F"/>
    <w:rsid w:val="009E2E85"/>
    <w:rsid w:val="009E3C42"/>
    <w:rsid w:val="009E48BA"/>
    <w:rsid w:val="009E6AA1"/>
    <w:rsid w:val="009F022E"/>
    <w:rsid w:val="009F32B3"/>
    <w:rsid w:val="009F398B"/>
    <w:rsid w:val="009F4E62"/>
    <w:rsid w:val="009F5C46"/>
    <w:rsid w:val="00A00E6D"/>
    <w:rsid w:val="00A01692"/>
    <w:rsid w:val="00A030E5"/>
    <w:rsid w:val="00A03365"/>
    <w:rsid w:val="00A04DE4"/>
    <w:rsid w:val="00A057D9"/>
    <w:rsid w:val="00A069CE"/>
    <w:rsid w:val="00A07402"/>
    <w:rsid w:val="00A079A2"/>
    <w:rsid w:val="00A1004D"/>
    <w:rsid w:val="00A10276"/>
    <w:rsid w:val="00A134D3"/>
    <w:rsid w:val="00A1364E"/>
    <w:rsid w:val="00A13C41"/>
    <w:rsid w:val="00A140BE"/>
    <w:rsid w:val="00A16594"/>
    <w:rsid w:val="00A16BED"/>
    <w:rsid w:val="00A17F2A"/>
    <w:rsid w:val="00A20CCA"/>
    <w:rsid w:val="00A225D8"/>
    <w:rsid w:val="00A24A71"/>
    <w:rsid w:val="00A25F26"/>
    <w:rsid w:val="00A2625F"/>
    <w:rsid w:val="00A275DF"/>
    <w:rsid w:val="00A330CC"/>
    <w:rsid w:val="00A3481A"/>
    <w:rsid w:val="00A36055"/>
    <w:rsid w:val="00A4048D"/>
    <w:rsid w:val="00A4056C"/>
    <w:rsid w:val="00A418CD"/>
    <w:rsid w:val="00A42E23"/>
    <w:rsid w:val="00A44F0E"/>
    <w:rsid w:val="00A45C8B"/>
    <w:rsid w:val="00A47466"/>
    <w:rsid w:val="00A50B2C"/>
    <w:rsid w:val="00A51441"/>
    <w:rsid w:val="00A541B1"/>
    <w:rsid w:val="00A545DF"/>
    <w:rsid w:val="00A55161"/>
    <w:rsid w:val="00A55171"/>
    <w:rsid w:val="00A5519A"/>
    <w:rsid w:val="00A557AF"/>
    <w:rsid w:val="00A56429"/>
    <w:rsid w:val="00A571C1"/>
    <w:rsid w:val="00A579B7"/>
    <w:rsid w:val="00A60804"/>
    <w:rsid w:val="00A6289F"/>
    <w:rsid w:val="00A64B6D"/>
    <w:rsid w:val="00A66296"/>
    <w:rsid w:val="00A6679D"/>
    <w:rsid w:val="00A67795"/>
    <w:rsid w:val="00A67B70"/>
    <w:rsid w:val="00A700A1"/>
    <w:rsid w:val="00A72752"/>
    <w:rsid w:val="00A749DD"/>
    <w:rsid w:val="00A770D3"/>
    <w:rsid w:val="00A77E8D"/>
    <w:rsid w:val="00A80718"/>
    <w:rsid w:val="00A80A27"/>
    <w:rsid w:val="00A812C2"/>
    <w:rsid w:val="00A82F6C"/>
    <w:rsid w:val="00A83AC8"/>
    <w:rsid w:val="00A90A3B"/>
    <w:rsid w:val="00A91694"/>
    <w:rsid w:val="00A91C18"/>
    <w:rsid w:val="00A92EA0"/>
    <w:rsid w:val="00A9441D"/>
    <w:rsid w:val="00A95DCD"/>
    <w:rsid w:val="00A9682F"/>
    <w:rsid w:val="00AA11D6"/>
    <w:rsid w:val="00AA2E4D"/>
    <w:rsid w:val="00AA31DB"/>
    <w:rsid w:val="00AA33FD"/>
    <w:rsid w:val="00AA3B24"/>
    <w:rsid w:val="00AA4B4E"/>
    <w:rsid w:val="00AA718E"/>
    <w:rsid w:val="00AA7FE1"/>
    <w:rsid w:val="00AB105A"/>
    <w:rsid w:val="00AB1139"/>
    <w:rsid w:val="00AB124E"/>
    <w:rsid w:val="00AB3FCE"/>
    <w:rsid w:val="00AB5320"/>
    <w:rsid w:val="00AB5DFC"/>
    <w:rsid w:val="00AB5FB8"/>
    <w:rsid w:val="00AB7E88"/>
    <w:rsid w:val="00AC2D62"/>
    <w:rsid w:val="00AC340D"/>
    <w:rsid w:val="00AC38C4"/>
    <w:rsid w:val="00AC3F22"/>
    <w:rsid w:val="00AC4DCA"/>
    <w:rsid w:val="00AC5D24"/>
    <w:rsid w:val="00AC6B09"/>
    <w:rsid w:val="00AC6E7A"/>
    <w:rsid w:val="00AC7B6C"/>
    <w:rsid w:val="00AD049E"/>
    <w:rsid w:val="00AD0C57"/>
    <w:rsid w:val="00AD295A"/>
    <w:rsid w:val="00AD2993"/>
    <w:rsid w:val="00AD3239"/>
    <w:rsid w:val="00AE0294"/>
    <w:rsid w:val="00AE2E16"/>
    <w:rsid w:val="00AE2F7D"/>
    <w:rsid w:val="00AE5F43"/>
    <w:rsid w:val="00AE6BCC"/>
    <w:rsid w:val="00AE78D5"/>
    <w:rsid w:val="00AF07FA"/>
    <w:rsid w:val="00AF0820"/>
    <w:rsid w:val="00AF14C8"/>
    <w:rsid w:val="00AF1C2C"/>
    <w:rsid w:val="00AF202F"/>
    <w:rsid w:val="00AF285E"/>
    <w:rsid w:val="00AF3994"/>
    <w:rsid w:val="00B00C9B"/>
    <w:rsid w:val="00B014B3"/>
    <w:rsid w:val="00B01AE4"/>
    <w:rsid w:val="00B020D9"/>
    <w:rsid w:val="00B039E6"/>
    <w:rsid w:val="00B05F77"/>
    <w:rsid w:val="00B06FB7"/>
    <w:rsid w:val="00B074B6"/>
    <w:rsid w:val="00B20E20"/>
    <w:rsid w:val="00B21FED"/>
    <w:rsid w:val="00B22CEE"/>
    <w:rsid w:val="00B233BC"/>
    <w:rsid w:val="00B2422C"/>
    <w:rsid w:val="00B25787"/>
    <w:rsid w:val="00B276DF"/>
    <w:rsid w:val="00B34BCE"/>
    <w:rsid w:val="00B37538"/>
    <w:rsid w:val="00B4113B"/>
    <w:rsid w:val="00B441AC"/>
    <w:rsid w:val="00B44AEA"/>
    <w:rsid w:val="00B45587"/>
    <w:rsid w:val="00B45AAB"/>
    <w:rsid w:val="00B50805"/>
    <w:rsid w:val="00B5081C"/>
    <w:rsid w:val="00B519E3"/>
    <w:rsid w:val="00B54318"/>
    <w:rsid w:val="00B54A70"/>
    <w:rsid w:val="00B55675"/>
    <w:rsid w:val="00B556EA"/>
    <w:rsid w:val="00B55897"/>
    <w:rsid w:val="00B5776A"/>
    <w:rsid w:val="00B60DB1"/>
    <w:rsid w:val="00B61F9A"/>
    <w:rsid w:val="00B65CD4"/>
    <w:rsid w:val="00B66698"/>
    <w:rsid w:val="00B675AF"/>
    <w:rsid w:val="00B70143"/>
    <w:rsid w:val="00B71086"/>
    <w:rsid w:val="00B73117"/>
    <w:rsid w:val="00B7551E"/>
    <w:rsid w:val="00B77530"/>
    <w:rsid w:val="00B77B41"/>
    <w:rsid w:val="00B8174F"/>
    <w:rsid w:val="00B81B31"/>
    <w:rsid w:val="00B820F3"/>
    <w:rsid w:val="00B84054"/>
    <w:rsid w:val="00B84A2A"/>
    <w:rsid w:val="00B855E4"/>
    <w:rsid w:val="00B8697A"/>
    <w:rsid w:val="00B86E67"/>
    <w:rsid w:val="00B905EB"/>
    <w:rsid w:val="00B919F5"/>
    <w:rsid w:val="00B925D5"/>
    <w:rsid w:val="00B92EB6"/>
    <w:rsid w:val="00B952F4"/>
    <w:rsid w:val="00B96385"/>
    <w:rsid w:val="00B964FE"/>
    <w:rsid w:val="00B96F58"/>
    <w:rsid w:val="00BA2819"/>
    <w:rsid w:val="00BA33F1"/>
    <w:rsid w:val="00BA4574"/>
    <w:rsid w:val="00BA7216"/>
    <w:rsid w:val="00BB3B21"/>
    <w:rsid w:val="00BB5FB8"/>
    <w:rsid w:val="00BC16BF"/>
    <w:rsid w:val="00BC6731"/>
    <w:rsid w:val="00BC6A89"/>
    <w:rsid w:val="00BC7ED4"/>
    <w:rsid w:val="00BC7EF1"/>
    <w:rsid w:val="00BD251C"/>
    <w:rsid w:val="00BD290E"/>
    <w:rsid w:val="00BD3A79"/>
    <w:rsid w:val="00BD3EA8"/>
    <w:rsid w:val="00BD6C81"/>
    <w:rsid w:val="00BE084A"/>
    <w:rsid w:val="00BE2A34"/>
    <w:rsid w:val="00BE40CD"/>
    <w:rsid w:val="00BE55ED"/>
    <w:rsid w:val="00BE6A56"/>
    <w:rsid w:val="00BF1250"/>
    <w:rsid w:val="00BF480C"/>
    <w:rsid w:val="00BF4F22"/>
    <w:rsid w:val="00BF562F"/>
    <w:rsid w:val="00C002FC"/>
    <w:rsid w:val="00C006D7"/>
    <w:rsid w:val="00C015EC"/>
    <w:rsid w:val="00C038D2"/>
    <w:rsid w:val="00C04630"/>
    <w:rsid w:val="00C049E4"/>
    <w:rsid w:val="00C077B8"/>
    <w:rsid w:val="00C07824"/>
    <w:rsid w:val="00C11F3A"/>
    <w:rsid w:val="00C15B08"/>
    <w:rsid w:val="00C20D39"/>
    <w:rsid w:val="00C2209B"/>
    <w:rsid w:val="00C22D7E"/>
    <w:rsid w:val="00C25D5B"/>
    <w:rsid w:val="00C25E1E"/>
    <w:rsid w:val="00C26DF7"/>
    <w:rsid w:val="00C27855"/>
    <w:rsid w:val="00C305C0"/>
    <w:rsid w:val="00C31C66"/>
    <w:rsid w:val="00C32B80"/>
    <w:rsid w:val="00C32F25"/>
    <w:rsid w:val="00C34281"/>
    <w:rsid w:val="00C361F4"/>
    <w:rsid w:val="00C375A4"/>
    <w:rsid w:val="00C4069C"/>
    <w:rsid w:val="00C422A1"/>
    <w:rsid w:val="00C4232E"/>
    <w:rsid w:val="00C427FD"/>
    <w:rsid w:val="00C42A9D"/>
    <w:rsid w:val="00C44208"/>
    <w:rsid w:val="00C467D8"/>
    <w:rsid w:val="00C51672"/>
    <w:rsid w:val="00C543F7"/>
    <w:rsid w:val="00C5562B"/>
    <w:rsid w:val="00C55AD2"/>
    <w:rsid w:val="00C574E0"/>
    <w:rsid w:val="00C608D3"/>
    <w:rsid w:val="00C60BFD"/>
    <w:rsid w:val="00C61B6C"/>
    <w:rsid w:val="00C61B87"/>
    <w:rsid w:val="00C63A6C"/>
    <w:rsid w:val="00C659B3"/>
    <w:rsid w:val="00C66174"/>
    <w:rsid w:val="00C6760B"/>
    <w:rsid w:val="00C67B2B"/>
    <w:rsid w:val="00C73192"/>
    <w:rsid w:val="00C73F83"/>
    <w:rsid w:val="00C7650A"/>
    <w:rsid w:val="00C7789D"/>
    <w:rsid w:val="00C8172E"/>
    <w:rsid w:val="00C819CC"/>
    <w:rsid w:val="00C8205C"/>
    <w:rsid w:val="00C8234D"/>
    <w:rsid w:val="00C83E68"/>
    <w:rsid w:val="00C8479D"/>
    <w:rsid w:val="00C906B2"/>
    <w:rsid w:val="00C92947"/>
    <w:rsid w:val="00C93C04"/>
    <w:rsid w:val="00C95093"/>
    <w:rsid w:val="00C97471"/>
    <w:rsid w:val="00C979B7"/>
    <w:rsid w:val="00C97F60"/>
    <w:rsid w:val="00CA0459"/>
    <w:rsid w:val="00CA2F4B"/>
    <w:rsid w:val="00CA3A00"/>
    <w:rsid w:val="00CA4BD4"/>
    <w:rsid w:val="00CA55B4"/>
    <w:rsid w:val="00CA6253"/>
    <w:rsid w:val="00CB0A49"/>
    <w:rsid w:val="00CB375F"/>
    <w:rsid w:val="00CB60A7"/>
    <w:rsid w:val="00CC09EF"/>
    <w:rsid w:val="00CC1C8B"/>
    <w:rsid w:val="00CC20B8"/>
    <w:rsid w:val="00CC2E78"/>
    <w:rsid w:val="00CC2F91"/>
    <w:rsid w:val="00CC3CBE"/>
    <w:rsid w:val="00CC5179"/>
    <w:rsid w:val="00CD14DE"/>
    <w:rsid w:val="00CD1E3B"/>
    <w:rsid w:val="00CD25B8"/>
    <w:rsid w:val="00CD2672"/>
    <w:rsid w:val="00CD4E18"/>
    <w:rsid w:val="00CE0334"/>
    <w:rsid w:val="00CE0743"/>
    <w:rsid w:val="00CE0B59"/>
    <w:rsid w:val="00CE477E"/>
    <w:rsid w:val="00CE5C0F"/>
    <w:rsid w:val="00CE72BE"/>
    <w:rsid w:val="00CF18A3"/>
    <w:rsid w:val="00CF43BA"/>
    <w:rsid w:val="00CF44B0"/>
    <w:rsid w:val="00CF6B57"/>
    <w:rsid w:val="00CF7E00"/>
    <w:rsid w:val="00D00B40"/>
    <w:rsid w:val="00D00FFD"/>
    <w:rsid w:val="00D01B31"/>
    <w:rsid w:val="00D02BE1"/>
    <w:rsid w:val="00D04AF2"/>
    <w:rsid w:val="00D0518D"/>
    <w:rsid w:val="00D0569A"/>
    <w:rsid w:val="00D104C8"/>
    <w:rsid w:val="00D11798"/>
    <w:rsid w:val="00D131EC"/>
    <w:rsid w:val="00D21075"/>
    <w:rsid w:val="00D21CBA"/>
    <w:rsid w:val="00D22E59"/>
    <w:rsid w:val="00D23640"/>
    <w:rsid w:val="00D26861"/>
    <w:rsid w:val="00D31882"/>
    <w:rsid w:val="00D31F07"/>
    <w:rsid w:val="00D34626"/>
    <w:rsid w:val="00D35829"/>
    <w:rsid w:val="00D37338"/>
    <w:rsid w:val="00D4119C"/>
    <w:rsid w:val="00D42FDD"/>
    <w:rsid w:val="00D440D5"/>
    <w:rsid w:val="00D46709"/>
    <w:rsid w:val="00D474B9"/>
    <w:rsid w:val="00D51630"/>
    <w:rsid w:val="00D5214A"/>
    <w:rsid w:val="00D52280"/>
    <w:rsid w:val="00D538DA"/>
    <w:rsid w:val="00D56A86"/>
    <w:rsid w:val="00D571AE"/>
    <w:rsid w:val="00D6015A"/>
    <w:rsid w:val="00D62083"/>
    <w:rsid w:val="00D62B36"/>
    <w:rsid w:val="00D63C3A"/>
    <w:rsid w:val="00D63DB6"/>
    <w:rsid w:val="00D63E1A"/>
    <w:rsid w:val="00D6406B"/>
    <w:rsid w:val="00D6407B"/>
    <w:rsid w:val="00D64ECD"/>
    <w:rsid w:val="00D71447"/>
    <w:rsid w:val="00D715DB"/>
    <w:rsid w:val="00D7184E"/>
    <w:rsid w:val="00D7476E"/>
    <w:rsid w:val="00D74EC0"/>
    <w:rsid w:val="00D75A11"/>
    <w:rsid w:val="00D75B07"/>
    <w:rsid w:val="00D81E14"/>
    <w:rsid w:val="00D832CB"/>
    <w:rsid w:val="00D854C4"/>
    <w:rsid w:val="00D87DBD"/>
    <w:rsid w:val="00D904D2"/>
    <w:rsid w:val="00D91FB8"/>
    <w:rsid w:val="00D921F5"/>
    <w:rsid w:val="00D9312A"/>
    <w:rsid w:val="00D9415B"/>
    <w:rsid w:val="00D96F96"/>
    <w:rsid w:val="00D9709D"/>
    <w:rsid w:val="00D97F9B"/>
    <w:rsid w:val="00DA391A"/>
    <w:rsid w:val="00DA4AE6"/>
    <w:rsid w:val="00DA7060"/>
    <w:rsid w:val="00DA71F6"/>
    <w:rsid w:val="00DA743B"/>
    <w:rsid w:val="00DA764B"/>
    <w:rsid w:val="00DB3CF5"/>
    <w:rsid w:val="00DB4A65"/>
    <w:rsid w:val="00DB4F05"/>
    <w:rsid w:val="00DC0C4C"/>
    <w:rsid w:val="00DC36C4"/>
    <w:rsid w:val="00DC53CB"/>
    <w:rsid w:val="00DC542C"/>
    <w:rsid w:val="00DC58CD"/>
    <w:rsid w:val="00DC7297"/>
    <w:rsid w:val="00DD0A9A"/>
    <w:rsid w:val="00DD6555"/>
    <w:rsid w:val="00DD7A24"/>
    <w:rsid w:val="00DE038B"/>
    <w:rsid w:val="00DE0A2A"/>
    <w:rsid w:val="00DE2BB7"/>
    <w:rsid w:val="00DE32D2"/>
    <w:rsid w:val="00DE3C87"/>
    <w:rsid w:val="00DE57A0"/>
    <w:rsid w:val="00DE5881"/>
    <w:rsid w:val="00DE6011"/>
    <w:rsid w:val="00DE6CA9"/>
    <w:rsid w:val="00DE6E04"/>
    <w:rsid w:val="00DF1114"/>
    <w:rsid w:val="00DF4CEC"/>
    <w:rsid w:val="00DF5203"/>
    <w:rsid w:val="00DF5B6B"/>
    <w:rsid w:val="00DF6E30"/>
    <w:rsid w:val="00DF749B"/>
    <w:rsid w:val="00E01A69"/>
    <w:rsid w:val="00E02628"/>
    <w:rsid w:val="00E03F0F"/>
    <w:rsid w:val="00E0613E"/>
    <w:rsid w:val="00E06922"/>
    <w:rsid w:val="00E07BEC"/>
    <w:rsid w:val="00E114FF"/>
    <w:rsid w:val="00E153CD"/>
    <w:rsid w:val="00E24B8B"/>
    <w:rsid w:val="00E25935"/>
    <w:rsid w:val="00E26496"/>
    <w:rsid w:val="00E26551"/>
    <w:rsid w:val="00E30382"/>
    <w:rsid w:val="00E3335A"/>
    <w:rsid w:val="00E3436D"/>
    <w:rsid w:val="00E35630"/>
    <w:rsid w:val="00E359DC"/>
    <w:rsid w:val="00E36FB1"/>
    <w:rsid w:val="00E4036D"/>
    <w:rsid w:val="00E409CC"/>
    <w:rsid w:val="00E411A3"/>
    <w:rsid w:val="00E43C82"/>
    <w:rsid w:val="00E47C83"/>
    <w:rsid w:val="00E5042B"/>
    <w:rsid w:val="00E505B9"/>
    <w:rsid w:val="00E51F42"/>
    <w:rsid w:val="00E52B75"/>
    <w:rsid w:val="00E53839"/>
    <w:rsid w:val="00E5389B"/>
    <w:rsid w:val="00E547CC"/>
    <w:rsid w:val="00E55E1C"/>
    <w:rsid w:val="00E64FFB"/>
    <w:rsid w:val="00E67388"/>
    <w:rsid w:val="00E725D6"/>
    <w:rsid w:val="00E7302F"/>
    <w:rsid w:val="00E741C0"/>
    <w:rsid w:val="00E749D8"/>
    <w:rsid w:val="00E75291"/>
    <w:rsid w:val="00E753B2"/>
    <w:rsid w:val="00E772E9"/>
    <w:rsid w:val="00E8071E"/>
    <w:rsid w:val="00E81323"/>
    <w:rsid w:val="00E81DC4"/>
    <w:rsid w:val="00E8269A"/>
    <w:rsid w:val="00E84308"/>
    <w:rsid w:val="00E847B9"/>
    <w:rsid w:val="00E856F8"/>
    <w:rsid w:val="00E9005B"/>
    <w:rsid w:val="00E913B3"/>
    <w:rsid w:val="00E91503"/>
    <w:rsid w:val="00E91BD2"/>
    <w:rsid w:val="00E937DE"/>
    <w:rsid w:val="00E93B7E"/>
    <w:rsid w:val="00E9459E"/>
    <w:rsid w:val="00E957DA"/>
    <w:rsid w:val="00E95BE7"/>
    <w:rsid w:val="00E968C6"/>
    <w:rsid w:val="00EA2592"/>
    <w:rsid w:val="00EA3A8A"/>
    <w:rsid w:val="00EA4CBD"/>
    <w:rsid w:val="00EB1248"/>
    <w:rsid w:val="00EB3840"/>
    <w:rsid w:val="00EB3B8F"/>
    <w:rsid w:val="00EB5A2B"/>
    <w:rsid w:val="00EB71D9"/>
    <w:rsid w:val="00EC099E"/>
    <w:rsid w:val="00EC0E53"/>
    <w:rsid w:val="00EC1743"/>
    <w:rsid w:val="00EC26A5"/>
    <w:rsid w:val="00EC29D4"/>
    <w:rsid w:val="00EC2F03"/>
    <w:rsid w:val="00EC3F30"/>
    <w:rsid w:val="00EC4055"/>
    <w:rsid w:val="00EC56C1"/>
    <w:rsid w:val="00EC5A3A"/>
    <w:rsid w:val="00EC684E"/>
    <w:rsid w:val="00EC7F1E"/>
    <w:rsid w:val="00ED036D"/>
    <w:rsid w:val="00ED0468"/>
    <w:rsid w:val="00ED0A31"/>
    <w:rsid w:val="00ED0EA0"/>
    <w:rsid w:val="00ED108C"/>
    <w:rsid w:val="00ED2503"/>
    <w:rsid w:val="00ED5499"/>
    <w:rsid w:val="00ED6062"/>
    <w:rsid w:val="00EE0418"/>
    <w:rsid w:val="00EE44D1"/>
    <w:rsid w:val="00EE5899"/>
    <w:rsid w:val="00EE5D1D"/>
    <w:rsid w:val="00EE6DD8"/>
    <w:rsid w:val="00EE7343"/>
    <w:rsid w:val="00EF035E"/>
    <w:rsid w:val="00EF05F7"/>
    <w:rsid w:val="00EF159C"/>
    <w:rsid w:val="00EF20BC"/>
    <w:rsid w:val="00EF50BB"/>
    <w:rsid w:val="00EF5754"/>
    <w:rsid w:val="00EF5B29"/>
    <w:rsid w:val="00EF6A1A"/>
    <w:rsid w:val="00EF715F"/>
    <w:rsid w:val="00F02B4B"/>
    <w:rsid w:val="00F03A1A"/>
    <w:rsid w:val="00F060F6"/>
    <w:rsid w:val="00F06A2C"/>
    <w:rsid w:val="00F06F4F"/>
    <w:rsid w:val="00F10A5F"/>
    <w:rsid w:val="00F1358B"/>
    <w:rsid w:val="00F15E89"/>
    <w:rsid w:val="00F16D40"/>
    <w:rsid w:val="00F20255"/>
    <w:rsid w:val="00F2071B"/>
    <w:rsid w:val="00F21B44"/>
    <w:rsid w:val="00F247B0"/>
    <w:rsid w:val="00F248CD"/>
    <w:rsid w:val="00F2577B"/>
    <w:rsid w:val="00F26ABE"/>
    <w:rsid w:val="00F26E72"/>
    <w:rsid w:val="00F27A55"/>
    <w:rsid w:val="00F30098"/>
    <w:rsid w:val="00F33564"/>
    <w:rsid w:val="00F3415D"/>
    <w:rsid w:val="00F34912"/>
    <w:rsid w:val="00F35992"/>
    <w:rsid w:val="00F36C7F"/>
    <w:rsid w:val="00F402FD"/>
    <w:rsid w:val="00F421B3"/>
    <w:rsid w:val="00F430E3"/>
    <w:rsid w:val="00F465B0"/>
    <w:rsid w:val="00F46FCC"/>
    <w:rsid w:val="00F47385"/>
    <w:rsid w:val="00F478E9"/>
    <w:rsid w:val="00F51B10"/>
    <w:rsid w:val="00F5412F"/>
    <w:rsid w:val="00F54170"/>
    <w:rsid w:val="00F574EB"/>
    <w:rsid w:val="00F601C9"/>
    <w:rsid w:val="00F60B5D"/>
    <w:rsid w:val="00F629C9"/>
    <w:rsid w:val="00F62FD2"/>
    <w:rsid w:val="00F631FC"/>
    <w:rsid w:val="00F6354E"/>
    <w:rsid w:val="00F63C38"/>
    <w:rsid w:val="00F64A63"/>
    <w:rsid w:val="00F67F4F"/>
    <w:rsid w:val="00F70C7F"/>
    <w:rsid w:val="00F73248"/>
    <w:rsid w:val="00F73456"/>
    <w:rsid w:val="00F73E17"/>
    <w:rsid w:val="00F73FCA"/>
    <w:rsid w:val="00F75286"/>
    <w:rsid w:val="00F75639"/>
    <w:rsid w:val="00F770DB"/>
    <w:rsid w:val="00F84D91"/>
    <w:rsid w:val="00F85E9E"/>
    <w:rsid w:val="00F91919"/>
    <w:rsid w:val="00F91E1D"/>
    <w:rsid w:val="00F95211"/>
    <w:rsid w:val="00F95686"/>
    <w:rsid w:val="00F962D7"/>
    <w:rsid w:val="00FA0608"/>
    <w:rsid w:val="00FA273C"/>
    <w:rsid w:val="00FA2C47"/>
    <w:rsid w:val="00FA35FA"/>
    <w:rsid w:val="00FA463A"/>
    <w:rsid w:val="00FA5303"/>
    <w:rsid w:val="00FA58C5"/>
    <w:rsid w:val="00FA799C"/>
    <w:rsid w:val="00FA7A8B"/>
    <w:rsid w:val="00FA7B75"/>
    <w:rsid w:val="00FA7CB7"/>
    <w:rsid w:val="00FA7EF3"/>
    <w:rsid w:val="00FB1EA5"/>
    <w:rsid w:val="00FB284F"/>
    <w:rsid w:val="00FB2B96"/>
    <w:rsid w:val="00FB3EF1"/>
    <w:rsid w:val="00FB413A"/>
    <w:rsid w:val="00FB4BD0"/>
    <w:rsid w:val="00FB5588"/>
    <w:rsid w:val="00FC1F89"/>
    <w:rsid w:val="00FC206D"/>
    <w:rsid w:val="00FC53F1"/>
    <w:rsid w:val="00FC6D87"/>
    <w:rsid w:val="00FC6EAA"/>
    <w:rsid w:val="00FD01FE"/>
    <w:rsid w:val="00FD020C"/>
    <w:rsid w:val="00FD0A03"/>
    <w:rsid w:val="00FD22F7"/>
    <w:rsid w:val="00FD4434"/>
    <w:rsid w:val="00FD589E"/>
    <w:rsid w:val="00FD643E"/>
    <w:rsid w:val="00FD6ABC"/>
    <w:rsid w:val="00FD6F05"/>
    <w:rsid w:val="00FE09C7"/>
    <w:rsid w:val="00FE24BD"/>
    <w:rsid w:val="00FE2FBB"/>
    <w:rsid w:val="00FE3145"/>
    <w:rsid w:val="00FE7AEB"/>
    <w:rsid w:val="00FF1CCB"/>
    <w:rsid w:val="00FF2B8D"/>
    <w:rsid w:val="00FF3135"/>
    <w:rsid w:val="00FF7638"/>
    <w:rsid w:val="00FF7CBA"/>
    <w:rsid w:val="00FFD6E0"/>
    <w:rsid w:val="015AF85D"/>
    <w:rsid w:val="019A77F3"/>
    <w:rsid w:val="01FD9EA8"/>
    <w:rsid w:val="0225B7CC"/>
    <w:rsid w:val="024067D3"/>
    <w:rsid w:val="02C361D4"/>
    <w:rsid w:val="02CED1CE"/>
    <w:rsid w:val="030A8EF2"/>
    <w:rsid w:val="03ADA829"/>
    <w:rsid w:val="03BD1FD0"/>
    <w:rsid w:val="03C36124"/>
    <w:rsid w:val="03C599E9"/>
    <w:rsid w:val="03C5D787"/>
    <w:rsid w:val="040A3DDE"/>
    <w:rsid w:val="04128D79"/>
    <w:rsid w:val="0475EECD"/>
    <w:rsid w:val="04BD2A26"/>
    <w:rsid w:val="04DA7BF4"/>
    <w:rsid w:val="04F37626"/>
    <w:rsid w:val="056BA86E"/>
    <w:rsid w:val="05A4829C"/>
    <w:rsid w:val="05FD52CC"/>
    <w:rsid w:val="05FE4984"/>
    <w:rsid w:val="06152381"/>
    <w:rsid w:val="06626687"/>
    <w:rsid w:val="06891634"/>
    <w:rsid w:val="06A3EAAA"/>
    <w:rsid w:val="06E3B514"/>
    <w:rsid w:val="06F22F44"/>
    <w:rsid w:val="0708734F"/>
    <w:rsid w:val="07821134"/>
    <w:rsid w:val="0790E814"/>
    <w:rsid w:val="07F0E105"/>
    <w:rsid w:val="08285C45"/>
    <w:rsid w:val="08A346DC"/>
    <w:rsid w:val="08D8B64F"/>
    <w:rsid w:val="08E07692"/>
    <w:rsid w:val="09042B43"/>
    <w:rsid w:val="0920EABD"/>
    <w:rsid w:val="092ACEA1"/>
    <w:rsid w:val="092CC895"/>
    <w:rsid w:val="093E22E9"/>
    <w:rsid w:val="096320CB"/>
    <w:rsid w:val="0996FF04"/>
    <w:rsid w:val="09E658B4"/>
    <w:rsid w:val="09FDB6AB"/>
    <w:rsid w:val="0A7EA498"/>
    <w:rsid w:val="0B063FD7"/>
    <w:rsid w:val="0B08577D"/>
    <w:rsid w:val="0BDA8778"/>
    <w:rsid w:val="0C196DEA"/>
    <w:rsid w:val="0C6205C9"/>
    <w:rsid w:val="0C84FA17"/>
    <w:rsid w:val="0C8FE923"/>
    <w:rsid w:val="0C9DC073"/>
    <w:rsid w:val="0CC9861F"/>
    <w:rsid w:val="0D13555C"/>
    <w:rsid w:val="0E18F61D"/>
    <w:rsid w:val="0E1FAFDB"/>
    <w:rsid w:val="0E9B78B9"/>
    <w:rsid w:val="0F2D2819"/>
    <w:rsid w:val="0F3BF95F"/>
    <w:rsid w:val="0F7222F0"/>
    <w:rsid w:val="0F7B3494"/>
    <w:rsid w:val="1047D31F"/>
    <w:rsid w:val="10B5222F"/>
    <w:rsid w:val="11652E52"/>
    <w:rsid w:val="11B7B815"/>
    <w:rsid w:val="11C8EEA3"/>
    <w:rsid w:val="11DD0587"/>
    <w:rsid w:val="1206FA0A"/>
    <w:rsid w:val="122CF3A1"/>
    <w:rsid w:val="124D2492"/>
    <w:rsid w:val="1275006E"/>
    <w:rsid w:val="12D8E4C1"/>
    <w:rsid w:val="12EC9632"/>
    <w:rsid w:val="12FCD579"/>
    <w:rsid w:val="13964C21"/>
    <w:rsid w:val="144E609F"/>
    <w:rsid w:val="148E1AAA"/>
    <w:rsid w:val="14C590EC"/>
    <w:rsid w:val="14DB6352"/>
    <w:rsid w:val="15554A68"/>
    <w:rsid w:val="15F484FA"/>
    <w:rsid w:val="16096A01"/>
    <w:rsid w:val="165CC319"/>
    <w:rsid w:val="1691F897"/>
    <w:rsid w:val="16AA2B7A"/>
    <w:rsid w:val="16E19B61"/>
    <w:rsid w:val="172C99BB"/>
    <w:rsid w:val="17367327"/>
    <w:rsid w:val="175D9C2F"/>
    <w:rsid w:val="180AAF17"/>
    <w:rsid w:val="188F728D"/>
    <w:rsid w:val="18AE00F8"/>
    <w:rsid w:val="193252CB"/>
    <w:rsid w:val="19344A4C"/>
    <w:rsid w:val="199A8E6E"/>
    <w:rsid w:val="199D6ADD"/>
    <w:rsid w:val="1A3E2312"/>
    <w:rsid w:val="1A5A0188"/>
    <w:rsid w:val="1ABD4B58"/>
    <w:rsid w:val="1B49F764"/>
    <w:rsid w:val="1B885F30"/>
    <w:rsid w:val="1BAC12B1"/>
    <w:rsid w:val="1BF84AD7"/>
    <w:rsid w:val="1BFCFFCB"/>
    <w:rsid w:val="1C06B61A"/>
    <w:rsid w:val="1C57B255"/>
    <w:rsid w:val="1C99EE32"/>
    <w:rsid w:val="1CC31543"/>
    <w:rsid w:val="1D0A7B23"/>
    <w:rsid w:val="1D49AB64"/>
    <w:rsid w:val="1DDC8679"/>
    <w:rsid w:val="1E2D299E"/>
    <w:rsid w:val="1F6BEED6"/>
    <w:rsid w:val="1FD1019E"/>
    <w:rsid w:val="1FD4F8DD"/>
    <w:rsid w:val="205BC5CC"/>
    <w:rsid w:val="208859A0"/>
    <w:rsid w:val="20956F28"/>
    <w:rsid w:val="20AC3D89"/>
    <w:rsid w:val="20CA88F1"/>
    <w:rsid w:val="211848E4"/>
    <w:rsid w:val="211A5F71"/>
    <w:rsid w:val="2165705C"/>
    <w:rsid w:val="21964F09"/>
    <w:rsid w:val="21F1FFAB"/>
    <w:rsid w:val="21F8CD1B"/>
    <w:rsid w:val="2203EDA8"/>
    <w:rsid w:val="227EA027"/>
    <w:rsid w:val="227EFC1D"/>
    <w:rsid w:val="228C88B4"/>
    <w:rsid w:val="22B8484D"/>
    <w:rsid w:val="22D815BF"/>
    <w:rsid w:val="2307ABA6"/>
    <w:rsid w:val="2308C989"/>
    <w:rsid w:val="2338DD12"/>
    <w:rsid w:val="233CB74D"/>
    <w:rsid w:val="233E86E6"/>
    <w:rsid w:val="2382F552"/>
    <w:rsid w:val="2396F010"/>
    <w:rsid w:val="23EC63B8"/>
    <w:rsid w:val="23F5D5E6"/>
    <w:rsid w:val="240F8F1C"/>
    <w:rsid w:val="2427F247"/>
    <w:rsid w:val="24701809"/>
    <w:rsid w:val="24759979"/>
    <w:rsid w:val="24B6AD16"/>
    <w:rsid w:val="25358ADA"/>
    <w:rsid w:val="259111CD"/>
    <w:rsid w:val="25DC8F67"/>
    <w:rsid w:val="264411F8"/>
    <w:rsid w:val="2658DD68"/>
    <w:rsid w:val="269061A4"/>
    <w:rsid w:val="26E94323"/>
    <w:rsid w:val="26EF26B7"/>
    <w:rsid w:val="26FE0344"/>
    <w:rsid w:val="272E9473"/>
    <w:rsid w:val="27860159"/>
    <w:rsid w:val="27E91472"/>
    <w:rsid w:val="283EE096"/>
    <w:rsid w:val="28477E42"/>
    <w:rsid w:val="2859F3DE"/>
    <w:rsid w:val="285BE672"/>
    <w:rsid w:val="28923070"/>
    <w:rsid w:val="292FF0A8"/>
    <w:rsid w:val="297FCB82"/>
    <w:rsid w:val="298AB744"/>
    <w:rsid w:val="29ABA169"/>
    <w:rsid w:val="29F3704E"/>
    <w:rsid w:val="2A0348EE"/>
    <w:rsid w:val="2A6717F2"/>
    <w:rsid w:val="2AE7ED14"/>
    <w:rsid w:val="2B6C154C"/>
    <w:rsid w:val="2C1275E2"/>
    <w:rsid w:val="2C328621"/>
    <w:rsid w:val="2C40037C"/>
    <w:rsid w:val="2C612A26"/>
    <w:rsid w:val="2C933D8A"/>
    <w:rsid w:val="2CE155FB"/>
    <w:rsid w:val="2CE84C59"/>
    <w:rsid w:val="2D2D8EA7"/>
    <w:rsid w:val="2D51DCDB"/>
    <w:rsid w:val="2E12B14F"/>
    <w:rsid w:val="2E4D1113"/>
    <w:rsid w:val="2E7B2A9A"/>
    <w:rsid w:val="2E9400A1"/>
    <w:rsid w:val="2EC0F29F"/>
    <w:rsid w:val="2F090F72"/>
    <w:rsid w:val="2F0AA4F6"/>
    <w:rsid w:val="2F2DB4C6"/>
    <w:rsid w:val="2F47FB2D"/>
    <w:rsid w:val="2F77050A"/>
    <w:rsid w:val="2F937A77"/>
    <w:rsid w:val="2FC92691"/>
    <w:rsid w:val="30409460"/>
    <w:rsid w:val="30676102"/>
    <w:rsid w:val="308C530C"/>
    <w:rsid w:val="309716BD"/>
    <w:rsid w:val="30AB45CD"/>
    <w:rsid w:val="311500C0"/>
    <w:rsid w:val="311F04A0"/>
    <w:rsid w:val="31323F11"/>
    <w:rsid w:val="314E9B58"/>
    <w:rsid w:val="323CD762"/>
    <w:rsid w:val="3262E99D"/>
    <w:rsid w:val="32760070"/>
    <w:rsid w:val="3276062C"/>
    <w:rsid w:val="32951434"/>
    <w:rsid w:val="329B1899"/>
    <w:rsid w:val="32E62EB1"/>
    <w:rsid w:val="32EF2158"/>
    <w:rsid w:val="33C59215"/>
    <w:rsid w:val="33D19A43"/>
    <w:rsid w:val="33E06CCE"/>
    <w:rsid w:val="34026EDB"/>
    <w:rsid w:val="3441C512"/>
    <w:rsid w:val="346FC507"/>
    <w:rsid w:val="3487C71D"/>
    <w:rsid w:val="34E2EC7C"/>
    <w:rsid w:val="34E36C98"/>
    <w:rsid w:val="34F6B89E"/>
    <w:rsid w:val="34FAE4A7"/>
    <w:rsid w:val="35047ABA"/>
    <w:rsid w:val="357081E2"/>
    <w:rsid w:val="35744BDA"/>
    <w:rsid w:val="359265D5"/>
    <w:rsid w:val="35DE5AC0"/>
    <w:rsid w:val="363D7E33"/>
    <w:rsid w:val="370C7D04"/>
    <w:rsid w:val="371CF09B"/>
    <w:rsid w:val="371E25D1"/>
    <w:rsid w:val="37240085"/>
    <w:rsid w:val="372CC0F0"/>
    <w:rsid w:val="376E7FB4"/>
    <w:rsid w:val="38185095"/>
    <w:rsid w:val="3853E889"/>
    <w:rsid w:val="3868F6E3"/>
    <w:rsid w:val="38945A35"/>
    <w:rsid w:val="396B9618"/>
    <w:rsid w:val="39975A28"/>
    <w:rsid w:val="39C0FFBC"/>
    <w:rsid w:val="3A111552"/>
    <w:rsid w:val="3A1CE80A"/>
    <w:rsid w:val="3A1E77D4"/>
    <w:rsid w:val="3A1F2041"/>
    <w:rsid w:val="3A4511F9"/>
    <w:rsid w:val="3AE5CB54"/>
    <w:rsid w:val="3AFF224F"/>
    <w:rsid w:val="3B25E6B6"/>
    <w:rsid w:val="3B3AE18B"/>
    <w:rsid w:val="3B7AB607"/>
    <w:rsid w:val="3B82B6DC"/>
    <w:rsid w:val="3B8821CF"/>
    <w:rsid w:val="3B967785"/>
    <w:rsid w:val="3BED7EBE"/>
    <w:rsid w:val="3C163481"/>
    <w:rsid w:val="3C2EADC5"/>
    <w:rsid w:val="3CB3A42B"/>
    <w:rsid w:val="3D638F3B"/>
    <w:rsid w:val="3D7176A0"/>
    <w:rsid w:val="3E6646F8"/>
    <w:rsid w:val="3EC2CACD"/>
    <w:rsid w:val="3F4A538A"/>
    <w:rsid w:val="3F8EA610"/>
    <w:rsid w:val="3F918EAB"/>
    <w:rsid w:val="3FBDC494"/>
    <w:rsid w:val="3FF823AF"/>
    <w:rsid w:val="405F4899"/>
    <w:rsid w:val="40EBE257"/>
    <w:rsid w:val="40F9D9E1"/>
    <w:rsid w:val="414C849E"/>
    <w:rsid w:val="41741F69"/>
    <w:rsid w:val="41959DE0"/>
    <w:rsid w:val="41C8F681"/>
    <w:rsid w:val="41E89E51"/>
    <w:rsid w:val="41F9C37D"/>
    <w:rsid w:val="423D5C0E"/>
    <w:rsid w:val="428009D0"/>
    <w:rsid w:val="42DBD8EE"/>
    <w:rsid w:val="42E5745C"/>
    <w:rsid w:val="430CA219"/>
    <w:rsid w:val="4322083F"/>
    <w:rsid w:val="43D93449"/>
    <w:rsid w:val="4447C1D0"/>
    <w:rsid w:val="446B8660"/>
    <w:rsid w:val="4475E079"/>
    <w:rsid w:val="4481996B"/>
    <w:rsid w:val="44872FF9"/>
    <w:rsid w:val="45080DFD"/>
    <w:rsid w:val="4566F57B"/>
    <w:rsid w:val="45959D7F"/>
    <w:rsid w:val="45A944CE"/>
    <w:rsid w:val="45D7B265"/>
    <w:rsid w:val="45FE48C3"/>
    <w:rsid w:val="461A2823"/>
    <w:rsid w:val="47BF7E6C"/>
    <w:rsid w:val="480689CC"/>
    <w:rsid w:val="480800D5"/>
    <w:rsid w:val="48A44F6A"/>
    <w:rsid w:val="48D8209F"/>
    <w:rsid w:val="48DB053A"/>
    <w:rsid w:val="48E8BF7C"/>
    <w:rsid w:val="495E383F"/>
    <w:rsid w:val="49913F0F"/>
    <w:rsid w:val="49D7AB00"/>
    <w:rsid w:val="4A8E0240"/>
    <w:rsid w:val="4A8F71C1"/>
    <w:rsid w:val="4A914AF3"/>
    <w:rsid w:val="4AB04EEC"/>
    <w:rsid w:val="4B024164"/>
    <w:rsid w:val="4B3D46AF"/>
    <w:rsid w:val="4B3E29DD"/>
    <w:rsid w:val="4B5553AC"/>
    <w:rsid w:val="4B569C5B"/>
    <w:rsid w:val="4B797167"/>
    <w:rsid w:val="4BC44DDB"/>
    <w:rsid w:val="4BC6B828"/>
    <w:rsid w:val="4BDBBF8D"/>
    <w:rsid w:val="4C199EB0"/>
    <w:rsid w:val="4C1D9FDF"/>
    <w:rsid w:val="4C1DA2A7"/>
    <w:rsid w:val="4C2B2E3B"/>
    <w:rsid w:val="4C4CECA5"/>
    <w:rsid w:val="4CC2C210"/>
    <w:rsid w:val="4CD15289"/>
    <w:rsid w:val="4E136C1B"/>
    <w:rsid w:val="4E1391B6"/>
    <w:rsid w:val="4E2BA883"/>
    <w:rsid w:val="4E557ABC"/>
    <w:rsid w:val="4EAC7B31"/>
    <w:rsid w:val="4F282A45"/>
    <w:rsid w:val="4F92373B"/>
    <w:rsid w:val="4FB5134B"/>
    <w:rsid w:val="5085DEC3"/>
    <w:rsid w:val="509BFCBC"/>
    <w:rsid w:val="50A97535"/>
    <w:rsid w:val="50AE9683"/>
    <w:rsid w:val="50BF01D5"/>
    <w:rsid w:val="50CA7F75"/>
    <w:rsid w:val="512F66D9"/>
    <w:rsid w:val="515371C7"/>
    <w:rsid w:val="517D633C"/>
    <w:rsid w:val="51EA1C35"/>
    <w:rsid w:val="51F49950"/>
    <w:rsid w:val="520A50C9"/>
    <w:rsid w:val="52644597"/>
    <w:rsid w:val="52693267"/>
    <w:rsid w:val="52742F27"/>
    <w:rsid w:val="53021963"/>
    <w:rsid w:val="531B7CF5"/>
    <w:rsid w:val="5391635B"/>
    <w:rsid w:val="53EDEBAF"/>
    <w:rsid w:val="53EF1CF0"/>
    <w:rsid w:val="543210C3"/>
    <w:rsid w:val="54685436"/>
    <w:rsid w:val="54B0FFC5"/>
    <w:rsid w:val="54B4BB2B"/>
    <w:rsid w:val="54E1E6F3"/>
    <w:rsid w:val="54F38BCA"/>
    <w:rsid w:val="552503A4"/>
    <w:rsid w:val="5584C1CB"/>
    <w:rsid w:val="5598DA07"/>
    <w:rsid w:val="55A781E9"/>
    <w:rsid w:val="55C9AC89"/>
    <w:rsid w:val="55E3780B"/>
    <w:rsid w:val="5670A218"/>
    <w:rsid w:val="56DE91BD"/>
    <w:rsid w:val="56F24155"/>
    <w:rsid w:val="576A2C46"/>
    <w:rsid w:val="5773C3D8"/>
    <w:rsid w:val="5810611A"/>
    <w:rsid w:val="58214CC1"/>
    <w:rsid w:val="5841F83E"/>
    <w:rsid w:val="58ABDCE1"/>
    <w:rsid w:val="58C146C2"/>
    <w:rsid w:val="58F10EDA"/>
    <w:rsid w:val="59433966"/>
    <w:rsid w:val="59D2CA34"/>
    <w:rsid w:val="59DF7739"/>
    <w:rsid w:val="5AAEDC03"/>
    <w:rsid w:val="5B052E9E"/>
    <w:rsid w:val="5B08E100"/>
    <w:rsid w:val="5B151D6C"/>
    <w:rsid w:val="5B28FE27"/>
    <w:rsid w:val="5B68887E"/>
    <w:rsid w:val="5BB00A8C"/>
    <w:rsid w:val="5C304D6E"/>
    <w:rsid w:val="5C4608C1"/>
    <w:rsid w:val="5C4CFB24"/>
    <w:rsid w:val="5C4D9AF6"/>
    <w:rsid w:val="5C624726"/>
    <w:rsid w:val="5CC4CFF9"/>
    <w:rsid w:val="5CDE78A3"/>
    <w:rsid w:val="5D7FF278"/>
    <w:rsid w:val="5D818F47"/>
    <w:rsid w:val="5DB90581"/>
    <w:rsid w:val="5E08D599"/>
    <w:rsid w:val="5E5FF778"/>
    <w:rsid w:val="5E6753A8"/>
    <w:rsid w:val="5E6F3C79"/>
    <w:rsid w:val="5E96DBB7"/>
    <w:rsid w:val="5F0AA0DF"/>
    <w:rsid w:val="5F71A2FD"/>
    <w:rsid w:val="5FA6B8D5"/>
    <w:rsid w:val="6001899A"/>
    <w:rsid w:val="6043D5C5"/>
    <w:rsid w:val="605C65DE"/>
    <w:rsid w:val="60CE2CC9"/>
    <w:rsid w:val="615D95FC"/>
    <w:rsid w:val="61C67ADA"/>
    <w:rsid w:val="61E2449D"/>
    <w:rsid w:val="621C3621"/>
    <w:rsid w:val="629619D5"/>
    <w:rsid w:val="62DA6C39"/>
    <w:rsid w:val="62E5AE48"/>
    <w:rsid w:val="64105204"/>
    <w:rsid w:val="643FCC3A"/>
    <w:rsid w:val="649C5DEC"/>
    <w:rsid w:val="64EDAC62"/>
    <w:rsid w:val="64F9DB72"/>
    <w:rsid w:val="6523F869"/>
    <w:rsid w:val="65839106"/>
    <w:rsid w:val="65C10D7F"/>
    <w:rsid w:val="66063B7B"/>
    <w:rsid w:val="66907D07"/>
    <w:rsid w:val="670C0BBE"/>
    <w:rsid w:val="677531AA"/>
    <w:rsid w:val="677EBF89"/>
    <w:rsid w:val="679C475F"/>
    <w:rsid w:val="67AB87D9"/>
    <w:rsid w:val="67BD7481"/>
    <w:rsid w:val="67F4C6B0"/>
    <w:rsid w:val="681C5FB8"/>
    <w:rsid w:val="684BD74D"/>
    <w:rsid w:val="68699FB7"/>
    <w:rsid w:val="68866563"/>
    <w:rsid w:val="688EFBE9"/>
    <w:rsid w:val="689A3281"/>
    <w:rsid w:val="68D0974B"/>
    <w:rsid w:val="68EC34D3"/>
    <w:rsid w:val="68EDE636"/>
    <w:rsid w:val="68F19D44"/>
    <w:rsid w:val="695E9B71"/>
    <w:rsid w:val="69B3D3F7"/>
    <w:rsid w:val="69C40414"/>
    <w:rsid w:val="6A2C1550"/>
    <w:rsid w:val="6A369E8B"/>
    <w:rsid w:val="6A4BFD85"/>
    <w:rsid w:val="6A9063C0"/>
    <w:rsid w:val="6AA0EA31"/>
    <w:rsid w:val="6ACC3F8C"/>
    <w:rsid w:val="6B317D9D"/>
    <w:rsid w:val="6B702B7E"/>
    <w:rsid w:val="6BC8C538"/>
    <w:rsid w:val="6BE31E98"/>
    <w:rsid w:val="6C5EFB0D"/>
    <w:rsid w:val="6C5F4832"/>
    <w:rsid w:val="6D0FE703"/>
    <w:rsid w:val="6D241E62"/>
    <w:rsid w:val="6D2BE4FE"/>
    <w:rsid w:val="6DB44BD2"/>
    <w:rsid w:val="6DD9FFCE"/>
    <w:rsid w:val="6E38582C"/>
    <w:rsid w:val="6E39D167"/>
    <w:rsid w:val="6EB7F64C"/>
    <w:rsid w:val="6F816DB1"/>
    <w:rsid w:val="7098210E"/>
    <w:rsid w:val="71119BF8"/>
    <w:rsid w:val="717B055A"/>
    <w:rsid w:val="718A76D0"/>
    <w:rsid w:val="71FC5AFD"/>
    <w:rsid w:val="724E8B56"/>
    <w:rsid w:val="7261A0F7"/>
    <w:rsid w:val="72F02E5A"/>
    <w:rsid w:val="73031536"/>
    <w:rsid w:val="7311E206"/>
    <w:rsid w:val="7341BACF"/>
    <w:rsid w:val="740640E9"/>
    <w:rsid w:val="74D0C115"/>
    <w:rsid w:val="74E499B4"/>
    <w:rsid w:val="74ECE1F6"/>
    <w:rsid w:val="74F98075"/>
    <w:rsid w:val="753136BD"/>
    <w:rsid w:val="7543E5D4"/>
    <w:rsid w:val="756BF170"/>
    <w:rsid w:val="75D39861"/>
    <w:rsid w:val="76859B50"/>
    <w:rsid w:val="769A7072"/>
    <w:rsid w:val="76B5040D"/>
    <w:rsid w:val="76D4C662"/>
    <w:rsid w:val="7700755A"/>
    <w:rsid w:val="77502994"/>
    <w:rsid w:val="77AEFF4C"/>
    <w:rsid w:val="77FA790C"/>
    <w:rsid w:val="78210E25"/>
    <w:rsid w:val="783212D3"/>
    <w:rsid w:val="78730CA2"/>
    <w:rsid w:val="788998CF"/>
    <w:rsid w:val="7938A379"/>
    <w:rsid w:val="794A1D29"/>
    <w:rsid w:val="79522D0E"/>
    <w:rsid w:val="7972AA24"/>
    <w:rsid w:val="79832C92"/>
    <w:rsid w:val="798A78E7"/>
    <w:rsid w:val="79ABEC17"/>
    <w:rsid w:val="79EFEAD2"/>
    <w:rsid w:val="7A066023"/>
    <w:rsid w:val="7A1B1D0A"/>
    <w:rsid w:val="7AC1DEC8"/>
    <w:rsid w:val="7AE195C3"/>
    <w:rsid w:val="7AE7FB28"/>
    <w:rsid w:val="7B588284"/>
    <w:rsid w:val="7B8F5717"/>
    <w:rsid w:val="7C0E7911"/>
    <w:rsid w:val="7C0F973C"/>
    <w:rsid w:val="7C4F271F"/>
    <w:rsid w:val="7C502C28"/>
    <w:rsid w:val="7D22A85F"/>
    <w:rsid w:val="7D4482A3"/>
    <w:rsid w:val="7DAB8E3C"/>
    <w:rsid w:val="7DBC7F56"/>
    <w:rsid w:val="7DD1228A"/>
    <w:rsid w:val="7E4667D8"/>
    <w:rsid w:val="7E802E0C"/>
    <w:rsid w:val="7EBB0B62"/>
    <w:rsid w:val="7EEBE4F8"/>
    <w:rsid w:val="7EF84956"/>
    <w:rsid w:val="7F60F8A0"/>
    <w:rsid w:val="7FBCC9E7"/>
    <w:rsid w:val="7FD667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22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B97"/>
  </w:style>
  <w:style w:type="paragraph" w:styleId="Heading1">
    <w:name w:val="heading 1"/>
    <w:basedOn w:val="Normal"/>
    <w:next w:val="Normal"/>
    <w:link w:val="Heading1Char"/>
    <w:qFormat/>
    <w:rsid w:val="003529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4072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4119C"/>
    <w:pPr>
      <w:jc w:val="both"/>
    </w:pPr>
    <w:rPr>
      <w:rFonts w:ascii="Arial" w:hAnsi="Arial"/>
      <w:snapToGrid w:val="0"/>
      <w:sz w:val="24"/>
      <w:lang w:eastAsia="en-US"/>
    </w:rPr>
  </w:style>
  <w:style w:type="paragraph" w:styleId="BodyTextIndent">
    <w:name w:val="Body Text Indent"/>
    <w:basedOn w:val="Normal"/>
    <w:rsid w:val="00D4119C"/>
    <w:pPr>
      <w:ind w:left="720" w:hanging="720"/>
    </w:pPr>
    <w:rPr>
      <w:rFonts w:ascii="Arial" w:hAnsi="Arial"/>
      <w:snapToGrid w:val="0"/>
      <w:sz w:val="24"/>
      <w:lang w:eastAsia="en-US"/>
    </w:rPr>
  </w:style>
  <w:style w:type="paragraph" w:styleId="Title">
    <w:name w:val="Title"/>
    <w:basedOn w:val="Normal"/>
    <w:link w:val="TitleChar"/>
    <w:qFormat/>
    <w:rsid w:val="00D4119C"/>
    <w:pPr>
      <w:jc w:val="center"/>
    </w:pPr>
    <w:rPr>
      <w:rFonts w:ascii="Arial" w:hAnsi="Arial"/>
      <w:b/>
      <w:sz w:val="24"/>
      <w:u w:val="single"/>
      <w:lang w:val="en-US"/>
    </w:rPr>
  </w:style>
  <w:style w:type="table" w:styleId="TableGrid">
    <w:name w:val="Table Grid"/>
    <w:basedOn w:val="TableNormal"/>
    <w:rsid w:val="00E85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1512DC"/>
    <w:rPr>
      <w:rFonts w:ascii="Arial" w:hAnsi="Arial"/>
      <w:snapToGrid w:val="0"/>
      <w:sz w:val="24"/>
      <w:lang w:val="en-GB" w:eastAsia="en-US" w:bidi="ar-SA"/>
    </w:rPr>
  </w:style>
  <w:style w:type="character" w:styleId="CommentReference">
    <w:name w:val="annotation reference"/>
    <w:semiHidden/>
    <w:rsid w:val="009C61BC"/>
    <w:rPr>
      <w:sz w:val="16"/>
      <w:szCs w:val="16"/>
    </w:rPr>
  </w:style>
  <w:style w:type="paragraph" w:styleId="CommentText">
    <w:name w:val="annotation text"/>
    <w:basedOn w:val="Normal"/>
    <w:link w:val="CommentTextChar"/>
    <w:semiHidden/>
    <w:rsid w:val="009C61BC"/>
  </w:style>
  <w:style w:type="paragraph" w:styleId="CommentSubject">
    <w:name w:val="annotation subject"/>
    <w:basedOn w:val="CommentText"/>
    <w:next w:val="CommentText"/>
    <w:semiHidden/>
    <w:rsid w:val="009C61BC"/>
    <w:rPr>
      <w:b/>
      <w:bCs/>
    </w:rPr>
  </w:style>
  <w:style w:type="paragraph" w:styleId="BalloonText">
    <w:name w:val="Balloon Text"/>
    <w:basedOn w:val="Normal"/>
    <w:semiHidden/>
    <w:rsid w:val="009C61BC"/>
    <w:rPr>
      <w:rFonts w:ascii="Tahoma" w:hAnsi="Tahoma" w:cs="Tahoma"/>
      <w:sz w:val="16"/>
      <w:szCs w:val="16"/>
    </w:rPr>
  </w:style>
  <w:style w:type="paragraph" w:customStyle="1" w:styleId="Default">
    <w:name w:val="Default"/>
    <w:rsid w:val="007A0719"/>
    <w:pPr>
      <w:autoSpaceDE w:val="0"/>
      <w:autoSpaceDN w:val="0"/>
      <w:adjustRightInd w:val="0"/>
    </w:pPr>
    <w:rPr>
      <w:rFonts w:ascii="Arial" w:hAnsi="Arial" w:cs="Arial"/>
      <w:color w:val="000000"/>
      <w:sz w:val="24"/>
      <w:szCs w:val="24"/>
    </w:rPr>
  </w:style>
  <w:style w:type="paragraph" w:customStyle="1" w:styleId="CharChar3CharCharCharCharCharCharCharCharCharCharCharCharChar">
    <w:name w:val="Char Char3 Char Char Char Char Char Char Char Char Char Char Char Char Char"/>
    <w:basedOn w:val="Normal"/>
    <w:rsid w:val="00F34912"/>
    <w:pPr>
      <w:keepLines/>
      <w:spacing w:after="160" w:line="240" w:lineRule="exact"/>
      <w:ind w:left="2977"/>
    </w:pPr>
    <w:rPr>
      <w:rFonts w:ascii="Tahoma" w:hAnsi="Tahoma" w:cs="Tahoma"/>
      <w:lang w:val="en-US" w:eastAsia="en-US"/>
    </w:rPr>
  </w:style>
  <w:style w:type="character" w:customStyle="1" w:styleId="CommentTextChar">
    <w:name w:val="Comment Text Char"/>
    <w:link w:val="CommentText"/>
    <w:semiHidden/>
    <w:rsid w:val="00D21075"/>
  </w:style>
  <w:style w:type="paragraph" w:customStyle="1" w:styleId="HeaderData">
    <w:name w:val="HeaderData"/>
    <w:basedOn w:val="Normal"/>
    <w:rsid w:val="00DE6011"/>
    <w:pPr>
      <w:keepLines/>
      <w:tabs>
        <w:tab w:val="left" w:pos="227"/>
      </w:tabs>
      <w:spacing w:before="60" w:after="60"/>
    </w:pPr>
    <w:rPr>
      <w:rFonts w:ascii="Arial" w:hAnsi="Arial"/>
      <w:sz w:val="24"/>
    </w:rPr>
  </w:style>
  <w:style w:type="paragraph" w:styleId="ListParagraph">
    <w:name w:val="List Paragraph"/>
    <w:basedOn w:val="Normal"/>
    <w:uiPriority w:val="34"/>
    <w:qFormat/>
    <w:rsid w:val="00BC7EF1"/>
    <w:pPr>
      <w:ind w:left="720"/>
    </w:pPr>
  </w:style>
  <w:style w:type="character" w:customStyle="1" w:styleId="TitleChar">
    <w:name w:val="Title Char"/>
    <w:link w:val="Title"/>
    <w:rsid w:val="00F06A2C"/>
    <w:rPr>
      <w:rFonts w:ascii="Arial" w:hAnsi="Arial"/>
      <w:b/>
      <w:sz w:val="24"/>
      <w:u w:val="single"/>
      <w:lang w:val="en-US"/>
    </w:rPr>
  </w:style>
  <w:style w:type="character" w:customStyle="1" w:styleId="Heading1Char">
    <w:name w:val="Heading 1 Char"/>
    <w:basedOn w:val="DefaultParagraphFont"/>
    <w:link w:val="Heading1"/>
    <w:rsid w:val="0035294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407264"/>
    <w:rPr>
      <w:rFonts w:asciiTheme="majorHAnsi" w:eastAsiaTheme="majorEastAsia" w:hAnsiTheme="majorHAnsi" w:cstheme="majorBidi"/>
      <w:color w:val="2E74B5" w:themeColor="accent1" w:themeShade="BF"/>
      <w:sz w:val="26"/>
      <w:szCs w:val="26"/>
    </w:rPr>
  </w:style>
  <w:style w:type="table" w:styleId="Table3Deffects1">
    <w:name w:val="Table 3D effects 1"/>
    <w:basedOn w:val="TableNormal"/>
    <w:rsid w:val="0040726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istTable1Light-Accent5">
    <w:name w:val="List Table 1 Light Accent 5"/>
    <w:basedOn w:val="TableNormal"/>
    <w:uiPriority w:val="46"/>
    <w:rsid w:val="00150970"/>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ghtShading-Accent5">
    <w:name w:val="Light Shading Accent 5"/>
    <w:basedOn w:val="TableNormal"/>
    <w:uiPriority w:val="60"/>
    <w:rsid w:val="00150970"/>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ableGrid1">
    <w:name w:val="Table Grid 1"/>
    <w:basedOn w:val="TableNormal"/>
    <w:rsid w:val="001509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PlainTable1">
    <w:name w:val="Plain Table 1"/>
    <w:basedOn w:val="TableNormal"/>
    <w:uiPriority w:val="41"/>
    <w:rsid w:val="0015097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4">
    <w:name w:val="Grid Table 2 Accent 4"/>
    <w:basedOn w:val="TableNormal"/>
    <w:uiPriority w:val="47"/>
    <w:rsid w:val="007C24FF"/>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val="0"/>
        <w:bCs/>
        <w:color w:val="auto"/>
      </w:rPr>
      <w:tblPr/>
      <w:tcPr>
        <w:shd w:val="clear" w:color="auto" w:fill="FFF2CC" w:themeFill="accent4" w:themeFillTint="33"/>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FFF" w:themeFill="background1"/>
      </w:tcPr>
    </w:tblStylePr>
    <w:tblStylePr w:type="band2Horz">
      <w:tblPr/>
      <w:tcPr>
        <w:shd w:val="clear" w:color="auto" w:fill="FFF2CC" w:themeFill="accent4" w:themeFillTint="33"/>
      </w:tcPr>
    </w:tblStylePr>
  </w:style>
  <w:style w:type="table" w:styleId="ListTable2-Accent4">
    <w:name w:val="List Table 2 Accent 4"/>
    <w:basedOn w:val="TableNormal"/>
    <w:uiPriority w:val="47"/>
    <w:rsid w:val="00CF6B5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val="0"/>
        <w:bCs/>
      </w:rPr>
      <w:tblPr/>
      <w:tcPr>
        <w:shd w:val="clear" w:color="auto" w:fill="FFF2CC" w:themeFill="accent4" w:themeFillTint="33"/>
      </w:tc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FFF" w:themeFill="background1"/>
      </w:tcPr>
    </w:tblStylePr>
    <w:tblStylePr w:type="band2Horz">
      <w:tblPr/>
      <w:tcPr>
        <w:shd w:val="clear" w:color="auto" w:fill="FFF2CC" w:themeFill="accent4" w:themeFillTint="33"/>
      </w:tcPr>
    </w:tblStylePr>
  </w:style>
  <w:style w:type="table" w:styleId="LightGrid-Accent4">
    <w:name w:val="Light Grid Accent 4"/>
    <w:basedOn w:val="TableNormal"/>
    <w:uiPriority w:val="62"/>
    <w:rsid w:val="00CF6B5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Header">
    <w:name w:val="header"/>
    <w:basedOn w:val="Normal"/>
    <w:link w:val="HeaderChar"/>
    <w:rsid w:val="00D37338"/>
    <w:pPr>
      <w:tabs>
        <w:tab w:val="center" w:pos="4513"/>
        <w:tab w:val="right" w:pos="9026"/>
      </w:tabs>
    </w:pPr>
  </w:style>
  <w:style w:type="character" w:customStyle="1" w:styleId="HeaderChar">
    <w:name w:val="Header Char"/>
    <w:basedOn w:val="DefaultParagraphFont"/>
    <w:link w:val="Header"/>
    <w:rsid w:val="00D37338"/>
  </w:style>
  <w:style w:type="paragraph" w:styleId="Footer">
    <w:name w:val="footer"/>
    <w:basedOn w:val="Normal"/>
    <w:link w:val="FooterChar"/>
    <w:rsid w:val="00D37338"/>
    <w:pPr>
      <w:tabs>
        <w:tab w:val="center" w:pos="4513"/>
        <w:tab w:val="right" w:pos="9026"/>
      </w:tabs>
    </w:pPr>
  </w:style>
  <w:style w:type="character" w:customStyle="1" w:styleId="FooterChar">
    <w:name w:val="Footer Char"/>
    <w:basedOn w:val="DefaultParagraphFont"/>
    <w:link w:val="Footer"/>
    <w:rsid w:val="00D37338"/>
  </w:style>
  <w:style w:type="paragraph" w:styleId="FootnoteText">
    <w:name w:val="footnote text"/>
    <w:basedOn w:val="Normal"/>
    <w:link w:val="FootnoteTextChar"/>
    <w:uiPriority w:val="99"/>
    <w:unhideWhenUsed/>
    <w:rsid w:val="008C263D"/>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8C263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C263D"/>
    <w:rPr>
      <w:vertAlign w:val="superscript"/>
    </w:rPr>
  </w:style>
  <w:style w:type="character" w:styleId="Hyperlink">
    <w:name w:val="Hyperlink"/>
    <w:basedOn w:val="DefaultParagraphFont"/>
    <w:uiPriority w:val="99"/>
    <w:unhideWhenUsed/>
    <w:rsid w:val="008C263D"/>
    <w:rPr>
      <w:color w:val="0563C1" w:themeColor="hyperlink"/>
      <w:u w:val="single"/>
    </w:rPr>
  </w:style>
  <w:style w:type="table" w:styleId="GridTable2-Accent1">
    <w:name w:val="Grid Table 2 Accent 1"/>
    <w:basedOn w:val="TableNormal"/>
    <w:uiPriority w:val="47"/>
    <w:rsid w:val="004C6DBD"/>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Quote">
    <w:name w:val="Quote"/>
    <w:basedOn w:val="Normal"/>
    <w:next w:val="Normal"/>
    <w:link w:val="QuoteChar"/>
    <w:uiPriority w:val="29"/>
    <w:qFormat/>
    <w:rsid w:val="0049527B"/>
    <w:pPr>
      <w:spacing w:before="200" w:after="160" w:line="259" w:lineRule="auto"/>
      <w:ind w:left="864" w:right="864"/>
      <w:jc w:val="center"/>
    </w:pPr>
    <w:rPr>
      <w:rFonts w:ascii="Arial" w:eastAsiaTheme="minorHAnsi" w:hAnsi="Arial"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49527B"/>
    <w:rPr>
      <w:rFonts w:ascii="Arial" w:eastAsiaTheme="minorHAnsi" w:hAnsi="Arial" w:cstheme="minorBidi"/>
      <w:i/>
      <w:iCs/>
      <w:color w:val="404040" w:themeColor="text1" w:themeTint="BF"/>
      <w:sz w:val="22"/>
      <w:szCs w:val="22"/>
      <w:lang w:eastAsia="en-US"/>
    </w:rPr>
  </w:style>
  <w:style w:type="table" w:customStyle="1" w:styleId="TableGrid10">
    <w:name w:val="Table Grid1"/>
    <w:basedOn w:val="TableNormal"/>
    <w:next w:val="TableGrid"/>
    <w:uiPriority w:val="39"/>
    <w:rsid w:val="00E9459E"/>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3E3FC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B6CED"/>
    <w:rPr>
      <w:color w:val="605E5C"/>
      <w:shd w:val="clear" w:color="auto" w:fill="E1DFDD"/>
    </w:rPr>
  </w:style>
  <w:style w:type="table" w:customStyle="1" w:styleId="TableGrid2">
    <w:name w:val="Table Grid2"/>
    <w:basedOn w:val="TableNormal"/>
    <w:next w:val="TableGrid"/>
    <w:uiPriority w:val="39"/>
    <w:rsid w:val="00356842"/>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2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573815">
      <w:bodyDiv w:val="1"/>
      <w:marLeft w:val="0"/>
      <w:marRight w:val="0"/>
      <w:marTop w:val="0"/>
      <w:marBottom w:val="0"/>
      <w:divBdr>
        <w:top w:val="none" w:sz="0" w:space="0" w:color="auto"/>
        <w:left w:val="none" w:sz="0" w:space="0" w:color="auto"/>
        <w:bottom w:val="none" w:sz="0" w:space="0" w:color="auto"/>
        <w:right w:val="none" w:sz="0" w:space="0" w:color="auto"/>
      </w:divBdr>
    </w:div>
    <w:div w:id="447241740">
      <w:bodyDiv w:val="1"/>
      <w:marLeft w:val="0"/>
      <w:marRight w:val="0"/>
      <w:marTop w:val="0"/>
      <w:marBottom w:val="0"/>
      <w:divBdr>
        <w:top w:val="none" w:sz="0" w:space="0" w:color="auto"/>
        <w:left w:val="none" w:sz="0" w:space="0" w:color="auto"/>
        <w:bottom w:val="none" w:sz="0" w:space="0" w:color="auto"/>
        <w:right w:val="none" w:sz="0" w:space="0" w:color="auto"/>
      </w:divBdr>
    </w:div>
    <w:div w:id="845826326">
      <w:bodyDiv w:val="1"/>
      <w:marLeft w:val="0"/>
      <w:marRight w:val="0"/>
      <w:marTop w:val="0"/>
      <w:marBottom w:val="0"/>
      <w:divBdr>
        <w:top w:val="none" w:sz="0" w:space="0" w:color="auto"/>
        <w:left w:val="none" w:sz="0" w:space="0" w:color="auto"/>
        <w:bottom w:val="none" w:sz="0" w:space="0" w:color="auto"/>
        <w:right w:val="none" w:sz="0" w:space="0" w:color="auto"/>
      </w:divBdr>
    </w:div>
    <w:div w:id="975767406">
      <w:bodyDiv w:val="1"/>
      <w:marLeft w:val="0"/>
      <w:marRight w:val="0"/>
      <w:marTop w:val="0"/>
      <w:marBottom w:val="0"/>
      <w:divBdr>
        <w:top w:val="none" w:sz="0" w:space="0" w:color="auto"/>
        <w:left w:val="none" w:sz="0" w:space="0" w:color="auto"/>
        <w:bottom w:val="none" w:sz="0" w:space="0" w:color="auto"/>
        <w:right w:val="none" w:sz="0" w:space="0" w:color="auto"/>
      </w:divBdr>
    </w:div>
    <w:div w:id="1377923887">
      <w:bodyDiv w:val="1"/>
      <w:marLeft w:val="0"/>
      <w:marRight w:val="0"/>
      <w:marTop w:val="0"/>
      <w:marBottom w:val="0"/>
      <w:divBdr>
        <w:top w:val="none" w:sz="0" w:space="0" w:color="auto"/>
        <w:left w:val="none" w:sz="0" w:space="0" w:color="auto"/>
        <w:bottom w:val="none" w:sz="0" w:space="0" w:color="auto"/>
        <w:right w:val="none" w:sz="0" w:space="0" w:color="auto"/>
      </w:divBdr>
    </w:div>
    <w:div w:id="1464422851">
      <w:bodyDiv w:val="1"/>
      <w:marLeft w:val="0"/>
      <w:marRight w:val="0"/>
      <w:marTop w:val="0"/>
      <w:marBottom w:val="0"/>
      <w:divBdr>
        <w:top w:val="none" w:sz="0" w:space="0" w:color="auto"/>
        <w:left w:val="none" w:sz="0" w:space="0" w:color="auto"/>
        <w:bottom w:val="none" w:sz="0" w:space="0" w:color="auto"/>
        <w:right w:val="none" w:sz="0" w:space="0" w:color="auto"/>
      </w:divBdr>
    </w:div>
    <w:div w:id="1541239255">
      <w:bodyDiv w:val="1"/>
      <w:marLeft w:val="0"/>
      <w:marRight w:val="0"/>
      <w:marTop w:val="0"/>
      <w:marBottom w:val="0"/>
      <w:divBdr>
        <w:top w:val="none" w:sz="0" w:space="0" w:color="auto"/>
        <w:left w:val="none" w:sz="0" w:space="0" w:color="auto"/>
        <w:bottom w:val="none" w:sz="0" w:space="0" w:color="auto"/>
        <w:right w:val="none" w:sz="0" w:space="0" w:color="auto"/>
      </w:divBdr>
    </w:div>
    <w:div w:id="1548491440">
      <w:bodyDiv w:val="1"/>
      <w:marLeft w:val="0"/>
      <w:marRight w:val="0"/>
      <w:marTop w:val="0"/>
      <w:marBottom w:val="0"/>
      <w:divBdr>
        <w:top w:val="none" w:sz="0" w:space="0" w:color="auto"/>
        <w:left w:val="none" w:sz="0" w:space="0" w:color="auto"/>
        <w:bottom w:val="none" w:sz="0" w:space="0" w:color="auto"/>
        <w:right w:val="none" w:sz="0" w:space="0" w:color="auto"/>
      </w:divBdr>
    </w:div>
    <w:div w:id="20556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F5F01-B778-4EB0-A4E4-5750B253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3834</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2026-05-06T16:01:00Z</dcterms:created>
  <dcterms:modified xsi:type="dcterms:W3CDTF">2026-05-06T16:01:00Z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68629f9f,6e52175d,ae894ee</vt:lpwstr>
  </property>
  <property fmtid="{D5CDD505-2E9C-101B-9397-08002B2CF9AE}" pid="3" name="ClassificationContentMarkingHeaderFontProps">
    <vt:lpwstr>#000000,10,Aptos</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2026-05-06T16:01:58Z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f1d37c1d-8ef2-4d94-8154-e57403b0a027</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