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D6" w:rsidRPr="00553FD6" w:rsidRDefault="00553FD6" w:rsidP="00553FD6">
      <w:pPr>
        <w:jc w:val="center"/>
        <w:rPr>
          <w:rFonts w:ascii="Arial" w:hAnsi="Arial" w:cs="Arial"/>
          <w:b/>
          <w:sz w:val="24"/>
          <w:szCs w:val="24"/>
          <w:u w:val="single"/>
        </w:rPr>
      </w:pPr>
      <w:bookmarkStart w:id="0" w:name="_GoBack"/>
      <w:bookmarkEnd w:id="0"/>
      <w:r w:rsidRPr="00553FD6">
        <w:rPr>
          <w:rFonts w:ascii="Arial" w:hAnsi="Arial" w:cs="Arial"/>
          <w:b/>
          <w:sz w:val="24"/>
          <w:szCs w:val="24"/>
          <w:u w:val="single"/>
        </w:rPr>
        <w:t>SCHOOLS FORUM –</w:t>
      </w:r>
      <w:r w:rsidR="00944984">
        <w:rPr>
          <w:rFonts w:ascii="Arial" w:hAnsi="Arial" w:cs="Arial"/>
          <w:b/>
          <w:sz w:val="24"/>
          <w:szCs w:val="24"/>
          <w:u w:val="single"/>
        </w:rPr>
        <w:t>1</w:t>
      </w:r>
      <w:r w:rsidRPr="00553FD6">
        <w:rPr>
          <w:rFonts w:ascii="Arial" w:hAnsi="Arial" w:cs="Arial"/>
          <w:b/>
          <w:sz w:val="24"/>
          <w:szCs w:val="24"/>
          <w:u w:val="single"/>
        </w:rPr>
        <w:t>9</w:t>
      </w:r>
      <w:r w:rsidRPr="00553FD6">
        <w:rPr>
          <w:rFonts w:ascii="Arial" w:hAnsi="Arial" w:cs="Arial"/>
          <w:b/>
          <w:sz w:val="24"/>
          <w:szCs w:val="24"/>
          <w:u w:val="single"/>
          <w:vertAlign w:val="superscript"/>
        </w:rPr>
        <w:t>TH</w:t>
      </w:r>
      <w:r w:rsidRPr="00553FD6">
        <w:rPr>
          <w:rFonts w:ascii="Arial" w:hAnsi="Arial" w:cs="Arial"/>
          <w:b/>
          <w:sz w:val="24"/>
          <w:szCs w:val="24"/>
          <w:u w:val="single"/>
        </w:rPr>
        <w:t xml:space="preserve"> </w:t>
      </w:r>
      <w:r w:rsidR="00944984">
        <w:rPr>
          <w:rFonts w:ascii="Arial" w:hAnsi="Arial" w:cs="Arial"/>
          <w:b/>
          <w:sz w:val="24"/>
          <w:szCs w:val="24"/>
          <w:u w:val="single"/>
        </w:rPr>
        <w:t>MARCH 2014</w:t>
      </w:r>
    </w:p>
    <w:p w:rsidR="00553FD6" w:rsidRPr="00553FD6" w:rsidRDefault="002C1C32" w:rsidP="00553FD6">
      <w:pPr>
        <w:jc w:val="center"/>
        <w:rPr>
          <w:rFonts w:ascii="Arial" w:hAnsi="Arial" w:cs="Arial"/>
          <w:b/>
          <w:sz w:val="24"/>
          <w:szCs w:val="24"/>
          <w:u w:val="single"/>
        </w:rPr>
      </w:pPr>
      <w:r>
        <w:rPr>
          <w:rFonts w:ascii="Arial" w:hAnsi="Arial" w:cs="Arial"/>
          <w:b/>
          <w:sz w:val="24"/>
          <w:szCs w:val="24"/>
          <w:u w:val="single"/>
        </w:rPr>
        <w:t xml:space="preserve">DfE CONSULTATION PAPER - FAIRER SCHOOLS FUNDING IN 2015-16 </w:t>
      </w:r>
    </w:p>
    <w:p w:rsidR="00553FD6" w:rsidRPr="00553FD6" w:rsidRDefault="00553FD6" w:rsidP="00553FD6">
      <w:pPr>
        <w:jc w:val="center"/>
        <w:rPr>
          <w:rFonts w:ascii="Arial" w:hAnsi="Arial" w:cs="Arial"/>
          <w:b/>
          <w:sz w:val="24"/>
          <w:szCs w:val="24"/>
          <w:u w:val="single"/>
        </w:rPr>
      </w:pPr>
    </w:p>
    <w:p w:rsidR="00553FD6" w:rsidRPr="00553FD6" w:rsidRDefault="00553FD6" w:rsidP="00553FD6">
      <w:pPr>
        <w:pStyle w:val="ListParagraph"/>
        <w:numPr>
          <w:ilvl w:val="0"/>
          <w:numId w:val="2"/>
        </w:numPr>
        <w:rPr>
          <w:rFonts w:ascii="Arial" w:hAnsi="Arial" w:cs="Arial"/>
          <w:b/>
          <w:sz w:val="24"/>
          <w:szCs w:val="24"/>
          <w:u w:val="single"/>
        </w:rPr>
      </w:pPr>
      <w:r w:rsidRPr="00553FD6">
        <w:rPr>
          <w:rFonts w:ascii="Arial" w:hAnsi="Arial" w:cs="Arial"/>
          <w:b/>
          <w:sz w:val="24"/>
          <w:szCs w:val="24"/>
          <w:u w:val="single"/>
        </w:rPr>
        <w:t>Purpose</w:t>
      </w:r>
    </w:p>
    <w:p w:rsidR="002C1C32" w:rsidRDefault="00553FD6" w:rsidP="00553FD6">
      <w:pPr>
        <w:ind w:left="720"/>
        <w:rPr>
          <w:rFonts w:ascii="Arial" w:hAnsi="Arial" w:cs="Arial"/>
          <w:sz w:val="24"/>
          <w:szCs w:val="24"/>
        </w:rPr>
      </w:pPr>
      <w:r w:rsidRPr="00553FD6">
        <w:rPr>
          <w:rFonts w:ascii="Arial" w:hAnsi="Arial" w:cs="Arial"/>
          <w:sz w:val="24"/>
          <w:szCs w:val="24"/>
        </w:rPr>
        <w:t>The purpose of this paper is to provide school forum members with a</w:t>
      </w:r>
      <w:r w:rsidR="002C1C32">
        <w:rPr>
          <w:rFonts w:ascii="Arial" w:hAnsi="Arial" w:cs="Arial"/>
          <w:sz w:val="24"/>
          <w:szCs w:val="24"/>
        </w:rPr>
        <w:t xml:space="preserve"> brief overview of the above consultation paper which was issued by the DfE o</w:t>
      </w:r>
      <w:r w:rsidRPr="00553FD6">
        <w:rPr>
          <w:rFonts w:ascii="Arial" w:hAnsi="Arial" w:cs="Arial"/>
          <w:sz w:val="24"/>
          <w:szCs w:val="24"/>
        </w:rPr>
        <w:t>n</w:t>
      </w:r>
      <w:r w:rsidR="002C1C32">
        <w:rPr>
          <w:rFonts w:ascii="Arial" w:hAnsi="Arial" w:cs="Arial"/>
          <w:sz w:val="24"/>
          <w:szCs w:val="24"/>
        </w:rPr>
        <w:t xml:space="preserve"> the 13</w:t>
      </w:r>
      <w:r w:rsidR="002C1C32" w:rsidRPr="002C1C32">
        <w:rPr>
          <w:rFonts w:ascii="Arial" w:hAnsi="Arial" w:cs="Arial"/>
          <w:sz w:val="24"/>
          <w:szCs w:val="24"/>
          <w:vertAlign w:val="superscript"/>
        </w:rPr>
        <w:t>th</w:t>
      </w:r>
      <w:r w:rsidR="002C1C32">
        <w:rPr>
          <w:rFonts w:ascii="Arial" w:hAnsi="Arial" w:cs="Arial"/>
          <w:sz w:val="24"/>
          <w:szCs w:val="24"/>
        </w:rPr>
        <w:t xml:space="preserve"> March 2014. A link to the consultation papers has been provided</w:t>
      </w:r>
      <w:r w:rsidRPr="00553FD6">
        <w:rPr>
          <w:rFonts w:ascii="Arial" w:hAnsi="Arial" w:cs="Arial"/>
          <w:sz w:val="24"/>
          <w:szCs w:val="24"/>
        </w:rPr>
        <w:t xml:space="preserve"> </w:t>
      </w:r>
      <w:r w:rsidR="002C1C32">
        <w:rPr>
          <w:rFonts w:ascii="Arial" w:hAnsi="Arial" w:cs="Arial"/>
          <w:sz w:val="24"/>
          <w:szCs w:val="24"/>
        </w:rPr>
        <w:t>to members. The deadline for consultation responses is the 30</w:t>
      </w:r>
      <w:r w:rsidR="002C1C32" w:rsidRPr="002C1C32">
        <w:rPr>
          <w:rFonts w:ascii="Arial" w:hAnsi="Arial" w:cs="Arial"/>
          <w:sz w:val="24"/>
          <w:szCs w:val="24"/>
          <w:vertAlign w:val="superscript"/>
        </w:rPr>
        <w:t>th</w:t>
      </w:r>
      <w:r w:rsidR="002C1C32">
        <w:rPr>
          <w:rFonts w:ascii="Arial" w:hAnsi="Arial" w:cs="Arial"/>
          <w:sz w:val="24"/>
          <w:szCs w:val="24"/>
        </w:rPr>
        <w:t xml:space="preserve"> April 2014.</w:t>
      </w:r>
    </w:p>
    <w:p w:rsidR="002C1C32" w:rsidRDefault="002C1C32" w:rsidP="00553FD6">
      <w:pPr>
        <w:pStyle w:val="ListParagraph"/>
        <w:numPr>
          <w:ilvl w:val="0"/>
          <w:numId w:val="2"/>
        </w:numPr>
        <w:rPr>
          <w:rFonts w:ascii="Arial" w:hAnsi="Arial" w:cs="Arial"/>
          <w:b/>
          <w:sz w:val="24"/>
          <w:szCs w:val="24"/>
          <w:u w:val="single"/>
        </w:rPr>
      </w:pPr>
      <w:r>
        <w:rPr>
          <w:rFonts w:ascii="Arial" w:hAnsi="Arial" w:cs="Arial"/>
          <w:b/>
          <w:sz w:val="24"/>
          <w:szCs w:val="24"/>
          <w:u w:val="single"/>
        </w:rPr>
        <w:t>Background</w:t>
      </w:r>
    </w:p>
    <w:p w:rsidR="002C1C32" w:rsidRDefault="00BA2694" w:rsidP="00BA2694">
      <w:pPr>
        <w:ind w:left="720"/>
        <w:rPr>
          <w:rFonts w:ascii="Arial" w:hAnsi="Arial" w:cs="Arial"/>
          <w:sz w:val="24"/>
          <w:szCs w:val="24"/>
        </w:rPr>
      </w:pPr>
      <w:r>
        <w:rPr>
          <w:rFonts w:ascii="Arial" w:hAnsi="Arial" w:cs="Arial"/>
          <w:sz w:val="24"/>
          <w:szCs w:val="24"/>
        </w:rPr>
        <w:t xml:space="preserve">As part of the “School Funding Reform: Next Steps towards a Fairer system“ consultation paper the government’s intention was to move towards a national funding formula. This intention was confirmed in the </w:t>
      </w:r>
      <w:r w:rsidR="005531CD">
        <w:rPr>
          <w:rFonts w:ascii="Arial" w:hAnsi="Arial" w:cs="Arial"/>
          <w:sz w:val="24"/>
          <w:szCs w:val="24"/>
        </w:rPr>
        <w:t xml:space="preserve">EFA Paper: 2014-15 </w:t>
      </w:r>
      <w:r w:rsidR="005411C0">
        <w:rPr>
          <w:rFonts w:ascii="Arial" w:hAnsi="Arial" w:cs="Arial"/>
          <w:sz w:val="24"/>
          <w:szCs w:val="24"/>
        </w:rPr>
        <w:t>Revenue</w:t>
      </w:r>
      <w:r w:rsidR="005531CD">
        <w:rPr>
          <w:rFonts w:ascii="Arial" w:hAnsi="Arial" w:cs="Arial"/>
          <w:sz w:val="24"/>
          <w:szCs w:val="24"/>
        </w:rPr>
        <w:t xml:space="preserve"> Funding Arrangements</w:t>
      </w:r>
      <w:r>
        <w:rPr>
          <w:rFonts w:ascii="Arial" w:hAnsi="Arial" w:cs="Arial"/>
          <w:sz w:val="24"/>
          <w:szCs w:val="24"/>
        </w:rPr>
        <w:t>. The DfE Consultation Paper – Fairer Schools Funding 2015-16 provides government thinking in this area on which comments are invited. The proposals outlined are for one year only with 2016-17 being a matter for the next spending review.</w:t>
      </w:r>
      <w:r w:rsidR="00B305A0">
        <w:rPr>
          <w:rFonts w:ascii="Arial" w:hAnsi="Arial" w:cs="Arial"/>
          <w:sz w:val="24"/>
          <w:szCs w:val="24"/>
        </w:rPr>
        <w:t xml:space="preserve"> As such these proposals do not represent the implementation of the national funding formula but are a step along the way to this overall goal.</w:t>
      </w:r>
    </w:p>
    <w:p w:rsidR="00B1370E" w:rsidRDefault="00BA2694" w:rsidP="00BA2694">
      <w:pPr>
        <w:ind w:left="720"/>
        <w:rPr>
          <w:rFonts w:ascii="Arial" w:hAnsi="Arial" w:cs="Arial"/>
          <w:sz w:val="24"/>
          <w:szCs w:val="24"/>
        </w:rPr>
      </w:pPr>
      <w:r>
        <w:rPr>
          <w:rFonts w:ascii="Arial" w:hAnsi="Arial" w:cs="Arial"/>
          <w:sz w:val="24"/>
          <w:szCs w:val="24"/>
        </w:rPr>
        <w:t>The key points arising from the review are detailed below. Overall DfE have identified 62 Authorities who are in need of extra funding. These Authorities are listed and will share additional funding of £350M in 2015-16</w:t>
      </w:r>
      <w:r w:rsidR="00B1370E">
        <w:rPr>
          <w:rFonts w:ascii="Arial" w:hAnsi="Arial" w:cs="Arial"/>
          <w:sz w:val="24"/>
          <w:szCs w:val="24"/>
        </w:rPr>
        <w:t>. North East Lincolnshire is not listed as one of the Authorities who will benefit from this additional funding.</w:t>
      </w:r>
    </w:p>
    <w:p w:rsidR="00BA2694" w:rsidRPr="002C1C32" w:rsidRDefault="00B1370E" w:rsidP="00BA2694">
      <w:pPr>
        <w:ind w:left="720"/>
        <w:rPr>
          <w:rFonts w:ascii="Arial" w:hAnsi="Arial" w:cs="Arial"/>
          <w:b/>
          <w:sz w:val="24"/>
          <w:szCs w:val="24"/>
          <w:u w:val="single"/>
        </w:rPr>
      </w:pPr>
      <w:r>
        <w:rPr>
          <w:rFonts w:ascii="Arial" w:hAnsi="Arial" w:cs="Arial"/>
          <w:sz w:val="24"/>
          <w:szCs w:val="24"/>
        </w:rPr>
        <w:t>The consultation paper lists indicative minimum  funding amounts for certain of the allowable factors. These are listed at Appendix A for information. The amounts currently used within NELC for the 2014-15 local formula are included then members can see how these compare.</w:t>
      </w:r>
      <w:r w:rsidR="00BA2694">
        <w:rPr>
          <w:rFonts w:ascii="Arial" w:hAnsi="Arial" w:cs="Arial"/>
          <w:sz w:val="24"/>
          <w:szCs w:val="24"/>
        </w:rPr>
        <w:t xml:space="preserve"> </w:t>
      </w:r>
    </w:p>
    <w:p w:rsidR="00553FD6" w:rsidRPr="00553FD6" w:rsidRDefault="002C1C32" w:rsidP="00553FD6">
      <w:pPr>
        <w:pStyle w:val="ListParagraph"/>
        <w:numPr>
          <w:ilvl w:val="0"/>
          <w:numId w:val="2"/>
        </w:numPr>
        <w:rPr>
          <w:rFonts w:ascii="Arial" w:hAnsi="Arial" w:cs="Arial"/>
          <w:b/>
          <w:sz w:val="24"/>
          <w:szCs w:val="24"/>
          <w:u w:val="single"/>
        </w:rPr>
      </w:pPr>
      <w:r>
        <w:rPr>
          <w:rFonts w:ascii="Arial" w:hAnsi="Arial" w:cs="Arial"/>
          <w:b/>
          <w:sz w:val="24"/>
          <w:szCs w:val="24"/>
          <w:u w:val="single"/>
        </w:rPr>
        <w:t>Key points</w:t>
      </w:r>
    </w:p>
    <w:p w:rsidR="0097055B" w:rsidRDefault="00B1370E" w:rsidP="00B1370E">
      <w:pPr>
        <w:ind w:left="720"/>
        <w:rPr>
          <w:rFonts w:ascii="Arial" w:hAnsi="Arial" w:cs="Arial"/>
          <w:sz w:val="24"/>
          <w:szCs w:val="24"/>
        </w:rPr>
      </w:pPr>
      <w:r w:rsidRPr="00B1370E">
        <w:rPr>
          <w:rFonts w:ascii="Arial" w:hAnsi="Arial" w:cs="Arial"/>
          <w:sz w:val="24"/>
          <w:szCs w:val="24"/>
        </w:rPr>
        <w:t>The key points arising from the consultation document are listed below:</w:t>
      </w:r>
    </w:p>
    <w:p w:rsidR="00B305A0" w:rsidRDefault="00B305A0" w:rsidP="00B305A0">
      <w:pPr>
        <w:pStyle w:val="ListParagraph"/>
        <w:numPr>
          <w:ilvl w:val="0"/>
          <w:numId w:val="13"/>
        </w:numPr>
        <w:rPr>
          <w:rFonts w:ascii="Arial" w:hAnsi="Arial" w:cs="Arial"/>
          <w:sz w:val="24"/>
          <w:szCs w:val="24"/>
        </w:rPr>
      </w:pPr>
      <w:r>
        <w:rPr>
          <w:rFonts w:ascii="Arial" w:hAnsi="Arial" w:cs="Arial"/>
          <w:sz w:val="24"/>
          <w:szCs w:val="24"/>
        </w:rPr>
        <w:t>All local authorities will be funded to at least the same cash level per pupil as in 2014-15.</w:t>
      </w:r>
    </w:p>
    <w:p w:rsidR="009F5CDE" w:rsidRDefault="009F5CDE" w:rsidP="00B305A0">
      <w:pPr>
        <w:pStyle w:val="ListParagraph"/>
        <w:numPr>
          <w:ilvl w:val="0"/>
          <w:numId w:val="13"/>
        </w:numPr>
        <w:rPr>
          <w:rFonts w:ascii="Arial" w:hAnsi="Arial" w:cs="Arial"/>
          <w:sz w:val="24"/>
          <w:szCs w:val="24"/>
        </w:rPr>
      </w:pPr>
      <w:r>
        <w:rPr>
          <w:rFonts w:ascii="Arial" w:hAnsi="Arial" w:cs="Arial"/>
          <w:sz w:val="24"/>
          <w:szCs w:val="24"/>
        </w:rPr>
        <w:t>Setting a minimum funding level for 5 pupil characteristics. These are:</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AWPU</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Deprivation</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L</w:t>
      </w:r>
      <w:r w:rsidR="00305ECB">
        <w:rPr>
          <w:rFonts w:ascii="Arial" w:hAnsi="Arial" w:cs="Arial"/>
          <w:sz w:val="24"/>
          <w:szCs w:val="24"/>
        </w:rPr>
        <w:t>AC</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Prior attainment</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English as an additional language</w:t>
      </w:r>
    </w:p>
    <w:p w:rsidR="009F5CDE" w:rsidRDefault="009F5CDE" w:rsidP="009F5CDE">
      <w:pPr>
        <w:pStyle w:val="ListParagraph"/>
        <w:numPr>
          <w:ilvl w:val="0"/>
          <w:numId w:val="13"/>
        </w:numPr>
        <w:rPr>
          <w:rFonts w:ascii="Arial" w:hAnsi="Arial" w:cs="Arial"/>
          <w:sz w:val="24"/>
          <w:szCs w:val="24"/>
        </w:rPr>
      </w:pPr>
      <w:r>
        <w:rPr>
          <w:rFonts w:ascii="Arial" w:hAnsi="Arial" w:cs="Arial"/>
          <w:sz w:val="24"/>
          <w:szCs w:val="24"/>
        </w:rPr>
        <w:lastRenderedPageBreak/>
        <w:t>Setting a minimum funding level for 2 school characteristics. These are:</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Lump  Sum</w:t>
      </w:r>
    </w:p>
    <w:p w:rsidR="009F5CDE" w:rsidRDefault="009F5CDE" w:rsidP="009F5CDE">
      <w:pPr>
        <w:pStyle w:val="ListParagraph"/>
        <w:numPr>
          <w:ilvl w:val="1"/>
          <w:numId w:val="13"/>
        </w:numPr>
        <w:rPr>
          <w:rFonts w:ascii="Arial" w:hAnsi="Arial" w:cs="Arial"/>
          <w:sz w:val="24"/>
          <w:szCs w:val="24"/>
        </w:rPr>
      </w:pPr>
      <w:r>
        <w:rPr>
          <w:rFonts w:ascii="Arial" w:hAnsi="Arial" w:cs="Arial"/>
          <w:sz w:val="24"/>
          <w:szCs w:val="24"/>
        </w:rPr>
        <w:t>Spasity factor</w:t>
      </w:r>
    </w:p>
    <w:p w:rsidR="009F5CDE" w:rsidRDefault="009F5CDE" w:rsidP="009F5CDE">
      <w:pPr>
        <w:pStyle w:val="ListParagraph"/>
        <w:numPr>
          <w:ilvl w:val="0"/>
          <w:numId w:val="13"/>
        </w:numPr>
        <w:rPr>
          <w:rFonts w:ascii="Arial" w:hAnsi="Arial" w:cs="Arial"/>
          <w:sz w:val="24"/>
          <w:szCs w:val="24"/>
        </w:rPr>
      </w:pPr>
      <w:r>
        <w:rPr>
          <w:rFonts w:ascii="Arial" w:hAnsi="Arial" w:cs="Arial"/>
          <w:sz w:val="24"/>
          <w:szCs w:val="24"/>
        </w:rPr>
        <w:t>Minimum values will be reviewed following a review of the 2014-15 proforma submissions</w:t>
      </w:r>
    </w:p>
    <w:p w:rsidR="009F5CDE" w:rsidRDefault="009F5CDE" w:rsidP="009F5CDE">
      <w:pPr>
        <w:pStyle w:val="ListParagraph"/>
        <w:numPr>
          <w:ilvl w:val="0"/>
          <w:numId w:val="13"/>
        </w:numPr>
        <w:rPr>
          <w:rFonts w:ascii="Arial" w:hAnsi="Arial" w:cs="Arial"/>
          <w:sz w:val="24"/>
          <w:szCs w:val="24"/>
        </w:rPr>
      </w:pPr>
      <w:r>
        <w:rPr>
          <w:rFonts w:ascii="Arial" w:hAnsi="Arial" w:cs="Arial"/>
          <w:sz w:val="24"/>
          <w:szCs w:val="24"/>
        </w:rPr>
        <w:t>Hybrid area cost adjustment to be used to increase minimum funding levels for local authorities in areas with higher salary costs.</w:t>
      </w:r>
    </w:p>
    <w:p w:rsidR="00B305A0" w:rsidRDefault="00B305A0" w:rsidP="00B305A0">
      <w:pPr>
        <w:pStyle w:val="ListParagraph"/>
        <w:numPr>
          <w:ilvl w:val="0"/>
          <w:numId w:val="13"/>
        </w:numPr>
        <w:rPr>
          <w:rFonts w:ascii="Arial" w:hAnsi="Arial" w:cs="Arial"/>
          <w:sz w:val="24"/>
          <w:szCs w:val="24"/>
        </w:rPr>
      </w:pPr>
      <w:r>
        <w:rPr>
          <w:rFonts w:ascii="Arial" w:hAnsi="Arial" w:cs="Arial"/>
          <w:sz w:val="24"/>
          <w:szCs w:val="24"/>
        </w:rPr>
        <w:t>Continuation of the minimum  funding guarantee of -1.5% per pupil per year.</w:t>
      </w:r>
    </w:p>
    <w:p w:rsidR="00B1370E" w:rsidRDefault="00B305A0" w:rsidP="00B305A0">
      <w:pPr>
        <w:pStyle w:val="ListParagraph"/>
        <w:numPr>
          <w:ilvl w:val="0"/>
          <w:numId w:val="13"/>
        </w:numPr>
        <w:rPr>
          <w:rFonts w:ascii="Arial" w:hAnsi="Arial" w:cs="Arial"/>
          <w:sz w:val="24"/>
          <w:szCs w:val="24"/>
        </w:rPr>
      </w:pPr>
      <w:r w:rsidRPr="00B305A0">
        <w:rPr>
          <w:rFonts w:ascii="Arial" w:hAnsi="Arial" w:cs="Arial"/>
          <w:sz w:val="24"/>
          <w:szCs w:val="24"/>
        </w:rPr>
        <w:t>Review</w:t>
      </w:r>
      <w:r>
        <w:rPr>
          <w:rFonts w:ascii="Arial" w:hAnsi="Arial" w:cs="Arial"/>
          <w:sz w:val="24"/>
          <w:szCs w:val="24"/>
        </w:rPr>
        <w:t xml:space="preserve"> of spasity factor to see if small changes to its operation would be helpful, potential a reduced sum to which tapering will apply.</w:t>
      </w:r>
    </w:p>
    <w:p w:rsidR="009F5CDE" w:rsidRDefault="009F5CDE" w:rsidP="00B305A0">
      <w:pPr>
        <w:pStyle w:val="ListParagraph"/>
        <w:numPr>
          <w:ilvl w:val="0"/>
          <w:numId w:val="13"/>
        </w:numPr>
        <w:rPr>
          <w:rFonts w:ascii="Arial" w:hAnsi="Arial" w:cs="Arial"/>
          <w:sz w:val="24"/>
          <w:szCs w:val="24"/>
        </w:rPr>
      </w:pPr>
      <w:r>
        <w:rPr>
          <w:rFonts w:ascii="Arial" w:hAnsi="Arial" w:cs="Arial"/>
          <w:sz w:val="24"/>
          <w:szCs w:val="24"/>
        </w:rPr>
        <w:t>No requirement for local authorities to use all these factors.</w:t>
      </w:r>
    </w:p>
    <w:p w:rsidR="009F5CDE" w:rsidRDefault="009F5CDE" w:rsidP="00B305A0">
      <w:pPr>
        <w:pStyle w:val="ListParagraph"/>
        <w:numPr>
          <w:ilvl w:val="0"/>
          <w:numId w:val="13"/>
        </w:numPr>
        <w:rPr>
          <w:rFonts w:ascii="Arial" w:hAnsi="Arial" w:cs="Arial"/>
          <w:sz w:val="24"/>
          <w:szCs w:val="24"/>
        </w:rPr>
      </w:pPr>
      <w:r>
        <w:rPr>
          <w:rFonts w:ascii="Arial" w:hAnsi="Arial" w:cs="Arial"/>
          <w:sz w:val="24"/>
          <w:szCs w:val="24"/>
        </w:rPr>
        <w:t xml:space="preserve">No proposals that local authorities need to weight unit values at the minimum  funding level. </w:t>
      </w:r>
    </w:p>
    <w:p w:rsidR="009F5CDE" w:rsidRPr="00B305A0" w:rsidRDefault="009F5CDE" w:rsidP="00B305A0">
      <w:pPr>
        <w:pStyle w:val="ListParagraph"/>
        <w:numPr>
          <w:ilvl w:val="0"/>
          <w:numId w:val="13"/>
        </w:numPr>
        <w:rPr>
          <w:rFonts w:ascii="Arial" w:hAnsi="Arial" w:cs="Arial"/>
          <w:sz w:val="24"/>
          <w:szCs w:val="24"/>
        </w:rPr>
      </w:pPr>
      <w:r>
        <w:rPr>
          <w:rFonts w:ascii="Arial" w:hAnsi="Arial" w:cs="Arial"/>
          <w:sz w:val="24"/>
          <w:szCs w:val="24"/>
        </w:rPr>
        <w:t>No proposals for any changes in 2015-16 in the way local authorities allocate funding to schools.</w:t>
      </w:r>
    </w:p>
    <w:p w:rsidR="00B1370E" w:rsidRPr="00B1370E" w:rsidRDefault="00B1370E" w:rsidP="00B1370E">
      <w:pPr>
        <w:ind w:left="720"/>
        <w:rPr>
          <w:rFonts w:ascii="Arial" w:hAnsi="Arial" w:cs="Arial"/>
          <w:sz w:val="24"/>
          <w:szCs w:val="24"/>
        </w:rPr>
      </w:pPr>
    </w:p>
    <w:p w:rsidR="0097055B" w:rsidRPr="00553FD6" w:rsidRDefault="0097055B" w:rsidP="002C1C32">
      <w:pPr>
        <w:pStyle w:val="ListParagraph"/>
        <w:numPr>
          <w:ilvl w:val="0"/>
          <w:numId w:val="2"/>
        </w:numPr>
        <w:rPr>
          <w:rFonts w:ascii="Arial" w:hAnsi="Arial" w:cs="Arial"/>
          <w:b/>
          <w:sz w:val="24"/>
          <w:szCs w:val="24"/>
          <w:u w:val="single"/>
        </w:rPr>
      </w:pPr>
      <w:r>
        <w:rPr>
          <w:rFonts w:ascii="Arial" w:hAnsi="Arial" w:cs="Arial"/>
          <w:b/>
          <w:sz w:val="24"/>
          <w:szCs w:val="24"/>
          <w:u w:val="single"/>
        </w:rPr>
        <w:t>Recommendation</w:t>
      </w:r>
    </w:p>
    <w:p w:rsidR="00923724" w:rsidRDefault="002C1C32" w:rsidP="002C1C32">
      <w:pPr>
        <w:ind w:firstLine="720"/>
        <w:rPr>
          <w:rFonts w:ascii="Arial" w:hAnsi="Arial" w:cs="Arial"/>
          <w:sz w:val="24"/>
          <w:szCs w:val="24"/>
        </w:rPr>
      </w:pPr>
      <w:r>
        <w:rPr>
          <w:rFonts w:ascii="Arial" w:hAnsi="Arial" w:cs="Arial"/>
          <w:sz w:val="24"/>
          <w:szCs w:val="24"/>
        </w:rPr>
        <w:t xml:space="preserve">No recommendation is made at this time. This paper is for information only. </w:t>
      </w:r>
    </w:p>
    <w:p w:rsidR="002C1C32" w:rsidRDefault="002C1C32" w:rsidP="000A5702">
      <w:pPr>
        <w:rPr>
          <w:rFonts w:ascii="Arial" w:hAnsi="Arial" w:cs="Arial"/>
          <w:sz w:val="24"/>
          <w:szCs w:val="24"/>
        </w:rPr>
      </w:pPr>
    </w:p>
    <w:p w:rsidR="002C1C32" w:rsidRDefault="002C1C32" w:rsidP="000A5702">
      <w:pPr>
        <w:rPr>
          <w:rFonts w:ascii="Arial" w:hAnsi="Arial" w:cs="Arial"/>
          <w:sz w:val="24"/>
          <w:szCs w:val="24"/>
        </w:rPr>
      </w:pPr>
    </w:p>
    <w:p w:rsidR="00923724" w:rsidRDefault="00923724" w:rsidP="002C1C32">
      <w:pPr>
        <w:pStyle w:val="ListParagraph"/>
        <w:ind w:left="0" w:firstLine="720"/>
        <w:rPr>
          <w:rFonts w:ascii="Arial" w:hAnsi="Arial" w:cs="Arial"/>
          <w:sz w:val="24"/>
          <w:szCs w:val="24"/>
        </w:rPr>
      </w:pPr>
      <w:r>
        <w:rPr>
          <w:rFonts w:ascii="Arial" w:hAnsi="Arial" w:cs="Arial"/>
          <w:sz w:val="24"/>
          <w:szCs w:val="24"/>
        </w:rPr>
        <w:t>Contact Officer: David Kirven, Service Finance Manager – People.</w:t>
      </w:r>
    </w:p>
    <w:p w:rsidR="00923724" w:rsidRDefault="00923724" w:rsidP="000A5702">
      <w:pPr>
        <w:rPr>
          <w:rFonts w:ascii="Arial" w:hAnsi="Arial" w:cs="Arial"/>
          <w:sz w:val="24"/>
          <w:szCs w:val="24"/>
        </w:rPr>
      </w:pPr>
    </w:p>
    <w:p w:rsidR="00923724" w:rsidRDefault="00923724"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B1370E" w:rsidRDefault="00B1370E" w:rsidP="000A5702">
      <w:pPr>
        <w:rPr>
          <w:rFonts w:ascii="Arial" w:hAnsi="Arial" w:cs="Arial"/>
          <w:sz w:val="24"/>
          <w:szCs w:val="24"/>
        </w:rPr>
      </w:pPr>
    </w:p>
    <w:p w:rsidR="002C1C32" w:rsidRDefault="009B33C7" w:rsidP="002C1C32">
      <w:pPr>
        <w:jc w:val="right"/>
        <w:rPr>
          <w:rFonts w:ascii="Arial" w:hAnsi="Arial" w:cs="Arial"/>
          <w:b/>
          <w:sz w:val="24"/>
          <w:szCs w:val="24"/>
          <w:u w:val="single"/>
        </w:rPr>
      </w:pPr>
      <w:r>
        <w:rPr>
          <w:rFonts w:ascii="Arial" w:hAnsi="Arial" w:cs="Arial"/>
          <w:b/>
          <w:sz w:val="24"/>
          <w:szCs w:val="24"/>
          <w:u w:val="single"/>
        </w:rPr>
        <w:lastRenderedPageBreak/>
        <w:t>A</w:t>
      </w:r>
      <w:r w:rsidR="002C1C32">
        <w:rPr>
          <w:rFonts w:ascii="Arial" w:hAnsi="Arial" w:cs="Arial"/>
          <w:b/>
          <w:sz w:val="24"/>
          <w:szCs w:val="24"/>
          <w:u w:val="single"/>
        </w:rPr>
        <w:t>ppendix A</w:t>
      </w:r>
    </w:p>
    <w:p w:rsidR="002C1C32" w:rsidRDefault="002C1C32" w:rsidP="002C1C32">
      <w:pPr>
        <w:jc w:val="center"/>
        <w:rPr>
          <w:rFonts w:ascii="Arial" w:hAnsi="Arial" w:cs="Arial"/>
          <w:b/>
          <w:sz w:val="24"/>
          <w:szCs w:val="24"/>
          <w:u w:val="single"/>
        </w:rPr>
      </w:pPr>
    </w:p>
    <w:p w:rsidR="002C1C32" w:rsidRDefault="002C1C32" w:rsidP="002C1C32">
      <w:pPr>
        <w:jc w:val="center"/>
        <w:rPr>
          <w:rFonts w:ascii="Arial" w:hAnsi="Arial" w:cs="Arial"/>
          <w:b/>
          <w:sz w:val="24"/>
          <w:szCs w:val="24"/>
          <w:u w:val="single"/>
        </w:rPr>
      </w:pPr>
      <w:r>
        <w:rPr>
          <w:rFonts w:ascii="Arial" w:hAnsi="Arial" w:cs="Arial"/>
          <w:b/>
          <w:sz w:val="24"/>
          <w:szCs w:val="24"/>
          <w:u w:val="single"/>
        </w:rPr>
        <w:t>Indicative minimum funding levels for 2015-15</w:t>
      </w:r>
    </w:p>
    <w:tbl>
      <w:tblPr>
        <w:tblStyle w:val="TableGrid"/>
        <w:tblW w:w="0" w:type="auto"/>
        <w:tblLook w:val="04A0" w:firstRow="1" w:lastRow="0" w:firstColumn="1" w:lastColumn="0" w:noHBand="0" w:noVBand="1"/>
      </w:tblPr>
      <w:tblGrid>
        <w:gridCol w:w="3080"/>
        <w:gridCol w:w="3081"/>
        <w:gridCol w:w="3081"/>
      </w:tblGrid>
      <w:tr w:rsidR="002C1C32" w:rsidTr="00BA2694">
        <w:tc>
          <w:tcPr>
            <w:tcW w:w="3080" w:type="dxa"/>
          </w:tcPr>
          <w:p w:rsidR="002C1C32" w:rsidRDefault="002C1C32" w:rsidP="00BA2694">
            <w:pPr>
              <w:jc w:val="center"/>
              <w:rPr>
                <w:rFonts w:ascii="Arial" w:hAnsi="Arial" w:cs="Arial"/>
                <w:b/>
                <w:sz w:val="24"/>
                <w:szCs w:val="24"/>
                <w:u w:val="single"/>
              </w:rPr>
            </w:pPr>
            <w:r>
              <w:rPr>
                <w:rFonts w:ascii="Arial" w:hAnsi="Arial" w:cs="Arial"/>
                <w:b/>
                <w:sz w:val="24"/>
                <w:szCs w:val="24"/>
                <w:u w:val="single"/>
              </w:rPr>
              <w:t>Allowable Factor</w:t>
            </w:r>
          </w:p>
        </w:tc>
        <w:tc>
          <w:tcPr>
            <w:tcW w:w="3081" w:type="dxa"/>
          </w:tcPr>
          <w:p w:rsidR="002C1C32" w:rsidRDefault="002C1C32" w:rsidP="002C1C32">
            <w:pPr>
              <w:jc w:val="center"/>
              <w:rPr>
                <w:rFonts w:ascii="Arial" w:hAnsi="Arial" w:cs="Arial"/>
                <w:b/>
                <w:sz w:val="24"/>
                <w:szCs w:val="24"/>
                <w:u w:val="single"/>
              </w:rPr>
            </w:pPr>
            <w:r>
              <w:rPr>
                <w:rFonts w:ascii="Arial" w:hAnsi="Arial" w:cs="Arial"/>
                <w:b/>
                <w:sz w:val="24"/>
                <w:szCs w:val="24"/>
                <w:u w:val="single"/>
              </w:rPr>
              <w:t>DfE Indicative amount £</w:t>
            </w:r>
          </w:p>
        </w:tc>
        <w:tc>
          <w:tcPr>
            <w:tcW w:w="3081" w:type="dxa"/>
          </w:tcPr>
          <w:p w:rsidR="002C1C32" w:rsidRDefault="002C1C32" w:rsidP="007F1B83">
            <w:pPr>
              <w:jc w:val="center"/>
              <w:rPr>
                <w:rFonts w:ascii="Arial" w:hAnsi="Arial" w:cs="Arial"/>
                <w:b/>
                <w:sz w:val="24"/>
                <w:szCs w:val="24"/>
                <w:u w:val="single"/>
              </w:rPr>
            </w:pPr>
            <w:r>
              <w:rPr>
                <w:rFonts w:ascii="Arial" w:hAnsi="Arial" w:cs="Arial"/>
                <w:b/>
                <w:sz w:val="24"/>
                <w:szCs w:val="24"/>
                <w:u w:val="single"/>
              </w:rPr>
              <w:t xml:space="preserve">NELC </w:t>
            </w:r>
            <w:r w:rsidR="007F1B83">
              <w:rPr>
                <w:rFonts w:ascii="Arial" w:hAnsi="Arial" w:cs="Arial"/>
                <w:b/>
                <w:sz w:val="24"/>
                <w:szCs w:val="24"/>
                <w:u w:val="single"/>
              </w:rPr>
              <w:t>current amount £ per 2014-15 formula</w:t>
            </w:r>
          </w:p>
        </w:tc>
      </w:tr>
      <w:tr w:rsidR="002C1C32" w:rsidTr="00BA2694">
        <w:tc>
          <w:tcPr>
            <w:tcW w:w="3080" w:type="dxa"/>
          </w:tcPr>
          <w:p w:rsidR="002C1C32" w:rsidRDefault="002C1C32" w:rsidP="00BA2694">
            <w:pPr>
              <w:jc w:val="center"/>
              <w:rPr>
                <w:rFonts w:ascii="Arial" w:hAnsi="Arial" w:cs="Arial"/>
                <w:b/>
                <w:sz w:val="24"/>
                <w:szCs w:val="24"/>
                <w:u w:val="single"/>
              </w:rPr>
            </w:pPr>
          </w:p>
        </w:tc>
        <w:tc>
          <w:tcPr>
            <w:tcW w:w="3081" w:type="dxa"/>
          </w:tcPr>
          <w:p w:rsidR="002C1C32" w:rsidRDefault="002C1C32" w:rsidP="00BA2694">
            <w:pPr>
              <w:jc w:val="center"/>
              <w:rPr>
                <w:rFonts w:ascii="Arial" w:hAnsi="Arial" w:cs="Arial"/>
                <w:b/>
                <w:sz w:val="24"/>
                <w:szCs w:val="24"/>
                <w:u w:val="single"/>
              </w:rPr>
            </w:pPr>
          </w:p>
        </w:tc>
        <w:tc>
          <w:tcPr>
            <w:tcW w:w="3081" w:type="dxa"/>
          </w:tcPr>
          <w:p w:rsidR="002C1C32" w:rsidRDefault="002C1C32" w:rsidP="00BA2694">
            <w:pPr>
              <w:jc w:val="center"/>
              <w:rPr>
                <w:rFonts w:ascii="Arial" w:hAnsi="Arial" w:cs="Arial"/>
                <w:b/>
                <w:sz w:val="24"/>
                <w:szCs w:val="24"/>
                <w:u w:val="single"/>
              </w:rPr>
            </w:pPr>
          </w:p>
        </w:tc>
      </w:tr>
      <w:tr w:rsidR="002C1C32" w:rsidTr="00BA2694">
        <w:tc>
          <w:tcPr>
            <w:tcW w:w="3080" w:type="dxa"/>
          </w:tcPr>
          <w:p w:rsidR="002C1C32" w:rsidRPr="00BE4677" w:rsidRDefault="002C1C32" w:rsidP="00BA2694">
            <w:pPr>
              <w:rPr>
                <w:rFonts w:ascii="Arial" w:hAnsi="Arial" w:cs="Arial"/>
                <w:sz w:val="24"/>
                <w:szCs w:val="24"/>
              </w:rPr>
            </w:pPr>
            <w:r>
              <w:rPr>
                <w:rFonts w:ascii="Arial" w:hAnsi="Arial" w:cs="Arial"/>
                <w:sz w:val="24"/>
                <w:szCs w:val="24"/>
              </w:rPr>
              <w:t>Basic per pupil entitlement: Primary AWPU</w:t>
            </w:r>
          </w:p>
        </w:tc>
        <w:tc>
          <w:tcPr>
            <w:tcW w:w="3081" w:type="dxa"/>
          </w:tcPr>
          <w:p w:rsidR="002C1C32" w:rsidRPr="00BE4677" w:rsidRDefault="007F1B83" w:rsidP="007F1B83">
            <w:pPr>
              <w:jc w:val="center"/>
              <w:rPr>
                <w:rFonts w:ascii="Arial" w:hAnsi="Arial" w:cs="Arial"/>
                <w:sz w:val="24"/>
                <w:szCs w:val="24"/>
              </w:rPr>
            </w:pPr>
            <w:r>
              <w:rPr>
                <w:rFonts w:ascii="Arial" w:hAnsi="Arial" w:cs="Arial"/>
                <w:sz w:val="24"/>
                <w:szCs w:val="24"/>
              </w:rPr>
              <w:t>2,845</w:t>
            </w:r>
          </w:p>
        </w:tc>
        <w:tc>
          <w:tcPr>
            <w:tcW w:w="3081" w:type="dxa"/>
          </w:tcPr>
          <w:p w:rsidR="002C1C32" w:rsidRPr="00BE4677" w:rsidRDefault="00BF0276" w:rsidP="007F1B83">
            <w:pPr>
              <w:jc w:val="center"/>
              <w:rPr>
                <w:rFonts w:ascii="Arial" w:hAnsi="Arial" w:cs="Arial"/>
                <w:sz w:val="24"/>
                <w:szCs w:val="24"/>
              </w:rPr>
            </w:pPr>
            <w:r>
              <w:rPr>
                <w:rFonts w:ascii="Arial" w:hAnsi="Arial" w:cs="Arial"/>
                <w:sz w:val="24"/>
                <w:szCs w:val="24"/>
              </w:rPr>
              <w:t>3,213</w:t>
            </w:r>
          </w:p>
        </w:tc>
      </w:tr>
      <w:tr w:rsidR="002C1C32" w:rsidTr="00BA2694">
        <w:tc>
          <w:tcPr>
            <w:tcW w:w="3080" w:type="dxa"/>
          </w:tcPr>
          <w:p w:rsidR="002C1C32" w:rsidRPr="00BE4677" w:rsidRDefault="002C1C32" w:rsidP="00BA2694">
            <w:pPr>
              <w:rPr>
                <w:rFonts w:ascii="Arial" w:hAnsi="Arial" w:cs="Arial"/>
                <w:sz w:val="24"/>
                <w:szCs w:val="24"/>
              </w:rPr>
            </w:pPr>
            <w:r>
              <w:rPr>
                <w:rFonts w:ascii="Arial" w:hAnsi="Arial" w:cs="Arial"/>
                <w:sz w:val="24"/>
                <w:szCs w:val="24"/>
              </w:rPr>
              <w:t>Basic per pupil entitlement: Secondary AWPU KS3</w:t>
            </w:r>
          </w:p>
        </w:tc>
        <w:tc>
          <w:tcPr>
            <w:tcW w:w="3081" w:type="dxa"/>
          </w:tcPr>
          <w:p w:rsidR="002C1C32" w:rsidRPr="00BE4677" w:rsidRDefault="007F1B83" w:rsidP="007F1B83">
            <w:pPr>
              <w:jc w:val="center"/>
              <w:rPr>
                <w:rFonts w:ascii="Arial" w:hAnsi="Arial" w:cs="Arial"/>
                <w:sz w:val="24"/>
                <w:szCs w:val="24"/>
              </w:rPr>
            </w:pPr>
            <w:r>
              <w:rPr>
                <w:rFonts w:ascii="Arial" w:hAnsi="Arial" w:cs="Arial"/>
                <w:sz w:val="24"/>
                <w:szCs w:val="24"/>
              </w:rPr>
              <w:t>3,951</w:t>
            </w:r>
          </w:p>
        </w:tc>
        <w:tc>
          <w:tcPr>
            <w:tcW w:w="3081" w:type="dxa"/>
          </w:tcPr>
          <w:p w:rsidR="002C1C32" w:rsidRPr="00BE4677" w:rsidRDefault="002C1C32" w:rsidP="00BA2694">
            <w:pPr>
              <w:rPr>
                <w:rFonts w:ascii="Arial" w:hAnsi="Arial" w:cs="Arial"/>
                <w:sz w:val="24"/>
                <w:szCs w:val="24"/>
              </w:rPr>
            </w:pPr>
            <w:r>
              <w:rPr>
                <w:rFonts w:ascii="Arial" w:hAnsi="Arial" w:cs="Arial"/>
                <w:sz w:val="24"/>
                <w:szCs w:val="24"/>
              </w:rPr>
              <w:t>NELC chose one s</w:t>
            </w:r>
            <w:r w:rsidR="007F1B83">
              <w:rPr>
                <w:rFonts w:ascii="Arial" w:hAnsi="Arial" w:cs="Arial"/>
                <w:sz w:val="24"/>
                <w:szCs w:val="24"/>
              </w:rPr>
              <w:t>econdary AWPU value only (KS4)</w:t>
            </w:r>
          </w:p>
        </w:tc>
      </w:tr>
      <w:tr w:rsidR="002C1C32" w:rsidTr="00BA2694">
        <w:tc>
          <w:tcPr>
            <w:tcW w:w="3080" w:type="dxa"/>
          </w:tcPr>
          <w:p w:rsidR="002C1C32" w:rsidRPr="00BE4677" w:rsidRDefault="002C1C32" w:rsidP="00BA2694">
            <w:pPr>
              <w:rPr>
                <w:rFonts w:ascii="Arial" w:hAnsi="Arial" w:cs="Arial"/>
                <w:sz w:val="24"/>
                <w:szCs w:val="24"/>
              </w:rPr>
            </w:pPr>
            <w:r>
              <w:rPr>
                <w:rFonts w:ascii="Arial" w:hAnsi="Arial" w:cs="Arial"/>
                <w:sz w:val="24"/>
                <w:szCs w:val="24"/>
              </w:rPr>
              <w:t>Basic per pupil entitlement: Secondary AWPU KS4</w:t>
            </w:r>
          </w:p>
        </w:tc>
        <w:tc>
          <w:tcPr>
            <w:tcW w:w="3081" w:type="dxa"/>
          </w:tcPr>
          <w:p w:rsidR="002C1C32" w:rsidRPr="00BE4677" w:rsidRDefault="007F1B83" w:rsidP="007F1B83">
            <w:pPr>
              <w:jc w:val="center"/>
              <w:rPr>
                <w:rFonts w:ascii="Arial" w:hAnsi="Arial" w:cs="Arial"/>
                <w:sz w:val="24"/>
                <w:szCs w:val="24"/>
              </w:rPr>
            </w:pPr>
            <w:r>
              <w:rPr>
                <w:rFonts w:ascii="Arial" w:hAnsi="Arial" w:cs="Arial"/>
                <w:sz w:val="24"/>
                <w:szCs w:val="24"/>
              </w:rPr>
              <w:t>4,529</w:t>
            </w:r>
          </w:p>
        </w:tc>
        <w:tc>
          <w:tcPr>
            <w:tcW w:w="3081" w:type="dxa"/>
          </w:tcPr>
          <w:p w:rsidR="002C1C32" w:rsidRPr="00BE4677" w:rsidRDefault="00BF0276" w:rsidP="007F1B83">
            <w:pPr>
              <w:jc w:val="center"/>
              <w:rPr>
                <w:rFonts w:ascii="Arial" w:hAnsi="Arial" w:cs="Arial"/>
                <w:sz w:val="24"/>
                <w:szCs w:val="24"/>
              </w:rPr>
            </w:pPr>
            <w:r>
              <w:rPr>
                <w:rFonts w:ascii="Arial" w:hAnsi="Arial" w:cs="Arial"/>
                <w:sz w:val="24"/>
                <w:szCs w:val="24"/>
              </w:rPr>
              <w:t>4,565</w:t>
            </w:r>
          </w:p>
        </w:tc>
      </w:tr>
      <w:tr w:rsidR="002C1C32" w:rsidTr="00BA2694">
        <w:tc>
          <w:tcPr>
            <w:tcW w:w="3080" w:type="dxa"/>
          </w:tcPr>
          <w:p w:rsidR="002C1C32" w:rsidRPr="00BE4677" w:rsidRDefault="00C6497E" w:rsidP="00BA2694">
            <w:pPr>
              <w:rPr>
                <w:rFonts w:ascii="Arial" w:hAnsi="Arial" w:cs="Arial"/>
                <w:sz w:val="24"/>
                <w:szCs w:val="24"/>
              </w:rPr>
            </w:pPr>
            <w:r>
              <w:rPr>
                <w:rFonts w:ascii="Arial" w:hAnsi="Arial" w:cs="Arial"/>
                <w:sz w:val="24"/>
                <w:szCs w:val="24"/>
              </w:rPr>
              <w:t>Deprivation – FSM eligibility - Primary</w:t>
            </w:r>
          </w:p>
        </w:tc>
        <w:tc>
          <w:tcPr>
            <w:tcW w:w="3081" w:type="dxa"/>
          </w:tcPr>
          <w:p w:rsidR="002C1C32" w:rsidRPr="00BE4677" w:rsidRDefault="00C6497E" w:rsidP="00C6497E">
            <w:pPr>
              <w:jc w:val="center"/>
              <w:rPr>
                <w:rFonts w:ascii="Arial" w:hAnsi="Arial" w:cs="Arial"/>
                <w:sz w:val="24"/>
                <w:szCs w:val="24"/>
              </w:rPr>
            </w:pPr>
            <w:r>
              <w:rPr>
                <w:rFonts w:ascii="Arial" w:hAnsi="Arial" w:cs="Arial"/>
                <w:sz w:val="24"/>
                <w:szCs w:val="24"/>
              </w:rPr>
              <w:t>893</w:t>
            </w:r>
          </w:p>
        </w:tc>
        <w:tc>
          <w:tcPr>
            <w:tcW w:w="3081" w:type="dxa"/>
          </w:tcPr>
          <w:p w:rsidR="002C1C32" w:rsidRPr="00BE4677" w:rsidRDefault="00BF0276"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 as a measure of deprivation.</w:t>
            </w:r>
          </w:p>
        </w:tc>
      </w:tr>
      <w:tr w:rsidR="00C6497E" w:rsidTr="00BA2694">
        <w:tc>
          <w:tcPr>
            <w:tcW w:w="3080" w:type="dxa"/>
          </w:tcPr>
          <w:p w:rsidR="00C6497E" w:rsidRDefault="00C6497E" w:rsidP="00B45A2F">
            <w:pPr>
              <w:rPr>
                <w:rFonts w:ascii="Arial" w:hAnsi="Arial" w:cs="Arial"/>
                <w:sz w:val="24"/>
                <w:szCs w:val="24"/>
              </w:rPr>
            </w:pPr>
            <w:r>
              <w:rPr>
                <w:rFonts w:ascii="Arial" w:hAnsi="Arial" w:cs="Arial"/>
                <w:sz w:val="24"/>
                <w:szCs w:val="24"/>
              </w:rPr>
              <w:t>Deprivation – FSM eligibility - Secondary</w:t>
            </w:r>
          </w:p>
        </w:tc>
        <w:tc>
          <w:tcPr>
            <w:tcW w:w="3081" w:type="dxa"/>
          </w:tcPr>
          <w:p w:rsidR="00C6497E" w:rsidRDefault="00C6497E" w:rsidP="00C6497E">
            <w:pPr>
              <w:jc w:val="center"/>
              <w:rPr>
                <w:rFonts w:ascii="Arial" w:hAnsi="Arial" w:cs="Arial"/>
                <w:sz w:val="24"/>
                <w:szCs w:val="24"/>
              </w:rPr>
            </w:pPr>
            <w:r>
              <w:rPr>
                <w:rFonts w:ascii="Arial" w:hAnsi="Arial" w:cs="Arial"/>
                <w:sz w:val="24"/>
                <w:szCs w:val="24"/>
              </w:rPr>
              <w:t>1,080</w:t>
            </w:r>
          </w:p>
          <w:p w:rsidR="00C6497E" w:rsidRPr="00BE4677" w:rsidRDefault="00C6497E" w:rsidP="00C6497E">
            <w:pPr>
              <w:jc w:val="center"/>
              <w:rPr>
                <w:rFonts w:ascii="Arial" w:hAnsi="Arial" w:cs="Arial"/>
                <w:sz w:val="24"/>
                <w:szCs w:val="24"/>
              </w:rPr>
            </w:pPr>
          </w:p>
        </w:tc>
        <w:tc>
          <w:tcPr>
            <w:tcW w:w="3081" w:type="dxa"/>
          </w:tcPr>
          <w:p w:rsidR="00C6497E" w:rsidRPr="00BE4677" w:rsidRDefault="00BF0276"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 as a measure of deprivation.</w:t>
            </w:r>
          </w:p>
        </w:tc>
      </w:tr>
      <w:tr w:rsidR="002C1C32" w:rsidTr="00BA2694">
        <w:tc>
          <w:tcPr>
            <w:tcW w:w="3080" w:type="dxa"/>
          </w:tcPr>
          <w:p w:rsidR="002C1C32" w:rsidRPr="00BE4677" w:rsidRDefault="002C1C32" w:rsidP="00B45A2F">
            <w:pPr>
              <w:rPr>
                <w:rFonts w:ascii="Arial" w:hAnsi="Arial" w:cs="Arial"/>
                <w:sz w:val="24"/>
                <w:szCs w:val="24"/>
              </w:rPr>
            </w:pPr>
            <w:r>
              <w:rPr>
                <w:rFonts w:ascii="Arial" w:hAnsi="Arial" w:cs="Arial"/>
                <w:sz w:val="24"/>
                <w:szCs w:val="24"/>
              </w:rPr>
              <w:t xml:space="preserve">Deprivation </w:t>
            </w:r>
            <w:r w:rsidR="00B45A2F">
              <w:rPr>
                <w:rFonts w:ascii="Arial" w:hAnsi="Arial" w:cs="Arial"/>
                <w:sz w:val="24"/>
                <w:szCs w:val="24"/>
              </w:rPr>
              <w:t>–</w:t>
            </w:r>
            <w:r>
              <w:rPr>
                <w:rFonts w:ascii="Arial" w:hAnsi="Arial" w:cs="Arial"/>
                <w:sz w:val="24"/>
                <w:szCs w:val="24"/>
              </w:rPr>
              <w:t xml:space="preserve"> </w:t>
            </w:r>
            <w:r w:rsidR="00B45A2F">
              <w:rPr>
                <w:rFonts w:ascii="Arial" w:hAnsi="Arial" w:cs="Arial"/>
                <w:sz w:val="24"/>
                <w:szCs w:val="24"/>
              </w:rPr>
              <w:t>IDACI 1 Primary</w:t>
            </w:r>
          </w:p>
        </w:tc>
        <w:tc>
          <w:tcPr>
            <w:tcW w:w="3081" w:type="dxa"/>
          </w:tcPr>
          <w:p w:rsidR="002C1C32" w:rsidRPr="00BE4677" w:rsidRDefault="00315B17" w:rsidP="00315B17">
            <w:pPr>
              <w:jc w:val="center"/>
              <w:rPr>
                <w:rFonts w:ascii="Arial" w:hAnsi="Arial" w:cs="Arial"/>
                <w:sz w:val="24"/>
                <w:szCs w:val="24"/>
              </w:rPr>
            </w:pPr>
            <w:r>
              <w:rPr>
                <w:rFonts w:ascii="Arial" w:hAnsi="Arial" w:cs="Arial"/>
                <w:sz w:val="24"/>
                <w:szCs w:val="24"/>
              </w:rPr>
              <w:t>237</w:t>
            </w:r>
          </w:p>
        </w:tc>
        <w:tc>
          <w:tcPr>
            <w:tcW w:w="3081" w:type="dxa"/>
          </w:tcPr>
          <w:p w:rsidR="002C1C32" w:rsidRPr="00BE4677" w:rsidRDefault="00BF0276" w:rsidP="00A12116">
            <w:pPr>
              <w:jc w:val="center"/>
              <w:rPr>
                <w:rFonts w:ascii="Arial" w:hAnsi="Arial" w:cs="Arial"/>
                <w:sz w:val="24"/>
                <w:szCs w:val="24"/>
              </w:rPr>
            </w:pPr>
            <w:r>
              <w:rPr>
                <w:rFonts w:ascii="Arial" w:hAnsi="Arial" w:cs="Arial"/>
                <w:sz w:val="24"/>
                <w:szCs w:val="24"/>
              </w:rPr>
              <w:t>142</w:t>
            </w:r>
          </w:p>
        </w:tc>
      </w:tr>
      <w:tr w:rsidR="00B45A2F" w:rsidTr="00BA2694">
        <w:tc>
          <w:tcPr>
            <w:tcW w:w="3080" w:type="dxa"/>
          </w:tcPr>
          <w:p w:rsidR="00B45A2F" w:rsidRDefault="00B45A2F" w:rsidP="00B45A2F">
            <w:r w:rsidRPr="00C363F0">
              <w:rPr>
                <w:rFonts w:ascii="Arial" w:hAnsi="Arial" w:cs="Arial"/>
                <w:sz w:val="24"/>
                <w:szCs w:val="24"/>
              </w:rPr>
              <w:t xml:space="preserve">Deprivation – IDACI </w:t>
            </w:r>
            <w:r>
              <w:rPr>
                <w:rFonts w:ascii="Arial" w:hAnsi="Arial" w:cs="Arial"/>
                <w:sz w:val="24"/>
                <w:szCs w:val="24"/>
              </w:rPr>
              <w:t>2</w:t>
            </w:r>
            <w:r w:rsidRPr="00C363F0">
              <w:rPr>
                <w:rFonts w:ascii="Arial" w:hAnsi="Arial" w:cs="Arial"/>
                <w:sz w:val="24"/>
                <w:szCs w:val="24"/>
              </w:rPr>
              <w:t xml:space="preserve"> Primary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290</w:t>
            </w:r>
          </w:p>
        </w:tc>
        <w:tc>
          <w:tcPr>
            <w:tcW w:w="3081" w:type="dxa"/>
          </w:tcPr>
          <w:p w:rsidR="00B45A2F" w:rsidRDefault="00BF0276" w:rsidP="00A12116">
            <w:pPr>
              <w:jc w:val="center"/>
              <w:rPr>
                <w:rFonts w:ascii="Arial" w:hAnsi="Arial" w:cs="Arial"/>
                <w:sz w:val="24"/>
                <w:szCs w:val="24"/>
              </w:rPr>
            </w:pPr>
            <w:r>
              <w:rPr>
                <w:rFonts w:ascii="Arial" w:hAnsi="Arial" w:cs="Arial"/>
                <w:sz w:val="24"/>
                <w:szCs w:val="24"/>
              </w:rPr>
              <w:t>296</w:t>
            </w:r>
          </w:p>
        </w:tc>
      </w:tr>
      <w:tr w:rsidR="00B45A2F" w:rsidTr="00BA2694">
        <w:tc>
          <w:tcPr>
            <w:tcW w:w="3080" w:type="dxa"/>
          </w:tcPr>
          <w:p w:rsidR="00B45A2F" w:rsidRDefault="00B45A2F">
            <w:r w:rsidRPr="00C363F0">
              <w:rPr>
                <w:rFonts w:ascii="Arial" w:hAnsi="Arial" w:cs="Arial"/>
                <w:sz w:val="24"/>
                <w:szCs w:val="24"/>
              </w:rPr>
              <w:t xml:space="preserve">Deprivation – </w:t>
            </w:r>
            <w:r>
              <w:rPr>
                <w:rFonts w:ascii="Arial" w:hAnsi="Arial" w:cs="Arial"/>
                <w:sz w:val="24"/>
                <w:szCs w:val="24"/>
              </w:rPr>
              <w:t>IDACI 3</w:t>
            </w:r>
            <w:r w:rsidRPr="00C363F0">
              <w:rPr>
                <w:rFonts w:ascii="Arial" w:hAnsi="Arial" w:cs="Arial"/>
                <w:sz w:val="24"/>
                <w:szCs w:val="24"/>
              </w:rPr>
              <w:t xml:space="preserve"> Primary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387</w:t>
            </w:r>
          </w:p>
        </w:tc>
        <w:tc>
          <w:tcPr>
            <w:tcW w:w="3081" w:type="dxa"/>
          </w:tcPr>
          <w:p w:rsidR="00B45A2F" w:rsidRDefault="00BF0276" w:rsidP="00A12116">
            <w:pPr>
              <w:jc w:val="center"/>
              <w:rPr>
                <w:rFonts w:ascii="Arial" w:hAnsi="Arial" w:cs="Arial"/>
                <w:sz w:val="24"/>
                <w:szCs w:val="24"/>
              </w:rPr>
            </w:pPr>
            <w:r>
              <w:rPr>
                <w:rFonts w:ascii="Arial" w:hAnsi="Arial" w:cs="Arial"/>
                <w:sz w:val="24"/>
                <w:szCs w:val="24"/>
              </w:rPr>
              <w:t>450</w:t>
            </w:r>
          </w:p>
        </w:tc>
      </w:tr>
      <w:tr w:rsidR="00B45A2F" w:rsidTr="00BA2694">
        <w:tc>
          <w:tcPr>
            <w:tcW w:w="3080" w:type="dxa"/>
          </w:tcPr>
          <w:p w:rsidR="00B45A2F" w:rsidRDefault="00B45A2F">
            <w:r w:rsidRPr="00C363F0">
              <w:rPr>
                <w:rFonts w:ascii="Arial" w:hAnsi="Arial" w:cs="Arial"/>
                <w:sz w:val="24"/>
                <w:szCs w:val="24"/>
              </w:rPr>
              <w:t xml:space="preserve">Deprivation – </w:t>
            </w:r>
            <w:r>
              <w:rPr>
                <w:rFonts w:ascii="Arial" w:hAnsi="Arial" w:cs="Arial"/>
                <w:sz w:val="24"/>
                <w:szCs w:val="24"/>
              </w:rPr>
              <w:t xml:space="preserve">IDACI 4 </w:t>
            </w:r>
            <w:r w:rsidRPr="00C363F0">
              <w:rPr>
                <w:rFonts w:ascii="Arial" w:hAnsi="Arial" w:cs="Arial"/>
                <w:sz w:val="24"/>
                <w:szCs w:val="24"/>
              </w:rPr>
              <w:t>Primary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453</w:t>
            </w:r>
          </w:p>
        </w:tc>
        <w:tc>
          <w:tcPr>
            <w:tcW w:w="3081" w:type="dxa"/>
          </w:tcPr>
          <w:p w:rsidR="00B45A2F" w:rsidRDefault="00BF0276" w:rsidP="00A12116">
            <w:pPr>
              <w:jc w:val="center"/>
              <w:rPr>
                <w:rFonts w:ascii="Arial" w:hAnsi="Arial" w:cs="Arial"/>
                <w:sz w:val="24"/>
                <w:szCs w:val="24"/>
              </w:rPr>
            </w:pPr>
            <w:r>
              <w:rPr>
                <w:rFonts w:ascii="Arial" w:hAnsi="Arial" w:cs="Arial"/>
                <w:sz w:val="24"/>
                <w:szCs w:val="24"/>
              </w:rPr>
              <w:t>604</w:t>
            </w:r>
          </w:p>
        </w:tc>
      </w:tr>
      <w:tr w:rsidR="00B45A2F" w:rsidTr="00BA2694">
        <w:tc>
          <w:tcPr>
            <w:tcW w:w="3080" w:type="dxa"/>
          </w:tcPr>
          <w:p w:rsidR="00B45A2F" w:rsidRDefault="00B45A2F">
            <w:r w:rsidRPr="00C363F0">
              <w:rPr>
                <w:rFonts w:ascii="Arial" w:hAnsi="Arial" w:cs="Arial"/>
                <w:sz w:val="24"/>
                <w:szCs w:val="24"/>
              </w:rPr>
              <w:t xml:space="preserve">Deprivation – </w:t>
            </w:r>
            <w:r>
              <w:rPr>
                <w:rFonts w:ascii="Arial" w:hAnsi="Arial" w:cs="Arial"/>
                <w:sz w:val="24"/>
                <w:szCs w:val="24"/>
              </w:rPr>
              <w:t xml:space="preserve">IDACI 5 </w:t>
            </w:r>
            <w:r w:rsidRPr="00C363F0">
              <w:rPr>
                <w:rFonts w:ascii="Arial" w:hAnsi="Arial" w:cs="Arial"/>
                <w:sz w:val="24"/>
                <w:szCs w:val="24"/>
              </w:rPr>
              <w:t>Primary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511</w:t>
            </w:r>
          </w:p>
        </w:tc>
        <w:tc>
          <w:tcPr>
            <w:tcW w:w="3081" w:type="dxa"/>
          </w:tcPr>
          <w:p w:rsidR="00B45A2F" w:rsidRDefault="00BF0276" w:rsidP="00A12116">
            <w:pPr>
              <w:jc w:val="center"/>
              <w:rPr>
                <w:rFonts w:ascii="Arial" w:hAnsi="Arial" w:cs="Arial"/>
                <w:sz w:val="24"/>
                <w:szCs w:val="24"/>
              </w:rPr>
            </w:pPr>
            <w:r>
              <w:rPr>
                <w:rFonts w:ascii="Arial" w:hAnsi="Arial" w:cs="Arial"/>
                <w:sz w:val="24"/>
                <w:szCs w:val="24"/>
              </w:rPr>
              <w:t>759</w:t>
            </w:r>
          </w:p>
        </w:tc>
      </w:tr>
      <w:tr w:rsidR="00B45A2F" w:rsidTr="00BA2694">
        <w:tc>
          <w:tcPr>
            <w:tcW w:w="3080" w:type="dxa"/>
          </w:tcPr>
          <w:p w:rsidR="00B45A2F" w:rsidRDefault="00B45A2F">
            <w:r w:rsidRPr="00C363F0">
              <w:rPr>
                <w:rFonts w:ascii="Arial" w:hAnsi="Arial" w:cs="Arial"/>
                <w:sz w:val="24"/>
                <w:szCs w:val="24"/>
              </w:rPr>
              <w:t xml:space="preserve">Deprivation – </w:t>
            </w:r>
            <w:r>
              <w:rPr>
                <w:rFonts w:ascii="Arial" w:hAnsi="Arial" w:cs="Arial"/>
                <w:sz w:val="24"/>
                <w:szCs w:val="24"/>
              </w:rPr>
              <w:t>IDACI 6</w:t>
            </w:r>
            <w:r w:rsidRPr="00C363F0">
              <w:rPr>
                <w:rFonts w:ascii="Arial" w:hAnsi="Arial" w:cs="Arial"/>
                <w:sz w:val="24"/>
                <w:szCs w:val="24"/>
              </w:rPr>
              <w:t xml:space="preserve"> Primary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741</w:t>
            </w:r>
          </w:p>
        </w:tc>
        <w:tc>
          <w:tcPr>
            <w:tcW w:w="3081" w:type="dxa"/>
          </w:tcPr>
          <w:p w:rsidR="00B45A2F" w:rsidRDefault="00BF0276" w:rsidP="00A12116">
            <w:pPr>
              <w:jc w:val="center"/>
              <w:rPr>
                <w:rFonts w:ascii="Arial" w:hAnsi="Arial" w:cs="Arial"/>
                <w:sz w:val="24"/>
                <w:szCs w:val="24"/>
              </w:rPr>
            </w:pPr>
            <w:r>
              <w:rPr>
                <w:rFonts w:ascii="Arial" w:hAnsi="Arial" w:cs="Arial"/>
                <w:sz w:val="24"/>
                <w:szCs w:val="24"/>
              </w:rPr>
              <w:t>913</w:t>
            </w:r>
          </w:p>
        </w:tc>
      </w:tr>
      <w:tr w:rsidR="00B45A2F" w:rsidTr="00BA2694">
        <w:tc>
          <w:tcPr>
            <w:tcW w:w="3080" w:type="dxa"/>
          </w:tcPr>
          <w:p w:rsidR="00B45A2F" w:rsidRDefault="00C6497E" w:rsidP="00BA2694">
            <w:pPr>
              <w:rPr>
                <w:rFonts w:ascii="Arial" w:hAnsi="Arial" w:cs="Arial"/>
                <w:sz w:val="24"/>
                <w:szCs w:val="24"/>
              </w:rPr>
            </w:pPr>
            <w:r>
              <w:rPr>
                <w:rFonts w:ascii="Arial" w:hAnsi="Arial" w:cs="Arial"/>
                <w:sz w:val="24"/>
                <w:szCs w:val="24"/>
              </w:rPr>
              <w:t>Deprivation – IDACI 1 Secondary</w:t>
            </w:r>
          </w:p>
        </w:tc>
        <w:tc>
          <w:tcPr>
            <w:tcW w:w="3081" w:type="dxa"/>
          </w:tcPr>
          <w:p w:rsidR="00B45A2F" w:rsidRDefault="00315B17" w:rsidP="00E523A2">
            <w:pPr>
              <w:jc w:val="center"/>
              <w:rPr>
                <w:rFonts w:ascii="Arial" w:hAnsi="Arial" w:cs="Arial"/>
                <w:sz w:val="24"/>
                <w:szCs w:val="24"/>
              </w:rPr>
            </w:pPr>
            <w:r>
              <w:rPr>
                <w:rFonts w:ascii="Arial" w:hAnsi="Arial" w:cs="Arial"/>
                <w:sz w:val="24"/>
                <w:szCs w:val="24"/>
              </w:rPr>
              <w:t>321</w:t>
            </w:r>
          </w:p>
        </w:tc>
        <w:tc>
          <w:tcPr>
            <w:tcW w:w="3081" w:type="dxa"/>
          </w:tcPr>
          <w:p w:rsidR="00B45A2F" w:rsidRDefault="00A12116" w:rsidP="00A12116">
            <w:pPr>
              <w:jc w:val="center"/>
              <w:rPr>
                <w:rFonts w:ascii="Arial" w:hAnsi="Arial" w:cs="Arial"/>
                <w:sz w:val="24"/>
                <w:szCs w:val="24"/>
              </w:rPr>
            </w:pPr>
            <w:r>
              <w:rPr>
                <w:rFonts w:ascii="Arial" w:hAnsi="Arial" w:cs="Arial"/>
                <w:sz w:val="24"/>
                <w:szCs w:val="24"/>
              </w:rPr>
              <w:t>154</w:t>
            </w:r>
          </w:p>
        </w:tc>
      </w:tr>
      <w:tr w:rsidR="00C6497E" w:rsidTr="00BA2694">
        <w:tc>
          <w:tcPr>
            <w:tcW w:w="3080" w:type="dxa"/>
          </w:tcPr>
          <w:p w:rsidR="00C6497E" w:rsidRDefault="00C6497E">
            <w:r w:rsidRPr="00224801">
              <w:rPr>
                <w:rFonts w:ascii="Arial" w:hAnsi="Arial" w:cs="Arial"/>
                <w:sz w:val="24"/>
                <w:szCs w:val="24"/>
              </w:rPr>
              <w:t xml:space="preserve">Deprivation – IDACI </w:t>
            </w:r>
            <w:r>
              <w:rPr>
                <w:rFonts w:ascii="Arial" w:hAnsi="Arial" w:cs="Arial"/>
                <w:sz w:val="24"/>
                <w:szCs w:val="24"/>
              </w:rPr>
              <w:t xml:space="preserve">2 </w:t>
            </w:r>
            <w:r w:rsidRPr="00224801">
              <w:rPr>
                <w:rFonts w:ascii="Arial" w:hAnsi="Arial" w:cs="Arial"/>
                <w:sz w:val="24"/>
                <w:szCs w:val="24"/>
              </w:rPr>
              <w:t>Secondary</w:t>
            </w:r>
          </w:p>
        </w:tc>
        <w:tc>
          <w:tcPr>
            <w:tcW w:w="3081" w:type="dxa"/>
          </w:tcPr>
          <w:p w:rsidR="00C6497E" w:rsidRDefault="00315B17" w:rsidP="00E523A2">
            <w:pPr>
              <w:jc w:val="center"/>
              <w:rPr>
                <w:rFonts w:ascii="Arial" w:hAnsi="Arial" w:cs="Arial"/>
                <w:sz w:val="24"/>
                <w:szCs w:val="24"/>
              </w:rPr>
            </w:pPr>
            <w:r>
              <w:rPr>
                <w:rFonts w:ascii="Arial" w:hAnsi="Arial" w:cs="Arial"/>
                <w:sz w:val="24"/>
                <w:szCs w:val="24"/>
              </w:rPr>
              <w:t>243</w:t>
            </w:r>
          </w:p>
        </w:tc>
        <w:tc>
          <w:tcPr>
            <w:tcW w:w="3081" w:type="dxa"/>
          </w:tcPr>
          <w:p w:rsidR="00C6497E" w:rsidRDefault="00A12116" w:rsidP="00A12116">
            <w:pPr>
              <w:jc w:val="center"/>
              <w:rPr>
                <w:rFonts w:ascii="Arial" w:hAnsi="Arial" w:cs="Arial"/>
                <w:sz w:val="24"/>
                <w:szCs w:val="24"/>
              </w:rPr>
            </w:pPr>
            <w:r>
              <w:rPr>
                <w:rFonts w:ascii="Arial" w:hAnsi="Arial" w:cs="Arial"/>
                <w:sz w:val="24"/>
                <w:szCs w:val="24"/>
              </w:rPr>
              <w:t>308</w:t>
            </w:r>
          </w:p>
        </w:tc>
      </w:tr>
      <w:tr w:rsidR="00C6497E" w:rsidTr="00BA2694">
        <w:tc>
          <w:tcPr>
            <w:tcW w:w="3080" w:type="dxa"/>
          </w:tcPr>
          <w:p w:rsidR="00C6497E" w:rsidRDefault="00C6497E">
            <w:r w:rsidRPr="00224801">
              <w:rPr>
                <w:rFonts w:ascii="Arial" w:hAnsi="Arial" w:cs="Arial"/>
                <w:sz w:val="24"/>
                <w:szCs w:val="24"/>
              </w:rPr>
              <w:t xml:space="preserve">Deprivation – IDACI </w:t>
            </w:r>
            <w:r>
              <w:rPr>
                <w:rFonts w:ascii="Arial" w:hAnsi="Arial" w:cs="Arial"/>
                <w:sz w:val="24"/>
                <w:szCs w:val="24"/>
              </w:rPr>
              <w:t xml:space="preserve">3 </w:t>
            </w:r>
            <w:r w:rsidRPr="00224801">
              <w:rPr>
                <w:rFonts w:ascii="Arial" w:hAnsi="Arial" w:cs="Arial"/>
                <w:sz w:val="24"/>
                <w:szCs w:val="24"/>
              </w:rPr>
              <w:t>Secondary</w:t>
            </w:r>
          </w:p>
        </w:tc>
        <w:tc>
          <w:tcPr>
            <w:tcW w:w="3081" w:type="dxa"/>
          </w:tcPr>
          <w:p w:rsidR="00C6497E" w:rsidRDefault="00315B17" w:rsidP="00E523A2">
            <w:pPr>
              <w:jc w:val="center"/>
              <w:rPr>
                <w:rFonts w:ascii="Arial" w:hAnsi="Arial" w:cs="Arial"/>
                <w:sz w:val="24"/>
                <w:szCs w:val="24"/>
              </w:rPr>
            </w:pPr>
            <w:r>
              <w:rPr>
                <w:rFonts w:ascii="Arial" w:hAnsi="Arial" w:cs="Arial"/>
                <w:sz w:val="24"/>
                <w:szCs w:val="24"/>
              </w:rPr>
              <w:t>530</w:t>
            </w:r>
          </w:p>
        </w:tc>
        <w:tc>
          <w:tcPr>
            <w:tcW w:w="3081" w:type="dxa"/>
          </w:tcPr>
          <w:p w:rsidR="00C6497E" w:rsidRDefault="00A12116" w:rsidP="00A12116">
            <w:pPr>
              <w:jc w:val="center"/>
              <w:rPr>
                <w:rFonts w:ascii="Arial" w:hAnsi="Arial" w:cs="Arial"/>
                <w:sz w:val="24"/>
                <w:szCs w:val="24"/>
              </w:rPr>
            </w:pPr>
            <w:r>
              <w:rPr>
                <w:rFonts w:ascii="Arial" w:hAnsi="Arial" w:cs="Arial"/>
                <w:sz w:val="24"/>
                <w:szCs w:val="24"/>
              </w:rPr>
              <w:t>462</w:t>
            </w:r>
          </w:p>
        </w:tc>
      </w:tr>
      <w:tr w:rsidR="00C6497E" w:rsidTr="00BA2694">
        <w:tc>
          <w:tcPr>
            <w:tcW w:w="3080" w:type="dxa"/>
          </w:tcPr>
          <w:p w:rsidR="00C6497E" w:rsidRDefault="00315B17">
            <w:r>
              <w:rPr>
                <w:rFonts w:ascii="Arial" w:hAnsi="Arial" w:cs="Arial"/>
                <w:sz w:val="24"/>
                <w:szCs w:val="24"/>
              </w:rPr>
              <w:lastRenderedPageBreak/>
              <w:t>Deprivation – IDACI 4</w:t>
            </w:r>
            <w:r w:rsidR="00C6497E" w:rsidRPr="00224801">
              <w:rPr>
                <w:rFonts w:ascii="Arial" w:hAnsi="Arial" w:cs="Arial"/>
                <w:sz w:val="24"/>
                <w:szCs w:val="24"/>
              </w:rPr>
              <w:t xml:space="preserve"> Secondary</w:t>
            </w:r>
          </w:p>
        </w:tc>
        <w:tc>
          <w:tcPr>
            <w:tcW w:w="3081" w:type="dxa"/>
          </w:tcPr>
          <w:p w:rsidR="00C6497E" w:rsidRDefault="00315B17" w:rsidP="00E523A2">
            <w:pPr>
              <w:jc w:val="center"/>
              <w:rPr>
                <w:rFonts w:ascii="Arial" w:hAnsi="Arial" w:cs="Arial"/>
                <w:sz w:val="24"/>
                <w:szCs w:val="24"/>
              </w:rPr>
            </w:pPr>
            <w:r>
              <w:rPr>
                <w:rFonts w:ascii="Arial" w:hAnsi="Arial" w:cs="Arial"/>
                <w:sz w:val="24"/>
                <w:szCs w:val="24"/>
              </w:rPr>
              <w:t>596</w:t>
            </w:r>
          </w:p>
        </w:tc>
        <w:tc>
          <w:tcPr>
            <w:tcW w:w="3081" w:type="dxa"/>
          </w:tcPr>
          <w:p w:rsidR="00C6497E" w:rsidRDefault="00A12116" w:rsidP="00A12116">
            <w:pPr>
              <w:jc w:val="center"/>
              <w:rPr>
                <w:rFonts w:ascii="Arial" w:hAnsi="Arial" w:cs="Arial"/>
                <w:sz w:val="24"/>
                <w:szCs w:val="24"/>
              </w:rPr>
            </w:pPr>
            <w:r>
              <w:rPr>
                <w:rFonts w:ascii="Arial" w:hAnsi="Arial" w:cs="Arial"/>
                <w:sz w:val="24"/>
                <w:szCs w:val="24"/>
              </w:rPr>
              <w:t>616</w:t>
            </w:r>
          </w:p>
        </w:tc>
      </w:tr>
      <w:tr w:rsidR="00C6497E" w:rsidTr="00BA2694">
        <w:tc>
          <w:tcPr>
            <w:tcW w:w="3080" w:type="dxa"/>
          </w:tcPr>
          <w:p w:rsidR="00C6497E" w:rsidRDefault="00315B17">
            <w:r>
              <w:rPr>
                <w:rFonts w:ascii="Arial" w:hAnsi="Arial" w:cs="Arial"/>
                <w:sz w:val="24"/>
                <w:szCs w:val="24"/>
              </w:rPr>
              <w:t>Deprivation – IDACI 5</w:t>
            </w:r>
            <w:r w:rsidR="00C6497E" w:rsidRPr="00224801">
              <w:rPr>
                <w:rFonts w:ascii="Arial" w:hAnsi="Arial" w:cs="Arial"/>
                <w:sz w:val="24"/>
                <w:szCs w:val="24"/>
              </w:rPr>
              <w:t xml:space="preserve"> Secondary</w:t>
            </w:r>
          </w:p>
        </w:tc>
        <w:tc>
          <w:tcPr>
            <w:tcW w:w="3081" w:type="dxa"/>
          </w:tcPr>
          <w:p w:rsidR="00C6497E" w:rsidRDefault="00315B17" w:rsidP="00E523A2">
            <w:pPr>
              <w:jc w:val="center"/>
              <w:rPr>
                <w:rFonts w:ascii="Arial" w:hAnsi="Arial" w:cs="Arial"/>
                <w:sz w:val="24"/>
                <w:szCs w:val="24"/>
              </w:rPr>
            </w:pPr>
            <w:r>
              <w:rPr>
                <w:rFonts w:ascii="Arial" w:hAnsi="Arial" w:cs="Arial"/>
                <w:sz w:val="24"/>
                <w:szCs w:val="24"/>
              </w:rPr>
              <w:t>659</w:t>
            </w:r>
          </w:p>
        </w:tc>
        <w:tc>
          <w:tcPr>
            <w:tcW w:w="3081" w:type="dxa"/>
          </w:tcPr>
          <w:p w:rsidR="00C6497E" w:rsidRDefault="00A12116" w:rsidP="00A12116">
            <w:pPr>
              <w:jc w:val="center"/>
              <w:rPr>
                <w:rFonts w:ascii="Arial" w:hAnsi="Arial" w:cs="Arial"/>
                <w:sz w:val="24"/>
                <w:szCs w:val="24"/>
              </w:rPr>
            </w:pPr>
            <w:r>
              <w:rPr>
                <w:rFonts w:ascii="Arial" w:hAnsi="Arial" w:cs="Arial"/>
                <w:sz w:val="24"/>
                <w:szCs w:val="24"/>
              </w:rPr>
              <w:t>770</w:t>
            </w:r>
          </w:p>
        </w:tc>
      </w:tr>
      <w:tr w:rsidR="00C6497E" w:rsidTr="00BA2694">
        <w:tc>
          <w:tcPr>
            <w:tcW w:w="3080" w:type="dxa"/>
          </w:tcPr>
          <w:p w:rsidR="00C6497E" w:rsidRDefault="00315B17">
            <w:r>
              <w:rPr>
                <w:rFonts w:ascii="Arial" w:hAnsi="Arial" w:cs="Arial"/>
                <w:sz w:val="24"/>
                <w:szCs w:val="24"/>
              </w:rPr>
              <w:t>Deprivation – IDACI 6</w:t>
            </w:r>
            <w:r w:rsidR="00C6497E" w:rsidRPr="00224801">
              <w:rPr>
                <w:rFonts w:ascii="Arial" w:hAnsi="Arial" w:cs="Arial"/>
                <w:sz w:val="24"/>
                <w:szCs w:val="24"/>
              </w:rPr>
              <w:t xml:space="preserve"> Secondary</w:t>
            </w:r>
          </w:p>
        </w:tc>
        <w:tc>
          <w:tcPr>
            <w:tcW w:w="3081" w:type="dxa"/>
          </w:tcPr>
          <w:p w:rsidR="00C6497E" w:rsidRDefault="00315B17" w:rsidP="00E523A2">
            <w:pPr>
              <w:jc w:val="center"/>
              <w:rPr>
                <w:rFonts w:ascii="Arial" w:hAnsi="Arial" w:cs="Arial"/>
                <w:sz w:val="24"/>
                <w:szCs w:val="24"/>
              </w:rPr>
            </w:pPr>
            <w:r>
              <w:rPr>
                <w:rFonts w:ascii="Arial" w:hAnsi="Arial" w:cs="Arial"/>
                <w:sz w:val="24"/>
                <w:szCs w:val="24"/>
              </w:rPr>
              <w:t>894</w:t>
            </w:r>
          </w:p>
        </w:tc>
        <w:tc>
          <w:tcPr>
            <w:tcW w:w="3081" w:type="dxa"/>
          </w:tcPr>
          <w:p w:rsidR="00C6497E" w:rsidRDefault="00A12116" w:rsidP="00A12116">
            <w:pPr>
              <w:jc w:val="center"/>
              <w:rPr>
                <w:rFonts w:ascii="Arial" w:hAnsi="Arial" w:cs="Arial"/>
                <w:sz w:val="24"/>
                <w:szCs w:val="24"/>
              </w:rPr>
            </w:pPr>
            <w:r>
              <w:rPr>
                <w:rFonts w:ascii="Arial" w:hAnsi="Arial" w:cs="Arial"/>
                <w:sz w:val="24"/>
                <w:szCs w:val="24"/>
              </w:rPr>
              <w:t>924</w:t>
            </w:r>
          </w:p>
        </w:tc>
      </w:tr>
      <w:tr w:rsidR="002C1C32" w:rsidTr="00BA2694">
        <w:tc>
          <w:tcPr>
            <w:tcW w:w="3080" w:type="dxa"/>
          </w:tcPr>
          <w:p w:rsidR="002C1C32" w:rsidRPr="00BE4677" w:rsidRDefault="002C1C32" w:rsidP="00BA2694">
            <w:pPr>
              <w:rPr>
                <w:rFonts w:ascii="Arial" w:hAnsi="Arial" w:cs="Arial"/>
                <w:sz w:val="24"/>
                <w:szCs w:val="24"/>
              </w:rPr>
            </w:pPr>
            <w:r>
              <w:rPr>
                <w:rFonts w:ascii="Arial" w:hAnsi="Arial" w:cs="Arial"/>
                <w:sz w:val="24"/>
                <w:szCs w:val="24"/>
              </w:rPr>
              <w:t>Looked After Children</w:t>
            </w:r>
            <w:r w:rsidR="00A71799">
              <w:rPr>
                <w:rFonts w:ascii="Arial" w:hAnsi="Arial" w:cs="Arial"/>
                <w:sz w:val="24"/>
                <w:szCs w:val="24"/>
              </w:rPr>
              <w:t xml:space="preserve"> - Primary</w:t>
            </w:r>
          </w:p>
        </w:tc>
        <w:tc>
          <w:tcPr>
            <w:tcW w:w="3081" w:type="dxa"/>
          </w:tcPr>
          <w:p w:rsidR="002C1C32" w:rsidRPr="00BE4677" w:rsidRDefault="00E523A2" w:rsidP="00E523A2">
            <w:pPr>
              <w:jc w:val="center"/>
              <w:rPr>
                <w:rFonts w:ascii="Arial" w:hAnsi="Arial" w:cs="Arial"/>
                <w:sz w:val="24"/>
                <w:szCs w:val="24"/>
              </w:rPr>
            </w:pPr>
            <w:r>
              <w:rPr>
                <w:rFonts w:ascii="Arial" w:hAnsi="Arial" w:cs="Arial"/>
                <w:sz w:val="24"/>
                <w:szCs w:val="24"/>
              </w:rPr>
              <w:t>1,009</w:t>
            </w:r>
          </w:p>
        </w:tc>
        <w:tc>
          <w:tcPr>
            <w:tcW w:w="3081" w:type="dxa"/>
          </w:tcPr>
          <w:p w:rsidR="002C1C32" w:rsidRPr="00BE4677" w:rsidRDefault="002C1C32"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E523A2" w:rsidTr="00BA2694">
        <w:tc>
          <w:tcPr>
            <w:tcW w:w="3080" w:type="dxa"/>
          </w:tcPr>
          <w:p w:rsidR="00E523A2" w:rsidRDefault="00B45A2F" w:rsidP="00B45A2F">
            <w:pPr>
              <w:rPr>
                <w:rFonts w:ascii="Arial" w:hAnsi="Arial" w:cs="Arial"/>
                <w:sz w:val="24"/>
                <w:szCs w:val="24"/>
              </w:rPr>
            </w:pPr>
            <w:r>
              <w:rPr>
                <w:rFonts w:ascii="Arial" w:hAnsi="Arial" w:cs="Arial"/>
                <w:sz w:val="24"/>
                <w:szCs w:val="24"/>
              </w:rPr>
              <w:t>Looked After Children - Secondary</w:t>
            </w:r>
          </w:p>
        </w:tc>
        <w:tc>
          <w:tcPr>
            <w:tcW w:w="3081" w:type="dxa"/>
          </w:tcPr>
          <w:p w:rsidR="00E523A2" w:rsidRDefault="00B45A2F" w:rsidP="00B45A2F">
            <w:pPr>
              <w:jc w:val="center"/>
              <w:rPr>
                <w:rFonts w:ascii="Arial" w:hAnsi="Arial" w:cs="Arial"/>
                <w:sz w:val="24"/>
                <w:szCs w:val="24"/>
              </w:rPr>
            </w:pPr>
            <w:r>
              <w:rPr>
                <w:rFonts w:ascii="Arial" w:hAnsi="Arial" w:cs="Arial"/>
                <w:sz w:val="24"/>
                <w:szCs w:val="24"/>
              </w:rPr>
              <w:t>1,009</w:t>
            </w:r>
          </w:p>
        </w:tc>
        <w:tc>
          <w:tcPr>
            <w:tcW w:w="3081" w:type="dxa"/>
          </w:tcPr>
          <w:p w:rsidR="00E523A2" w:rsidRDefault="00A71799"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2C1C32" w:rsidTr="00BA2694">
        <w:tc>
          <w:tcPr>
            <w:tcW w:w="3080" w:type="dxa"/>
          </w:tcPr>
          <w:p w:rsidR="002C1C32" w:rsidRPr="00BE4677" w:rsidRDefault="002C1C32" w:rsidP="00BA2694">
            <w:pPr>
              <w:rPr>
                <w:rFonts w:ascii="Arial" w:hAnsi="Arial" w:cs="Arial"/>
                <w:sz w:val="24"/>
                <w:szCs w:val="24"/>
              </w:rPr>
            </w:pPr>
            <w:r>
              <w:rPr>
                <w:rFonts w:ascii="Arial" w:hAnsi="Arial" w:cs="Arial"/>
                <w:sz w:val="24"/>
                <w:szCs w:val="24"/>
              </w:rPr>
              <w:t>Low cost high incident SEN</w:t>
            </w:r>
            <w:r w:rsidR="00B45A2F">
              <w:rPr>
                <w:rFonts w:ascii="Arial" w:hAnsi="Arial" w:cs="Arial"/>
                <w:sz w:val="24"/>
                <w:szCs w:val="24"/>
              </w:rPr>
              <w:t xml:space="preserve"> - Primary</w:t>
            </w:r>
          </w:p>
        </w:tc>
        <w:tc>
          <w:tcPr>
            <w:tcW w:w="3081" w:type="dxa"/>
          </w:tcPr>
          <w:p w:rsidR="002C1C32" w:rsidRPr="00BE4677" w:rsidRDefault="00B45A2F" w:rsidP="00B45A2F">
            <w:pPr>
              <w:jc w:val="center"/>
              <w:rPr>
                <w:rFonts w:ascii="Arial" w:hAnsi="Arial" w:cs="Arial"/>
                <w:sz w:val="24"/>
                <w:szCs w:val="24"/>
              </w:rPr>
            </w:pPr>
            <w:r>
              <w:rPr>
                <w:rFonts w:ascii="Arial" w:hAnsi="Arial" w:cs="Arial"/>
                <w:sz w:val="24"/>
                <w:szCs w:val="24"/>
              </w:rPr>
              <w:t>878</w:t>
            </w:r>
          </w:p>
        </w:tc>
        <w:tc>
          <w:tcPr>
            <w:tcW w:w="3081" w:type="dxa"/>
          </w:tcPr>
          <w:p w:rsidR="002C1C32" w:rsidRPr="00BE4677" w:rsidRDefault="00A12116" w:rsidP="00A12116">
            <w:pPr>
              <w:jc w:val="center"/>
              <w:rPr>
                <w:rFonts w:ascii="Arial" w:hAnsi="Arial" w:cs="Arial"/>
                <w:sz w:val="24"/>
                <w:szCs w:val="24"/>
              </w:rPr>
            </w:pPr>
            <w:r>
              <w:rPr>
                <w:rFonts w:ascii="Arial" w:hAnsi="Arial" w:cs="Arial"/>
                <w:sz w:val="24"/>
                <w:szCs w:val="24"/>
              </w:rPr>
              <w:t>892</w:t>
            </w:r>
          </w:p>
        </w:tc>
      </w:tr>
      <w:tr w:rsidR="00B45A2F" w:rsidTr="00BA2694">
        <w:tc>
          <w:tcPr>
            <w:tcW w:w="3080" w:type="dxa"/>
          </w:tcPr>
          <w:p w:rsidR="00B45A2F" w:rsidRDefault="00B45A2F" w:rsidP="00BA2694">
            <w:pPr>
              <w:rPr>
                <w:rFonts w:ascii="Arial" w:hAnsi="Arial" w:cs="Arial"/>
                <w:sz w:val="24"/>
                <w:szCs w:val="24"/>
              </w:rPr>
            </w:pPr>
            <w:r>
              <w:rPr>
                <w:rFonts w:ascii="Arial" w:hAnsi="Arial" w:cs="Arial"/>
                <w:sz w:val="24"/>
                <w:szCs w:val="24"/>
              </w:rPr>
              <w:t>Low cost high incident SEN - Secondary</w:t>
            </w:r>
          </w:p>
        </w:tc>
        <w:tc>
          <w:tcPr>
            <w:tcW w:w="3081" w:type="dxa"/>
          </w:tcPr>
          <w:p w:rsidR="00B45A2F" w:rsidRDefault="00B45A2F" w:rsidP="00B45A2F">
            <w:pPr>
              <w:jc w:val="center"/>
              <w:rPr>
                <w:rFonts w:ascii="Arial" w:hAnsi="Arial" w:cs="Arial"/>
                <w:sz w:val="24"/>
                <w:szCs w:val="24"/>
              </w:rPr>
            </w:pPr>
            <w:r>
              <w:rPr>
                <w:rFonts w:ascii="Arial" w:hAnsi="Arial" w:cs="Arial"/>
                <w:sz w:val="24"/>
                <w:szCs w:val="24"/>
              </w:rPr>
              <w:t>1,961</w:t>
            </w:r>
          </w:p>
        </w:tc>
        <w:tc>
          <w:tcPr>
            <w:tcW w:w="3081" w:type="dxa"/>
          </w:tcPr>
          <w:p w:rsidR="00B45A2F" w:rsidRDefault="00A12116" w:rsidP="00A12116">
            <w:pPr>
              <w:jc w:val="center"/>
              <w:rPr>
                <w:rFonts w:ascii="Arial" w:hAnsi="Arial" w:cs="Arial"/>
                <w:sz w:val="24"/>
                <w:szCs w:val="24"/>
              </w:rPr>
            </w:pPr>
            <w:r>
              <w:rPr>
                <w:rFonts w:ascii="Arial" w:hAnsi="Arial" w:cs="Arial"/>
                <w:sz w:val="24"/>
                <w:szCs w:val="24"/>
              </w:rPr>
              <w:t>1050</w:t>
            </w:r>
          </w:p>
        </w:tc>
      </w:tr>
      <w:tr w:rsidR="002C1C32" w:rsidTr="00BA2694">
        <w:tc>
          <w:tcPr>
            <w:tcW w:w="3080" w:type="dxa"/>
          </w:tcPr>
          <w:p w:rsidR="002C1C32" w:rsidRPr="00BE4677" w:rsidRDefault="002C1C32" w:rsidP="00315B17">
            <w:pPr>
              <w:rPr>
                <w:rFonts w:ascii="Arial" w:hAnsi="Arial" w:cs="Arial"/>
                <w:sz w:val="24"/>
                <w:szCs w:val="24"/>
              </w:rPr>
            </w:pPr>
            <w:r>
              <w:rPr>
                <w:rFonts w:ascii="Arial" w:hAnsi="Arial" w:cs="Arial"/>
                <w:sz w:val="24"/>
                <w:szCs w:val="24"/>
              </w:rPr>
              <w:t>English as an additional language</w:t>
            </w:r>
            <w:r w:rsidR="00315B17">
              <w:rPr>
                <w:rFonts w:ascii="Arial" w:hAnsi="Arial" w:cs="Arial"/>
                <w:sz w:val="24"/>
                <w:szCs w:val="24"/>
              </w:rPr>
              <w:t xml:space="preserve"> - Primary</w:t>
            </w:r>
          </w:p>
        </w:tc>
        <w:tc>
          <w:tcPr>
            <w:tcW w:w="3081" w:type="dxa"/>
          </w:tcPr>
          <w:p w:rsidR="002C1C32" w:rsidRPr="00BE4677" w:rsidRDefault="00315B17" w:rsidP="00315B17">
            <w:pPr>
              <w:jc w:val="center"/>
              <w:rPr>
                <w:rFonts w:ascii="Arial" w:hAnsi="Arial" w:cs="Arial"/>
                <w:sz w:val="24"/>
                <w:szCs w:val="24"/>
              </w:rPr>
            </w:pPr>
            <w:r>
              <w:rPr>
                <w:rFonts w:ascii="Arial" w:hAnsi="Arial" w:cs="Arial"/>
                <w:sz w:val="24"/>
                <w:szCs w:val="24"/>
              </w:rPr>
              <w:t>505</w:t>
            </w:r>
          </w:p>
        </w:tc>
        <w:tc>
          <w:tcPr>
            <w:tcW w:w="3081" w:type="dxa"/>
          </w:tcPr>
          <w:p w:rsidR="002C1C32" w:rsidRPr="00BE4677" w:rsidRDefault="002C1C32"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2C1C32" w:rsidTr="00BA2694">
        <w:tc>
          <w:tcPr>
            <w:tcW w:w="3080" w:type="dxa"/>
          </w:tcPr>
          <w:p w:rsidR="002C1C32" w:rsidRPr="00BE4677" w:rsidRDefault="00315B17" w:rsidP="00315B17">
            <w:pPr>
              <w:rPr>
                <w:rFonts w:ascii="Arial" w:hAnsi="Arial" w:cs="Arial"/>
                <w:sz w:val="24"/>
                <w:szCs w:val="24"/>
              </w:rPr>
            </w:pPr>
            <w:r>
              <w:rPr>
                <w:rFonts w:ascii="Arial" w:hAnsi="Arial" w:cs="Arial"/>
                <w:sz w:val="24"/>
                <w:szCs w:val="24"/>
              </w:rPr>
              <w:t>English as an additional language - Secondary</w:t>
            </w:r>
          </w:p>
        </w:tc>
        <w:tc>
          <w:tcPr>
            <w:tcW w:w="3081" w:type="dxa"/>
          </w:tcPr>
          <w:p w:rsidR="002C1C32" w:rsidRDefault="00315B17" w:rsidP="00315B17">
            <w:pPr>
              <w:jc w:val="center"/>
              <w:rPr>
                <w:rFonts w:ascii="Arial" w:hAnsi="Arial" w:cs="Arial"/>
                <w:sz w:val="24"/>
                <w:szCs w:val="24"/>
              </w:rPr>
            </w:pPr>
            <w:r>
              <w:rPr>
                <w:rFonts w:ascii="Arial" w:hAnsi="Arial" w:cs="Arial"/>
                <w:sz w:val="24"/>
                <w:szCs w:val="24"/>
              </w:rPr>
              <w:t>1,216</w:t>
            </w:r>
          </w:p>
          <w:p w:rsidR="00315B17" w:rsidRPr="00BE4677" w:rsidRDefault="00315B17" w:rsidP="00315B17">
            <w:pPr>
              <w:jc w:val="center"/>
              <w:rPr>
                <w:rFonts w:ascii="Arial" w:hAnsi="Arial" w:cs="Arial"/>
                <w:sz w:val="24"/>
                <w:szCs w:val="24"/>
              </w:rPr>
            </w:pPr>
          </w:p>
        </w:tc>
        <w:tc>
          <w:tcPr>
            <w:tcW w:w="3081" w:type="dxa"/>
          </w:tcPr>
          <w:p w:rsidR="002C1C32" w:rsidRPr="00BE4677" w:rsidRDefault="00315B17" w:rsidP="00BA2694">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2C1C32" w:rsidTr="00BA2694">
        <w:tc>
          <w:tcPr>
            <w:tcW w:w="3080" w:type="dxa"/>
          </w:tcPr>
          <w:p w:rsidR="002C1C32" w:rsidRDefault="00315B17" w:rsidP="00BA2694">
            <w:pPr>
              <w:rPr>
                <w:rFonts w:ascii="Arial" w:hAnsi="Arial" w:cs="Arial"/>
                <w:sz w:val="24"/>
                <w:szCs w:val="24"/>
              </w:rPr>
            </w:pPr>
            <w:r>
              <w:rPr>
                <w:rFonts w:ascii="Arial" w:hAnsi="Arial" w:cs="Arial"/>
                <w:sz w:val="24"/>
                <w:szCs w:val="24"/>
              </w:rPr>
              <w:t>Lump Sum - Primary</w:t>
            </w:r>
          </w:p>
        </w:tc>
        <w:tc>
          <w:tcPr>
            <w:tcW w:w="3081" w:type="dxa"/>
          </w:tcPr>
          <w:p w:rsidR="002C1C32" w:rsidRDefault="00315B17" w:rsidP="00315B17">
            <w:pPr>
              <w:jc w:val="center"/>
              <w:rPr>
                <w:rFonts w:ascii="Arial" w:hAnsi="Arial" w:cs="Arial"/>
                <w:sz w:val="24"/>
                <w:szCs w:val="24"/>
              </w:rPr>
            </w:pPr>
            <w:r>
              <w:rPr>
                <w:rFonts w:ascii="Arial" w:hAnsi="Arial" w:cs="Arial"/>
                <w:sz w:val="24"/>
                <w:szCs w:val="24"/>
              </w:rPr>
              <w:t>117,082</w:t>
            </w:r>
          </w:p>
        </w:tc>
        <w:tc>
          <w:tcPr>
            <w:tcW w:w="3081" w:type="dxa"/>
          </w:tcPr>
          <w:p w:rsidR="002C1C32" w:rsidRDefault="00315B17" w:rsidP="00315B17">
            <w:pPr>
              <w:jc w:val="center"/>
              <w:rPr>
                <w:rFonts w:ascii="Arial" w:hAnsi="Arial" w:cs="Arial"/>
                <w:sz w:val="24"/>
                <w:szCs w:val="24"/>
              </w:rPr>
            </w:pPr>
            <w:r>
              <w:rPr>
                <w:rFonts w:ascii="Arial" w:hAnsi="Arial" w:cs="Arial"/>
                <w:sz w:val="24"/>
                <w:szCs w:val="24"/>
              </w:rPr>
              <w:t>102,000</w:t>
            </w:r>
          </w:p>
        </w:tc>
      </w:tr>
      <w:tr w:rsidR="002C1C32" w:rsidTr="00BA2694">
        <w:tc>
          <w:tcPr>
            <w:tcW w:w="3080" w:type="dxa"/>
          </w:tcPr>
          <w:p w:rsidR="002C1C32" w:rsidRDefault="002C1C32" w:rsidP="00BA2694">
            <w:pPr>
              <w:rPr>
                <w:rFonts w:ascii="Arial" w:hAnsi="Arial" w:cs="Arial"/>
                <w:sz w:val="24"/>
                <w:szCs w:val="24"/>
              </w:rPr>
            </w:pPr>
            <w:r>
              <w:rPr>
                <w:rFonts w:ascii="Arial" w:hAnsi="Arial" w:cs="Arial"/>
                <w:sz w:val="24"/>
                <w:szCs w:val="24"/>
              </w:rPr>
              <w:t>Lump Sum</w:t>
            </w:r>
            <w:r w:rsidR="00315B17">
              <w:rPr>
                <w:rFonts w:ascii="Arial" w:hAnsi="Arial" w:cs="Arial"/>
                <w:sz w:val="24"/>
                <w:szCs w:val="24"/>
              </w:rPr>
              <w:t xml:space="preserve"> - Secondary</w:t>
            </w:r>
          </w:p>
        </w:tc>
        <w:tc>
          <w:tcPr>
            <w:tcW w:w="3081" w:type="dxa"/>
          </w:tcPr>
          <w:p w:rsidR="002C1C32" w:rsidRDefault="00315B17" w:rsidP="00315B17">
            <w:pPr>
              <w:jc w:val="center"/>
              <w:rPr>
                <w:rFonts w:ascii="Arial" w:hAnsi="Arial" w:cs="Arial"/>
                <w:sz w:val="24"/>
                <w:szCs w:val="24"/>
              </w:rPr>
            </w:pPr>
            <w:r>
              <w:rPr>
                <w:rFonts w:ascii="Arial" w:hAnsi="Arial" w:cs="Arial"/>
                <w:sz w:val="24"/>
                <w:szCs w:val="24"/>
              </w:rPr>
              <w:t>128,189</w:t>
            </w:r>
          </w:p>
        </w:tc>
        <w:tc>
          <w:tcPr>
            <w:tcW w:w="3081" w:type="dxa"/>
          </w:tcPr>
          <w:p w:rsidR="002C1C32" w:rsidRDefault="00315B17" w:rsidP="00315B17">
            <w:pPr>
              <w:jc w:val="center"/>
              <w:rPr>
                <w:rFonts w:ascii="Arial" w:hAnsi="Arial" w:cs="Arial"/>
                <w:sz w:val="24"/>
                <w:szCs w:val="24"/>
              </w:rPr>
            </w:pPr>
            <w:r>
              <w:rPr>
                <w:rFonts w:ascii="Arial" w:hAnsi="Arial" w:cs="Arial"/>
                <w:sz w:val="24"/>
                <w:szCs w:val="24"/>
              </w:rPr>
              <w:t>102,000</w:t>
            </w:r>
          </w:p>
        </w:tc>
      </w:tr>
      <w:tr w:rsidR="00315B17" w:rsidTr="00BA2694">
        <w:tc>
          <w:tcPr>
            <w:tcW w:w="3080" w:type="dxa"/>
          </w:tcPr>
          <w:p w:rsidR="00315B17" w:rsidRDefault="00315B17" w:rsidP="00BA2694">
            <w:pPr>
              <w:rPr>
                <w:rFonts w:ascii="Arial" w:hAnsi="Arial" w:cs="Arial"/>
                <w:sz w:val="24"/>
                <w:szCs w:val="24"/>
              </w:rPr>
            </w:pPr>
            <w:r>
              <w:rPr>
                <w:rFonts w:ascii="Arial" w:hAnsi="Arial" w:cs="Arial"/>
                <w:sz w:val="24"/>
                <w:szCs w:val="24"/>
              </w:rPr>
              <w:t>Sparsity factor - Primary</w:t>
            </w:r>
          </w:p>
        </w:tc>
        <w:tc>
          <w:tcPr>
            <w:tcW w:w="3081" w:type="dxa"/>
          </w:tcPr>
          <w:p w:rsidR="00315B17" w:rsidRDefault="00315B17" w:rsidP="00315B17">
            <w:pPr>
              <w:jc w:val="center"/>
              <w:rPr>
                <w:rFonts w:ascii="Arial" w:hAnsi="Arial" w:cs="Arial"/>
                <w:sz w:val="24"/>
                <w:szCs w:val="24"/>
              </w:rPr>
            </w:pPr>
            <w:r>
              <w:rPr>
                <w:rFonts w:ascii="Arial" w:hAnsi="Arial" w:cs="Arial"/>
                <w:sz w:val="24"/>
                <w:szCs w:val="24"/>
              </w:rPr>
              <w:t>53,988 tapered</w:t>
            </w:r>
          </w:p>
        </w:tc>
        <w:tc>
          <w:tcPr>
            <w:tcW w:w="3081" w:type="dxa"/>
          </w:tcPr>
          <w:p w:rsidR="00315B17" w:rsidRDefault="00315B17" w:rsidP="00315B17">
            <w:pPr>
              <w:jc w:val="center"/>
              <w:rPr>
                <w:rFonts w:ascii="Arial" w:hAnsi="Arial" w:cs="Arial"/>
                <w:sz w:val="24"/>
                <w:szCs w:val="24"/>
              </w:rPr>
            </w:pPr>
            <w:r>
              <w:rPr>
                <w:rFonts w:ascii="Arial" w:hAnsi="Arial" w:cs="Arial"/>
                <w:sz w:val="24"/>
                <w:szCs w:val="24"/>
              </w:rPr>
              <w:t>100,000 tapered</w:t>
            </w:r>
          </w:p>
        </w:tc>
      </w:tr>
      <w:tr w:rsidR="00315B17" w:rsidTr="00BA2694">
        <w:tc>
          <w:tcPr>
            <w:tcW w:w="3080" w:type="dxa"/>
          </w:tcPr>
          <w:p w:rsidR="00315B17" w:rsidRDefault="00315B17" w:rsidP="00BA2694">
            <w:pPr>
              <w:rPr>
                <w:rFonts w:ascii="Arial" w:hAnsi="Arial" w:cs="Arial"/>
                <w:sz w:val="24"/>
                <w:szCs w:val="24"/>
              </w:rPr>
            </w:pPr>
            <w:r>
              <w:rPr>
                <w:rFonts w:ascii="Arial" w:hAnsi="Arial" w:cs="Arial"/>
                <w:sz w:val="24"/>
                <w:szCs w:val="24"/>
              </w:rPr>
              <w:t>Sparsity factor - Secondary</w:t>
            </w:r>
          </w:p>
        </w:tc>
        <w:tc>
          <w:tcPr>
            <w:tcW w:w="3081" w:type="dxa"/>
          </w:tcPr>
          <w:p w:rsidR="00315B17" w:rsidRDefault="00315B17" w:rsidP="00315B17">
            <w:pPr>
              <w:jc w:val="center"/>
              <w:rPr>
                <w:rFonts w:ascii="Arial" w:hAnsi="Arial" w:cs="Arial"/>
                <w:sz w:val="24"/>
                <w:szCs w:val="24"/>
              </w:rPr>
            </w:pPr>
            <w:r>
              <w:rPr>
                <w:rFonts w:ascii="Arial" w:hAnsi="Arial" w:cs="Arial"/>
                <w:sz w:val="24"/>
                <w:szCs w:val="24"/>
              </w:rPr>
              <w:t>53,988 tapered</w:t>
            </w:r>
          </w:p>
        </w:tc>
        <w:tc>
          <w:tcPr>
            <w:tcW w:w="3081" w:type="dxa"/>
          </w:tcPr>
          <w:p w:rsidR="00315B17" w:rsidRDefault="00315B17" w:rsidP="00315B17">
            <w:pPr>
              <w:jc w:val="center"/>
              <w:rPr>
                <w:rFonts w:ascii="Arial" w:hAnsi="Arial" w:cs="Arial"/>
                <w:sz w:val="24"/>
                <w:szCs w:val="24"/>
              </w:rPr>
            </w:pPr>
            <w:r>
              <w:rPr>
                <w:rFonts w:ascii="Arial" w:hAnsi="Arial" w:cs="Arial"/>
                <w:sz w:val="24"/>
                <w:szCs w:val="24"/>
              </w:rPr>
              <w:t>N/A</w:t>
            </w:r>
          </w:p>
        </w:tc>
      </w:tr>
    </w:tbl>
    <w:p w:rsidR="00923724" w:rsidRDefault="00923724" w:rsidP="000A5702">
      <w:pPr>
        <w:rPr>
          <w:rFonts w:ascii="Arial" w:hAnsi="Arial" w:cs="Arial"/>
          <w:sz w:val="24"/>
          <w:szCs w:val="24"/>
        </w:rPr>
      </w:pPr>
    </w:p>
    <w:p w:rsidR="00923724" w:rsidRDefault="00923724" w:rsidP="000A5702">
      <w:pPr>
        <w:rPr>
          <w:rFonts w:ascii="Arial" w:hAnsi="Arial" w:cs="Arial"/>
          <w:sz w:val="24"/>
          <w:szCs w:val="24"/>
        </w:rPr>
      </w:pPr>
    </w:p>
    <w:p w:rsidR="00923724" w:rsidRDefault="00923724" w:rsidP="000A5702">
      <w:pPr>
        <w:rPr>
          <w:rFonts w:ascii="Arial" w:hAnsi="Arial" w:cs="Arial"/>
          <w:sz w:val="24"/>
          <w:szCs w:val="24"/>
        </w:rPr>
      </w:pPr>
    </w:p>
    <w:p w:rsidR="00923724" w:rsidRDefault="00923724"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sectPr w:rsidR="00D15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B04"/>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590051"/>
    <w:multiLevelType w:val="hybridMultilevel"/>
    <w:tmpl w:val="8BD87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A84F3C"/>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C41F1E"/>
    <w:multiLevelType w:val="hybridMultilevel"/>
    <w:tmpl w:val="D6A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7D570D"/>
    <w:multiLevelType w:val="hybridMultilevel"/>
    <w:tmpl w:val="628E7FD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1ED74EE3"/>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117D08"/>
    <w:multiLevelType w:val="hybridMultilevel"/>
    <w:tmpl w:val="E3EEA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7541EF"/>
    <w:multiLevelType w:val="hybridMultilevel"/>
    <w:tmpl w:val="D24A1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BA2825"/>
    <w:multiLevelType w:val="hybridMultilevel"/>
    <w:tmpl w:val="BFFA8F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67306510"/>
    <w:multiLevelType w:val="hybridMultilevel"/>
    <w:tmpl w:val="66FC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B946907"/>
    <w:multiLevelType w:val="hybridMultilevel"/>
    <w:tmpl w:val="F5D809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DE9377B"/>
    <w:multiLevelType w:val="hybridMultilevel"/>
    <w:tmpl w:val="95767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5"/>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D6"/>
    <w:rsid w:val="000A5702"/>
    <w:rsid w:val="000E487F"/>
    <w:rsid w:val="001B78FA"/>
    <w:rsid w:val="001C3F02"/>
    <w:rsid w:val="0022137D"/>
    <w:rsid w:val="00291D67"/>
    <w:rsid w:val="002C1C32"/>
    <w:rsid w:val="002E28CD"/>
    <w:rsid w:val="00305ECB"/>
    <w:rsid w:val="00315B17"/>
    <w:rsid w:val="0035369F"/>
    <w:rsid w:val="004506DF"/>
    <w:rsid w:val="004C497B"/>
    <w:rsid w:val="00523C4F"/>
    <w:rsid w:val="00537222"/>
    <w:rsid w:val="005411C0"/>
    <w:rsid w:val="005531CD"/>
    <w:rsid w:val="00553FD6"/>
    <w:rsid w:val="00566679"/>
    <w:rsid w:val="00573437"/>
    <w:rsid w:val="005C16A9"/>
    <w:rsid w:val="005D5739"/>
    <w:rsid w:val="00617055"/>
    <w:rsid w:val="0066653A"/>
    <w:rsid w:val="006B0A22"/>
    <w:rsid w:val="00712D69"/>
    <w:rsid w:val="00774C18"/>
    <w:rsid w:val="007E79E5"/>
    <w:rsid w:val="007F1B83"/>
    <w:rsid w:val="008C2B4B"/>
    <w:rsid w:val="00923724"/>
    <w:rsid w:val="00944984"/>
    <w:rsid w:val="0097055B"/>
    <w:rsid w:val="009B33C7"/>
    <w:rsid w:val="009C79FA"/>
    <w:rsid w:val="009F5CDE"/>
    <w:rsid w:val="00A12116"/>
    <w:rsid w:val="00A71799"/>
    <w:rsid w:val="00B1370E"/>
    <w:rsid w:val="00B305A0"/>
    <w:rsid w:val="00B45A2F"/>
    <w:rsid w:val="00B64246"/>
    <w:rsid w:val="00BA2694"/>
    <w:rsid w:val="00BF0276"/>
    <w:rsid w:val="00BF59BA"/>
    <w:rsid w:val="00C6497E"/>
    <w:rsid w:val="00C9543B"/>
    <w:rsid w:val="00D15735"/>
    <w:rsid w:val="00D318AB"/>
    <w:rsid w:val="00D91958"/>
    <w:rsid w:val="00DE47B3"/>
    <w:rsid w:val="00E511F3"/>
    <w:rsid w:val="00E523A2"/>
    <w:rsid w:val="00F42917"/>
    <w:rsid w:val="00F65246"/>
    <w:rsid w:val="00F66F26"/>
    <w:rsid w:val="00FA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2791">
      <w:bodyDiv w:val="1"/>
      <w:marLeft w:val="0"/>
      <w:marRight w:val="0"/>
      <w:marTop w:val="0"/>
      <w:marBottom w:val="0"/>
      <w:divBdr>
        <w:top w:val="none" w:sz="0" w:space="0" w:color="auto"/>
        <w:left w:val="none" w:sz="0" w:space="0" w:color="auto"/>
        <w:bottom w:val="none" w:sz="0" w:space="0" w:color="auto"/>
        <w:right w:val="none" w:sz="0" w:space="0" w:color="auto"/>
      </w:divBdr>
    </w:div>
    <w:div w:id="1256136643">
      <w:bodyDiv w:val="1"/>
      <w:marLeft w:val="0"/>
      <w:marRight w:val="0"/>
      <w:marTop w:val="0"/>
      <w:marBottom w:val="0"/>
      <w:divBdr>
        <w:top w:val="none" w:sz="0" w:space="0" w:color="auto"/>
        <w:left w:val="none" w:sz="0" w:space="0" w:color="auto"/>
        <w:bottom w:val="none" w:sz="0" w:space="0" w:color="auto"/>
        <w:right w:val="none" w:sz="0" w:space="0" w:color="auto"/>
      </w:divBdr>
    </w:div>
    <w:div w:id="15553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81B0-FFAE-4E9A-8B60-6E53313F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Ferguson, David (Resources)</cp:lastModifiedBy>
  <cp:revision>2</cp:revision>
  <cp:lastPrinted>2014-03-10T09:55:00Z</cp:lastPrinted>
  <dcterms:created xsi:type="dcterms:W3CDTF">2014-03-18T10:58:00Z</dcterms:created>
  <dcterms:modified xsi:type="dcterms:W3CDTF">2014-03-18T10:58:00Z</dcterms:modified>
</cp:coreProperties>
</file>