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4F9" w:rsidRPr="00B944F9" w:rsidRDefault="00B944F9" w:rsidP="00B944F9">
      <w:pPr>
        <w:jc w:val="center"/>
        <w:rPr>
          <w:rFonts w:ascii="Arial" w:hAnsi="Arial" w:cs="Arial"/>
          <w:b/>
          <w:sz w:val="24"/>
          <w:szCs w:val="24"/>
          <w:u w:val="single"/>
        </w:rPr>
      </w:pPr>
      <w:bookmarkStart w:id="0" w:name="_GoBack"/>
      <w:bookmarkEnd w:id="0"/>
      <w:r w:rsidRPr="00B944F9">
        <w:rPr>
          <w:rFonts w:ascii="Arial" w:hAnsi="Arial" w:cs="Arial"/>
          <w:b/>
          <w:sz w:val="24"/>
          <w:szCs w:val="24"/>
          <w:u w:val="single"/>
        </w:rPr>
        <w:t>SCHOOLS FORUM MEETING – 10</w:t>
      </w:r>
      <w:r w:rsidRPr="00B944F9">
        <w:rPr>
          <w:rFonts w:ascii="Arial" w:hAnsi="Arial" w:cs="Arial"/>
          <w:b/>
          <w:sz w:val="24"/>
          <w:szCs w:val="24"/>
          <w:u w:val="single"/>
          <w:vertAlign w:val="superscript"/>
        </w:rPr>
        <w:t>th</w:t>
      </w:r>
      <w:r w:rsidRPr="00B944F9">
        <w:rPr>
          <w:rFonts w:ascii="Arial" w:hAnsi="Arial" w:cs="Arial"/>
          <w:b/>
          <w:sz w:val="24"/>
          <w:szCs w:val="24"/>
          <w:u w:val="single"/>
        </w:rPr>
        <w:t xml:space="preserve"> December 2013</w:t>
      </w:r>
    </w:p>
    <w:p w:rsidR="00AB5628" w:rsidRPr="00B944F9" w:rsidRDefault="00AB5628" w:rsidP="009F4852">
      <w:pPr>
        <w:jc w:val="center"/>
        <w:rPr>
          <w:rFonts w:ascii="Arial" w:hAnsi="Arial" w:cs="Arial"/>
          <w:b/>
          <w:sz w:val="24"/>
          <w:szCs w:val="24"/>
          <w:u w:val="single"/>
        </w:rPr>
      </w:pPr>
      <w:r w:rsidRPr="00B944F9">
        <w:rPr>
          <w:rFonts w:ascii="Arial" w:hAnsi="Arial" w:cs="Arial"/>
          <w:b/>
          <w:sz w:val="24"/>
          <w:szCs w:val="24"/>
          <w:u w:val="single"/>
        </w:rPr>
        <w:t>SEN W</w:t>
      </w:r>
      <w:r w:rsidR="00B944F9">
        <w:rPr>
          <w:rFonts w:ascii="Arial" w:hAnsi="Arial" w:cs="Arial"/>
          <w:b/>
          <w:sz w:val="24"/>
          <w:szCs w:val="24"/>
          <w:u w:val="single"/>
        </w:rPr>
        <w:t xml:space="preserve">orking </w:t>
      </w:r>
      <w:r w:rsidRPr="00B944F9">
        <w:rPr>
          <w:rFonts w:ascii="Arial" w:hAnsi="Arial" w:cs="Arial"/>
          <w:b/>
          <w:sz w:val="24"/>
          <w:szCs w:val="24"/>
          <w:u w:val="single"/>
        </w:rPr>
        <w:t>P</w:t>
      </w:r>
      <w:r w:rsidR="00B944F9">
        <w:rPr>
          <w:rFonts w:ascii="Arial" w:hAnsi="Arial" w:cs="Arial"/>
          <w:b/>
          <w:sz w:val="24"/>
          <w:szCs w:val="24"/>
          <w:u w:val="single"/>
        </w:rPr>
        <w:t>arty</w:t>
      </w:r>
      <w:r w:rsidRPr="00B944F9">
        <w:rPr>
          <w:rFonts w:ascii="Arial" w:hAnsi="Arial" w:cs="Arial"/>
          <w:b/>
          <w:sz w:val="24"/>
          <w:szCs w:val="24"/>
          <w:u w:val="single"/>
        </w:rPr>
        <w:t xml:space="preserve"> </w:t>
      </w:r>
      <w:r w:rsidR="00B944F9" w:rsidRPr="00B944F9">
        <w:rPr>
          <w:rFonts w:ascii="Arial" w:hAnsi="Arial" w:cs="Arial"/>
          <w:b/>
          <w:sz w:val="24"/>
          <w:szCs w:val="24"/>
          <w:u w:val="single"/>
        </w:rPr>
        <w:t xml:space="preserve"> U</w:t>
      </w:r>
      <w:r w:rsidR="00B944F9">
        <w:rPr>
          <w:rFonts w:ascii="Arial" w:hAnsi="Arial" w:cs="Arial"/>
          <w:b/>
          <w:sz w:val="24"/>
          <w:szCs w:val="24"/>
          <w:u w:val="single"/>
        </w:rPr>
        <w:t xml:space="preserve">pdate </w:t>
      </w:r>
      <w:r w:rsidR="00B944F9" w:rsidRPr="00B944F9">
        <w:rPr>
          <w:rFonts w:ascii="Arial" w:hAnsi="Arial" w:cs="Arial"/>
          <w:b/>
          <w:sz w:val="24"/>
          <w:szCs w:val="24"/>
          <w:u w:val="single"/>
        </w:rPr>
        <w:t>R</w:t>
      </w:r>
      <w:r w:rsidR="00B944F9">
        <w:rPr>
          <w:rFonts w:ascii="Arial" w:hAnsi="Arial" w:cs="Arial"/>
          <w:b/>
          <w:sz w:val="24"/>
          <w:szCs w:val="24"/>
          <w:u w:val="single"/>
        </w:rPr>
        <w:t>eport</w:t>
      </w:r>
      <w:r w:rsidR="00B944F9" w:rsidRPr="00B944F9">
        <w:rPr>
          <w:rFonts w:ascii="Arial" w:hAnsi="Arial" w:cs="Arial"/>
          <w:b/>
          <w:sz w:val="24"/>
          <w:szCs w:val="24"/>
          <w:u w:val="single"/>
        </w:rPr>
        <w:t xml:space="preserve"> - </w:t>
      </w:r>
      <w:r w:rsidR="00B944F9">
        <w:rPr>
          <w:rFonts w:ascii="Arial" w:hAnsi="Arial" w:cs="Arial"/>
          <w:b/>
          <w:sz w:val="24"/>
          <w:szCs w:val="24"/>
          <w:u w:val="single"/>
        </w:rPr>
        <w:t>meeting</w:t>
      </w:r>
      <w:r w:rsidRPr="00B944F9">
        <w:rPr>
          <w:rFonts w:ascii="Arial" w:hAnsi="Arial" w:cs="Arial"/>
          <w:b/>
          <w:sz w:val="24"/>
          <w:szCs w:val="24"/>
          <w:u w:val="single"/>
        </w:rPr>
        <w:t xml:space="preserve"> 27</w:t>
      </w:r>
      <w:r w:rsidRPr="00B944F9">
        <w:rPr>
          <w:rFonts w:ascii="Arial" w:hAnsi="Arial" w:cs="Arial"/>
          <w:b/>
          <w:sz w:val="24"/>
          <w:szCs w:val="24"/>
          <w:u w:val="single"/>
          <w:vertAlign w:val="superscript"/>
        </w:rPr>
        <w:t>TH</w:t>
      </w:r>
      <w:r w:rsidRPr="00B944F9">
        <w:rPr>
          <w:rFonts w:ascii="Arial" w:hAnsi="Arial" w:cs="Arial"/>
          <w:b/>
          <w:sz w:val="24"/>
          <w:szCs w:val="24"/>
          <w:u w:val="single"/>
        </w:rPr>
        <w:t xml:space="preserve"> N</w:t>
      </w:r>
      <w:r w:rsidR="00B944F9">
        <w:rPr>
          <w:rFonts w:ascii="Arial" w:hAnsi="Arial" w:cs="Arial"/>
          <w:b/>
          <w:sz w:val="24"/>
          <w:szCs w:val="24"/>
          <w:u w:val="single"/>
        </w:rPr>
        <w:t>ovember</w:t>
      </w:r>
      <w:r w:rsidRPr="00B944F9">
        <w:rPr>
          <w:rFonts w:ascii="Arial" w:hAnsi="Arial" w:cs="Arial"/>
          <w:b/>
          <w:sz w:val="24"/>
          <w:szCs w:val="24"/>
          <w:u w:val="single"/>
        </w:rPr>
        <w:t xml:space="preserve"> 2013</w:t>
      </w:r>
    </w:p>
    <w:p w:rsidR="00AB5628" w:rsidRDefault="00AB5628" w:rsidP="009F4852">
      <w:pPr>
        <w:jc w:val="center"/>
        <w:rPr>
          <w:rFonts w:ascii="Arial" w:hAnsi="Arial" w:cs="Arial"/>
          <w:b/>
          <w:sz w:val="24"/>
          <w:szCs w:val="24"/>
          <w:u w:val="single"/>
        </w:rPr>
      </w:pPr>
      <w:r w:rsidRPr="00B944F9">
        <w:rPr>
          <w:rFonts w:ascii="Arial" w:hAnsi="Arial" w:cs="Arial"/>
          <w:b/>
          <w:sz w:val="24"/>
          <w:szCs w:val="24"/>
          <w:u w:val="single"/>
        </w:rPr>
        <w:t>H</w:t>
      </w:r>
      <w:r w:rsidR="00B944F9">
        <w:rPr>
          <w:rFonts w:ascii="Arial" w:hAnsi="Arial" w:cs="Arial"/>
          <w:b/>
          <w:sz w:val="24"/>
          <w:szCs w:val="24"/>
          <w:u w:val="single"/>
        </w:rPr>
        <w:t xml:space="preserve">igh </w:t>
      </w:r>
      <w:r w:rsidRPr="00B944F9">
        <w:rPr>
          <w:rFonts w:ascii="Arial" w:hAnsi="Arial" w:cs="Arial"/>
          <w:b/>
          <w:sz w:val="24"/>
          <w:szCs w:val="24"/>
          <w:u w:val="single"/>
        </w:rPr>
        <w:t>N</w:t>
      </w:r>
      <w:r w:rsidR="00B944F9">
        <w:rPr>
          <w:rFonts w:ascii="Arial" w:hAnsi="Arial" w:cs="Arial"/>
          <w:b/>
          <w:sz w:val="24"/>
          <w:szCs w:val="24"/>
          <w:u w:val="single"/>
        </w:rPr>
        <w:t>eeds</w:t>
      </w:r>
      <w:r w:rsidRPr="00B944F9">
        <w:rPr>
          <w:rFonts w:ascii="Arial" w:hAnsi="Arial" w:cs="Arial"/>
          <w:b/>
          <w:sz w:val="24"/>
          <w:szCs w:val="24"/>
          <w:u w:val="single"/>
        </w:rPr>
        <w:t xml:space="preserve"> B</w:t>
      </w:r>
      <w:r w:rsidR="008700F4">
        <w:rPr>
          <w:rFonts w:ascii="Arial" w:hAnsi="Arial" w:cs="Arial"/>
          <w:b/>
          <w:sz w:val="24"/>
          <w:szCs w:val="24"/>
          <w:u w:val="single"/>
        </w:rPr>
        <w:t>lo</w:t>
      </w:r>
      <w:r w:rsidR="00B944F9">
        <w:rPr>
          <w:rFonts w:ascii="Arial" w:hAnsi="Arial" w:cs="Arial"/>
          <w:b/>
          <w:sz w:val="24"/>
          <w:szCs w:val="24"/>
          <w:u w:val="single"/>
        </w:rPr>
        <w:t>ck</w:t>
      </w:r>
      <w:r w:rsidR="008700F4">
        <w:rPr>
          <w:rFonts w:ascii="Arial" w:hAnsi="Arial" w:cs="Arial"/>
          <w:b/>
          <w:sz w:val="24"/>
          <w:szCs w:val="24"/>
          <w:u w:val="single"/>
        </w:rPr>
        <w:t xml:space="preserve"> </w:t>
      </w:r>
      <w:r w:rsidRPr="00B944F9">
        <w:rPr>
          <w:rFonts w:ascii="Arial" w:hAnsi="Arial" w:cs="Arial"/>
          <w:b/>
          <w:sz w:val="24"/>
          <w:szCs w:val="24"/>
          <w:u w:val="single"/>
        </w:rPr>
        <w:t>F</w:t>
      </w:r>
      <w:r w:rsidR="00B944F9">
        <w:rPr>
          <w:rFonts w:ascii="Arial" w:hAnsi="Arial" w:cs="Arial"/>
          <w:b/>
          <w:sz w:val="24"/>
          <w:szCs w:val="24"/>
          <w:u w:val="single"/>
        </w:rPr>
        <w:t>unding</w:t>
      </w:r>
      <w:r w:rsidRPr="00B944F9">
        <w:rPr>
          <w:rFonts w:ascii="Arial" w:hAnsi="Arial" w:cs="Arial"/>
          <w:b/>
          <w:sz w:val="24"/>
          <w:szCs w:val="24"/>
          <w:u w:val="single"/>
        </w:rPr>
        <w:t xml:space="preserve"> R</w:t>
      </w:r>
      <w:r w:rsidR="00B944F9">
        <w:rPr>
          <w:rFonts w:ascii="Arial" w:hAnsi="Arial" w:cs="Arial"/>
          <w:b/>
          <w:sz w:val="24"/>
          <w:szCs w:val="24"/>
          <w:u w:val="single"/>
        </w:rPr>
        <w:t>eport</w:t>
      </w:r>
    </w:p>
    <w:p w:rsidR="00B944F9" w:rsidRPr="00B944F9" w:rsidRDefault="00B944F9" w:rsidP="009F4852">
      <w:pPr>
        <w:jc w:val="center"/>
        <w:rPr>
          <w:rFonts w:ascii="Arial" w:hAnsi="Arial" w:cs="Arial"/>
          <w:b/>
          <w:sz w:val="24"/>
          <w:szCs w:val="24"/>
          <w:u w:val="single"/>
        </w:rPr>
      </w:pPr>
    </w:p>
    <w:p w:rsidR="00AB5628" w:rsidRPr="00B944F9" w:rsidRDefault="00AB5628" w:rsidP="009F4852">
      <w:pPr>
        <w:pStyle w:val="ListParagraph"/>
        <w:numPr>
          <w:ilvl w:val="0"/>
          <w:numId w:val="1"/>
        </w:numPr>
        <w:rPr>
          <w:rFonts w:ascii="Arial" w:hAnsi="Arial" w:cs="Arial"/>
          <w:sz w:val="24"/>
          <w:szCs w:val="24"/>
        </w:rPr>
      </w:pPr>
      <w:r w:rsidRPr="00B944F9">
        <w:rPr>
          <w:rFonts w:ascii="Arial" w:hAnsi="Arial" w:cs="Arial"/>
          <w:b/>
          <w:sz w:val="24"/>
          <w:szCs w:val="24"/>
          <w:u w:val="single"/>
        </w:rPr>
        <w:t>Introduction</w:t>
      </w:r>
    </w:p>
    <w:p w:rsidR="00AB5628" w:rsidRPr="00B944F9" w:rsidRDefault="00B944F9" w:rsidP="009F4852">
      <w:pPr>
        <w:ind w:left="720"/>
        <w:rPr>
          <w:rFonts w:ascii="Arial" w:hAnsi="Arial" w:cs="Arial"/>
          <w:sz w:val="24"/>
          <w:szCs w:val="24"/>
        </w:rPr>
      </w:pPr>
      <w:r>
        <w:rPr>
          <w:rFonts w:ascii="Arial" w:hAnsi="Arial" w:cs="Arial"/>
          <w:sz w:val="24"/>
          <w:szCs w:val="24"/>
        </w:rPr>
        <w:t xml:space="preserve">Since the last Schools Forum meeting a number of meetings have been held around </w:t>
      </w:r>
      <w:r w:rsidR="00AB5628" w:rsidRPr="00B944F9">
        <w:rPr>
          <w:rFonts w:ascii="Arial" w:hAnsi="Arial" w:cs="Arial"/>
          <w:sz w:val="24"/>
          <w:szCs w:val="24"/>
        </w:rPr>
        <w:t>the latest 2014-15 budget projections for the High Needs Block following the outcome of the High Needs Bandings moderation exercise, the final confirmation of the year 2 SEN Financial Plan budgets and the latest projections around the Post 16 funding.</w:t>
      </w:r>
    </w:p>
    <w:p w:rsidR="00AB5628" w:rsidRPr="00B944F9" w:rsidRDefault="00AB5628" w:rsidP="009F4852">
      <w:pPr>
        <w:ind w:left="720"/>
        <w:rPr>
          <w:rFonts w:ascii="Arial" w:hAnsi="Arial" w:cs="Arial"/>
          <w:sz w:val="24"/>
          <w:szCs w:val="24"/>
        </w:rPr>
      </w:pPr>
      <w:r w:rsidRPr="00B944F9">
        <w:rPr>
          <w:rFonts w:ascii="Arial" w:hAnsi="Arial" w:cs="Arial"/>
          <w:sz w:val="24"/>
          <w:szCs w:val="24"/>
        </w:rPr>
        <w:t xml:space="preserve">It </w:t>
      </w:r>
      <w:r w:rsidR="00B944F9">
        <w:rPr>
          <w:rFonts w:ascii="Arial" w:hAnsi="Arial" w:cs="Arial"/>
          <w:sz w:val="24"/>
          <w:szCs w:val="24"/>
        </w:rPr>
        <w:t xml:space="preserve">needs to be </w:t>
      </w:r>
      <w:r w:rsidRPr="00B944F9">
        <w:rPr>
          <w:rFonts w:ascii="Arial" w:hAnsi="Arial" w:cs="Arial"/>
          <w:sz w:val="24"/>
          <w:szCs w:val="24"/>
        </w:rPr>
        <w:t xml:space="preserve">noted that in certain areas, especially around Post 16 this </w:t>
      </w:r>
      <w:r w:rsidR="00B944F9">
        <w:rPr>
          <w:rFonts w:ascii="Arial" w:hAnsi="Arial" w:cs="Arial"/>
          <w:sz w:val="24"/>
          <w:szCs w:val="24"/>
        </w:rPr>
        <w:t>i</w:t>
      </w:r>
      <w:r w:rsidRPr="00B944F9">
        <w:rPr>
          <w:rFonts w:ascii="Arial" w:hAnsi="Arial" w:cs="Arial"/>
          <w:sz w:val="24"/>
          <w:szCs w:val="24"/>
        </w:rPr>
        <w:t xml:space="preserve">s a best estimate and that clarity of funding going forward </w:t>
      </w:r>
      <w:r w:rsidR="00B944F9">
        <w:rPr>
          <w:rFonts w:ascii="Arial" w:hAnsi="Arial" w:cs="Arial"/>
          <w:sz w:val="24"/>
          <w:szCs w:val="24"/>
        </w:rPr>
        <w:t>is</w:t>
      </w:r>
      <w:r w:rsidRPr="00B944F9">
        <w:rPr>
          <w:rFonts w:ascii="Arial" w:hAnsi="Arial" w:cs="Arial"/>
          <w:sz w:val="24"/>
          <w:szCs w:val="24"/>
        </w:rPr>
        <w:t xml:space="preserve"> still awaited. </w:t>
      </w:r>
      <w:r w:rsidR="00B944F9">
        <w:rPr>
          <w:rFonts w:ascii="Arial" w:hAnsi="Arial" w:cs="Arial"/>
          <w:sz w:val="24"/>
          <w:szCs w:val="24"/>
        </w:rPr>
        <w:t xml:space="preserve">Two </w:t>
      </w:r>
      <w:r w:rsidRPr="00B944F9">
        <w:rPr>
          <w:rFonts w:ascii="Arial" w:hAnsi="Arial" w:cs="Arial"/>
          <w:sz w:val="24"/>
          <w:szCs w:val="24"/>
        </w:rPr>
        <w:t>EFA event</w:t>
      </w:r>
      <w:r w:rsidR="00B944F9">
        <w:rPr>
          <w:rFonts w:ascii="Arial" w:hAnsi="Arial" w:cs="Arial"/>
          <w:sz w:val="24"/>
          <w:szCs w:val="24"/>
        </w:rPr>
        <w:t>s</w:t>
      </w:r>
      <w:r w:rsidRPr="00B944F9">
        <w:rPr>
          <w:rFonts w:ascii="Arial" w:hAnsi="Arial" w:cs="Arial"/>
          <w:sz w:val="24"/>
          <w:szCs w:val="24"/>
        </w:rPr>
        <w:t xml:space="preserve"> </w:t>
      </w:r>
      <w:r w:rsidR="00B944F9">
        <w:rPr>
          <w:rFonts w:ascii="Arial" w:hAnsi="Arial" w:cs="Arial"/>
          <w:sz w:val="24"/>
          <w:szCs w:val="24"/>
        </w:rPr>
        <w:t xml:space="preserve">on this </w:t>
      </w:r>
      <w:r w:rsidRPr="00B944F9">
        <w:rPr>
          <w:rFonts w:ascii="Arial" w:hAnsi="Arial" w:cs="Arial"/>
          <w:sz w:val="24"/>
          <w:szCs w:val="24"/>
        </w:rPr>
        <w:t xml:space="preserve">scheduled </w:t>
      </w:r>
      <w:r w:rsidR="00B944F9">
        <w:rPr>
          <w:rFonts w:ascii="Arial" w:hAnsi="Arial" w:cs="Arial"/>
          <w:sz w:val="24"/>
          <w:szCs w:val="24"/>
        </w:rPr>
        <w:t xml:space="preserve">to take place have now been cancelled and a new date awaited. </w:t>
      </w:r>
    </w:p>
    <w:p w:rsidR="00AB5628" w:rsidRPr="00B944F9" w:rsidRDefault="00AB5628" w:rsidP="009F4852">
      <w:pPr>
        <w:ind w:left="720"/>
        <w:rPr>
          <w:rFonts w:ascii="Arial" w:hAnsi="Arial" w:cs="Arial"/>
          <w:sz w:val="24"/>
          <w:szCs w:val="24"/>
        </w:rPr>
      </w:pPr>
      <w:r w:rsidRPr="00B944F9">
        <w:rPr>
          <w:rFonts w:ascii="Arial" w:hAnsi="Arial" w:cs="Arial"/>
          <w:sz w:val="24"/>
          <w:szCs w:val="24"/>
        </w:rPr>
        <w:t xml:space="preserve">As a reminder previous </w:t>
      </w:r>
      <w:r w:rsidR="00B944F9">
        <w:rPr>
          <w:rFonts w:ascii="Arial" w:hAnsi="Arial" w:cs="Arial"/>
          <w:sz w:val="24"/>
          <w:szCs w:val="24"/>
        </w:rPr>
        <w:t xml:space="preserve">discussions had agreed and subsequently </w:t>
      </w:r>
      <w:r w:rsidRPr="00B944F9">
        <w:rPr>
          <w:rFonts w:ascii="Arial" w:hAnsi="Arial" w:cs="Arial"/>
          <w:sz w:val="24"/>
          <w:szCs w:val="24"/>
        </w:rPr>
        <w:t>re-affirmed that the following principles should be adopted</w:t>
      </w:r>
      <w:r w:rsidR="00B944F9">
        <w:rPr>
          <w:rFonts w:ascii="Arial" w:hAnsi="Arial" w:cs="Arial"/>
          <w:sz w:val="24"/>
          <w:szCs w:val="24"/>
        </w:rPr>
        <w:t xml:space="preserve"> in the introduction of any High Needs “Top Up” banding values</w:t>
      </w:r>
      <w:r w:rsidRPr="00B944F9">
        <w:rPr>
          <w:rFonts w:ascii="Arial" w:hAnsi="Arial" w:cs="Arial"/>
          <w:sz w:val="24"/>
          <w:szCs w:val="24"/>
        </w:rPr>
        <w:t>:</w:t>
      </w:r>
    </w:p>
    <w:p w:rsidR="00AB5628" w:rsidRPr="00B944F9" w:rsidRDefault="00AB5628" w:rsidP="009F4852">
      <w:pPr>
        <w:pStyle w:val="ListParagraph"/>
        <w:numPr>
          <w:ilvl w:val="0"/>
          <w:numId w:val="2"/>
        </w:numPr>
        <w:rPr>
          <w:rFonts w:ascii="Arial" w:hAnsi="Arial" w:cs="Arial"/>
          <w:sz w:val="24"/>
          <w:szCs w:val="24"/>
        </w:rPr>
      </w:pPr>
      <w:r w:rsidRPr="00B944F9">
        <w:rPr>
          <w:rFonts w:ascii="Arial" w:hAnsi="Arial" w:cs="Arial"/>
          <w:sz w:val="24"/>
          <w:szCs w:val="24"/>
        </w:rPr>
        <w:t>That the value of a top up value for a Band should be the same across all provision, that is, it should not vary depending on the establishment, and</w:t>
      </w:r>
    </w:p>
    <w:p w:rsidR="00AB5628" w:rsidRPr="00B944F9" w:rsidRDefault="00AB5628" w:rsidP="009F4852">
      <w:pPr>
        <w:pStyle w:val="ListParagraph"/>
        <w:numPr>
          <w:ilvl w:val="0"/>
          <w:numId w:val="2"/>
        </w:numPr>
        <w:rPr>
          <w:rFonts w:ascii="Arial" w:hAnsi="Arial" w:cs="Arial"/>
          <w:sz w:val="24"/>
          <w:szCs w:val="24"/>
        </w:rPr>
      </w:pPr>
      <w:r w:rsidRPr="00B944F9">
        <w:rPr>
          <w:rFonts w:ascii="Arial" w:hAnsi="Arial" w:cs="Arial"/>
          <w:sz w:val="24"/>
          <w:szCs w:val="24"/>
        </w:rPr>
        <w:t>That top up values should be the only funding source over and above the per place funding of £10,000.</w:t>
      </w:r>
    </w:p>
    <w:p w:rsidR="00AB5628" w:rsidRPr="00B944F9" w:rsidRDefault="00AB5628" w:rsidP="009F4852">
      <w:pPr>
        <w:pStyle w:val="ListParagraph"/>
        <w:numPr>
          <w:ilvl w:val="0"/>
          <w:numId w:val="2"/>
        </w:numPr>
        <w:rPr>
          <w:rFonts w:ascii="Arial" w:hAnsi="Arial" w:cs="Arial"/>
          <w:sz w:val="24"/>
          <w:szCs w:val="24"/>
        </w:rPr>
      </w:pPr>
      <w:r w:rsidRPr="00B944F9">
        <w:rPr>
          <w:rFonts w:ascii="Arial" w:hAnsi="Arial" w:cs="Arial"/>
          <w:sz w:val="24"/>
          <w:szCs w:val="24"/>
        </w:rPr>
        <w:t>The use of specific site factor costs was not considered a favourable option</w:t>
      </w:r>
    </w:p>
    <w:p w:rsidR="00AB5628" w:rsidRPr="00B944F9" w:rsidRDefault="00AB5628" w:rsidP="0068133B">
      <w:pPr>
        <w:ind w:left="720"/>
        <w:rPr>
          <w:rFonts w:ascii="Arial" w:hAnsi="Arial" w:cs="Arial"/>
          <w:sz w:val="24"/>
          <w:szCs w:val="24"/>
        </w:rPr>
      </w:pPr>
      <w:r w:rsidRPr="00B944F9">
        <w:rPr>
          <w:rFonts w:ascii="Arial" w:hAnsi="Arial" w:cs="Arial"/>
          <w:sz w:val="24"/>
          <w:szCs w:val="24"/>
        </w:rPr>
        <w:t>The budget information presented (Appendix A) show</w:t>
      </w:r>
      <w:r w:rsidR="00555919">
        <w:rPr>
          <w:rFonts w:ascii="Arial" w:hAnsi="Arial" w:cs="Arial"/>
          <w:sz w:val="24"/>
          <w:szCs w:val="24"/>
        </w:rPr>
        <w:t>s</w:t>
      </w:r>
      <w:r w:rsidRPr="00B944F9">
        <w:rPr>
          <w:rFonts w:ascii="Arial" w:hAnsi="Arial" w:cs="Arial"/>
          <w:sz w:val="24"/>
          <w:szCs w:val="24"/>
        </w:rPr>
        <w:t xml:space="preserve"> an overall </w:t>
      </w:r>
      <w:r w:rsidR="00424C78">
        <w:rPr>
          <w:rFonts w:ascii="Arial" w:hAnsi="Arial" w:cs="Arial"/>
          <w:sz w:val="24"/>
          <w:szCs w:val="24"/>
        </w:rPr>
        <w:t xml:space="preserve">gross </w:t>
      </w:r>
      <w:r w:rsidRPr="00B944F9">
        <w:rPr>
          <w:rFonts w:ascii="Arial" w:hAnsi="Arial" w:cs="Arial"/>
          <w:sz w:val="24"/>
          <w:szCs w:val="24"/>
        </w:rPr>
        <w:t xml:space="preserve">pressure </w:t>
      </w:r>
      <w:r w:rsidR="00555919">
        <w:rPr>
          <w:rFonts w:ascii="Arial" w:hAnsi="Arial" w:cs="Arial"/>
          <w:sz w:val="24"/>
          <w:szCs w:val="24"/>
        </w:rPr>
        <w:t xml:space="preserve">in 2014-15 </w:t>
      </w:r>
      <w:r w:rsidRPr="00B944F9">
        <w:rPr>
          <w:rFonts w:ascii="Arial" w:hAnsi="Arial" w:cs="Arial"/>
          <w:sz w:val="24"/>
          <w:szCs w:val="24"/>
        </w:rPr>
        <w:t>on the High Needs Block of £</w:t>
      </w:r>
      <w:r w:rsidR="00555919">
        <w:rPr>
          <w:rFonts w:ascii="Arial" w:hAnsi="Arial" w:cs="Arial"/>
          <w:sz w:val="24"/>
          <w:szCs w:val="24"/>
        </w:rPr>
        <w:t>107</w:t>
      </w:r>
      <w:r w:rsidRPr="00B944F9">
        <w:rPr>
          <w:rFonts w:ascii="Arial" w:hAnsi="Arial" w:cs="Arial"/>
          <w:sz w:val="24"/>
          <w:szCs w:val="24"/>
        </w:rPr>
        <w:t>k.</w:t>
      </w:r>
      <w:r w:rsidR="00555919">
        <w:rPr>
          <w:rFonts w:ascii="Arial" w:hAnsi="Arial" w:cs="Arial"/>
          <w:sz w:val="24"/>
          <w:szCs w:val="24"/>
        </w:rPr>
        <w:t xml:space="preserve"> Ways of addressing this have been identified where known and others will be investigated once further clarity is received in terms of Post 16, any inflationary uplift etc.</w:t>
      </w:r>
      <w:r w:rsidRPr="00B944F9">
        <w:rPr>
          <w:rFonts w:ascii="Arial" w:hAnsi="Arial" w:cs="Arial"/>
          <w:sz w:val="24"/>
          <w:szCs w:val="24"/>
        </w:rPr>
        <w:t xml:space="preserve"> </w:t>
      </w:r>
    </w:p>
    <w:p w:rsidR="00AB5628" w:rsidRDefault="00555919" w:rsidP="0068133B">
      <w:pPr>
        <w:ind w:left="720"/>
        <w:rPr>
          <w:rFonts w:ascii="Arial" w:hAnsi="Arial" w:cs="Arial"/>
          <w:sz w:val="24"/>
          <w:szCs w:val="24"/>
        </w:rPr>
      </w:pPr>
      <w:r>
        <w:rPr>
          <w:rFonts w:ascii="Arial" w:hAnsi="Arial" w:cs="Arial"/>
          <w:sz w:val="24"/>
          <w:szCs w:val="24"/>
        </w:rPr>
        <w:t>F</w:t>
      </w:r>
      <w:r w:rsidR="00AB5628" w:rsidRPr="00B944F9">
        <w:rPr>
          <w:rFonts w:ascii="Arial" w:hAnsi="Arial" w:cs="Arial"/>
          <w:sz w:val="24"/>
          <w:szCs w:val="24"/>
        </w:rPr>
        <w:t xml:space="preserve">urther refinement of the £800k in respect of the ESBD School has led to a release of funds. </w:t>
      </w:r>
      <w:r>
        <w:rPr>
          <w:rFonts w:ascii="Arial" w:hAnsi="Arial" w:cs="Arial"/>
          <w:sz w:val="24"/>
          <w:szCs w:val="24"/>
        </w:rPr>
        <w:t>This is expanded on b</w:t>
      </w:r>
      <w:r w:rsidR="00AB5628" w:rsidRPr="00B944F9">
        <w:rPr>
          <w:rFonts w:ascii="Arial" w:hAnsi="Arial" w:cs="Arial"/>
          <w:sz w:val="24"/>
          <w:szCs w:val="24"/>
        </w:rPr>
        <w:t>elow. There has also been continued dialogue in terms of banding values, firm views has been expressed which the Council has listened to. However in making a decision then consideration of financial affordability has to be taken into account</w:t>
      </w:r>
      <w:r>
        <w:rPr>
          <w:rFonts w:ascii="Arial" w:hAnsi="Arial" w:cs="Arial"/>
          <w:sz w:val="24"/>
          <w:szCs w:val="24"/>
        </w:rPr>
        <w:t xml:space="preserve"> as well as taking into account</w:t>
      </w:r>
      <w:r w:rsidR="00AB5628" w:rsidRPr="00B944F9">
        <w:rPr>
          <w:rFonts w:ascii="Arial" w:hAnsi="Arial" w:cs="Arial"/>
          <w:sz w:val="24"/>
          <w:szCs w:val="24"/>
        </w:rPr>
        <w:t>, as far as is known</w:t>
      </w:r>
      <w:r>
        <w:rPr>
          <w:rFonts w:ascii="Arial" w:hAnsi="Arial" w:cs="Arial"/>
          <w:sz w:val="24"/>
          <w:szCs w:val="24"/>
        </w:rPr>
        <w:t>,</w:t>
      </w:r>
      <w:r w:rsidR="00AB5628" w:rsidRPr="00B944F9">
        <w:rPr>
          <w:rFonts w:ascii="Arial" w:hAnsi="Arial" w:cs="Arial"/>
          <w:sz w:val="24"/>
          <w:szCs w:val="24"/>
        </w:rPr>
        <w:t xml:space="preserve"> the change in complexity of need</w:t>
      </w:r>
      <w:r>
        <w:rPr>
          <w:rFonts w:ascii="Arial" w:hAnsi="Arial" w:cs="Arial"/>
          <w:sz w:val="24"/>
          <w:szCs w:val="24"/>
        </w:rPr>
        <w:t xml:space="preserve"> of our most vulnerable children</w:t>
      </w:r>
      <w:r w:rsidR="00AB5628" w:rsidRPr="00B944F9">
        <w:rPr>
          <w:rFonts w:ascii="Arial" w:hAnsi="Arial" w:cs="Arial"/>
          <w:sz w:val="24"/>
          <w:szCs w:val="24"/>
        </w:rPr>
        <w:t>.</w:t>
      </w:r>
    </w:p>
    <w:p w:rsidR="00555919" w:rsidRPr="00B944F9" w:rsidRDefault="00555919" w:rsidP="0068133B">
      <w:pPr>
        <w:ind w:left="720"/>
        <w:rPr>
          <w:rFonts w:ascii="Arial" w:hAnsi="Arial" w:cs="Arial"/>
          <w:sz w:val="24"/>
          <w:szCs w:val="24"/>
        </w:rPr>
      </w:pPr>
    </w:p>
    <w:p w:rsidR="00AB5628" w:rsidRPr="00B944F9" w:rsidRDefault="00AB5628" w:rsidP="00FA1442">
      <w:pPr>
        <w:pStyle w:val="ListParagraph"/>
        <w:ind w:left="1440"/>
        <w:rPr>
          <w:rFonts w:ascii="Arial" w:hAnsi="Arial" w:cs="Arial"/>
          <w:sz w:val="24"/>
          <w:szCs w:val="24"/>
        </w:rPr>
      </w:pPr>
    </w:p>
    <w:p w:rsidR="00AB5628" w:rsidRPr="00B944F9" w:rsidRDefault="00AB5628" w:rsidP="009F4852">
      <w:pPr>
        <w:pStyle w:val="ListParagraph"/>
        <w:numPr>
          <w:ilvl w:val="0"/>
          <w:numId w:val="1"/>
        </w:numPr>
        <w:rPr>
          <w:rFonts w:ascii="Arial" w:hAnsi="Arial" w:cs="Arial"/>
          <w:sz w:val="24"/>
          <w:szCs w:val="24"/>
        </w:rPr>
      </w:pPr>
      <w:r w:rsidRPr="00B944F9">
        <w:rPr>
          <w:rFonts w:ascii="Arial" w:hAnsi="Arial" w:cs="Arial"/>
          <w:b/>
          <w:sz w:val="24"/>
          <w:szCs w:val="24"/>
          <w:u w:val="single"/>
        </w:rPr>
        <w:t xml:space="preserve">Risks </w:t>
      </w:r>
    </w:p>
    <w:p w:rsidR="00AB5628" w:rsidRPr="00B944F9" w:rsidRDefault="00AB5628" w:rsidP="00871CFD">
      <w:pPr>
        <w:ind w:left="720"/>
        <w:rPr>
          <w:rFonts w:ascii="Arial" w:hAnsi="Arial" w:cs="Arial"/>
          <w:sz w:val="24"/>
          <w:szCs w:val="24"/>
        </w:rPr>
      </w:pPr>
      <w:r w:rsidRPr="00B944F9">
        <w:rPr>
          <w:rFonts w:ascii="Arial" w:hAnsi="Arial" w:cs="Arial"/>
          <w:sz w:val="24"/>
          <w:szCs w:val="24"/>
        </w:rPr>
        <w:t>The affordability does not factor in certain future potential risks. The financial effect of these are unknown at the current time but given the service and needs significant cost pressures could arise. Particular concerns:</w:t>
      </w:r>
    </w:p>
    <w:p w:rsidR="00AB5628" w:rsidRPr="00B944F9" w:rsidRDefault="00AB5628" w:rsidP="00871CFD">
      <w:pPr>
        <w:pStyle w:val="ListParagraph"/>
        <w:numPr>
          <w:ilvl w:val="0"/>
          <w:numId w:val="9"/>
        </w:numPr>
        <w:rPr>
          <w:rFonts w:ascii="Arial" w:hAnsi="Arial" w:cs="Arial"/>
          <w:sz w:val="24"/>
          <w:szCs w:val="24"/>
        </w:rPr>
      </w:pPr>
      <w:r w:rsidRPr="00B944F9">
        <w:rPr>
          <w:rFonts w:ascii="Arial" w:hAnsi="Arial" w:cs="Arial"/>
          <w:sz w:val="24"/>
          <w:szCs w:val="24"/>
        </w:rPr>
        <w:t>Future financial uplift in the High Needs Block. No guidance has been given by the EFA and will probably not be known until the DSG settlement announcement.</w:t>
      </w:r>
    </w:p>
    <w:p w:rsidR="00AB5628" w:rsidRPr="00B944F9" w:rsidRDefault="00AB5628" w:rsidP="00871CFD">
      <w:pPr>
        <w:pStyle w:val="ListParagraph"/>
        <w:numPr>
          <w:ilvl w:val="0"/>
          <w:numId w:val="9"/>
        </w:numPr>
        <w:rPr>
          <w:rFonts w:ascii="Arial" w:hAnsi="Arial" w:cs="Arial"/>
          <w:sz w:val="24"/>
          <w:szCs w:val="24"/>
        </w:rPr>
      </w:pPr>
      <w:r w:rsidRPr="00B944F9">
        <w:rPr>
          <w:rFonts w:ascii="Arial" w:hAnsi="Arial" w:cs="Arial"/>
          <w:sz w:val="24"/>
          <w:szCs w:val="24"/>
        </w:rPr>
        <w:t>Future increases in demand needs  including the complexity of needs of our most vulnerable children</w:t>
      </w:r>
    </w:p>
    <w:p w:rsidR="00AB5628" w:rsidRPr="00B944F9" w:rsidRDefault="00AB5628" w:rsidP="00871CFD">
      <w:pPr>
        <w:pStyle w:val="ListParagraph"/>
        <w:numPr>
          <w:ilvl w:val="0"/>
          <w:numId w:val="9"/>
        </w:numPr>
        <w:rPr>
          <w:rFonts w:ascii="Arial" w:hAnsi="Arial" w:cs="Arial"/>
          <w:sz w:val="24"/>
          <w:szCs w:val="24"/>
        </w:rPr>
      </w:pPr>
      <w:r w:rsidRPr="00B944F9">
        <w:rPr>
          <w:rFonts w:ascii="Arial" w:hAnsi="Arial" w:cs="Arial"/>
          <w:sz w:val="24"/>
          <w:szCs w:val="24"/>
        </w:rPr>
        <w:t xml:space="preserve">Post 16 – this remains an estimate at this and work is on-going with providers. Again until the settlement is provided the funding available will not be known and the amount included at Appendix </w:t>
      </w:r>
      <w:r w:rsidR="00555919">
        <w:rPr>
          <w:rFonts w:ascii="Arial" w:hAnsi="Arial" w:cs="Arial"/>
          <w:sz w:val="24"/>
          <w:szCs w:val="24"/>
        </w:rPr>
        <w:t>A</w:t>
      </w:r>
      <w:r w:rsidRPr="00B944F9">
        <w:rPr>
          <w:rFonts w:ascii="Arial" w:hAnsi="Arial" w:cs="Arial"/>
          <w:sz w:val="24"/>
          <w:szCs w:val="24"/>
        </w:rPr>
        <w:t xml:space="preserve"> may not reflect our final notification. </w:t>
      </w:r>
    </w:p>
    <w:p w:rsidR="00AB5628" w:rsidRPr="008700F4" w:rsidRDefault="00AB5628" w:rsidP="00DE61A0">
      <w:pPr>
        <w:pStyle w:val="ListParagraph"/>
        <w:rPr>
          <w:rFonts w:ascii="Arial" w:hAnsi="Arial" w:cs="Arial"/>
          <w:sz w:val="24"/>
          <w:szCs w:val="24"/>
        </w:rPr>
      </w:pPr>
    </w:p>
    <w:p w:rsidR="00AB5628" w:rsidRPr="008700F4" w:rsidRDefault="00AB5628" w:rsidP="009F4852">
      <w:pPr>
        <w:pStyle w:val="ListParagraph"/>
        <w:numPr>
          <w:ilvl w:val="0"/>
          <w:numId w:val="1"/>
        </w:numPr>
        <w:rPr>
          <w:rFonts w:ascii="Arial" w:hAnsi="Arial" w:cs="Arial"/>
          <w:sz w:val="24"/>
          <w:szCs w:val="24"/>
        </w:rPr>
      </w:pPr>
      <w:r w:rsidRPr="008700F4">
        <w:rPr>
          <w:rFonts w:ascii="Arial" w:hAnsi="Arial" w:cs="Arial"/>
          <w:b/>
          <w:sz w:val="24"/>
          <w:szCs w:val="24"/>
          <w:u w:val="single"/>
        </w:rPr>
        <w:t>ESBD School Update</w:t>
      </w:r>
    </w:p>
    <w:p w:rsidR="00AB5628" w:rsidRPr="008700F4" w:rsidRDefault="00AB5628" w:rsidP="00BD0886">
      <w:pPr>
        <w:spacing w:after="0" w:line="240" w:lineRule="auto"/>
        <w:ind w:left="720"/>
        <w:rPr>
          <w:rFonts w:ascii="Arial" w:hAnsi="Arial" w:cs="Arial"/>
          <w:sz w:val="24"/>
          <w:szCs w:val="24"/>
        </w:rPr>
      </w:pPr>
      <w:r w:rsidRPr="008700F4">
        <w:rPr>
          <w:rFonts w:ascii="Arial" w:hAnsi="Arial" w:cs="Arial"/>
          <w:sz w:val="24"/>
          <w:szCs w:val="24"/>
        </w:rPr>
        <w:t>On Tuesday 5</w:t>
      </w:r>
      <w:r w:rsidRPr="008700F4">
        <w:rPr>
          <w:rFonts w:ascii="Arial" w:hAnsi="Arial" w:cs="Arial"/>
          <w:sz w:val="24"/>
          <w:szCs w:val="24"/>
          <w:vertAlign w:val="superscript"/>
        </w:rPr>
        <w:t>th</w:t>
      </w:r>
      <w:r w:rsidRPr="008700F4">
        <w:rPr>
          <w:rFonts w:ascii="Arial" w:hAnsi="Arial" w:cs="Arial"/>
          <w:sz w:val="24"/>
          <w:szCs w:val="24"/>
        </w:rPr>
        <w:t xml:space="preserve"> November the Behaviour Task Group (a working group that reports to the SEN Strategy Group) met to review the position in respect of provision for Secondary aged pupils with challenging behaviour and/or SEBD.</w:t>
      </w:r>
    </w:p>
    <w:p w:rsidR="00AB5628" w:rsidRPr="008700F4" w:rsidRDefault="00AB5628" w:rsidP="00BD0886">
      <w:pPr>
        <w:spacing w:after="0" w:line="240" w:lineRule="auto"/>
        <w:rPr>
          <w:rFonts w:ascii="Arial" w:hAnsi="Arial" w:cs="Arial"/>
          <w:sz w:val="24"/>
          <w:szCs w:val="24"/>
        </w:rPr>
      </w:pPr>
      <w:r w:rsidRPr="008700F4">
        <w:rPr>
          <w:rFonts w:ascii="Arial" w:hAnsi="Arial" w:cs="Arial"/>
          <w:sz w:val="24"/>
          <w:szCs w:val="24"/>
        </w:rPr>
        <w:tab/>
      </w:r>
    </w:p>
    <w:p w:rsidR="00AB5628" w:rsidRPr="008700F4" w:rsidRDefault="00AB5628" w:rsidP="00BD0886">
      <w:pPr>
        <w:spacing w:after="0" w:line="240" w:lineRule="auto"/>
        <w:ind w:firstLine="720"/>
        <w:rPr>
          <w:rFonts w:ascii="Arial" w:hAnsi="Arial" w:cs="Arial"/>
          <w:sz w:val="24"/>
          <w:szCs w:val="24"/>
        </w:rPr>
      </w:pPr>
      <w:r w:rsidRPr="008700F4">
        <w:rPr>
          <w:rFonts w:ascii="Arial" w:hAnsi="Arial" w:cs="Arial"/>
          <w:sz w:val="24"/>
          <w:szCs w:val="24"/>
        </w:rPr>
        <w:t>Information was presented in relation to:</w:t>
      </w:r>
    </w:p>
    <w:p w:rsidR="00AB5628" w:rsidRPr="008700F4" w:rsidRDefault="00AB5628" w:rsidP="00BD0886">
      <w:pPr>
        <w:spacing w:after="0" w:line="240" w:lineRule="auto"/>
        <w:rPr>
          <w:rFonts w:ascii="Arial" w:hAnsi="Arial" w:cs="Arial"/>
          <w:sz w:val="24"/>
          <w:szCs w:val="24"/>
        </w:rPr>
      </w:pPr>
    </w:p>
    <w:p w:rsidR="00AB5628" w:rsidRPr="008700F4" w:rsidRDefault="00AB5628" w:rsidP="00BD0886">
      <w:pPr>
        <w:numPr>
          <w:ilvl w:val="0"/>
          <w:numId w:val="4"/>
        </w:numPr>
        <w:spacing w:after="0" w:line="240" w:lineRule="auto"/>
        <w:rPr>
          <w:rFonts w:ascii="Arial" w:hAnsi="Arial" w:cs="Arial"/>
          <w:sz w:val="24"/>
          <w:szCs w:val="24"/>
        </w:rPr>
      </w:pPr>
      <w:r w:rsidRPr="008700F4">
        <w:rPr>
          <w:rFonts w:ascii="Arial" w:hAnsi="Arial" w:cs="Arial"/>
          <w:sz w:val="24"/>
          <w:szCs w:val="24"/>
        </w:rPr>
        <w:t>The number of pupils who had accessed PRU places since Sept 2012</w:t>
      </w:r>
    </w:p>
    <w:p w:rsidR="00AB5628" w:rsidRPr="008700F4" w:rsidRDefault="00AB5628" w:rsidP="00BD0886">
      <w:pPr>
        <w:numPr>
          <w:ilvl w:val="0"/>
          <w:numId w:val="4"/>
        </w:numPr>
        <w:spacing w:after="0" w:line="240" w:lineRule="auto"/>
        <w:rPr>
          <w:rFonts w:ascii="Arial" w:hAnsi="Arial" w:cs="Arial"/>
          <w:sz w:val="24"/>
          <w:szCs w:val="24"/>
        </w:rPr>
      </w:pPr>
      <w:r w:rsidRPr="008700F4">
        <w:rPr>
          <w:rFonts w:ascii="Arial" w:hAnsi="Arial" w:cs="Arial"/>
          <w:sz w:val="24"/>
          <w:szCs w:val="24"/>
        </w:rPr>
        <w:t>The number of pupils who had accessed alternative provision places since Sept 2012</w:t>
      </w:r>
    </w:p>
    <w:p w:rsidR="00AB5628" w:rsidRPr="008700F4" w:rsidRDefault="00AB5628" w:rsidP="00BD0886">
      <w:pPr>
        <w:numPr>
          <w:ilvl w:val="0"/>
          <w:numId w:val="4"/>
        </w:numPr>
        <w:spacing w:after="0" w:line="240" w:lineRule="auto"/>
        <w:rPr>
          <w:rFonts w:ascii="Arial" w:hAnsi="Arial" w:cs="Arial"/>
          <w:sz w:val="24"/>
          <w:szCs w:val="24"/>
        </w:rPr>
      </w:pPr>
      <w:r w:rsidRPr="008700F4">
        <w:rPr>
          <w:rFonts w:ascii="Arial" w:hAnsi="Arial" w:cs="Arial"/>
          <w:sz w:val="24"/>
          <w:szCs w:val="24"/>
        </w:rPr>
        <w:t>The number of pupils with a statement of SEN placed in non-maintaining specialist provision out of authority</w:t>
      </w:r>
    </w:p>
    <w:p w:rsidR="00AB5628" w:rsidRPr="008700F4" w:rsidRDefault="00AB5628" w:rsidP="00BD0886">
      <w:pPr>
        <w:numPr>
          <w:ilvl w:val="0"/>
          <w:numId w:val="4"/>
        </w:numPr>
        <w:spacing w:after="0" w:line="240" w:lineRule="auto"/>
        <w:rPr>
          <w:rFonts w:ascii="Arial" w:hAnsi="Arial" w:cs="Arial"/>
          <w:sz w:val="24"/>
          <w:szCs w:val="24"/>
        </w:rPr>
      </w:pPr>
      <w:r w:rsidRPr="008700F4">
        <w:rPr>
          <w:rFonts w:ascii="Arial" w:hAnsi="Arial" w:cs="Arial"/>
          <w:sz w:val="24"/>
          <w:szCs w:val="24"/>
        </w:rPr>
        <w:t>Changes to the SEN Code of Practise in relation to pupils with challenging behaviour</w:t>
      </w:r>
    </w:p>
    <w:p w:rsidR="00AB5628" w:rsidRPr="008700F4" w:rsidRDefault="00AB5628" w:rsidP="00BD0886">
      <w:pPr>
        <w:spacing w:after="0" w:line="240" w:lineRule="auto"/>
        <w:rPr>
          <w:rFonts w:ascii="Arial" w:hAnsi="Arial" w:cs="Arial"/>
          <w:sz w:val="24"/>
          <w:szCs w:val="24"/>
        </w:rPr>
      </w:pPr>
    </w:p>
    <w:p w:rsidR="00AB5628" w:rsidRPr="008700F4" w:rsidRDefault="00AB5628" w:rsidP="00BD0886">
      <w:pPr>
        <w:spacing w:after="0" w:line="240" w:lineRule="auto"/>
        <w:ind w:left="720"/>
        <w:rPr>
          <w:rFonts w:ascii="Arial" w:hAnsi="Arial" w:cs="Arial"/>
          <w:sz w:val="24"/>
          <w:szCs w:val="24"/>
        </w:rPr>
      </w:pPr>
      <w:r w:rsidRPr="008700F4">
        <w:rPr>
          <w:rFonts w:ascii="Arial" w:hAnsi="Arial" w:cs="Arial"/>
          <w:sz w:val="24"/>
          <w:szCs w:val="24"/>
        </w:rPr>
        <w:t>This information was considered in the light of the establishment, of the Behaviour and Attendance Collaborative (BAC) from Sept 2012, and the proposal of 2011 to establish a 40 place SEBD school within NEL.</w:t>
      </w:r>
    </w:p>
    <w:p w:rsidR="00AB5628" w:rsidRPr="008700F4" w:rsidRDefault="00AB5628" w:rsidP="00BD0886">
      <w:pPr>
        <w:spacing w:after="0" w:line="240" w:lineRule="auto"/>
        <w:rPr>
          <w:rFonts w:ascii="Arial" w:hAnsi="Arial" w:cs="Arial"/>
          <w:sz w:val="24"/>
          <w:szCs w:val="24"/>
        </w:rPr>
      </w:pPr>
    </w:p>
    <w:p w:rsidR="00AB5628" w:rsidRPr="008700F4" w:rsidRDefault="00AB5628" w:rsidP="00BD0886">
      <w:pPr>
        <w:spacing w:after="0" w:line="240" w:lineRule="auto"/>
        <w:ind w:firstLine="720"/>
        <w:rPr>
          <w:rFonts w:ascii="Arial" w:hAnsi="Arial" w:cs="Arial"/>
          <w:b/>
          <w:sz w:val="24"/>
          <w:szCs w:val="24"/>
          <w:u w:val="single"/>
        </w:rPr>
      </w:pPr>
      <w:r w:rsidRPr="008700F4">
        <w:rPr>
          <w:rFonts w:ascii="Arial" w:hAnsi="Arial" w:cs="Arial"/>
          <w:b/>
          <w:sz w:val="24"/>
          <w:szCs w:val="24"/>
          <w:u w:val="single"/>
        </w:rPr>
        <w:t>Recommendations:</w:t>
      </w:r>
    </w:p>
    <w:p w:rsidR="00AB5628" w:rsidRPr="008700F4" w:rsidRDefault="00AB5628" w:rsidP="00BD0886">
      <w:pPr>
        <w:spacing w:after="0" w:line="240" w:lineRule="auto"/>
        <w:rPr>
          <w:rFonts w:ascii="Arial" w:hAnsi="Arial" w:cs="Arial"/>
          <w:sz w:val="24"/>
          <w:szCs w:val="24"/>
        </w:rPr>
      </w:pPr>
    </w:p>
    <w:p w:rsidR="00AB5628" w:rsidRPr="008700F4" w:rsidRDefault="00AB5628" w:rsidP="00BD0886">
      <w:pPr>
        <w:numPr>
          <w:ilvl w:val="0"/>
          <w:numId w:val="5"/>
        </w:numPr>
        <w:spacing w:after="0" w:line="240" w:lineRule="auto"/>
        <w:rPr>
          <w:rFonts w:ascii="Arial" w:hAnsi="Arial" w:cs="Arial"/>
          <w:sz w:val="24"/>
          <w:szCs w:val="24"/>
        </w:rPr>
      </w:pPr>
      <w:r w:rsidRPr="008700F4">
        <w:rPr>
          <w:rFonts w:ascii="Arial" w:hAnsi="Arial" w:cs="Arial"/>
          <w:sz w:val="24"/>
          <w:szCs w:val="24"/>
        </w:rPr>
        <w:t>Following 15 months of the BAC operating it is recognised that a 40 place SEBD school would not be the most efficient way of developing provision for pupils with SEBD/challenging behaviour.  It is therefore recommended that the  proposal to establish a school be withdrawn</w:t>
      </w:r>
    </w:p>
    <w:p w:rsidR="00AB5628" w:rsidRPr="008700F4" w:rsidRDefault="00AB5628" w:rsidP="00BD0886">
      <w:pPr>
        <w:numPr>
          <w:ilvl w:val="0"/>
          <w:numId w:val="5"/>
        </w:numPr>
        <w:spacing w:after="0" w:line="240" w:lineRule="auto"/>
        <w:rPr>
          <w:rFonts w:ascii="Arial" w:hAnsi="Arial" w:cs="Arial"/>
          <w:sz w:val="24"/>
          <w:szCs w:val="24"/>
        </w:rPr>
      </w:pPr>
      <w:r w:rsidRPr="008700F4">
        <w:rPr>
          <w:rFonts w:ascii="Arial" w:hAnsi="Arial" w:cs="Arial"/>
          <w:sz w:val="24"/>
          <w:szCs w:val="24"/>
        </w:rPr>
        <w:t>The provision across PRU’s and Alternative provision is being over utilised.  Reducing the capacity in this area would, therefore, not be helpful to schools.</w:t>
      </w:r>
    </w:p>
    <w:p w:rsidR="008700F4" w:rsidRPr="008700F4" w:rsidRDefault="00AB5628" w:rsidP="008700F4">
      <w:pPr>
        <w:numPr>
          <w:ilvl w:val="0"/>
          <w:numId w:val="5"/>
        </w:numPr>
        <w:spacing w:after="0" w:line="240" w:lineRule="auto"/>
        <w:rPr>
          <w:rFonts w:ascii="Arial" w:hAnsi="Arial" w:cs="Arial"/>
          <w:sz w:val="24"/>
          <w:szCs w:val="24"/>
        </w:rPr>
      </w:pPr>
      <w:r w:rsidRPr="008700F4">
        <w:rPr>
          <w:rFonts w:ascii="Arial" w:hAnsi="Arial" w:cs="Arial"/>
          <w:sz w:val="24"/>
          <w:szCs w:val="24"/>
        </w:rPr>
        <w:t xml:space="preserve">The provision commissioned through alternative provision needs to continue to be improved </w:t>
      </w:r>
      <w:r w:rsidR="008700F4" w:rsidRPr="008700F4">
        <w:rPr>
          <w:rFonts w:ascii="Arial" w:hAnsi="Arial" w:cs="Arial"/>
          <w:sz w:val="24"/>
          <w:szCs w:val="24"/>
        </w:rPr>
        <w:t xml:space="preserve">in order to ensure that the educational needs of </w:t>
      </w:r>
      <w:r w:rsidR="008700F4" w:rsidRPr="008700F4">
        <w:rPr>
          <w:rFonts w:ascii="Arial" w:hAnsi="Arial" w:cs="Arial"/>
          <w:sz w:val="24"/>
          <w:szCs w:val="24"/>
        </w:rPr>
        <w:lastRenderedPageBreak/>
        <w:t>each of the young people in such provision is met, to ensure that they are able to access appropriate destinations post-16.</w:t>
      </w:r>
    </w:p>
    <w:p w:rsidR="008700F4" w:rsidRPr="008700F4" w:rsidRDefault="008700F4" w:rsidP="008700F4">
      <w:pPr>
        <w:spacing w:after="0" w:line="240" w:lineRule="auto"/>
        <w:ind w:left="1080"/>
        <w:rPr>
          <w:rFonts w:ascii="Arial" w:hAnsi="Arial" w:cs="Arial"/>
          <w:sz w:val="24"/>
          <w:szCs w:val="24"/>
        </w:rPr>
      </w:pPr>
    </w:p>
    <w:p w:rsidR="00AB5628" w:rsidRPr="00555919" w:rsidRDefault="008700F4" w:rsidP="008B0C8F">
      <w:pPr>
        <w:spacing w:after="0" w:line="240" w:lineRule="auto"/>
        <w:ind w:left="1080"/>
        <w:rPr>
          <w:rFonts w:ascii="Arial" w:hAnsi="Arial" w:cs="Arial"/>
          <w:color w:val="FF0000"/>
          <w:sz w:val="24"/>
          <w:szCs w:val="24"/>
        </w:rPr>
      </w:pPr>
      <w:r w:rsidRPr="008700F4">
        <w:rPr>
          <w:rFonts w:ascii="Arial" w:hAnsi="Arial" w:cs="Arial"/>
          <w:sz w:val="24"/>
          <w:szCs w:val="24"/>
        </w:rPr>
        <w:t>There are a number of parallel processes which will be followed to drive this improvement:</w:t>
      </w:r>
      <w:r>
        <w:rPr>
          <w:rFonts w:ascii="Arial" w:hAnsi="Arial" w:cs="Arial"/>
          <w:color w:val="FF0000"/>
          <w:sz w:val="24"/>
          <w:szCs w:val="24"/>
        </w:rPr>
        <w:tab/>
      </w:r>
      <w:r>
        <w:rPr>
          <w:rFonts w:ascii="Arial" w:hAnsi="Arial" w:cs="Arial"/>
          <w:color w:val="FF0000"/>
          <w:sz w:val="24"/>
          <w:szCs w:val="24"/>
        </w:rPr>
        <w:tab/>
      </w:r>
    </w:p>
    <w:p w:rsidR="00AB5628" w:rsidRPr="00555919" w:rsidRDefault="00AB5628" w:rsidP="00BD0886">
      <w:pPr>
        <w:spacing w:after="0" w:line="240" w:lineRule="auto"/>
        <w:ind w:left="720"/>
        <w:rPr>
          <w:rFonts w:ascii="Arial" w:hAnsi="Arial" w:cs="Arial"/>
          <w:color w:val="FF0000"/>
          <w:sz w:val="24"/>
          <w:szCs w:val="24"/>
        </w:rPr>
      </w:pPr>
    </w:p>
    <w:p w:rsidR="00AB5628" w:rsidRPr="008700F4" w:rsidRDefault="00AB5628" w:rsidP="00BD0886">
      <w:pPr>
        <w:numPr>
          <w:ilvl w:val="0"/>
          <w:numId w:val="6"/>
        </w:numPr>
        <w:spacing w:after="0" w:line="240" w:lineRule="auto"/>
        <w:rPr>
          <w:rFonts w:ascii="Arial" w:hAnsi="Arial" w:cs="Arial"/>
          <w:sz w:val="24"/>
          <w:szCs w:val="24"/>
        </w:rPr>
      </w:pPr>
      <w:r w:rsidRPr="008700F4">
        <w:rPr>
          <w:rFonts w:ascii="Arial" w:hAnsi="Arial" w:cs="Arial"/>
          <w:sz w:val="24"/>
          <w:szCs w:val="24"/>
        </w:rPr>
        <w:t>A tight commissioning framework</w:t>
      </w:r>
    </w:p>
    <w:p w:rsidR="00AB5628" w:rsidRPr="008700F4" w:rsidRDefault="00AB5628" w:rsidP="00BD0886">
      <w:pPr>
        <w:numPr>
          <w:ilvl w:val="0"/>
          <w:numId w:val="6"/>
        </w:numPr>
        <w:spacing w:after="0" w:line="240" w:lineRule="auto"/>
        <w:rPr>
          <w:rFonts w:ascii="Arial" w:hAnsi="Arial" w:cs="Arial"/>
          <w:sz w:val="24"/>
          <w:szCs w:val="24"/>
        </w:rPr>
      </w:pPr>
      <w:r w:rsidRPr="008700F4">
        <w:rPr>
          <w:rFonts w:ascii="Arial" w:hAnsi="Arial" w:cs="Arial"/>
          <w:sz w:val="24"/>
          <w:szCs w:val="24"/>
        </w:rPr>
        <w:t>Outcomes focused commissioning</w:t>
      </w:r>
    </w:p>
    <w:p w:rsidR="00AB5628" w:rsidRPr="008700F4" w:rsidRDefault="00AB5628" w:rsidP="00BD0886">
      <w:pPr>
        <w:numPr>
          <w:ilvl w:val="0"/>
          <w:numId w:val="6"/>
        </w:numPr>
        <w:spacing w:after="0" w:line="240" w:lineRule="auto"/>
        <w:rPr>
          <w:rFonts w:ascii="Arial" w:hAnsi="Arial" w:cs="Arial"/>
          <w:sz w:val="24"/>
          <w:szCs w:val="24"/>
        </w:rPr>
      </w:pPr>
      <w:r w:rsidRPr="008700F4">
        <w:rPr>
          <w:rFonts w:ascii="Arial" w:hAnsi="Arial" w:cs="Arial"/>
          <w:sz w:val="24"/>
          <w:szCs w:val="24"/>
        </w:rPr>
        <w:t>Tight monitoring and holding providers to account</w:t>
      </w:r>
    </w:p>
    <w:p w:rsidR="00AB5628" w:rsidRPr="008700F4" w:rsidRDefault="00AB5628" w:rsidP="00BD0886">
      <w:pPr>
        <w:numPr>
          <w:ilvl w:val="0"/>
          <w:numId w:val="6"/>
        </w:numPr>
        <w:spacing w:after="0" w:line="240" w:lineRule="auto"/>
        <w:rPr>
          <w:rFonts w:ascii="Arial" w:hAnsi="Arial" w:cs="Arial"/>
          <w:sz w:val="24"/>
          <w:szCs w:val="24"/>
        </w:rPr>
      </w:pPr>
      <w:r w:rsidRPr="008700F4">
        <w:rPr>
          <w:rFonts w:ascii="Arial" w:hAnsi="Arial" w:cs="Arial"/>
          <w:sz w:val="24"/>
          <w:szCs w:val="24"/>
        </w:rPr>
        <w:t>Full delivery of a young person’s entitlement</w:t>
      </w:r>
    </w:p>
    <w:p w:rsidR="00AB5628" w:rsidRPr="008700F4" w:rsidRDefault="00AB5628" w:rsidP="00BD0886">
      <w:pPr>
        <w:spacing w:after="0" w:line="240" w:lineRule="auto"/>
        <w:ind w:left="1080"/>
        <w:rPr>
          <w:rFonts w:ascii="Arial" w:hAnsi="Arial" w:cs="Arial"/>
          <w:sz w:val="24"/>
          <w:szCs w:val="24"/>
        </w:rPr>
      </w:pPr>
    </w:p>
    <w:p w:rsidR="00AB5628" w:rsidRPr="008700F4" w:rsidRDefault="00AB5628" w:rsidP="008700F4">
      <w:pPr>
        <w:spacing w:after="0" w:line="240" w:lineRule="auto"/>
        <w:ind w:left="360" w:firstLine="720"/>
        <w:rPr>
          <w:rFonts w:ascii="Arial" w:hAnsi="Arial" w:cs="Arial"/>
          <w:sz w:val="24"/>
          <w:szCs w:val="24"/>
        </w:rPr>
      </w:pPr>
      <w:r w:rsidRPr="008700F4">
        <w:rPr>
          <w:rFonts w:ascii="Arial" w:hAnsi="Arial" w:cs="Arial"/>
          <w:sz w:val="24"/>
          <w:szCs w:val="24"/>
        </w:rPr>
        <w:t>In order to achieve this there must be a substantial investment in the area.</w:t>
      </w:r>
    </w:p>
    <w:p w:rsidR="00AB5628" w:rsidRPr="008700F4" w:rsidRDefault="00AB5628" w:rsidP="00BD0886">
      <w:pPr>
        <w:spacing w:after="0" w:line="240" w:lineRule="auto"/>
        <w:rPr>
          <w:rFonts w:ascii="Arial" w:hAnsi="Arial" w:cs="Arial"/>
          <w:sz w:val="24"/>
          <w:szCs w:val="24"/>
        </w:rPr>
      </w:pPr>
    </w:p>
    <w:p w:rsidR="00AB5628" w:rsidRPr="008700F4" w:rsidRDefault="00AB5628" w:rsidP="00BD0886">
      <w:pPr>
        <w:numPr>
          <w:ilvl w:val="0"/>
          <w:numId w:val="5"/>
        </w:numPr>
        <w:spacing w:after="0" w:line="240" w:lineRule="auto"/>
        <w:rPr>
          <w:rFonts w:ascii="Arial" w:hAnsi="Arial" w:cs="Arial"/>
          <w:sz w:val="24"/>
          <w:szCs w:val="24"/>
        </w:rPr>
      </w:pPr>
      <w:r w:rsidRPr="008700F4">
        <w:rPr>
          <w:rFonts w:ascii="Arial" w:hAnsi="Arial" w:cs="Arial"/>
          <w:sz w:val="24"/>
          <w:szCs w:val="24"/>
        </w:rPr>
        <w:t xml:space="preserve">Expertise available to all providers (including schools) need to be reviewed in the light of the Children &amp; Families Bill.  Where Health are not able to deliver to educational requirements, consideration should be given to resources being used to support learners in all placements where mental health issues are impacting in their ability to access education.  </w:t>
      </w:r>
    </w:p>
    <w:p w:rsidR="00AB5628" w:rsidRPr="008700F4" w:rsidRDefault="00AB5628" w:rsidP="00BD0886">
      <w:pPr>
        <w:spacing w:after="0" w:line="240" w:lineRule="auto"/>
        <w:ind w:left="1080"/>
        <w:rPr>
          <w:rFonts w:ascii="Arial" w:hAnsi="Arial" w:cs="Arial"/>
          <w:sz w:val="24"/>
          <w:szCs w:val="24"/>
        </w:rPr>
      </w:pPr>
    </w:p>
    <w:p w:rsidR="00AB5628" w:rsidRPr="008700F4" w:rsidRDefault="00AB5628" w:rsidP="00BD0886">
      <w:pPr>
        <w:spacing w:after="0" w:line="240" w:lineRule="auto"/>
        <w:ind w:left="1080"/>
        <w:rPr>
          <w:rFonts w:ascii="Arial" w:hAnsi="Arial" w:cs="Arial"/>
          <w:sz w:val="24"/>
          <w:szCs w:val="24"/>
        </w:rPr>
      </w:pPr>
      <w:r w:rsidRPr="008700F4">
        <w:rPr>
          <w:rFonts w:ascii="Arial" w:hAnsi="Arial" w:cs="Arial"/>
          <w:sz w:val="24"/>
          <w:szCs w:val="24"/>
        </w:rPr>
        <w:t xml:space="preserve">The task group believes the above proposals offer an effective and financial efficient way of using resources identified for the establishment of an SEBD school to continue to develop appropriate provision for this vulnerable group of learners.   </w:t>
      </w:r>
    </w:p>
    <w:p w:rsidR="00AB5628" w:rsidRPr="008700F4" w:rsidRDefault="00AB5628" w:rsidP="00BD0886">
      <w:pPr>
        <w:spacing w:after="0" w:line="240" w:lineRule="auto"/>
        <w:ind w:left="720"/>
        <w:rPr>
          <w:rFonts w:ascii="Arial" w:hAnsi="Arial" w:cs="Arial"/>
          <w:sz w:val="24"/>
          <w:szCs w:val="24"/>
        </w:rPr>
      </w:pPr>
    </w:p>
    <w:p w:rsidR="00AB5628" w:rsidRPr="008700F4" w:rsidRDefault="00AB5628" w:rsidP="00BD0886">
      <w:pPr>
        <w:spacing w:after="0" w:line="240" w:lineRule="auto"/>
        <w:ind w:left="720" w:firstLine="360"/>
        <w:rPr>
          <w:rFonts w:ascii="Arial" w:hAnsi="Arial" w:cs="Arial"/>
          <w:b/>
          <w:sz w:val="24"/>
          <w:szCs w:val="24"/>
        </w:rPr>
      </w:pPr>
      <w:r w:rsidRPr="008700F4">
        <w:rPr>
          <w:rFonts w:ascii="Arial" w:hAnsi="Arial" w:cs="Arial"/>
          <w:b/>
          <w:sz w:val="24"/>
          <w:szCs w:val="24"/>
        </w:rPr>
        <w:t>This results in their final recommendation:</w:t>
      </w:r>
    </w:p>
    <w:p w:rsidR="00AB5628" w:rsidRPr="00555919" w:rsidRDefault="00AB5628" w:rsidP="00BD0886">
      <w:pPr>
        <w:spacing w:after="0" w:line="240" w:lineRule="auto"/>
        <w:ind w:left="720"/>
        <w:rPr>
          <w:rFonts w:ascii="Arial" w:hAnsi="Arial" w:cs="Arial"/>
          <w:color w:val="FF0000"/>
          <w:sz w:val="24"/>
          <w:szCs w:val="24"/>
        </w:rPr>
      </w:pPr>
    </w:p>
    <w:p w:rsidR="00AB5628" w:rsidRPr="008700F4" w:rsidRDefault="00AB5628" w:rsidP="00BD0886">
      <w:pPr>
        <w:numPr>
          <w:ilvl w:val="0"/>
          <w:numId w:val="5"/>
        </w:numPr>
        <w:spacing w:after="0" w:line="240" w:lineRule="auto"/>
        <w:rPr>
          <w:rFonts w:ascii="Arial" w:hAnsi="Arial" w:cs="Arial"/>
          <w:sz w:val="24"/>
          <w:szCs w:val="24"/>
        </w:rPr>
      </w:pPr>
      <w:r w:rsidRPr="008700F4">
        <w:rPr>
          <w:rFonts w:ascii="Arial" w:hAnsi="Arial" w:cs="Arial"/>
          <w:sz w:val="24"/>
          <w:szCs w:val="24"/>
        </w:rPr>
        <w:t>The absence of resourced provision for pupils with ASD is having a detrimental impact on children with ASD in NEL and the development of this provision should be pursued as a matter of urgency utilising the resources made available by the above proposals.</w:t>
      </w:r>
    </w:p>
    <w:p w:rsidR="00AB5628" w:rsidRPr="008700F4" w:rsidRDefault="00AB5628" w:rsidP="00BD0886">
      <w:pPr>
        <w:spacing w:after="0" w:line="240" w:lineRule="auto"/>
        <w:rPr>
          <w:rFonts w:ascii="Arial" w:hAnsi="Arial" w:cs="Arial"/>
          <w:sz w:val="24"/>
          <w:szCs w:val="24"/>
        </w:rPr>
      </w:pPr>
    </w:p>
    <w:p w:rsidR="00AB5628" w:rsidRPr="008700F4" w:rsidRDefault="00AB5628" w:rsidP="00BD0886">
      <w:pPr>
        <w:spacing w:after="0" w:line="240" w:lineRule="auto"/>
        <w:ind w:left="360" w:firstLine="360"/>
        <w:rPr>
          <w:rFonts w:ascii="Arial" w:hAnsi="Arial" w:cs="Arial"/>
          <w:b/>
          <w:sz w:val="24"/>
          <w:szCs w:val="24"/>
          <w:u w:val="single"/>
        </w:rPr>
      </w:pPr>
      <w:r w:rsidRPr="008700F4">
        <w:rPr>
          <w:rFonts w:ascii="Arial" w:hAnsi="Arial" w:cs="Arial"/>
          <w:b/>
          <w:sz w:val="24"/>
          <w:szCs w:val="24"/>
          <w:u w:val="single"/>
        </w:rPr>
        <w:t xml:space="preserve">In conclusion </w:t>
      </w:r>
    </w:p>
    <w:p w:rsidR="00AB5628" w:rsidRPr="008700F4" w:rsidRDefault="00AB5628" w:rsidP="00BD0886">
      <w:pPr>
        <w:spacing w:after="0" w:line="240" w:lineRule="auto"/>
        <w:ind w:left="360" w:firstLine="360"/>
        <w:rPr>
          <w:rFonts w:ascii="Arial" w:hAnsi="Arial" w:cs="Arial"/>
          <w:b/>
          <w:sz w:val="24"/>
          <w:szCs w:val="24"/>
          <w:u w:val="single"/>
        </w:rPr>
      </w:pPr>
    </w:p>
    <w:p w:rsidR="00AB5628" w:rsidRPr="008700F4" w:rsidRDefault="00AB5628" w:rsidP="00BD0886">
      <w:pPr>
        <w:numPr>
          <w:ilvl w:val="0"/>
          <w:numId w:val="7"/>
        </w:numPr>
        <w:spacing w:after="0" w:line="240" w:lineRule="auto"/>
        <w:rPr>
          <w:rFonts w:ascii="Arial" w:hAnsi="Arial" w:cs="Arial"/>
          <w:sz w:val="24"/>
          <w:szCs w:val="24"/>
        </w:rPr>
      </w:pPr>
      <w:r w:rsidRPr="008700F4">
        <w:rPr>
          <w:rFonts w:ascii="Arial" w:hAnsi="Arial" w:cs="Arial"/>
          <w:sz w:val="24"/>
          <w:szCs w:val="24"/>
        </w:rPr>
        <w:t>£185k is still required to fund the current level of place in PRU/Alternative and this was signed off at a previous School Forum Meeting e.g. no reduction in places</w:t>
      </w:r>
    </w:p>
    <w:p w:rsidR="00AB5628" w:rsidRPr="008700F4" w:rsidRDefault="00AB5628" w:rsidP="00BD0886">
      <w:pPr>
        <w:numPr>
          <w:ilvl w:val="0"/>
          <w:numId w:val="7"/>
        </w:numPr>
        <w:spacing w:after="0" w:line="240" w:lineRule="auto"/>
        <w:rPr>
          <w:rFonts w:ascii="Arial" w:hAnsi="Arial" w:cs="Arial"/>
          <w:sz w:val="24"/>
          <w:szCs w:val="24"/>
        </w:rPr>
      </w:pPr>
      <w:r w:rsidRPr="008700F4">
        <w:rPr>
          <w:rFonts w:ascii="Arial" w:hAnsi="Arial" w:cs="Arial"/>
          <w:sz w:val="24"/>
          <w:szCs w:val="24"/>
        </w:rPr>
        <w:t>An estimated £200k resourced provision with ASD</w:t>
      </w:r>
    </w:p>
    <w:p w:rsidR="00AB5628" w:rsidRPr="008700F4" w:rsidRDefault="00AB5628" w:rsidP="00BD0886">
      <w:pPr>
        <w:numPr>
          <w:ilvl w:val="0"/>
          <w:numId w:val="7"/>
        </w:numPr>
        <w:spacing w:after="0" w:line="240" w:lineRule="auto"/>
        <w:rPr>
          <w:rFonts w:ascii="Arial" w:hAnsi="Arial" w:cs="Arial"/>
          <w:sz w:val="24"/>
          <w:szCs w:val="24"/>
        </w:rPr>
      </w:pPr>
      <w:r w:rsidRPr="008700F4">
        <w:rPr>
          <w:rFonts w:ascii="Arial" w:hAnsi="Arial" w:cs="Arial"/>
          <w:sz w:val="24"/>
          <w:szCs w:val="24"/>
        </w:rPr>
        <w:t>The remaining £265k for developing provision for pupils with SEBD/challenging behaviour through a range of alternative providers</w:t>
      </w:r>
    </w:p>
    <w:p w:rsidR="00AB5628" w:rsidRPr="008700F4" w:rsidRDefault="00AB5628" w:rsidP="009712D5">
      <w:pPr>
        <w:spacing w:after="0" w:line="240" w:lineRule="auto"/>
        <w:rPr>
          <w:rFonts w:ascii="Arial" w:hAnsi="Arial" w:cs="Arial"/>
          <w:sz w:val="24"/>
          <w:szCs w:val="24"/>
        </w:rPr>
      </w:pPr>
    </w:p>
    <w:p w:rsidR="00AB5628" w:rsidRPr="008700F4" w:rsidRDefault="00AB5628" w:rsidP="009712D5">
      <w:pPr>
        <w:spacing w:after="0" w:line="240" w:lineRule="auto"/>
        <w:ind w:left="1080"/>
        <w:rPr>
          <w:rFonts w:ascii="Arial" w:hAnsi="Arial" w:cs="Arial"/>
          <w:sz w:val="24"/>
          <w:szCs w:val="24"/>
        </w:rPr>
      </w:pPr>
      <w:r w:rsidRPr="008700F4">
        <w:rPr>
          <w:rFonts w:ascii="Arial" w:hAnsi="Arial" w:cs="Arial"/>
          <w:sz w:val="24"/>
          <w:szCs w:val="24"/>
        </w:rPr>
        <w:t>This potentially releases £150k of previously committed High Needs Block funding.</w:t>
      </w:r>
    </w:p>
    <w:p w:rsidR="00AB5628" w:rsidRDefault="00AB5628" w:rsidP="00FA1442">
      <w:pPr>
        <w:ind w:left="720"/>
        <w:rPr>
          <w:rFonts w:ascii="Arial" w:hAnsi="Arial" w:cs="Arial"/>
          <w:sz w:val="24"/>
          <w:szCs w:val="24"/>
        </w:rPr>
      </w:pPr>
    </w:p>
    <w:p w:rsidR="008700F4" w:rsidRDefault="008700F4" w:rsidP="00FA1442">
      <w:pPr>
        <w:ind w:left="720"/>
        <w:rPr>
          <w:rFonts w:ascii="Arial" w:hAnsi="Arial" w:cs="Arial"/>
          <w:sz w:val="24"/>
          <w:szCs w:val="24"/>
        </w:rPr>
      </w:pPr>
    </w:p>
    <w:p w:rsidR="008700F4" w:rsidRDefault="008700F4" w:rsidP="00FA1442">
      <w:pPr>
        <w:ind w:left="720"/>
        <w:rPr>
          <w:rFonts w:ascii="Arial" w:hAnsi="Arial" w:cs="Arial"/>
          <w:sz w:val="24"/>
          <w:szCs w:val="24"/>
        </w:rPr>
      </w:pPr>
    </w:p>
    <w:p w:rsidR="008700F4" w:rsidRPr="00B944F9" w:rsidRDefault="008700F4" w:rsidP="00FA1442">
      <w:pPr>
        <w:ind w:left="720"/>
        <w:rPr>
          <w:rFonts w:ascii="Arial" w:hAnsi="Arial" w:cs="Arial"/>
          <w:sz w:val="24"/>
          <w:szCs w:val="24"/>
        </w:rPr>
      </w:pPr>
    </w:p>
    <w:p w:rsidR="00AB5628" w:rsidRPr="00B944F9" w:rsidRDefault="00AB5628" w:rsidP="009F4852">
      <w:pPr>
        <w:pStyle w:val="ListParagraph"/>
        <w:numPr>
          <w:ilvl w:val="0"/>
          <w:numId w:val="1"/>
        </w:numPr>
        <w:rPr>
          <w:rFonts w:ascii="Arial" w:hAnsi="Arial" w:cs="Arial"/>
          <w:sz w:val="24"/>
          <w:szCs w:val="24"/>
        </w:rPr>
      </w:pPr>
      <w:r w:rsidRPr="00B944F9">
        <w:rPr>
          <w:rFonts w:ascii="Arial" w:hAnsi="Arial" w:cs="Arial"/>
          <w:b/>
          <w:sz w:val="24"/>
          <w:szCs w:val="24"/>
          <w:u w:val="single"/>
        </w:rPr>
        <w:t>High Needs Block Top Up Values</w:t>
      </w:r>
    </w:p>
    <w:p w:rsidR="00AB5628" w:rsidRPr="00B944F9" w:rsidRDefault="00AB5628" w:rsidP="00FA1442">
      <w:pPr>
        <w:ind w:left="720"/>
        <w:rPr>
          <w:rFonts w:ascii="Arial" w:hAnsi="Arial" w:cs="Arial"/>
          <w:b/>
          <w:sz w:val="24"/>
          <w:szCs w:val="24"/>
          <w:u w:val="single"/>
        </w:rPr>
      </w:pPr>
      <w:r w:rsidRPr="00B944F9">
        <w:rPr>
          <w:rFonts w:ascii="Arial" w:hAnsi="Arial" w:cs="Arial"/>
          <w:b/>
          <w:sz w:val="24"/>
          <w:szCs w:val="24"/>
          <w:u w:val="single"/>
        </w:rPr>
        <w:t xml:space="preserve">The moderation exercise </w:t>
      </w:r>
    </w:p>
    <w:p w:rsidR="00AB5628" w:rsidRPr="00B944F9" w:rsidRDefault="00AB5628" w:rsidP="00FA1442">
      <w:pPr>
        <w:ind w:left="720"/>
        <w:rPr>
          <w:rFonts w:ascii="Arial" w:hAnsi="Arial" w:cs="Arial"/>
          <w:sz w:val="24"/>
          <w:szCs w:val="24"/>
        </w:rPr>
      </w:pPr>
      <w:r w:rsidRPr="00B944F9">
        <w:rPr>
          <w:rFonts w:ascii="Arial" w:hAnsi="Arial" w:cs="Arial"/>
          <w:sz w:val="24"/>
          <w:szCs w:val="24"/>
        </w:rPr>
        <w:t xml:space="preserve">The high needs assessment and moderation exercise carried out over the </w:t>
      </w:r>
      <w:r w:rsidR="00306989">
        <w:rPr>
          <w:rFonts w:ascii="Arial" w:hAnsi="Arial" w:cs="Arial"/>
          <w:sz w:val="24"/>
          <w:szCs w:val="24"/>
        </w:rPr>
        <w:t xml:space="preserve">early </w:t>
      </w:r>
      <w:r w:rsidRPr="00B944F9">
        <w:rPr>
          <w:rFonts w:ascii="Arial" w:hAnsi="Arial" w:cs="Arial"/>
          <w:sz w:val="24"/>
          <w:szCs w:val="24"/>
        </w:rPr>
        <w:t>summer resulted in the following high needs “per place” and “top up” costs projections:</w:t>
      </w:r>
    </w:p>
    <w:p w:rsidR="00AB5628" w:rsidRPr="00B944F9" w:rsidRDefault="00AB5628" w:rsidP="0032151B">
      <w:pPr>
        <w:pStyle w:val="ListParagraph"/>
        <w:numPr>
          <w:ilvl w:val="0"/>
          <w:numId w:val="3"/>
        </w:numPr>
        <w:rPr>
          <w:rFonts w:ascii="Arial" w:hAnsi="Arial" w:cs="Arial"/>
          <w:b/>
          <w:sz w:val="24"/>
          <w:szCs w:val="24"/>
        </w:rPr>
      </w:pPr>
      <w:r w:rsidRPr="00B944F9">
        <w:rPr>
          <w:rFonts w:ascii="Arial" w:hAnsi="Arial" w:cs="Arial"/>
          <w:b/>
          <w:sz w:val="24"/>
          <w:szCs w:val="24"/>
        </w:rPr>
        <w:t xml:space="preserve">Special Schools </w:t>
      </w:r>
    </w:p>
    <w:p w:rsidR="00AB5628" w:rsidRPr="00B944F9" w:rsidRDefault="00AB5628" w:rsidP="0032151B">
      <w:pPr>
        <w:ind w:left="1440"/>
        <w:rPr>
          <w:rFonts w:ascii="Arial" w:hAnsi="Arial" w:cs="Arial"/>
          <w:sz w:val="24"/>
          <w:szCs w:val="24"/>
        </w:rPr>
      </w:pPr>
      <w:r w:rsidRPr="00B944F9">
        <w:rPr>
          <w:rFonts w:ascii="Arial" w:hAnsi="Arial" w:cs="Arial"/>
          <w:sz w:val="24"/>
          <w:szCs w:val="24"/>
        </w:rPr>
        <w:t xml:space="preserve">Per Place - </w:t>
      </w:r>
      <w:r w:rsidRPr="00B944F9">
        <w:rPr>
          <w:rFonts w:ascii="Arial" w:hAnsi="Arial" w:cs="Arial"/>
          <w:sz w:val="24"/>
          <w:szCs w:val="24"/>
        </w:rPr>
        <w:tab/>
        <w:t>£3,110,000</w:t>
      </w:r>
    </w:p>
    <w:p w:rsidR="00AB5628" w:rsidRPr="00B944F9" w:rsidRDefault="00AB5628" w:rsidP="0032151B">
      <w:pPr>
        <w:ind w:left="1440"/>
        <w:rPr>
          <w:rFonts w:ascii="Arial" w:hAnsi="Arial" w:cs="Arial"/>
          <w:sz w:val="24"/>
          <w:szCs w:val="24"/>
        </w:rPr>
      </w:pPr>
      <w:r w:rsidRPr="00B944F9">
        <w:rPr>
          <w:rFonts w:ascii="Arial" w:hAnsi="Arial" w:cs="Arial"/>
          <w:sz w:val="24"/>
          <w:szCs w:val="24"/>
        </w:rPr>
        <w:t>Top Up -</w:t>
      </w:r>
      <w:r w:rsidRPr="00B944F9">
        <w:rPr>
          <w:rFonts w:ascii="Arial" w:hAnsi="Arial" w:cs="Arial"/>
          <w:sz w:val="24"/>
          <w:szCs w:val="24"/>
        </w:rPr>
        <w:tab/>
        <w:t>£3,324,000</w:t>
      </w:r>
    </w:p>
    <w:p w:rsidR="00AB5628" w:rsidRPr="00B944F9" w:rsidRDefault="00AB5628" w:rsidP="0032151B">
      <w:pPr>
        <w:ind w:left="1440"/>
        <w:rPr>
          <w:rFonts w:ascii="Arial" w:hAnsi="Arial" w:cs="Arial"/>
          <w:sz w:val="24"/>
          <w:szCs w:val="24"/>
        </w:rPr>
      </w:pPr>
      <w:r w:rsidRPr="00B944F9">
        <w:rPr>
          <w:rFonts w:ascii="Arial" w:hAnsi="Arial" w:cs="Arial"/>
          <w:sz w:val="24"/>
          <w:szCs w:val="24"/>
        </w:rPr>
        <w:t>Total -</w:t>
      </w:r>
      <w:r w:rsidRPr="00B944F9">
        <w:rPr>
          <w:rFonts w:ascii="Arial" w:hAnsi="Arial" w:cs="Arial"/>
          <w:sz w:val="24"/>
          <w:szCs w:val="24"/>
        </w:rPr>
        <w:tab/>
      </w:r>
      <w:r w:rsidRPr="00B944F9">
        <w:rPr>
          <w:rFonts w:ascii="Arial" w:hAnsi="Arial" w:cs="Arial"/>
          <w:sz w:val="24"/>
          <w:szCs w:val="24"/>
        </w:rPr>
        <w:tab/>
        <w:t>£6,434,000</w:t>
      </w:r>
    </w:p>
    <w:p w:rsidR="00AB5628" w:rsidRPr="00B944F9" w:rsidRDefault="00AB5628" w:rsidP="0032151B">
      <w:pPr>
        <w:pStyle w:val="ListParagraph"/>
        <w:numPr>
          <w:ilvl w:val="0"/>
          <w:numId w:val="3"/>
        </w:numPr>
        <w:rPr>
          <w:rFonts w:ascii="Arial" w:hAnsi="Arial" w:cs="Arial"/>
          <w:b/>
          <w:sz w:val="24"/>
          <w:szCs w:val="24"/>
        </w:rPr>
      </w:pPr>
      <w:r w:rsidRPr="00B944F9">
        <w:rPr>
          <w:rFonts w:ascii="Arial" w:hAnsi="Arial" w:cs="Arial"/>
          <w:b/>
          <w:sz w:val="24"/>
          <w:szCs w:val="24"/>
        </w:rPr>
        <w:t>PRU’s</w:t>
      </w:r>
    </w:p>
    <w:p w:rsidR="00AB5628" w:rsidRPr="00B944F9" w:rsidRDefault="00AB5628" w:rsidP="0032151B">
      <w:pPr>
        <w:ind w:left="1440"/>
        <w:rPr>
          <w:rFonts w:ascii="Arial" w:hAnsi="Arial" w:cs="Arial"/>
          <w:sz w:val="24"/>
          <w:szCs w:val="24"/>
        </w:rPr>
      </w:pPr>
      <w:r w:rsidRPr="00B944F9">
        <w:rPr>
          <w:rFonts w:ascii="Arial" w:hAnsi="Arial" w:cs="Arial"/>
          <w:sz w:val="24"/>
          <w:szCs w:val="24"/>
        </w:rPr>
        <w:t>Per Place -</w:t>
      </w:r>
      <w:r w:rsidRPr="00B944F9">
        <w:rPr>
          <w:rFonts w:ascii="Arial" w:hAnsi="Arial" w:cs="Arial"/>
          <w:sz w:val="24"/>
          <w:szCs w:val="24"/>
        </w:rPr>
        <w:tab/>
        <w:t>£944,000</w:t>
      </w:r>
    </w:p>
    <w:p w:rsidR="00AB5628" w:rsidRPr="00B944F9" w:rsidRDefault="00AB5628" w:rsidP="0032151B">
      <w:pPr>
        <w:ind w:left="1440"/>
        <w:rPr>
          <w:rFonts w:ascii="Arial" w:hAnsi="Arial" w:cs="Arial"/>
          <w:sz w:val="24"/>
          <w:szCs w:val="24"/>
        </w:rPr>
      </w:pPr>
      <w:r w:rsidRPr="00B944F9">
        <w:rPr>
          <w:rFonts w:ascii="Arial" w:hAnsi="Arial" w:cs="Arial"/>
          <w:sz w:val="24"/>
          <w:szCs w:val="24"/>
        </w:rPr>
        <w:t>Top Up-</w:t>
      </w:r>
      <w:r w:rsidRPr="00B944F9">
        <w:rPr>
          <w:rFonts w:ascii="Arial" w:hAnsi="Arial" w:cs="Arial"/>
          <w:sz w:val="24"/>
          <w:szCs w:val="24"/>
        </w:rPr>
        <w:tab/>
        <w:t>£995,003</w:t>
      </w:r>
    </w:p>
    <w:p w:rsidR="00AB5628" w:rsidRPr="00B944F9" w:rsidRDefault="00AB5628" w:rsidP="0032151B">
      <w:pPr>
        <w:ind w:left="1440"/>
        <w:rPr>
          <w:rFonts w:ascii="Arial" w:hAnsi="Arial" w:cs="Arial"/>
          <w:sz w:val="24"/>
          <w:szCs w:val="24"/>
        </w:rPr>
      </w:pPr>
      <w:r w:rsidRPr="00B944F9">
        <w:rPr>
          <w:rFonts w:ascii="Arial" w:hAnsi="Arial" w:cs="Arial"/>
          <w:sz w:val="24"/>
          <w:szCs w:val="24"/>
        </w:rPr>
        <w:t xml:space="preserve">Total - </w:t>
      </w:r>
      <w:r w:rsidRPr="00B944F9">
        <w:rPr>
          <w:rFonts w:ascii="Arial" w:hAnsi="Arial" w:cs="Arial"/>
          <w:sz w:val="24"/>
          <w:szCs w:val="24"/>
        </w:rPr>
        <w:tab/>
        <w:t>£1,939,003</w:t>
      </w:r>
    </w:p>
    <w:p w:rsidR="00AB5628" w:rsidRPr="00B944F9" w:rsidRDefault="00AB5628" w:rsidP="0032151B">
      <w:pPr>
        <w:rPr>
          <w:rFonts w:ascii="Arial" w:hAnsi="Arial" w:cs="Arial"/>
          <w:sz w:val="24"/>
          <w:szCs w:val="24"/>
        </w:rPr>
      </w:pPr>
      <w:r w:rsidRPr="00B944F9">
        <w:rPr>
          <w:rFonts w:ascii="Arial" w:hAnsi="Arial" w:cs="Arial"/>
          <w:sz w:val="24"/>
          <w:szCs w:val="24"/>
        </w:rPr>
        <w:tab/>
      </w:r>
    </w:p>
    <w:p w:rsidR="00AB5628" w:rsidRPr="00B944F9" w:rsidRDefault="00AB5628" w:rsidP="00555919">
      <w:pPr>
        <w:ind w:left="720"/>
        <w:rPr>
          <w:rFonts w:ascii="Arial" w:hAnsi="Arial" w:cs="Arial"/>
          <w:sz w:val="24"/>
          <w:szCs w:val="24"/>
        </w:rPr>
      </w:pPr>
      <w:r w:rsidRPr="00B944F9">
        <w:rPr>
          <w:rFonts w:ascii="Arial" w:hAnsi="Arial" w:cs="Arial"/>
          <w:sz w:val="24"/>
          <w:szCs w:val="24"/>
        </w:rPr>
        <w:t>The moderation was based on bandings ranging from 1 – 10 with the following values:</w:t>
      </w:r>
      <w:r w:rsidRPr="00B944F9">
        <w:rPr>
          <w:rFonts w:ascii="Arial" w:hAnsi="Arial"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AB5628" w:rsidRPr="00B944F9" w:rsidTr="007209D6">
        <w:tc>
          <w:tcPr>
            <w:tcW w:w="4621" w:type="dxa"/>
          </w:tcPr>
          <w:p w:rsidR="00AB5628" w:rsidRPr="00B944F9" w:rsidRDefault="00AB5628" w:rsidP="007209D6">
            <w:pPr>
              <w:spacing w:after="0" w:line="240" w:lineRule="auto"/>
              <w:jc w:val="center"/>
              <w:rPr>
                <w:rFonts w:ascii="Arial" w:hAnsi="Arial" w:cs="Arial"/>
                <w:b/>
                <w:sz w:val="24"/>
                <w:szCs w:val="24"/>
                <w:u w:val="single"/>
              </w:rPr>
            </w:pPr>
            <w:r w:rsidRPr="00B944F9">
              <w:rPr>
                <w:rFonts w:ascii="Arial" w:hAnsi="Arial" w:cs="Arial"/>
                <w:b/>
                <w:sz w:val="24"/>
                <w:szCs w:val="24"/>
                <w:u w:val="single"/>
              </w:rPr>
              <w:t>Banding</w:t>
            </w:r>
          </w:p>
        </w:tc>
        <w:tc>
          <w:tcPr>
            <w:tcW w:w="4621" w:type="dxa"/>
          </w:tcPr>
          <w:p w:rsidR="00AB5628" w:rsidRPr="00B944F9" w:rsidRDefault="00AB5628" w:rsidP="007209D6">
            <w:pPr>
              <w:spacing w:after="0" w:line="240" w:lineRule="auto"/>
              <w:jc w:val="center"/>
              <w:rPr>
                <w:rFonts w:ascii="Arial" w:hAnsi="Arial" w:cs="Arial"/>
                <w:b/>
                <w:sz w:val="24"/>
                <w:szCs w:val="24"/>
                <w:u w:val="single"/>
              </w:rPr>
            </w:pPr>
            <w:r w:rsidRPr="00B944F9">
              <w:rPr>
                <w:rFonts w:ascii="Arial" w:hAnsi="Arial" w:cs="Arial"/>
                <w:b/>
                <w:sz w:val="24"/>
                <w:szCs w:val="24"/>
                <w:u w:val="single"/>
              </w:rPr>
              <w:t>Top Up value £</w:t>
            </w:r>
          </w:p>
        </w:tc>
      </w:tr>
      <w:tr w:rsidR="00AB5628" w:rsidRPr="00B944F9" w:rsidTr="007209D6">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w:t>
            </w:r>
          </w:p>
        </w:tc>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0</w:t>
            </w:r>
          </w:p>
        </w:tc>
      </w:tr>
      <w:tr w:rsidR="00AB5628" w:rsidRPr="00B944F9" w:rsidTr="007209D6">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2</w:t>
            </w:r>
          </w:p>
        </w:tc>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0</w:t>
            </w:r>
          </w:p>
        </w:tc>
      </w:tr>
      <w:tr w:rsidR="00AB5628" w:rsidRPr="00B944F9" w:rsidTr="007209D6">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3</w:t>
            </w:r>
          </w:p>
        </w:tc>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0</w:t>
            </w:r>
          </w:p>
        </w:tc>
      </w:tr>
      <w:tr w:rsidR="00AB5628" w:rsidRPr="00B944F9" w:rsidTr="007209D6">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4</w:t>
            </w:r>
          </w:p>
        </w:tc>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1,000</w:t>
            </w:r>
          </w:p>
        </w:tc>
      </w:tr>
      <w:tr w:rsidR="00AB5628" w:rsidRPr="00B944F9" w:rsidTr="007209D6">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5</w:t>
            </w:r>
          </w:p>
        </w:tc>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2,300</w:t>
            </w:r>
          </w:p>
        </w:tc>
      </w:tr>
      <w:tr w:rsidR="00AB5628" w:rsidRPr="00B944F9" w:rsidTr="007209D6">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6</w:t>
            </w:r>
          </w:p>
        </w:tc>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5,500</w:t>
            </w:r>
          </w:p>
        </w:tc>
      </w:tr>
      <w:tr w:rsidR="00AB5628" w:rsidRPr="00B944F9" w:rsidTr="007209D6">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7</w:t>
            </w:r>
          </w:p>
        </w:tc>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8,000</w:t>
            </w:r>
          </w:p>
        </w:tc>
      </w:tr>
      <w:tr w:rsidR="00AB5628" w:rsidRPr="00B944F9" w:rsidTr="007209D6">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8</w:t>
            </w:r>
          </w:p>
        </w:tc>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11,000</w:t>
            </w:r>
          </w:p>
        </w:tc>
      </w:tr>
      <w:tr w:rsidR="00AB5628" w:rsidRPr="00B944F9" w:rsidTr="007209D6">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9</w:t>
            </w:r>
          </w:p>
        </w:tc>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14,500</w:t>
            </w:r>
          </w:p>
        </w:tc>
      </w:tr>
      <w:tr w:rsidR="00AB5628" w:rsidRPr="00B944F9" w:rsidTr="007209D6">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10</w:t>
            </w:r>
          </w:p>
        </w:tc>
        <w:tc>
          <w:tcPr>
            <w:tcW w:w="462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26,000</w:t>
            </w:r>
          </w:p>
        </w:tc>
      </w:tr>
    </w:tbl>
    <w:p w:rsidR="00AB5628" w:rsidRPr="00B944F9" w:rsidRDefault="00AB5628" w:rsidP="0032151B">
      <w:pPr>
        <w:rPr>
          <w:rFonts w:ascii="Arial" w:hAnsi="Arial" w:cs="Arial"/>
          <w:sz w:val="24"/>
          <w:szCs w:val="24"/>
        </w:rPr>
      </w:pPr>
    </w:p>
    <w:p w:rsidR="00AB5628" w:rsidRPr="00B944F9" w:rsidRDefault="00AB5628" w:rsidP="00F46AB6">
      <w:pPr>
        <w:ind w:left="720"/>
        <w:rPr>
          <w:rFonts w:ascii="Arial" w:hAnsi="Arial" w:cs="Arial"/>
          <w:sz w:val="24"/>
          <w:szCs w:val="24"/>
        </w:rPr>
      </w:pPr>
      <w:r w:rsidRPr="00B944F9">
        <w:rPr>
          <w:rFonts w:ascii="Arial" w:hAnsi="Arial" w:cs="Arial"/>
          <w:sz w:val="24"/>
          <w:szCs w:val="24"/>
        </w:rPr>
        <w:t xml:space="preserve">It </w:t>
      </w:r>
      <w:r w:rsidR="00555919">
        <w:rPr>
          <w:rFonts w:ascii="Arial" w:hAnsi="Arial" w:cs="Arial"/>
          <w:sz w:val="24"/>
          <w:szCs w:val="24"/>
        </w:rPr>
        <w:t xml:space="preserve">was very quickly concluded that the results gave </w:t>
      </w:r>
      <w:r w:rsidRPr="00B944F9">
        <w:rPr>
          <w:rFonts w:ascii="Arial" w:hAnsi="Arial" w:cs="Arial"/>
          <w:sz w:val="24"/>
          <w:szCs w:val="24"/>
        </w:rPr>
        <w:t xml:space="preserve">a significant increase </w:t>
      </w:r>
      <w:r w:rsidR="00555919">
        <w:rPr>
          <w:rFonts w:ascii="Arial" w:hAnsi="Arial" w:cs="Arial"/>
          <w:sz w:val="24"/>
          <w:szCs w:val="24"/>
        </w:rPr>
        <w:t xml:space="preserve">in funding to establishments </w:t>
      </w:r>
      <w:r w:rsidRPr="00B944F9">
        <w:rPr>
          <w:rFonts w:ascii="Arial" w:hAnsi="Arial" w:cs="Arial"/>
          <w:sz w:val="24"/>
          <w:szCs w:val="24"/>
        </w:rPr>
        <w:t xml:space="preserve">which in the context of the current financial affordability envelope </w:t>
      </w:r>
      <w:r w:rsidR="00555919">
        <w:rPr>
          <w:rFonts w:ascii="Arial" w:hAnsi="Arial" w:cs="Arial"/>
          <w:sz w:val="24"/>
          <w:szCs w:val="24"/>
        </w:rPr>
        <w:t>was</w:t>
      </w:r>
      <w:r w:rsidRPr="00B944F9">
        <w:rPr>
          <w:rFonts w:ascii="Arial" w:hAnsi="Arial" w:cs="Arial"/>
          <w:sz w:val="24"/>
          <w:szCs w:val="24"/>
        </w:rPr>
        <w:t xml:space="preserve"> not affordable. Consequently these banding values c</w:t>
      </w:r>
      <w:r w:rsidR="00555919">
        <w:rPr>
          <w:rFonts w:ascii="Arial" w:hAnsi="Arial" w:cs="Arial"/>
          <w:sz w:val="24"/>
          <w:szCs w:val="24"/>
        </w:rPr>
        <w:t xml:space="preserve">ould not be </w:t>
      </w:r>
      <w:r w:rsidRPr="00B944F9">
        <w:rPr>
          <w:rFonts w:ascii="Arial" w:hAnsi="Arial" w:cs="Arial"/>
          <w:sz w:val="24"/>
          <w:szCs w:val="24"/>
        </w:rPr>
        <w:t>used going forward.</w:t>
      </w:r>
    </w:p>
    <w:p w:rsidR="00AB5628" w:rsidRDefault="00555919" w:rsidP="007C2629">
      <w:pPr>
        <w:ind w:left="720"/>
        <w:rPr>
          <w:rFonts w:ascii="Arial" w:hAnsi="Arial" w:cs="Arial"/>
          <w:sz w:val="24"/>
          <w:szCs w:val="24"/>
        </w:rPr>
      </w:pPr>
      <w:r>
        <w:rPr>
          <w:rFonts w:ascii="Arial" w:hAnsi="Arial" w:cs="Arial"/>
          <w:sz w:val="24"/>
          <w:szCs w:val="24"/>
        </w:rPr>
        <w:t xml:space="preserve">The Council contacted </w:t>
      </w:r>
      <w:r w:rsidR="00AB5628" w:rsidRPr="00B944F9">
        <w:rPr>
          <w:rFonts w:ascii="Arial" w:hAnsi="Arial" w:cs="Arial"/>
          <w:sz w:val="24"/>
          <w:szCs w:val="24"/>
        </w:rPr>
        <w:t>a number of local / regional Councils to obtain their banding values. Whilst banding definitions and hence values and the needs of the children will not always be comparable the purpose of the exercise was to ascertain the range of banding values and compare these with the banding value used in the moderation exercise. The results of this work are detailed in the table below</w:t>
      </w:r>
      <w:r w:rsidR="00306989">
        <w:rPr>
          <w:rFonts w:ascii="Arial" w:hAnsi="Arial" w:cs="Arial"/>
          <w:sz w:val="24"/>
          <w:szCs w:val="24"/>
        </w:rPr>
        <w:t>. Letter have been used to preserve other LA anominity</w:t>
      </w:r>
      <w:r w:rsidR="00AB5628" w:rsidRPr="00B944F9">
        <w:rPr>
          <w:rFonts w:ascii="Arial" w:hAnsi="Arial" w:cs="Arial"/>
          <w:sz w:val="24"/>
          <w:szCs w:val="24"/>
        </w:rPr>
        <w:t>:</w:t>
      </w:r>
    </w:p>
    <w:p w:rsidR="00AB5628" w:rsidRPr="00B944F9" w:rsidRDefault="00AB5628" w:rsidP="007C2629">
      <w:pPr>
        <w:ind w:left="720"/>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0"/>
        <w:gridCol w:w="2093"/>
        <w:gridCol w:w="2102"/>
        <w:gridCol w:w="2177"/>
      </w:tblGrid>
      <w:tr w:rsidR="00AB5628" w:rsidRPr="00B944F9" w:rsidTr="007209D6">
        <w:tc>
          <w:tcPr>
            <w:tcW w:w="2310" w:type="dxa"/>
          </w:tcPr>
          <w:p w:rsidR="00AB5628" w:rsidRPr="00B944F9" w:rsidRDefault="00AB5628" w:rsidP="007209D6">
            <w:pPr>
              <w:spacing w:after="0" w:line="240" w:lineRule="auto"/>
              <w:jc w:val="center"/>
              <w:rPr>
                <w:rFonts w:ascii="Arial" w:hAnsi="Arial" w:cs="Arial"/>
                <w:b/>
                <w:sz w:val="24"/>
                <w:szCs w:val="24"/>
                <w:u w:val="single"/>
              </w:rPr>
            </w:pPr>
            <w:r w:rsidRPr="00B944F9">
              <w:rPr>
                <w:rFonts w:ascii="Arial" w:hAnsi="Arial" w:cs="Arial"/>
                <w:b/>
                <w:sz w:val="24"/>
                <w:szCs w:val="24"/>
                <w:u w:val="single"/>
              </w:rPr>
              <w:t>Local Authority</w:t>
            </w:r>
          </w:p>
        </w:tc>
        <w:tc>
          <w:tcPr>
            <w:tcW w:w="2310" w:type="dxa"/>
          </w:tcPr>
          <w:p w:rsidR="00AB5628" w:rsidRPr="00B944F9" w:rsidRDefault="00AB5628" w:rsidP="007209D6">
            <w:pPr>
              <w:spacing w:after="0" w:line="240" w:lineRule="auto"/>
              <w:jc w:val="center"/>
              <w:rPr>
                <w:rFonts w:ascii="Arial" w:hAnsi="Arial" w:cs="Arial"/>
                <w:b/>
                <w:sz w:val="24"/>
                <w:szCs w:val="24"/>
                <w:u w:val="single"/>
              </w:rPr>
            </w:pPr>
            <w:r w:rsidRPr="00B944F9">
              <w:rPr>
                <w:rFonts w:ascii="Arial" w:hAnsi="Arial" w:cs="Arial"/>
                <w:b/>
                <w:sz w:val="24"/>
                <w:szCs w:val="24"/>
                <w:u w:val="single"/>
              </w:rPr>
              <w:t>Lower range value</w:t>
            </w:r>
          </w:p>
        </w:tc>
        <w:tc>
          <w:tcPr>
            <w:tcW w:w="2311" w:type="dxa"/>
          </w:tcPr>
          <w:p w:rsidR="00AB5628" w:rsidRPr="00B944F9" w:rsidRDefault="00AB5628" w:rsidP="007209D6">
            <w:pPr>
              <w:spacing w:after="0" w:line="240" w:lineRule="auto"/>
              <w:jc w:val="center"/>
              <w:rPr>
                <w:rFonts w:ascii="Arial" w:hAnsi="Arial" w:cs="Arial"/>
                <w:b/>
                <w:sz w:val="24"/>
                <w:szCs w:val="24"/>
                <w:u w:val="single"/>
              </w:rPr>
            </w:pPr>
            <w:r w:rsidRPr="00B944F9">
              <w:rPr>
                <w:rFonts w:ascii="Arial" w:hAnsi="Arial" w:cs="Arial"/>
                <w:b/>
                <w:sz w:val="24"/>
                <w:szCs w:val="24"/>
                <w:u w:val="single"/>
              </w:rPr>
              <w:t>Higher range value</w:t>
            </w:r>
          </w:p>
        </w:tc>
        <w:tc>
          <w:tcPr>
            <w:tcW w:w="2311" w:type="dxa"/>
          </w:tcPr>
          <w:p w:rsidR="00AB5628" w:rsidRPr="00B944F9" w:rsidRDefault="00AB5628" w:rsidP="007209D6">
            <w:pPr>
              <w:spacing w:after="0" w:line="240" w:lineRule="auto"/>
              <w:jc w:val="center"/>
              <w:rPr>
                <w:rFonts w:ascii="Arial" w:hAnsi="Arial" w:cs="Arial"/>
                <w:b/>
                <w:sz w:val="24"/>
                <w:szCs w:val="24"/>
                <w:u w:val="single"/>
              </w:rPr>
            </w:pPr>
            <w:r w:rsidRPr="00B944F9">
              <w:rPr>
                <w:rFonts w:ascii="Arial" w:hAnsi="Arial" w:cs="Arial"/>
                <w:b/>
                <w:sz w:val="24"/>
                <w:szCs w:val="24"/>
                <w:u w:val="single"/>
              </w:rPr>
              <w:t>Comments</w:t>
            </w:r>
          </w:p>
        </w:tc>
      </w:tr>
      <w:tr w:rsidR="00AB5628" w:rsidRPr="00B944F9" w:rsidTr="007209D6">
        <w:tc>
          <w:tcPr>
            <w:tcW w:w="2310" w:type="dxa"/>
          </w:tcPr>
          <w:p w:rsidR="00AB5628" w:rsidRPr="00B944F9" w:rsidRDefault="00306989" w:rsidP="007209D6">
            <w:pPr>
              <w:spacing w:after="0" w:line="240" w:lineRule="auto"/>
              <w:jc w:val="center"/>
              <w:rPr>
                <w:rFonts w:ascii="Arial" w:hAnsi="Arial" w:cs="Arial"/>
                <w:sz w:val="24"/>
                <w:szCs w:val="24"/>
              </w:rPr>
            </w:pPr>
            <w:r>
              <w:rPr>
                <w:rFonts w:ascii="Arial" w:hAnsi="Arial" w:cs="Arial"/>
                <w:sz w:val="24"/>
                <w:szCs w:val="24"/>
              </w:rPr>
              <w:t>A</w:t>
            </w:r>
          </w:p>
        </w:tc>
        <w:tc>
          <w:tcPr>
            <w:tcW w:w="2310"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1,000</w:t>
            </w:r>
          </w:p>
        </w:tc>
        <w:tc>
          <w:tcPr>
            <w:tcW w:w="231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18,000</w:t>
            </w:r>
          </w:p>
        </w:tc>
        <w:tc>
          <w:tcPr>
            <w:tcW w:w="231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Individual amounts per Special Schools. Widest range shown.</w:t>
            </w:r>
          </w:p>
        </w:tc>
      </w:tr>
      <w:tr w:rsidR="00AB5628" w:rsidRPr="00B944F9" w:rsidTr="007209D6">
        <w:tc>
          <w:tcPr>
            <w:tcW w:w="2310" w:type="dxa"/>
          </w:tcPr>
          <w:p w:rsidR="00AB5628" w:rsidRPr="00B944F9" w:rsidRDefault="00306989" w:rsidP="007209D6">
            <w:pPr>
              <w:spacing w:after="0" w:line="240" w:lineRule="auto"/>
              <w:jc w:val="center"/>
              <w:rPr>
                <w:rFonts w:ascii="Arial" w:hAnsi="Arial" w:cs="Arial"/>
                <w:sz w:val="24"/>
                <w:szCs w:val="24"/>
              </w:rPr>
            </w:pPr>
            <w:r>
              <w:rPr>
                <w:rFonts w:ascii="Arial" w:hAnsi="Arial" w:cs="Arial"/>
                <w:sz w:val="24"/>
                <w:szCs w:val="24"/>
              </w:rPr>
              <w:t>B</w:t>
            </w:r>
          </w:p>
        </w:tc>
        <w:tc>
          <w:tcPr>
            <w:tcW w:w="2310"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1,000</w:t>
            </w:r>
          </w:p>
        </w:tc>
        <w:tc>
          <w:tcPr>
            <w:tcW w:w="231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19,000</w:t>
            </w:r>
          </w:p>
        </w:tc>
        <w:tc>
          <w:tcPr>
            <w:tcW w:w="231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One exception needs pupil receives top up of £39k</w:t>
            </w:r>
          </w:p>
        </w:tc>
      </w:tr>
      <w:tr w:rsidR="00AB5628" w:rsidRPr="00B944F9" w:rsidTr="007209D6">
        <w:tc>
          <w:tcPr>
            <w:tcW w:w="2310" w:type="dxa"/>
          </w:tcPr>
          <w:p w:rsidR="00AB5628" w:rsidRPr="00B944F9" w:rsidRDefault="00306989" w:rsidP="007209D6">
            <w:pPr>
              <w:spacing w:after="0" w:line="240" w:lineRule="auto"/>
              <w:jc w:val="center"/>
              <w:rPr>
                <w:rFonts w:ascii="Arial" w:hAnsi="Arial" w:cs="Arial"/>
                <w:sz w:val="24"/>
                <w:szCs w:val="24"/>
              </w:rPr>
            </w:pPr>
            <w:r>
              <w:rPr>
                <w:rFonts w:ascii="Arial" w:hAnsi="Arial" w:cs="Arial"/>
                <w:sz w:val="24"/>
                <w:szCs w:val="24"/>
              </w:rPr>
              <w:t>C</w:t>
            </w:r>
          </w:p>
        </w:tc>
        <w:tc>
          <w:tcPr>
            <w:tcW w:w="2310"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1,000</w:t>
            </w:r>
          </w:p>
        </w:tc>
        <w:tc>
          <w:tcPr>
            <w:tcW w:w="231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16,000</w:t>
            </w:r>
          </w:p>
        </w:tc>
        <w:tc>
          <w:tcPr>
            <w:tcW w:w="2311" w:type="dxa"/>
          </w:tcPr>
          <w:p w:rsidR="00AB5628" w:rsidRPr="00B944F9" w:rsidRDefault="00AB5628" w:rsidP="007209D6">
            <w:pPr>
              <w:spacing w:after="0" w:line="240" w:lineRule="auto"/>
              <w:jc w:val="center"/>
              <w:rPr>
                <w:rFonts w:ascii="Arial" w:hAnsi="Arial" w:cs="Arial"/>
                <w:sz w:val="24"/>
                <w:szCs w:val="24"/>
              </w:rPr>
            </w:pPr>
          </w:p>
        </w:tc>
      </w:tr>
      <w:tr w:rsidR="00AB5628" w:rsidRPr="00B944F9" w:rsidTr="007209D6">
        <w:tc>
          <w:tcPr>
            <w:tcW w:w="2310" w:type="dxa"/>
          </w:tcPr>
          <w:p w:rsidR="00AB5628" w:rsidRPr="00B944F9" w:rsidRDefault="00306989" w:rsidP="007209D6">
            <w:pPr>
              <w:spacing w:after="0" w:line="240" w:lineRule="auto"/>
              <w:jc w:val="center"/>
              <w:rPr>
                <w:rFonts w:ascii="Arial" w:hAnsi="Arial" w:cs="Arial"/>
                <w:sz w:val="24"/>
                <w:szCs w:val="24"/>
              </w:rPr>
            </w:pPr>
            <w:r>
              <w:rPr>
                <w:rFonts w:ascii="Arial" w:hAnsi="Arial" w:cs="Arial"/>
                <w:sz w:val="24"/>
                <w:szCs w:val="24"/>
              </w:rPr>
              <w:t>D</w:t>
            </w:r>
          </w:p>
        </w:tc>
        <w:tc>
          <w:tcPr>
            <w:tcW w:w="2310"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1,000</w:t>
            </w:r>
          </w:p>
        </w:tc>
        <w:tc>
          <w:tcPr>
            <w:tcW w:w="231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22,000</w:t>
            </w:r>
          </w:p>
        </w:tc>
        <w:tc>
          <w:tcPr>
            <w:tcW w:w="231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Individual amounts per Special Schools. Widest range shown.</w:t>
            </w:r>
          </w:p>
        </w:tc>
      </w:tr>
      <w:tr w:rsidR="00AB5628" w:rsidRPr="00B944F9" w:rsidTr="007209D6">
        <w:tc>
          <w:tcPr>
            <w:tcW w:w="2310" w:type="dxa"/>
          </w:tcPr>
          <w:p w:rsidR="00AB5628" w:rsidRPr="00B944F9" w:rsidRDefault="00306989" w:rsidP="007209D6">
            <w:pPr>
              <w:spacing w:after="0" w:line="240" w:lineRule="auto"/>
              <w:jc w:val="center"/>
              <w:rPr>
                <w:rFonts w:ascii="Arial" w:hAnsi="Arial" w:cs="Arial"/>
                <w:sz w:val="24"/>
                <w:szCs w:val="24"/>
              </w:rPr>
            </w:pPr>
            <w:r>
              <w:rPr>
                <w:rFonts w:ascii="Arial" w:hAnsi="Arial" w:cs="Arial"/>
                <w:sz w:val="24"/>
                <w:szCs w:val="24"/>
              </w:rPr>
              <w:t>E</w:t>
            </w:r>
          </w:p>
        </w:tc>
        <w:tc>
          <w:tcPr>
            <w:tcW w:w="2310"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1,000</w:t>
            </w:r>
          </w:p>
        </w:tc>
        <w:tc>
          <w:tcPr>
            <w:tcW w:w="231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30,000</w:t>
            </w:r>
          </w:p>
        </w:tc>
        <w:tc>
          <w:tcPr>
            <w:tcW w:w="231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Individual amounts per Special Schools. Widest range shown.</w:t>
            </w:r>
          </w:p>
        </w:tc>
      </w:tr>
      <w:tr w:rsidR="00AB5628" w:rsidRPr="00B944F9" w:rsidTr="007209D6">
        <w:tc>
          <w:tcPr>
            <w:tcW w:w="2310" w:type="dxa"/>
          </w:tcPr>
          <w:p w:rsidR="00AB5628" w:rsidRPr="00B944F9" w:rsidRDefault="00AB5628" w:rsidP="007209D6">
            <w:pPr>
              <w:spacing w:after="0" w:line="240" w:lineRule="auto"/>
              <w:jc w:val="center"/>
              <w:rPr>
                <w:rFonts w:ascii="Arial" w:hAnsi="Arial" w:cs="Arial"/>
                <w:sz w:val="24"/>
                <w:szCs w:val="24"/>
              </w:rPr>
            </w:pPr>
          </w:p>
        </w:tc>
        <w:tc>
          <w:tcPr>
            <w:tcW w:w="2310" w:type="dxa"/>
          </w:tcPr>
          <w:p w:rsidR="00AB5628" w:rsidRPr="00B944F9" w:rsidRDefault="00AB5628" w:rsidP="007209D6">
            <w:pPr>
              <w:spacing w:after="0" w:line="240" w:lineRule="auto"/>
              <w:jc w:val="center"/>
              <w:rPr>
                <w:rFonts w:ascii="Arial" w:hAnsi="Arial" w:cs="Arial"/>
                <w:sz w:val="24"/>
                <w:szCs w:val="24"/>
              </w:rPr>
            </w:pPr>
          </w:p>
        </w:tc>
        <w:tc>
          <w:tcPr>
            <w:tcW w:w="2311" w:type="dxa"/>
          </w:tcPr>
          <w:p w:rsidR="00AB5628" w:rsidRPr="00B944F9" w:rsidRDefault="00AB5628" w:rsidP="007209D6">
            <w:pPr>
              <w:spacing w:after="0" w:line="240" w:lineRule="auto"/>
              <w:jc w:val="center"/>
              <w:rPr>
                <w:rFonts w:ascii="Arial" w:hAnsi="Arial" w:cs="Arial"/>
                <w:sz w:val="24"/>
                <w:szCs w:val="24"/>
              </w:rPr>
            </w:pPr>
          </w:p>
        </w:tc>
        <w:tc>
          <w:tcPr>
            <w:tcW w:w="2311" w:type="dxa"/>
          </w:tcPr>
          <w:p w:rsidR="00AB5628" w:rsidRPr="00B944F9" w:rsidRDefault="00AB5628" w:rsidP="007209D6">
            <w:pPr>
              <w:spacing w:after="0" w:line="240" w:lineRule="auto"/>
              <w:jc w:val="center"/>
              <w:rPr>
                <w:rFonts w:ascii="Arial" w:hAnsi="Arial" w:cs="Arial"/>
                <w:sz w:val="24"/>
                <w:szCs w:val="24"/>
              </w:rPr>
            </w:pPr>
          </w:p>
        </w:tc>
      </w:tr>
      <w:tr w:rsidR="00AB5628" w:rsidRPr="00B944F9" w:rsidTr="007209D6">
        <w:tc>
          <w:tcPr>
            <w:tcW w:w="2310" w:type="dxa"/>
          </w:tcPr>
          <w:p w:rsidR="00AB5628" w:rsidRPr="00B944F9" w:rsidRDefault="00AB5628" w:rsidP="007209D6">
            <w:pPr>
              <w:spacing w:after="0" w:line="240" w:lineRule="auto"/>
              <w:jc w:val="center"/>
              <w:rPr>
                <w:rFonts w:ascii="Arial" w:hAnsi="Arial" w:cs="Arial"/>
                <w:b/>
                <w:sz w:val="24"/>
                <w:szCs w:val="24"/>
              </w:rPr>
            </w:pPr>
            <w:r w:rsidRPr="00B944F9">
              <w:rPr>
                <w:rFonts w:ascii="Arial" w:hAnsi="Arial" w:cs="Arial"/>
                <w:b/>
                <w:sz w:val="24"/>
                <w:szCs w:val="24"/>
              </w:rPr>
              <w:t>NELC</w:t>
            </w:r>
          </w:p>
        </w:tc>
        <w:tc>
          <w:tcPr>
            <w:tcW w:w="2310" w:type="dxa"/>
          </w:tcPr>
          <w:p w:rsidR="00AB5628" w:rsidRPr="00B944F9" w:rsidRDefault="00AB5628" w:rsidP="007209D6">
            <w:pPr>
              <w:spacing w:after="0" w:line="240" w:lineRule="auto"/>
              <w:jc w:val="center"/>
              <w:rPr>
                <w:rFonts w:ascii="Arial" w:hAnsi="Arial" w:cs="Arial"/>
                <w:b/>
                <w:sz w:val="24"/>
                <w:szCs w:val="24"/>
              </w:rPr>
            </w:pPr>
            <w:r w:rsidRPr="00B944F9">
              <w:rPr>
                <w:rFonts w:ascii="Arial" w:hAnsi="Arial" w:cs="Arial"/>
                <w:b/>
                <w:sz w:val="24"/>
                <w:szCs w:val="24"/>
              </w:rPr>
              <w:t>1,000</w:t>
            </w:r>
          </w:p>
        </w:tc>
        <w:tc>
          <w:tcPr>
            <w:tcW w:w="2311" w:type="dxa"/>
          </w:tcPr>
          <w:p w:rsidR="00AB5628" w:rsidRPr="00B944F9" w:rsidRDefault="00AB5628" w:rsidP="007209D6">
            <w:pPr>
              <w:spacing w:after="0" w:line="240" w:lineRule="auto"/>
              <w:jc w:val="center"/>
              <w:rPr>
                <w:rFonts w:ascii="Arial" w:hAnsi="Arial" w:cs="Arial"/>
                <w:b/>
                <w:sz w:val="24"/>
                <w:szCs w:val="24"/>
              </w:rPr>
            </w:pPr>
            <w:r w:rsidRPr="00B944F9">
              <w:rPr>
                <w:rFonts w:ascii="Arial" w:hAnsi="Arial" w:cs="Arial"/>
                <w:b/>
                <w:sz w:val="24"/>
                <w:szCs w:val="24"/>
              </w:rPr>
              <w:t>26,000</w:t>
            </w:r>
          </w:p>
        </w:tc>
        <w:tc>
          <w:tcPr>
            <w:tcW w:w="2311" w:type="dxa"/>
          </w:tcPr>
          <w:p w:rsidR="00AB5628" w:rsidRPr="00B944F9" w:rsidRDefault="00AB5628" w:rsidP="007209D6">
            <w:pPr>
              <w:spacing w:after="0" w:line="240" w:lineRule="auto"/>
              <w:jc w:val="center"/>
              <w:rPr>
                <w:rFonts w:ascii="Arial" w:hAnsi="Arial" w:cs="Arial"/>
                <w:b/>
                <w:sz w:val="24"/>
                <w:szCs w:val="24"/>
              </w:rPr>
            </w:pPr>
          </w:p>
        </w:tc>
      </w:tr>
    </w:tbl>
    <w:p w:rsidR="00AB5628" w:rsidRPr="00B944F9" w:rsidRDefault="00AB5628" w:rsidP="007C2629">
      <w:pPr>
        <w:ind w:left="720"/>
        <w:rPr>
          <w:rFonts w:ascii="Arial" w:hAnsi="Arial" w:cs="Arial"/>
          <w:sz w:val="24"/>
          <w:szCs w:val="24"/>
        </w:rPr>
      </w:pPr>
    </w:p>
    <w:p w:rsidR="00AB5628" w:rsidRPr="00B944F9" w:rsidRDefault="00AB5628" w:rsidP="00FA1442">
      <w:pPr>
        <w:ind w:left="720"/>
        <w:rPr>
          <w:rFonts w:ascii="Arial" w:hAnsi="Arial" w:cs="Arial"/>
          <w:sz w:val="24"/>
          <w:szCs w:val="24"/>
        </w:rPr>
      </w:pPr>
      <w:r w:rsidRPr="00B944F9">
        <w:rPr>
          <w:rFonts w:ascii="Arial" w:hAnsi="Arial" w:cs="Arial"/>
          <w:sz w:val="24"/>
          <w:szCs w:val="24"/>
        </w:rPr>
        <w:t xml:space="preserve">The above table shows that the top up rates used in the moderation exercise are, with the exception of </w:t>
      </w:r>
      <w:r w:rsidR="00306989">
        <w:rPr>
          <w:rFonts w:ascii="Arial" w:hAnsi="Arial" w:cs="Arial"/>
          <w:sz w:val="24"/>
          <w:szCs w:val="24"/>
        </w:rPr>
        <w:t>Authority E are</w:t>
      </w:r>
      <w:r w:rsidRPr="00B944F9">
        <w:rPr>
          <w:rFonts w:ascii="Arial" w:hAnsi="Arial" w:cs="Arial"/>
          <w:sz w:val="24"/>
          <w:szCs w:val="24"/>
        </w:rPr>
        <w:t xml:space="preserve"> significantly higher than other Local Authorities.</w:t>
      </w:r>
    </w:p>
    <w:p w:rsidR="00AB5628" w:rsidRPr="00B944F9" w:rsidRDefault="00AB5628" w:rsidP="009F4852">
      <w:pPr>
        <w:pStyle w:val="ListParagraph"/>
        <w:numPr>
          <w:ilvl w:val="0"/>
          <w:numId w:val="1"/>
        </w:numPr>
        <w:rPr>
          <w:rFonts w:ascii="Arial" w:hAnsi="Arial" w:cs="Arial"/>
          <w:sz w:val="24"/>
          <w:szCs w:val="24"/>
        </w:rPr>
      </w:pPr>
      <w:r w:rsidRPr="00B944F9">
        <w:rPr>
          <w:rFonts w:ascii="Arial" w:hAnsi="Arial" w:cs="Arial"/>
          <w:b/>
          <w:sz w:val="24"/>
          <w:szCs w:val="24"/>
          <w:u w:val="single"/>
        </w:rPr>
        <w:t>Proposed Changes to Banding values</w:t>
      </w:r>
    </w:p>
    <w:p w:rsidR="00AB5628" w:rsidRPr="00B944F9" w:rsidRDefault="00AB5628" w:rsidP="00272588">
      <w:pPr>
        <w:ind w:left="720"/>
        <w:rPr>
          <w:rFonts w:ascii="Arial" w:hAnsi="Arial" w:cs="Arial"/>
          <w:b/>
          <w:sz w:val="24"/>
          <w:szCs w:val="24"/>
          <w:u w:val="single"/>
        </w:rPr>
      </w:pPr>
      <w:r w:rsidRPr="00B944F9">
        <w:rPr>
          <w:rFonts w:ascii="Arial" w:hAnsi="Arial" w:cs="Arial"/>
          <w:b/>
          <w:sz w:val="24"/>
          <w:szCs w:val="24"/>
          <w:u w:val="single"/>
        </w:rPr>
        <w:t>Moving forward</w:t>
      </w:r>
    </w:p>
    <w:p w:rsidR="00AB5628" w:rsidRPr="00B944F9" w:rsidRDefault="00AB5628" w:rsidP="00272588">
      <w:pPr>
        <w:ind w:left="720"/>
        <w:rPr>
          <w:rFonts w:ascii="Arial" w:hAnsi="Arial" w:cs="Arial"/>
          <w:sz w:val="24"/>
          <w:szCs w:val="24"/>
        </w:rPr>
      </w:pPr>
      <w:r w:rsidRPr="00B944F9">
        <w:rPr>
          <w:rFonts w:ascii="Arial" w:hAnsi="Arial" w:cs="Arial"/>
          <w:sz w:val="24"/>
          <w:szCs w:val="24"/>
        </w:rPr>
        <w:t>In agreeing top up rates there has to be recognition of sustainability within the financial affordability envelope to allow schools and providers to be able to plan for the longer term without a variation in banding values on a yearly basis which could lead to financial instability. This said risks going forward have already been identified above</w:t>
      </w:r>
      <w:r w:rsidR="00306989">
        <w:rPr>
          <w:rFonts w:ascii="Arial" w:hAnsi="Arial" w:cs="Arial"/>
          <w:sz w:val="24"/>
          <w:szCs w:val="24"/>
        </w:rPr>
        <w:t xml:space="preserve"> in paragraph 2</w:t>
      </w:r>
      <w:r w:rsidRPr="00B944F9">
        <w:rPr>
          <w:rFonts w:ascii="Arial" w:hAnsi="Arial" w:cs="Arial"/>
          <w:sz w:val="24"/>
          <w:szCs w:val="24"/>
        </w:rPr>
        <w:t>.</w:t>
      </w:r>
    </w:p>
    <w:p w:rsidR="00AB5628" w:rsidRPr="00B944F9" w:rsidRDefault="00AB5628" w:rsidP="00272588">
      <w:pPr>
        <w:ind w:left="720"/>
        <w:rPr>
          <w:rFonts w:ascii="Arial" w:hAnsi="Arial" w:cs="Arial"/>
          <w:sz w:val="24"/>
          <w:szCs w:val="24"/>
        </w:rPr>
      </w:pPr>
      <w:r w:rsidRPr="00B944F9">
        <w:rPr>
          <w:rFonts w:ascii="Arial" w:hAnsi="Arial" w:cs="Arial"/>
          <w:sz w:val="24"/>
          <w:szCs w:val="24"/>
        </w:rPr>
        <w:t>Putting affordability to one side then prior to using the rates in the assessment and moderation exercise the following questions need to be considered and addressed:</w:t>
      </w:r>
    </w:p>
    <w:p w:rsidR="00AB5628" w:rsidRDefault="00AB5628" w:rsidP="00272588">
      <w:pPr>
        <w:pStyle w:val="ListParagraph"/>
        <w:numPr>
          <w:ilvl w:val="1"/>
          <w:numId w:val="1"/>
        </w:numPr>
        <w:rPr>
          <w:rFonts w:ascii="Arial" w:hAnsi="Arial" w:cs="Arial"/>
          <w:sz w:val="24"/>
          <w:szCs w:val="24"/>
        </w:rPr>
      </w:pPr>
      <w:r w:rsidRPr="00B944F9">
        <w:rPr>
          <w:rFonts w:ascii="Arial" w:hAnsi="Arial" w:cs="Arial"/>
          <w:sz w:val="24"/>
          <w:szCs w:val="24"/>
        </w:rPr>
        <w:t xml:space="preserve">Has the level of need and complexity across the borough changed significantly since the last known financial baseline? </w:t>
      </w:r>
    </w:p>
    <w:p w:rsidR="00306989" w:rsidRPr="00B944F9" w:rsidRDefault="00306989" w:rsidP="00272588">
      <w:pPr>
        <w:pStyle w:val="ListParagraph"/>
        <w:numPr>
          <w:ilvl w:val="1"/>
          <w:numId w:val="1"/>
        </w:numPr>
        <w:rPr>
          <w:rFonts w:ascii="Arial" w:hAnsi="Arial" w:cs="Arial"/>
          <w:sz w:val="24"/>
          <w:szCs w:val="24"/>
        </w:rPr>
      </w:pPr>
      <w:r>
        <w:rPr>
          <w:rFonts w:ascii="Arial" w:hAnsi="Arial" w:cs="Arial"/>
          <w:sz w:val="24"/>
          <w:szCs w:val="24"/>
        </w:rPr>
        <w:t>Is this baseline a fair assessment, and</w:t>
      </w:r>
    </w:p>
    <w:p w:rsidR="00AB5628" w:rsidRPr="00B944F9" w:rsidRDefault="00AB5628" w:rsidP="00272588">
      <w:pPr>
        <w:pStyle w:val="ListParagraph"/>
        <w:numPr>
          <w:ilvl w:val="1"/>
          <w:numId w:val="1"/>
        </w:numPr>
        <w:rPr>
          <w:rFonts w:ascii="Arial" w:hAnsi="Arial" w:cs="Arial"/>
          <w:sz w:val="24"/>
          <w:szCs w:val="24"/>
        </w:rPr>
      </w:pPr>
      <w:r w:rsidRPr="00B944F9">
        <w:rPr>
          <w:rFonts w:ascii="Arial" w:hAnsi="Arial" w:cs="Arial"/>
          <w:sz w:val="24"/>
          <w:szCs w:val="24"/>
        </w:rPr>
        <w:t>The adoption of the moderated one value banding system across all establishments</w:t>
      </w:r>
      <w:r w:rsidR="00306989">
        <w:rPr>
          <w:rFonts w:ascii="Arial" w:hAnsi="Arial" w:cs="Arial"/>
          <w:sz w:val="24"/>
          <w:szCs w:val="24"/>
        </w:rPr>
        <w:t>,</w:t>
      </w:r>
      <w:r w:rsidRPr="00B944F9">
        <w:rPr>
          <w:rFonts w:ascii="Arial" w:hAnsi="Arial" w:cs="Arial"/>
          <w:sz w:val="24"/>
          <w:szCs w:val="24"/>
        </w:rPr>
        <w:t xml:space="preserve"> who may have been funded under </w:t>
      </w:r>
      <w:r w:rsidR="00306989">
        <w:rPr>
          <w:rFonts w:ascii="Arial" w:hAnsi="Arial" w:cs="Arial"/>
          <w:sz w:val="24"/>
          <w:szCs w:val="24"/>
        </w:rPr>
        <w:t xml:space="preserve">a </w:t>
      </w:r>
      <w:r w:rsidRPr="00B944F9">
        <w:rPr>
          <w:rFonts w:ascii="Arial" w:hAnsi="Arial" w:cs="Arial"/>
          <w:sz w:val="24"/>
          <w:szCs w:val="24"/>
        </w:rPr>
        <w:t>different basis and historical arrangements may lead to winners and losers depending on the current mix of needs within each establishment</w:t>
      </w:r>
    </w:p>
    <w:p w:rsidR="00AB5628" w:rsidRPr="00B944F9" w:rsidRDefault="00AB5628" w:rsidP="001F3F25">
      <w:pPr>
        <w:ind w:left="720"/>
        <w:rPr>
          <w:rFonts w:ascii="Arial" w:hAnsi="Arial" w:cs="Arial"/>
          <w:sz w:val="24"/>
          <w:szCs w:val="24"/>
        </w:rPr>
      </w:pPr>
      <w:r w:rsidRPr="00B944F9">
        <w:rPr>
          <w:rFonts w:ascii="Arial" w:hAnsi="Arial" w:cs="Arial"/>
          <w:sz w:val="24"/>
          <w:szCs w:val="24"/>
        </w:rPr>
        <w:t>To resolve the affordability issue it is proposed to change amend the banding values as detailed below, changes highlighted in yellow: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3"/>
        <w:gridCol w:w="2906"/>
        <w:gridCol w:w="2803"/>
      </w:tblGrid>
      <w:tr w:rsidR="00AB5628" w:rsidRPr="00B944F9" w:rsidTr="007209D6">
        <w:tc>
          <w:tcPr>
            <w:tcW w:w="3080"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b/>
                <w:sz w:val="24"/>
                <w:szCs w:val="24"/>
                <w:u w:val="single"/>
              </w:rPr>
              <w:t>Banding</w:t>
            </w:r>
          </w:p>
        </w:tc>
        <w:tc>
          <w:tcPr>
            <w:tcW w:w="3081" w:type="dxa"/>
          </w:tcPr>
          <w:p w:rsidR="00AB5628" w:rsidRPr="00B944F9" w:rsidRDefault="00AB5628" w:rsidP="007209D6">
            <w:pPr>
              <w:spacing w:after="0" w:line="240" w:lineRule="auto"/>
              <w:jc w:val="center"/>
              <w:rPr>
                <w:rFonts w:ascii="Arial" w:hAnsi="Arial" w:cs="Arial"/>
                <w:b/>
                <w:sz w:val="24"/>
                <w:szCs w:val="24"/>
                <w:u w:val="single"/>
              </w:rPr>
            </w:pPr>
            <w:r w:rsidRPr="00B944F9">
              <w:rPr>
                <w:rFonts w:ascii="Arial" w:hAnsi="Arial" w:cs="Arial"/>
                <w:b/>
                <w:sz w:val="24"/>
                <w:szCs w:val="24"/>
                <w:u w:val="single"/>
              </w:rPr>
              <w:t>Moderated Top Up value</w:t>
            </w:r>
            <w:r w:rsidR="00306989">
              <w:rPr>
                <w:rFonts w:ascii="Arial" w:hAnsi="Arial" w:cs="Arial"/>
                <w:b/>
                <w:sz w:val="24"/>
                <w:szCs w:val="24"/>
                <w:u w:val="single"/>
              </w:rPr>
              <w:t xml:space="preserve"> (unaffordable)</w:t>
            </w:r>
          </w:p>
        </w:tc>
        <w:tc>
          <w:tcPr>
            <w:tcW w:w="3081" w:type="dxa"/>
          </w:tcPr>
          <w:p w:rsidR="00AB5628" w:rsidRPr="00B944F9" w:rsidRDefault="00AB5628" w:rsidP="007209D6">
            <w:pPr>
              <w:spacing w:after="0" w:line="240" w:lineRule="auto"/>
              <w:jc w:val="center"/>
              <w:rPr>
                <w:rFonts w:ascii="Arial" w:hAnsi="Arial" w:cs="Arial"/>
                <w:b/>
                <w:sz w:val="24"/>
                <w:szCs w:val="24"/>
                <w:u w:val="single"/>
              </w:rPr>
            </w:pPr>
            <w:r w:rsidRPr="00B944F9">
              <w:rPr>
                <w:rFonts w:ascii="Arial" w:hAnsi="Arial" w:cs="Arial"/>
                <w:b/>
                <w:sz w:val="24"/>
                <w:szCs w:val="24"/>
                <w:u w:val="single"/>
              </w:rPr>
              <w:t>Refined Top Up Value</w:t>
            </w:r>
          </w:p>
        </w:tc>
      </w:tr>
      <w:tr w:rsidR="00AB5628" w:rsidRPr="00B944F9" w:rsidTr="007209D6">
        <w:tc>
          <w:tcPr>
            <w:tcW w:w="3080"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w:t>
            </w:r>
          </w:p>
        </w:tc>
        <w:tc>
          <w:tcPr>
            <w:tcW w:w="308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0</w:t>
            </w:r>
          </w:p>
        </w:tc>
        <w:tc>
          <w:tcPr>
            <w:tcW w:w="308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0</w:t>
            </w:r>
          </w:p>
        </w:tc>
      </w:tr>
      <w:tr w:rsidR="00AB5628" w:rsidRPr="00B944F9" w:rsidTr="007209D6">
        <w:tc>
          <w:tcPr>
            <w:tcW w:w="3080"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2</w:t>
            </w:r>
          </w:p>
        </w:tc>
        <w:tc>
          <w:tcPr>
            <w:tcW w:w="308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0</w:t>
            </w:r>
          </w:p>
        </w:tc>
        <w:tc>
          <w:tcPr>
            <w:tcW w:w="308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0</w:t>
            </w:r>
          </w:p>
        </w:tc>
      </w:tr>
      <w:tr w:rsidR="00AB5628" w:rsidRPr="00B944F9" w:rsidTr="007209D6">
        <w:tc>
          <w:tcPr>
            <w:tcW w:w="3080"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3</w:t>
            </w:r>
          </w:p>
        </w:tc>
        <w:tc>
          <w:tcPr>
            <w:tcW w:w="308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0</w:t>
            </w:r>
          </w:p>
        </w:tc>
        <w:tc>
          <w:tcPr>
            <w:tcW w:w="308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0</w:t>
            </w:r>
          </w:p>
        </w:tc>
      </w:tr>
      <w:tr w:rsidR="00AB5628" w:rsidRPr="00B944F9" w:rsidTr="007209D6">
        <w:tc>
          <w:tcPr>
            <w:tcW w:w="3080"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4</w:t>
            </w:r>
          </w:p>
        </w:tc>
        <w:tc>
          <w:tcPr>
            <w:tcW w:w="308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1,000</w:t>
            </w:r>
          </w:p>
        </w:tc>
        <w:tc>
          <w:tcPr>
            <w:tcW w:w="308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1,000</w:t>
            </w:r>
          </w:p>
        </w:tc>
      </w:tr>
      <w:tr w:rsidR="00AB5628" w:rsidRPr="00B944F9" w:rsidTr="007209D6">
        <w:tc>
          <w:tcPr>
            <w:tcW w:w="3080"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5</w:t>
            </w:r>
          </w:p>
        </w:tc>
        <w:tc>
          <w:tcPr>
            <w:tcW w:w="308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2,300</w:t>
            </w:r>
          </w:p>
        </w:tc>
        <w:tc>
          <w:tcPr>
            <w:tcW w:w="308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2,300</w:t>
            </w:r>
          </w:p>
        </w:tc>
      </w:tr>
      <w:tr w:rsidR="00AB5628" w:rsidRPr="00B944F9" w:rsidTr="007209D6">
        <w:tc>
          <w:tcPr>
            <w:tcW w:w="3080"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6</w:t>
            </w:r>
          </w:p>
        </w:tc>
        <w:tc>
          <w:tcPr>
            <w:tcW w:w="308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5,500</w:t>
            </w:r>
          </w:p>
        </w:tc>
        <w:tc>
          <w:tcPr>
            <w:tcW w:w="308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5,500</w:t>
            </w:r>
          </w:p>
        </w:tc>
      </w:tr>
      <w:tr w:rsidR="00AB5628" w:rsidRPr="00B944F9" w:rsidTr="007209D6">
        <w:tc>
          <w:tcPr>
            <w:tcW w:w="3080"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7</w:t>
            </w:r>
          </w:p>
        </w:tc>
        <w:tc>
          <w:tcPr>
            <w:tcW w:w="3081" w:type="dxa"/>
          </w:tcPr>
          <w:p w:rsidR="00AB5628" w:rsidRPr="00B944F9" w:rsidRDefault="00AB5628" w:rsidP="007209D6">
            <w:pPr>
              <w:spacing w:after="0" w:line="240" w:lineRule="auto"/>
              <w:jc w:val="center"/>
              <w:rPr>
                <w:rFonts w:ascii="Arial" w:hAnsi="Arial" w:cs="Arial"/>
                <w:sz w:val="24"/>
                <w:szCs w:val="24"/>
                <w:highlight w:val="yellow"/>
              </w:rPr>
            </w:pPr>
            <w:r w:rsidRPr="00B944F9">
              <w:rPr>
                <w:rFonts w:ascii="Arial" w:hAnsi="Arial" w:cs="Arial"/>
                <w:sz w:val="24"/>
                <w:szCs w:val="24"/>
              </w:rPr>
              <w:t>8,000</w:t>
            </w:r>
          </w:p>
        </w:tc>
        <w:tc>
          <w:tcPr>
            <w:tcW w:w="3081" w:type="dxa"/>
          </w:tcPr>
          <w:p w:rsidR="00AB5628" w:rsidRPr="00B944F9" w:rsidRDefault="00AB5628" w:rsidP="007209D6">
            <w:pPr>
              <w:spacing w:after="0" w:line="240" w:lineRule="auto"/>
              <w:jc w:val="center"/>
              <w:rPr>
                <w:rFonts w:ascii="Arial" w:hAnsi="Arial" w:cs="Arial"/>
                <w:sz w:val="24"/>
                <w:szCs w:val="24"/>
                <w:highlight w:val="yellow"/>
              </w:rPr>
            </w:pPr>
            <w:r w:rsidRPr="00B944F9">
              <w:rPr>
                <w:rFonts w:ascii="Arial" w:hAnsi="Arial" w:cs="Arial"/>
                <w:sz w:val="24"/>
                <w:szCs w:val="24"/>
                <w:highlight w:val="yellow"/>
              </w:rPr>
              <w:t>6,800</w:t>
            </w:r>
          </w:p>
        </w:tc>
      </w:tr>
      <w:tr w:rsidR="00AB5628" w:rsidRPr="00B944F9" w:rsidTr="007209D6">
        <w:tc>
          <w:tcPr>
            <w:tcW w:w="3080"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8</w:t>
            </w:r>
          </w:p>
        </w:tc>
        <w:tc>
          <w:tcPr>
            <w:tcW w:w="308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11,000</w:t>
            </w:r>
          </w:p>
        </w:tc>
        <w:tc>
          <w:tcPr>
            <w:tcW w:w="3081" w:type="dxa"/>
          </w:tcPr>
          <w:p w:rsidR="00AB5628" w:rsidRPr="00B944F9" w:rsidRDefault="00306989" w:rsidP="00306989">
            <w:pPr>
              <w:spacing w:after="0" w:line="240" w:lineRule="auto"/>
              <w:jc w:val="center"/>
              <w:rPr>
                <w:rFonts w:ascii="Arial" w:hAnsi="Arial" w:cs="Arial"/>
                <w:sz w:val="24"/>
                <w:szCs w:val="24"/>
              </w:rPr>
            </w:pPr>
            <w:r>
              <w:rPr>
                <w:rFonts w:ascii="Arial" w:hAnsi="Arial" w:cs="Arial"/>
                <w:sz w:val="24"/>
                <w:szCs w:val="24"/>
                <w:highlight w:val="yellow"/>
              </w:rPr>
              <w:t>10,000</w:t>
            </w:r>
          </w:p>
        </w:tc>
      </w:tr>
      <w:tr w:rsidR="00AB5628" w:rsidRPr="00B944F9" w:rsidTr="007209D6">
        <w:tc>
          <w:tcPr>
            <w:tcW w:w="3080"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9</w:t>
            </w:r>
          </w:p>
        </w:tc>
        <w:tc>
          <w:tcPr>
            <w:tcW w:w="3081"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14,500</w:t>
            </w:r>
          </w:p>
        </w:tc>
        <w:tc>
          <w:tcPr>
            <w:tcW w:w="3081" w:type="dxa"/>
          </w:tcPr>
          <w:p w:rsidR="00AB5628" w:rsidRPr="00B944F9" w:rsidRDefault="00AB5628" w:rsidP="00306989">
            <w:pPr>
              <w:spacing w:after="0" w:line="240" w:lineRule="auto"/>
              <w:jc w:val="center"/>
              <w:rPr>
                <w:rFonts w:ascii="Arial" w:hAnsi="Arial" w:cs="Arial"/>
                <w:sz w:val="24"/>
                <w:szCs w:val="24"/>
              </w:rPr>
            </w:pPr>
            <w:r w:rsidRPr="00B944F9">
              <w:rPr>
                <w:rFonts w:ascii="Arial" w:hAnsi="Arial" w:cs="Arial"/>
                <w:sz w:val="24"/>
                <w:szCs w:val="24"/>
                <w:highlight w:val="yellow"/>
              </w:rPr>
              <w:t>1</w:t>
            </w:r>
            <w:r w:rsidR="00306989">
              <w:rPr>
                <w:rFonts w:ascii="Arial" w:hAnsi="Arial" w:cs="Arial"/>
                <w:sz w:val="24"/>
                <w:szCs w:val="24"/>
                <w:highlight w:val="yellow"/>
              </w:rPr>
              <w:t>4</w:t>
            </w:r>
            <w:r w:rsidRPr="00B944F9">
              <w:rPr>
                <w:rFonts w:ascii="Arial" w:hAnsi="Arial" w:cs="Arial"/>
                <w:sz w:val="24"/>
                <w:szCs w:val="24"/>
                <w:highlight w:val="yellow"/>
              </w:rPr>
              <w:t>,</w:t>
            </w:r>
            <w:r w:rsidR="00306989">
              <w:rPr>
                <w:rFonts w:ascii="Arial" w:hAnsi="Arial" w:cs="Arial"/>
                <w:sz w:val="24"/>
                <w:szCs w:val="24"/>
                <w:highlight w:val="yellow"/>
              </w:rPr>
              <w:t>00</w:t>
            </w:r>
            <w:r w:rsidRPr="00B944F9">
              <w:rPr>
                <w:rFonts w:ascii="Arial" w:hAnsi="Arial" w:cs="Arial"/>
                <w:sz w:val="24"/>
                <w:szCs w:val="24"/>
                <w:highlight w:val="yellow"/>
              </w:rPr>
              <w:t>0</w:t>
            </w:r>
          </w:p>
        </w:tc>
      </w:tr>
      <w:tr w:rsidR="00AB5628" w:rsidRPr="00B944F9" w:rsidTr="007209D6">
        <w:tc>
          <w:tcPr>
            <w:tcW w:w="3080"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10</w:t>
            </w:r>
          </w:p>
        </w:tc>
        <w:tc>
          <w:tcPr>
            <w:tcW w:w="3081" w:type="dxa"/>
          </w:tcPr>
          <w:p w:rsidR="00AB5628" w:rsidRPr="00B944F9" w:rsidRDefault="00AB5628" w:rsidP="007209D6">
            <w:pPr>
              <w:spacing w:after="0" w:line="240" w:lineRule="auto"/>
              <w:jc w:val="center"/>
              <w:rPr>
                <w:rFonts w:ascii="Arial" w:hAnsi="Arial" w:cs="Arial"/>
                <w:sz w:val="24"/>
                <w:szCs w:val="24"/>
                <w:highlight w:val="yellow"/>
              </w:rPr>
            </w:pPr>
            <w:r w:rsidRPr="00B944F9">
              <w:rPr>
                <w:rFonts w:ascii="Arial" w:hAnsi="Arial" w:cs="Arial"/>
                <w:sz w:val="24"/>
                <w:szCs w:val="24"/>
              </w:rPr>
              <w:t>26,000</w:t>
            </w:r>
          </w:p>
        </w:tc>
        <w:tc>
          <w:tcPr>
            <w:tcW w:w="3081" w:type="dxa"/>
          </w:tcPr>
          <w:p w:rsidR="00AB5628" w:rsidRPr="00B944F9" w:rsidRDefault="00AB5628" w:rsidP="007209D6">
            <w:pPr>
              <w:spacing w:after="0" w:line="240" w:lineRule="auto"/>
              <w:jc w:val="center"/>
              <w:rPr>
                <w:rFonts w:ascii="Arial" w:hAnsi="Arial" w:cs="Arial"/>
                <w:sz w:val="24"/>
                <w:szCs w:val="24"/>
                <w:highlight w:val="yellow"/>
              </w:rPr>
            </w:pPr>
            <w:r w:rsidRPr="00B944F9">
              <w:rPr>
                <w:rFonts w:ascii="Arial" w:hAnsi="Arial" w:cs="Arial"/>
                <w:sz w:val="24"/>
                <w:szCs w:val="24"/>
                <w:highlight w:val="yellow"/>
              </w:rPr>
              <w:t>19,000</w:t>
            </w:r>
          </w:p>
        </w:tc>
      </w:tr>
    </w:tbl>
    <w:p w:rsidR="00AB5628" w:rsidRPr="00B944F9" w:rsidRDefault="00AB5628" w:rsidP="001F3F25">
      <w:pPr>
        <w:ind w:left="720"/>
        <w:rPr>
          <w:rFonts w:ascii="Arial" w:hAnsi="Arial" w:cs="Arial"/>
          <w:sz w:val="24"/>
          <w:szCs w:val="24"/>
        </w:rPr>
      </w:pPr>
    </w:p>
    <w:p w:rsidR="00AB5628" w:rsidRPr="00B944F9" w:rsidRDefault="00AB5628" w:rsidP="001F3F25">
      <w:pPr>
        <w:ind w:left="720"/>
        <w:rPr>
          <w:rFonts w:ascii="Arial" w:hAnsi="Arial" w:cs="Arial"/>
          <w:b/>
          <w:sz w:val="24"/>
          <w:szCs w:val="24"/>
          <w:u w:val="single"/>
        </w:rPr>
      </w:pPr>
      <w:r w:rsidRPr="00B944F9">
        <w:rPr>
          <w:rFonts w:ascii="Arial" w:hAnsi="Arial" w:cs="Arial"/>
          <w:b/>
          <w:sz w:val="24"/>
          <w:szCs w:val="24"/>
          <w:u w:val="single"/>
        </w:rPr>
        <w:t>Special Schools</w:t>
      </w:r>
    </w:p>
    <w:p w:rsidR="00AB5628" w:rsidRPr="00B944F9" w:rsidRDefault="00AB5628" w:rsidP="001F3F25">
      <w:pPr>
        <w:ind w:left="720"/>
        <w:rPr>
          <w:rFonts w:ascii="Arial" w:hAnsi="Arial" w:cs="Arial"/>
          <w:sz w:val="24"/>
          <w:szCs w:val="24"/>
        </w:rPr>
      </w:pPr>
      <w:r w:rsidRPr="00B944F9">
        <w:rPr>
          <w:rFonts w:ascii="Arial" w:hAnsi="Arial" w:cs="Arial"/>
          <w:sz w:val="24"/>
          <w:szCs w:val="24"/>
        </w:rPr>
        <w:t>The impact of these changes would be that the value of “Top Up” paid to both special schools would be £2,</w:t>
      </w:r>
      <w:r w:rsidR="00306989">
        <w:rPr>
          <w:rFonts w:ascii="Arial" w:hAnsi="Arial" w:cs="Arial"/>
          <w:sz w:val="24"/>
          <w:szCs w:val="24"/>
        </w:rPr>
        <w:t>800,2</w:t>
      </w:r>
      <w:r w:rsidRPr="00B944F9">
        <w:rPr>
          <w:rFonts w:ascii="Arial" w:hAnsi="Arial" w:cs="Arial"/>
          <w:sz w:val="24"/>
          <w:szCs w:val="24"/>
        </w:rPr>
        <w:t xml:space="preserve">75. This represents an increase on this years protected top up values and additionality </w:t>
      </w:r>
      <w:r w:rsidR="00306989">
        <w:rPr>
          <w:rFonts w:ascii="Arial" w:hAnsi="Arial" w:cs="Arial"/>
          <w:sz w:val="24"/>
          <w:szCs w:val="24"/>
        </w:rPr>
        <w:t xml:space="preserve">payments </w:t>
      </w:r>
      <w:r w:rsidRPr="00B944F9">
        <w:rPr>
          <w:rFonts w:ascii="Arial" w:hAnsi="Arial" w:cs="Arial"/>
          <w:sz w:val="24"/>
          <w:szCs w:val="24"/>
        </w:rPr>
        <w:t>of £1</w:t>
      </w:r>
      <w:r w:rsidR="00306989">
        <w:rPr>
          <w:rFonts w:ascii="Arial" w:hAnsi="Arial" w:cs="Arial"/>
          <w:sz w:val="24"/>
          <w:szCs w:val="24"/>
        </w:rPr>
        <w:t>67</w:t>
      </w:r>
      <w:r w:rsidRPr="00B944F9">
        <w:rPr>
          <w:rFonts w:ascii="Arial" w:hAnsi="Arial" w:cs="Arial"/>
          <w:sz w:val="24"/>
          <w:szCs w:val="24"/>
        </w:rPr>
        <w:t>,</w:t>
      </w:r>
      <w:r w:rsidR="00306989">
        <w:rPr>
          <w:rFonts w:ascii="Arial" w:hAnsi="Arial" w:cs="Arial"/>
          <w:sz w:val="24"/>
          <w:szCs w:val="24"/>
        </w:rPr>
        <w:t>24</w:t>
      </w:r>
      <w:r w:rsidRPr="00B944F9">
        <w:rPr>
          <w:rFonts w:ascii="Arial" w:hAnsi="Arial" w:cs="Arial"/>
          <w:sz w:val="24"/>
          <w:szCs w:val="24"/>
        </w:rPr>
        <w:t>4 and builds in th</w:t>
      </w:r>
      <w:r w:rsidR="00306989">
        <w:rPr>
          <w:rFonts w:ascii="Arial" w:hAnsi="Arial" w:cs="Arial"/>
          <w:sz w:val="24"/>
          <w:szCs w:val="24"/>
        </w:rPr>
        <w:t>e</w:t>
      </w:r>
      <w:r w:rsidRPr="00B944F9">
        <w:rPr>
          <w:rFonts w:ascii="Arial" w:hAnsi="Arial" w:cs="Arial"/>
          <w:sz w:val="24"/>
          <w:szCs w:val="24"/>
        </w:rPr>
        <w:t xml:space="preserve"> additionality </w:t>
      </w:r>
      <w:r w:rsidR="00306989">
        <w:rPr>
          <w:rFonts w:ascii="Arial" w:hAnsi="Arial" w:cs="Arial"/>
          <w:sz w:val="24"/>
          <w:szCs w:val="24"/>
        </w:rPr>
        <w:t xml:space="preserve">payments </w:t>
      </w:r>
      <w:r w:rsidRPr="00B944F9">
        <w:rPr>
          <w:rFonts w:ascii="Arial" w:hAnsi="Arial" w:cs="Arial"/>
          <w:sz w:val="24"/>
          <w:szCs w:val="24"/>
        </w:rPr>
        <w:t>as a permanent item in the base</w:t>
      </w:r>
      <w:r w:rsidR="00306989">
        <w:rPr>
          <w:rFonts w:ascii="Arial" w:hAnsi="Arial" w:cs="Arial"/>
          <w:sz w:val="24"/>
          <w:szCs w:val="24"/>
        </w:rPr>
        <w:t xml:space="preserve"> going forward</w:t>
      </w:r>
      <w:r w:rsidRPr="00B944F9">
        <w:rPr>
          <w:rFonts w:ascii="Arial" w:hAnsi="Arial" w:cs="Arial"/>
          <w:sz w:val="24"/>
          <w:szCs w:val="24"/>
        </w:rPr>
        <w:t>.</w:t>
      </w:r>
    </w:p>
    <w:p w:rsidR="00AB5628" w:rsidRPr="00B944F9" w:rsidRDefault="00AB5628" w:rsidP="001F3F25">
      <w:pPr>
        <w:ind w:left="720"/>
        <w:rPr>
          <w:rFonts w:ascii="Arial" w:hAnsi="Arial" w:cs="Arial"/>
          <w:sz w:val="24"/>
          <w:szCs w:val="24"/>
        </w:rPr>
      </w:pPr>
      <w:r w:rsidRPr="00B944F9">
        <w:rPr>
          <w:rFonts w:ascii="Arial" w:hAnsi="Arial" w:cs="Arial"/>
          <w:sz w:val="24"/>
          <w:szCs w:val="24"/>
        </w:rPr>
        <w:t xml:space="preserve">Given the increase </w:t>
      </w:r>
      <w:r w:rsidR="00306989">
        <w:rPr>
          <w:rFonts w:ascii="Arial" w:hAnsi="Arial" w:cs="Arial"/>
          <w:sz w:val="24"/>
          <w:szCs w:val="24"/>
        </w:rPr>
        <w:t xml:space="preserve">noted above </w:t>
      </w:r>
      <w:r w:rsidRPr="00B944F9">
        <w:rPr>
          <w:rFonts w:ascii="Arial" w:hAnsi="Arial" w:cs="Arial"/>
          <w:sz w:val="24"/>
          <w:szCs w:val="24"/>
        </w:rPr>
        <w:t xml:space="preserve">it is recommended that additionality payments are ceased </w:t>
      </w:r>
      <w:r w:rsidR="00306989">
        <w:rPr>
          <w:rFonts w:ascii="Arial" w:hAnsi="Arial" w:cs="Arial"/>
          <w:sz w:val="24"/>
          <w:szCs w:val="24"/>
        </w:rPr>
        <w:t>with the ending of the current protection arrangements on the 31</w:t>
      </w:r>
      <w:r w:rsidR="00306989" w:rsidRPr="00306989">
        <w:rPr>
          <w:rFonts w:ascii="Arial" w:hAnsi="Arial" w:cs="Arial"/>
          <w:sz w:val="24"/>
          <w:szCs w:val="24"/>
          <w:vertAlign w:val="superscript"/>
        </w:rPr>
        <w:t>st</w:t>
      </w:r>
      <w:r w:rsidR="00306989">
        <w:rPr>
          <w:rFonts w:ascii="Arial" w:hAnsi="Arial" w:cs="Arial"/>
          <w:sz w:val="24"/>
          <w:szCs w:val="24"/>
        </w:rPr>
        <w:t xml:space="preserve"> August </w:t>
      </w:r>
      <w:r w:rsidRPr="00B944F9">
        <w:rPr>
          <w:rFonts w:ascii="Arial" w:hAnsi="Arial" w:cs="Arial"/>
          <w:sz w:val="24"/>
          <w:szCs w:val="24"/>
        </w:rPr>
        <w:t>2014.</w:t>
      </w:r>
    </w:p>
    <w:p w:rsidR="00AB5628" w:rsidRPr="00B944F9" w:rsidRDefault="00AB5628" w:rsidP="001F3F25">
      <w:pPr>
        <w:ind w:left="720"/>
        <w:rPr>
          <w:rFonts w:ascii="Arial" w:hAnsi="Arial" w:cs="Arial"/>
          <w:sz w:val="24"/>
          <w:szCs w:val="24"/>
        </w:rPr>
      </w:pPr>
      <w:r w:rsidRPr="00B944F9">
        <w:rPr>
          <w:rFonts w:ascii="Arial" w:hAnsi="Arial" w:cs="Arial"/>
          <w:b/>
          <w:sz w:val="24"/>
          <w:szCs w:val="24"/>
          <w:u w:val="single"/>
        </w:rPr>
        <w:t>PRU’s</w:t>
      </w:r>
    </w:p>
    <w:p w:rsidR="00AB5628" w:rsidRDefault="00306989" w:rsidP="001F3F25">
      <w:pPr>
        <w:ind w:left="720"/>
        <w:rPr>
          <w:rFonts w:ascii="Arial" w:hAnsi="Arial" w:cs="Arial"/>
          <w:sz w:val="24"/>
          <w:szCs w:val="24"/>
        </w:rPr>
      </w:pPr>
      <w:r>
        <w:rPr>
          <w:rFonts w:ascii="Arial" w:hAnsi="Arial" w:cs="Arial"/>
          <w:sz w:val="24"/>
          <w:szCs w:val="24"/>
        </w:rPr>
        <w:t xml:space="preserve">A different operating model is proposed in respect of the PRU’s in </w:t>
      </w:r>
      <w:r w:rsidR="00AB5628" w:rsidRPr="00B944F9">
        <w:rPr>
          <w:rFonts w:ascii="Arial" w:hAnsi="Arial" w:cs="Arial"/>
          <w:sz w:val="24"/>
          <w:szCs w:val="24"/>
        </w:rPr>
        <w:t>that a place commissioning approach is p</w:t>
      </w:r>
      <w:r>
        <w:rPr>
          <w:rFonts w:ascii="Arial" w:hAnsi="Arial" w:cs="Arial"/>
          <w:sz w:val="24"/>
          <w:szCs w:val="24"/>
        </w:rPr>
        <w:t xml:space="preserve">ursued </w:t>
      </w:r>
      <w:r w:rsidR="00AB5628" w:rsidRPr="00B944F9">
        <w:rPr>
          <w:rFonts w:ascii="Arial" w:hAnsi="Arial" w:cs="Arial"/>
          <w:sz w:val="24"/>
          <w:szCs w:val="24"/>
        </w:rPr>
        <w:t>and a draft profile is shown in the table below. The impact of the proposed profile changes on the PRU’s would be an overall cost of £1,9</w:t>
      </w:r>
      <w:r>
        <w:rPr>
          <w:rFonts w:ascii="Arial" w:hAnsi="Arial" w:cs="Arial"/>
          <w:sz w:val="24"/>
          <w:szCs w:val="24"/>
        </w:rPr>
        <w:t>8</w:t>
      </w:r>
      <w:r w:rsidR="00AB5628" w:rsidRPr="00B944F9">
        <w:rPr>
          <w:rFonts w:ascii="Arial" w:hAnsi="Arial" w:cs="Arial"/>
          <w:sz w:val="24"/>
          <w:szCs w:val="24"/>
        </w:rPr>
        <w:t>7</w:t>
      </w:r>
      <w:r>
        <w:rPr>
          <w:rFonts w:ascii="Arial" w:hAnsi="Arial" w:cs="Arial"/>
          <w:sz w:val="24"/>
          <w:szCs w:val="24"/>
        </w:rPr>
        <w:t>,</w:t>
      </w:r>
      <w:r w:rsidR="00AB5628" w:rsidRPr="00B944F9">
        <w:rPr>
          <w:rFonts w:ascii="Arial" w:hAnsi="Arial" w:cs="Arial"/>
          <w:sz w:val="24"/>
          <w:szCs w:val="24"/>
        </w:rPr>
        <w:t>2</w:t>
      </w:r>
      <w:r>
        <w:rPr>
          <w:rFonts w:ascii="Arial" w:hAnsi="Arial" w:cs="Arial"/>
          <w:sz w:val="24"/>
          <w:szCs w:val="24"/>
        </w:rPr>
        <w:t>00</w:t>
      </w:r>
      <w:r w:rsidR="00AB5628" w:rsidRPr="00B944F9">
        <w:rPr>
          <w:rFonts w:ascii="Arial" w:hAnsi="Arial" w:cs="Arial"/>
          <w:sz w:val="24"/>
          <w:szCs w:val="24"/>
        </w:rPr>
        <w:t xml:space="preserve"> an increase on the 2013-14 financial year protected budget of £2</w:t>
      </w:r>
      <w:r w:rsidR="00424C78">
        <w:rPr>
          <w:rFonts w:ascii="Arial" w:hAnsi="Arial" w:cs="Arial"/>
          <w:sz w:val="24"/>
          <w:szCs w:val="24"/>
        </w:rPr>
        <w:t>24,200</w:t>
      </w:r>
      <w:r w:rsidR="00AB5628" w:rsidRPr="00B944F9">
        <w:rPr>
          <w:rFonts w:ascii="Arial" w:hAnsi="Arial" w:cs="Arial"/>
          <w:sz w:val="24"/>
          <w:szCs w:val="24"/>
        </w:rPr>
        <w:t>.However within each PRU the position is different, for Phoenix House a decrease of £</w:t>
      </w:r>
      <w:r w:rsidR="00424C78">
        <w:rPr>
          <w:rFonts w:ascii="Arial" w:hAnsi="Arial" w:cs="Arial"/>
          <w:sz w:val="24"/>
          <w:szCs w:val="24"/>
        </w:rPr>
        <w:t>5</w:t>
      </w:r>
      <w:r w:rsidR="00AB5628" w:rsidRPr="00B944F9">
        <w:rPr>
          <w:rFonts w:ascii="Arial" w:hAnsi="Arial" w:cs="Arial"/>
          <w:sz w:val="24"/>
          <w:szCs w:val="24"/>
        </w:rPr>
        <w:t>,</w:t>
      </w:r>
      <w:r w:rsidR="00424C78">
        <w:rPr>
          <w:rFonts w:ascii="Arial" w:hAnsi="Arial" w:cs="Arial"/>
          <w:sz w:val="24"/>
          <w:szCs w:val="24"/>
        </w:rPr>
        <w:t>3</w:t>
      </w:r>
      <w:r w:rsidR="00AB5628" w:rsidRPr="00B944F9">
        <w:rPr>
          <w:rFonts w:ascii="Arial" w:hAnsi="Arial" w:cs="Arial"/>
          <w:sz w:val="24"/>
          <w:szCs w:val="24"/>
        </w:rPr>
        <w:t>00 is forecast on the current protected budget whilst for YPC there is an increase of £22</w:t>
      </w:r>
      <w:r w:rsidR="00424C78">
        <w:rPr>
          <w:rFonts w:ascii="Arial" w:hAnsi="Arial" w:cs="Arial"/>
          <w:sz w:val="24"/>
          <w:szCs w:val="24"/>
        </w:rPr>
        <w:t>9</w:t>
      </w:r>
      <w:r w:rsidR="00AB5628" w:rsidRPr="00B944F9">
        <w:rPr>
          <w:rFonts w:ascii="Arial" w:hAnsi="Arial" w:cs="Arial"/>
          <w:sz w:val="24"/>
          <w:szCs w:val="24"/>
        </w:rPr>
        <w:t>,5</w:t>
      </w:r>
      <w:r w:rsidR="00424C78">
        <w:rPr>
          <w:rFonts w:ascii="Arial" w:hAnsi="Arial" w:cs="Arial"/>
          <w:sz w:val="24"/>
          <w:szCs w:val="24"/>
        </w:rPr>
        <w:t>0</w:t>
      </w:r>
      <w:r w:rsidR="00AB5628" w:rsidRPr="00B944F9">
        <w:rPr>
          <w:rFonts w:ascii="Arial" w:hAnsi="Arial" w:cs="Arial"/>
          <w:sz w:val="24"/>
          <w:szCs w:val="24"/>
        </w:rPr>
        <w:t xml:space="preserve">0. </w:t>
      </w:r>
    </w:p>
    <w:p w:rsidR="00424C78" w:rsidRDefault="00424C78" w:rsidP="001F3F25">
      <w:pPr>
        <w:ind w:left="720"/>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4"/>
        <w:gridCol w:w="2855"/>
        <w:gridCol w:w="2813"/>
      </w:tblGrid>
      <w:tr w:rsidR="00AB5628" w:rsidRPr="00B944F9" w:rsidTr="007209D6">
        <w:tc>
          <w:tcPr>
            <w:tcW w:w="2854" w:type="dxa"/>
          </w:tcPr>
          <w:p w:rsidR="00AB5628" w:rsidRPr="00B944F9" w:rsidRDefault="00AB5628" w:rsidP="007209D6">
            <w:pPr>
              <w:spacing w:after="0" w:line="240" w:lineRule="auto"/>
              <w:jc w:val="center"/>
              <w:rPr>
                <w:rFonts w:ascii="Arial" w:hAnsi="Arial" w:cs="Arial"/>
                <w:b/>
                <w:sz w:val="24"/>
                <w:szCs w:val="24"/>
                <w:u w:val="single"/>
              </w:rPr>
            </w:pPr>
            <w:r w:rsidRPr="00B944F9">
              <w:rPr>
                <w:rFonts w:ascii="Arial" w:hAnsi="Arial" w:cs="Arial"/>
                <w:b/>
                <w:sz w:val="24"/>
                <w:szCs w:val="24"/>
                <w:u w:val="single"/>
              </w:rPr>
              <w:t>Banding</w:t>
            </w:r>
          </w:p>
        </w:tc>
        <w:tc>
          <w:tcPr>
            <w:tcW w:w="5668" w:type="dxa"/>
            <w:gridSpan w:val="2"/>
          </w:tcPr>
          <w:p w:rsidR="00AB5628" w:rsidRPr="00B944F9" w:rsidRDefault="00AB5628" w:rsidP="007209D6">
            <w:pPr>
              <w:spacing w:after="0" w:line="240" w:lineRule="auto"/>
              <w:jc w:val="center"/>
              <w:rPr>
                <w:rFonts w:ascii="Arial" w:hAnsi="Arial" w:cs="Arial"/>
                <w:b/>
                <w:sz w:val="24"/>
                <w:szCs w:val="24"/>
                <w:u w:val="single"/>
              </w:rPr>
            </w:pPr>
            <w:r w:rsidRPr="00B944F9">
              <w:rPr>
                <w:rFonts w:ascii="Arial" w:hAnsi="Arial" w:cs="Arial"/>
                <w:b/>
                <w:sz w:val="24"/>
                <w:szCs w:val="24"/>
                <w:u w:val="single"/>
              </w:rPr>
              <w:t>% of commissioned places</w:t>
            </w:r>
          </w:p>
        </w:tc>
      </w:tr>
      <w:tr w:rsidR="00AB5628" w:rsidRPr="00B944F9" w:rsidTr="007209D6">
        <w:tc>
          <w:tcPr>
            <w:tcW w:w="2854" w:type="dxa"/>
          </w:tcPr>
          <w:p w:rsidR="00AB5628" w:rsidRPr="00B944F9" w:rsidRDefault="00AB5628" w:rsidP="007209D6">
            <w:pPr>
              <w:spacing w:after="0" w:line="240" w:lineRule="auto"/>
              <w:jc w:val="center"/>
              <w:rPr>
                <w:rFonts w:ascii="Arial" w:hAnsi="Arial" w:cs="Arial"/>
                <w:sz w:val="24"/>
                <w:szCs w:val="24"/>
              </w:rPr>
            </w:pPr>
          </w:p>
        </w:tc>
        <w:tc>
          <w:tcPr>
            <w:tcW w:w="2855"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b/>
                <w:sz w:val="24"/>
                <w:szCs w:val="24"/>
                <w:u w:val="single"/>
              </w:rPr>
              <w:t>Phoenix</w:t>
            </w:r>
          </w:p>
        </w:tc>
        <w:tc>
          <w:tcPr>
            <w:tcW w:w="2813" w:type="dxa"/>
          </w:tcPr>
          <w:p w:rsidR="00AB5628" w:rsidRPr="00B944F9" w:rsidRDefault="00AB5628" w:rsidP="007209D6">
            <w:pPr>
              <w:spacing w:after="0" w:line="240" w:lineRule="auto"/>
              <w:jc w:val="center"/>
              <w:rPr>
                <w:rFonts w:ascii="Arial" w:hAnsi="Arial" w:cs="Arial"/>
                <w:b/>
                <w:sz w:val="24"/>
                <w:szCs w:val="24"/>
                <w:u w:val="single"/>
              </w:rPr>
            </w:pPr>
            <w:r w:rsidRPr="00B944F9">
              <w:rPr>
                <w:rFonts w:ascii="Arial" w:hAnsi="Arial" w:cs="Arial"/>
                <w:b/>
                <w:sz w:val="24"/>
                <w:szCs w:val="24"/>
                <w:u w:val="single"/>
              </w:rPr>
              <w:t>YPC</w:t>
            </w:r>
          </w:p>
        </w:tc>
      </w:tr>
      <w:tr w:rsidR="00AB5628" w:rsidRPr="00B944F9" w:rsidTr="007209D6">
        <w:tc>
          <w:tcPr>
            <w:tcW w:w="2854"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6</w:t>
            </w:r>
          </w:p>
        </w:tc>
        <w:tc>
          <w:tcPr>
            <w:tcW w:w="2855"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10</w:t>
            </w:r>
          </w:p>
        </w:tc>
        <w:tc>
          <w:tcPr>
            <w:tcW w:w="2813"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15</w:t>
            </w:r>
          </w:p>
        </w:tc>
      </w:tr>
      <w:tr w:rsidR="00AB5628" w:rsidRPr="00B944F9" w:rsidTr="007209D6">
        <w:tc>
          <w:tcPr>
            <w:tcW w:w="2854"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7</w:t>
            </w:r>
          </w:p>
        </w:tc>
        <w:tc>
          <w:tcPr>
            <w:tcW w:w="2855"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35</w:t>
            </w:r>
          </w:p>
        </w:tc>
        <w:tc>
          <w:tcPr>
            <w:tcW w:w="2813"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40</w:t>
            </w:r>
          </w:p>
        </w:tc>
      </w:tr>
      <w:tr w:rsidR="00AB5628" w:rsidRPr="00B944F9" w:rsidTr="007209D6">
        <w:tc>
          <w:tcPr>
            <w:tcW w:w="2854"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8</w:t>
            </w:r>
          </w:p>
        </w:tc>
        <w:tc>
          <w:tcPr>
            <w:tcW w:w="2855"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40</w:t>
            </w:r>
          </w:p>
        </w:tc>
        <w:tc>
          <w:tcPr>
            <w:tcW w:w="2813"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40</w:t>
            </w:r>
          </w:p>
        </w:tc>
      </w:tr>
      <w:tr w:rsidR="00AB5628" w:rsidRPr="00B944F9" w:rsidTr="007209D6">
        <w:tc>
          <w:tcPr>
            <w:tcW w:w="2854"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9</w:t>
            </w:r>
          </w:p>
        </w:tc>
        <w:tc>
          <w:tcPr>
            <w:tcW w:w="2855"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10</w:t>
            </w:r>
          </w:p>
        </w:tc>
        <w:tc>
          <w:tcPr>
            <w:tcW w:w="2813"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5</w:t>
            </w:r>
          </w:p>
        </w:tc>
      </w:tr>
      <w:tr w:rsidR="00AB5628" w:rsidRPr="00B944F9" w:rsidTr="007209D6">
        <w:tc>
          <w:tcPr>
            <w:tcW w:w="2854"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10</w:t>
            </w:r>
          </w:p>
        </w:tc>
        <w:tc>
          <w:tcPr>
            <w:tcW w:w="2855"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5</w:t>
            </w:r>
          </w:p>
        </w:tc>
        <w:tc>
          <w:tcPr>
            <w:tcW w:w="2813" w:type="dxa"/>
          </w:tcPr>
          <w:p w:rsidR="00AB5628" w:rsidRPr="00B944F9" w:rsidRDefault="00AB5628" w:rsidP="007209D6">
            <w:pPr>
              <w:spacing w:after="0" w:line="240" w:lineRule="auto"/>
              <w:jc w:val="center"/>
              <w:rPr>
                <w:rFonts w:ascii="Arial" w:hAnsi="Arial" w:cs="Arial"/>
                <w:sz w:val="24"/>
                <w:szCs w:val="24"/>
              </w:rPr>
            </w:pPr>
            <w:r w:rsidRPr="00B944F9">
              <w:rPr>
                <w:rFonts w:ascii="Arial" w:hAnsi="Arial" w:cs="Arial"/>
                <w:sz w:val="24"/>
                <w:szCs w:val="24"/>
              </w:rPr>
              <w:t>0</w:t>
            </w:r>
          </w:p>
        </w:tc>
      </w:tr>
      <w:tr w:rsidR="00424C78" w:rsidRPr="00B944F9" w:rsidTr="007209D6">
        <w:tc>
          <w:tcPr>
            <w:tcW w:w="2854" w:type="dxa"/>
          </w:tcPr>
          <w:p w:rsidR="00424C78" w:rsidRPr="00B944F9" w:rsidRDefault="00424C78" w:rsidP="007209D6">
            <w:pPr>
              <w:spacing w:after="0" w:line="240" w:lineRule="auto"/>
              <w:jc w:val="center"/>
              <w:rPr>
                <w:rFonts w:ascii="Arial" w:hAnsi="Arial" w:cs="Arial"/>
                <w:sz w:val="24"/>
                <w:szCs w:val="24"/>
              </w:rPr>
            </w:pPr>
          </w:p>
        </w:tc>
        <w:tc>
          <w:tcPr>
            <w:tcW w:w="2855" w:type="dxa"/>
          </w:tcPr>
          <w:p w:rsidR="00424C78" w:rsidRPr="00B944F9" w:rsidRDefault="00424C78" w:rsidP="007209D6">
            <w:pPr>
              <w:spacing w:after="0" w:line="240" w:lineRule="auto"/>
              <w:jc w:val="center"/>
              <w:rPr>
                <w:rFonts w:ascii="Arial" w:hAnsi="Arial" w:cs="Arial"/>
                <w:sz w:val="24"/>
                <w:szCs w:val="24"/>
              </w:rPr>
            </w:pPr>
          </w:p>
        </w:tc>
        <w:tc>
          <w:tcPr>
            <w:tcW w:w="2813" w:type="dxa"/>
          </w:tcPr>
          <w:p w:rsidR="00424C78" w:rsidRPr="00B944F9" w:rsidRDefault="00424C78" w:rsidP="007209D6">
            <w:pPr>
              <w:spacing w:after="0" w:line="240" w:lineRule="auto"/>
              <w:jc w:val="center"/>
              <w:rPr>
                <w:rFonts w:ascii="Arial" w:hAnsi="Arial" w:cs="Arial"/>
                <w:sz w:val="24"/>
                <w:szCs w:val="24"/>
              </w:rPr>
            </w:pPr>
          </w:p>
        </w:tc>
      </w:tr>
      <w:tr w:rsidR="00424C78" w:rsidRPr="00B944F9" w:rsidTr="007209D6">
        <w:tc>
          <w:tcPr>
            <w:tcW w:w="2854" w:type="dxa"/>
          </w:tcPr>
          <w:p w:rsidR="00424C78" w:rsidRPr="00B944F9" w:rsidRDefault="00424C78" w:rsidP="007209D6">
            <w:pPr>
              <w:spacing w:after="0" w:line="240" w:lineRule="auto"/>
              <w:jc w:val="center"/>
              <w:rPr>
                <w:rFonts w:ascii="Arial" w:hAnsi="Arial" w:cs="Arial"/>
                <w:sz w:val="24"/>
                <w:szCs w:val="24"/>
              </w:rPr>
            </w:pPr>
            <w:r>
              <w:rPr>
                <w:rFonts w:ascii="Arial" w:hAnsi="Arial" w:cs="Arial"/>
                <w:sz w:val="24"/>
                <w:szCs w:val="24"/>
              </w:rPr>
              <w:t>Places</w:t>
            </w:r>
          </w:p>
        </w:tc>
        <w:tc>
          <w:tcPr>
            <w:tcW w:w="2855" w:type="dxa"/>
          </w:tcPr>
          <w:p w:rsidR="00424C78" w:rsidRPr="00B944F9" w:rsidRDefault="00424C78" w:rsidP="007209D6">
            <w:pPr>
              <w:spacing w:after="0" w:line="240" w:lineRule="auto"/>
              <w:jc w:val="center"/>
              <w:rPr>
                <w:rFonts w:ascii="Arial" w:hAnsi="Arial" w:cs="Arial"/>
                <w:sz w:val="24"/>
                <w:szCs w:val="24"/>
              </w:rPr>
            </w:pPr>
            <w:r>
              <w:rPr>
                <w:rFonts w:ascii="Arial" w:hAnsi="Arial" w:cs="Arial"/>
                <w:sz w:val="24"/>
                <w:szCs w:val="24"/>
              </w:rPr>
              <w:t>68</w:t>
            </w:r>
          </w:p>
        </w:tc>
        <w:tc>
          <w:tcPr>
            <w:tcW w:w="2813" w:type="dxa"/>
          </w:tcPr>
          <w:p w:rsidR="00424C78" w:rsidRPr="00B944F9" w:rsidRDefault="00424C78" w:rsidP="007209D6">
            <w:pPr>
              <w:spacing w:after="0" w:line="240" w:lineRule="auto"/>
              <w:jc w:val="center"/>
              <w:rPr>
                <w:rFonts w:ascii="Arial" w:hAnsi="Arial" w:cs="Arial"/>
                <w:sz w:val="24"/>
                <w:szCs w:val="24"/>
              </w:rPr>
            </w:pPr>
            <w:r>
              <w:rPr>
                <w:rFonts w:ascii="Arial" w:hAnsi="Arial" w:cs="Arial"/>
                <w:sz w:val="24"/>
                <w:szCs w:val="24"/>
              </w:rPr>
              <w:t>50</w:t>
            </w:r>
          </w:p>
        </w:tc>
      </w:tr>
    </w:tbl>
    <w:p w:rsidR="00AB5628" w:rsidRPr="00B944F9" w:rsidRDefault="00AB5628" w:rsidP="001F3F25">
      <w:pPr>
        <w:ind w:left="720"/>
        <w:rPr>
          <w:rFonts w:ascii="Arial" w:hAnsi="Arial" w:cs="Arial"/>
          <w:sz w:val="24"/>
          <w:szCs w:val="24"/>
        </w:rPr>
      </w:pPr>
    </w:p>
    <w:p w:rsidR="00AB5628" w:rsidRPr="00424C78" w:rsidRDefault="00AB5628" w:rsidP="009F4852">
      <w:pPr>
        <w:pStyle w:val="ListParagraph"/>
        <w:numPr>
          <w:ilvl w:val="0"/>
          <w:numId w:val="1"/>
        </w:numPr>
        <w:rPr>
          <w:rFonts w:ascii="Arial" w:hAnsi="Arial" w:cs="Arial"/>
          <w:sz w:val="24"/>
          <w:szCs w:val="24"/>
        </w:rPr>
      </w:pPr>
      <w:r w:rsidRPr="00B944F9">
        <w:rPr>
          <w:rFonts w:ascii="Arial" w:hAnsi="Arial" w:cs="Arial"/>
          <w:b/>
          <w:sz w:val="24"/>
          <w:szCs w:val="24"/>
          <w:u w:val="single"/>
        </w:rPr>
        <w:t>Conclusions</w:t>
      </w:r>
    </w:p>
    <w:p w:rsidR="00424C78" w:rsidRPr="00B944F9" w:rsidRDefault="00424C78" w:rsidP="00424C78">
      <w:pPr>
        <w:ind w:left="720"/>
        <w:rPr>
          <w:rFonts w:ascii="Arial" w:hAnsi="Arial" w:cs="Arial"/>
          <w:sz w:val="24"/>
          <w:szCs w:val="24"/>
        </w:rPr>
      </w:pPr>
      <w:r w:rsidRPr="00B944F9">
        <w:rPr>
          <w:rFonts w:ascii="Arial" w:hAnsi="Arial" w:cs="Arial"/>
          <w:sz w:val="24"/>
          <w:szCs w:val="24"/>
        </w:rPr>
        <w:t>Appendix A shows the current proposed usage of the High Needs Block based on the refined values after factoring in the findings of the Behaviour Task Group and further discussions on the banding values. It can be seen that a</w:t>
      </w:r>
      <w:r>
        <w:rPr>
          <w:rFonts w:ascii="Arial" w:hAnsi="Arial" w:cs="Arial"/>
          <w:sz w:val="24"/>
          <w:szCs w:val="24"/>
        </w:rPr>
        <w:t xml:space="preserve"> gross</w:t>
      </w:r>
      <w:r w:rsidRPr="00B944F9">
        <w:rPr>
          <w:rFonts w:ascii="Arial" w:hAnsi="Arial" w:cs="Arial"/>
          <w:sz w:val="24"/>
          <w:szCs w:val="24"/>
        </w:rPr>
        <w:t xml:space="preserve"> affordability issue of £</w:t>
      </w:r>
      <w:r>
        <w:rPr>
          <w:rFonts w:ascii="Arial" w:hAnsi="Arial" w:cs="Arial"/>
          <w:sz w:val="24"/>
          <w:szCs w:val="24"/>
        </w:rPr>
        <w:t>107</w:t>
      </w:r>
      <w:r w:rsidRPr="00B944F9">
        <w:rPr>
          <w:rFonts w:ascii="Arial" w:hAnsi="Arial" w:cs="Arial"/>
          <w:sz w:val="24"/>
          <w:szCs w:val="24"/>
        </w:rPr>
        <w:t>k still exists</w:t>
      </w:r>
      <w:r>
        <w:rPr>
          <w:rFonts w:ascii="Arial" w:hAnsi="Arial" w:cs="Arial"/>
          <w:sz w:val="24"/>
          <w:szCs w:val="24"/>
        </w:rPr>
        <w:t xml:space="preserve"> however ways of bridging this gap in part have been identified and other may be more clear once certain as yet unclarified information is received</w:t>
      </w:r>
      <w:r w:rsidRPr="00B944F9">
        <w:rPr>
          <w:rFonts w:ascii="Arial" w:hAnsi="Arial" w:cs="Arial"/>
          <w:sz w:val="24"/>
          <w:szCs w:val="24"/>
        </w:rPr>
        <w:t xml:space="preserve">. </w:t>
      </w:r>
    </w:p>
    <w:p w:rsidR="00424C78" w:rsidRPr="00B944F9" w:rsidRDefault="00424C78" w:rsidP="00424C78">
      <w:pPr>
        <w:ind w:left="720"/>
        <w:rPr>
          <w:rFonts w:ascii="Arial" w:hAnsi="Arial" w:cs="Arial"/>
          <w:sz w:val="24"/>
          <w:szCs w:val="24"/>
        </w:rPr>
      </w:pPr>
      <w:r w:rsidRPr="00B944F9">
        <w:rPr>
          <w:rFonts w:ascii="Arial" w:hAnsi="Arial" w:cs="Arial"/>
          <w:sz w:val="24"/>
          <w:szCs w:val="24"/>
        </w:rPr>
        <w:t xml:space="preserve">The above does not factor in the risks referred to above which could materialise and be significant. </w:t>
      </w:r>
      <w:r>
        <w:rPr>
          <w:rFonts w:ascii="Arial" w:hAnsi="Arial" w:cs="Arial"/>
          <w:sz w:val="24"/>
          <w:szCs w:val="24"/>
        </w:rPr>
        <w:t>As a reminder t</w:t>
      </w:r>
      <w:r w:rsidRPr="00B944F9">
        <w:rPr>
          <w:rFonts w:ascii="Arial" w:hAnsi="Arial" w:cs="Arial"/>
          <w:sz w:val="24"/>
          <w:szCs w:val="24"/>
        </w:rPr>
        <w:t>hese are:</w:t>
      </w:r>
    </w:p>
    <w:p w:rsidR="00424C78" w:rsidRPr="00B944F9" w:rsidRDefault="00424C78" w:rsidP="00424C78">
      <w:pPr>
        <w:pStyle w:val="ListParagraph"/>
        <w:numPr>
          <w:ilvl w:val="0"/>
          <w:numId w:val="9"/>
        </w:numPr>
        <w:rPr>
          <w:rFonts w:ascii="Arial" w:hAnsi="Arial" w:cs="Arial"/>
          <w:sz w:val="24"/>
          <w:szCs w:val="24"/>
        </w:rPr>
      </w:pPr>
      <w:r w:rsidRPr="00B944F9">
        <w:rPr>
          <w:rFonts w:ascii="Arial" w:hAnsi="Arial" w:cs="Arial"/>
          <w:sz w:val="24"/>
          <w:szCs w:val="24"/>
        </w:rPr>
        <w:t>Future financial uplift in the High Needs Block. No guidance has been given by the EFA and will probably not be known until the DSG settlement announcement.</w:t>
      </w:r>
    </w:p>
    <w:p w:rsidR="00424C78" w:rsidRPr="00B944F9" w:rsidRDefault="00424C78" w:rsidP="00424C78">
      <w:pPr>
        <w:pStyle w:val="ListParagraph"/>
        <w:numPr>
          <w:ilvl w:val="0"/>
          <w:numId w:val="9"/>
        </w:numPr>
        <w:rPr>
          <w:rFonts w:ascii="Arial" w:hAnsi="Arial" w:cs="Arial"/>
          <w:sz w:val="24"/>
          <w:szCs w:val="24"/>
        </w:rPr>
      </w:pPr>
      <w:r w:rsidRPr="00B944F9">
        <w:rPr>
          <w:rFonts w:ascii="Arial" w:hAnsi="Arial" w:cs="Arial"/>
          <w:sz w:val="24"/>
          <w:szCs w:val="24"/>
        </w:rPr>
        <w:t>Future increases in demand needs  including the complexity of needs of our most vulnerable children</w:t>
      </w:r>
    </w:p>
    <w:p w:rsidR="00424C78" w:rsidRPr="00B944F9" w:rsidRDefault="00424C78" w:rsidP="00424C78">
      <w:pPr>
        <w:pStyle w:val="ListParagraph"/>
        <w:numPr>
          <w:ilvl w:val="0"/>
          <w:numId w:val="9"/>
        </w:numPr>
        <w:rPr>
          <w:rFonts w:ascii="Arial" w:hAnsi="Arial" w:cs="Arial"/>
          <w:sz w:val="24"/>
          <w:szCs w:val="24"/>
        </w:rPr>
      </w:pPr>
      <w:r w:rsidRPr="00B944F9">
        <w:rPr>
          <w:rFonts w:ascii="Arial" w:hAnsi="Arial" w:cs="Arial"/>
          <w:sz w:val="24"/>
          <w:szCs w:val="24"/>
        </w:rPr>
        <w:t xml:space="preserve">Post 16 – this remains an estimate at this and work is on-going with providers. Again until the settlement is provided the funding available will not be known and the amount included at Appendix 1 may not reflect our final notification. </w:t>
      </w:r>
    </w:p>
    <w:p w:rsidR="00424C78" w:rsidRPr="00B944F9" w:rsidRDefault="00424C78" w:rsidP="00424C78">
      <w:pPr>
        <w:ind w:left="720"/>
        <w:rPr>
          <w:rFonts w:ascii="Arial" w:hAnsi="Arial" w:cs="Arial"/>
          <w:sz w:val="24"/>
          <w:szCs w:val="24"/>
        </w:rPr>
      </w:pPr>
      <w:r w:rsidRPr="00B944F9">
        <w:rPr>
          <w:rFonts w:ascii="Arial" w:hAnsi="Arial" w:cs="Arial"/>
          <w:sz w:val="24"/>
          <w:szCs w:val="24"/>
        </w:rPr>
        <w:t xml:space="preserve">The Council is required to </w:t>
      </w:r>
      <w:r>
        <w:rPr>
          <w:rFonts w:ascii="Arial" w:hAnsi="Arial" w:cs="Arial"/>
          <w:sz w:val="24"/>
          <w:szCs w:val="24"/>
        </w:rPr>
        <w:t xml:space="preserve">submit </w:t>
      </w:r>
      <w:r w:rsidRPr="00B944F9">
        <w:rPr>
          <w:rFonts w:ascii="Arial" w:hAnsi="Arial" w:cs="Arial"/>
          <w:sz w:val="24"/>
          <w:szCs w:val="24"/>
        </w:rPr>
        <w:t xml:space="preserve">its annual high needs places return </w:t>
      </w:r>
      <w:r>
        <w:rPr>
          <w:rFonts w:ascii="Arial" w:hAnsi="Arial" w:cs="Arial"/>
          <w:sz w:val="24"/>
          <w:szCs w:val="24"/>
        </w:rPr>
        <w:t xml:space="preserve">to the EFA </w:t>
      </w:r>
      <w:r w:rsidRPr="00B944F9">
        <w:rPr>
          <w:rFonts w:ascii="Arial" w:hAnsi="Arial" w:cs="Arial"/>
          <w:sz w:val="24"/>
          <w:szCs w:val="24"/>
        </w:rPr>
        <w:t>in December and  therefore has to consider the number of places it needs to commission for 2014-15. This is currently being worked on.</w:t>
      </w:r>
    </w:p>
    <w:p w:rsidR="00424C78" w:rsidRDefault="00424C78" w:rsidP="00424C78">
      <w:pPr>
        <w:pStyle w:val="ListParagraph"/>
        <w:rPr>
          <w:rFonts w:ascii="Arial" w:hAnsi="Arial" w:cs="Arial"/>
          <w:b/>
          <w:sz w:val="24"/>
          <w:szCs w:val="24"/>
          <w:u w:val="single"/>
        </w:rPr>
      </w:pPr>
    </w:p>
    <w:p w:rsidR="00424C78" w:rsidRPr="00424C78" w:rsidRDefault="00424C78" w:rsidP="009F4852">
      <w:pPr>
        <w:pStyle w:val="ListParagraph"/>
        <w:numPr>
          <w:ilvl w:val="0"/>
          <w:numId w:val="1"/>
        </w:numPr>
        <w:rPr>
          <w:rFonts w:ascii="Arial" w:hAnsi="Arial" w:cs="Arial"/>
          <w:sz w:val="24"/>
          <w:szCs w:val="24"/>
        </w:rPr>
      </w:pPr>
      <w:r>
        <w:rPr>
          <w:rFonts w:ascii="Arial" w:hAnsi="Arial" w:cs="Arial"/>
          <w:b/>
          <w:sz w:val="24"/>
          <w:szCs w:val="24"/>
          <w:u w:val="single"/>
        </w:rPr>
        <w:t>Recommendations</w:t>
      </w:r>
    </w:p>
    <w:p w:rsidR="00424C78" w:rsidRDefault="00424C78" w:rsidP="00424C78">
      <w:pPr>
        <w:pStyle w:val="ListParagraph"/>
        <w:rPr>
          <w:rFonts w:ascii="Arial" w:hAnsi="Arial" w:cs="Arial"/>
          <w:b/>
          <w:sz w:val="24"/>
          <w:szCs w:val="24"/>
          <w:u w:val="single"/>
        </w:rPr>
      </w:pPr>
    </w:p>
    <w:p w:rsidR="00424C78" w:rsidRDefault="00424C78" w:rsidP="00424C78">
      <w:pPr>
        <w:pStyle w:val="ListParagraph"/>
        <w:rPr>
          <w:rFonts w:ascii="Arial" w:hAnsi="Arial" w:cs="Arial"/>
          <w:sz w:val="24"/>
          <w:szCs w:val="24"/>
        </w:rPr>
      </w:pPr>
      <w:r>
        <w:rPr>
          <w:rFonts w:ascii="Arial" w:hAnsi="Arial" w:cs="Arial"/>
          <w:sz w:val="24"/>
          <w:szCs w:val="24"/>
        </w:rPr>
        <w:t>It is recommended that:</w:t>
      </w:r>
    </w:p>
    <w:p w:rsidR="00424C78" w:rsidRDefault="00424C78" w:rsidP="00424C78">
      <w:pPr>
        <w:pStyle w:val="ListParagraph"/>
        <w:rPr>
          <w:rFonts w:ascii="Arial" w:hAnsi="Arial" w:cs="Arial"/>
          <w:sz w:val="24"/>
          <w:szCs w:val="24"/>
        </w:rPr>
      </w:pPr>
    </w:p>
    <w:p w:rsidR="00424C78" w:rsidRDefault="00424C78" w:rsidP="00424C78">
      <w:pPr>
        <w:pStyle w:val="ListParagraph"/>
        <w:numPr>
          <w:ilvl w:val="0"/>
          <w:numId w:val="10"/>
        </w:numPr>
        <w:rPr>
          <w:rFonts w:ascii="Arial" w:hAnsi="Arial" w:cs="Arial"/>
          <w:sz w:val="24"/>
          <w:szCs w:val="24"/>
        </w:rPr>
      </w:pPr>
      <w:r>
        <w:rPr>
          <w:rFonts w:ascii="Arial" w:hAnsi="Arial" w:cs="Arial"/>
          <w:sz w:val="24"/>
          <w:szCs w:val="24"/>
        </w:rPr>
        <w:t>the report be noted.</w:t>
      </w:r>
    </w:p>
    <w:p w:rsidR="00424C78" w:rsidRDefault="00424C78" w:rsidP="00424C78">
      <w:pPr>
        <w:pStyle w:val="ListParagraph"/>
        <w:numPr>
          <w:ilvl w:val="0"/>
          <w:numId w:val="10"/>
        </w:numPr>
        <w:rPr>
          <w:rFonts w:ascii="Arial" w:hAnsi="Arial" w:cs="Arial"/>
          <w:sz w:val="24"/>
          <w:szCs w:val="24"/>
        </w:rPr>
      </w:pPr>
      <w:r>
        <w:rPr>
          <w:rFonts w:ascii="Arial" w:hAnsi="Arial" w:cs="Arial"/>
          <w:sz w:val="24"/>
          <w:szCs w:val="24"/>
        </w:rPr>
        <w:t>on the ceasing of the current protection arrangements that the refined banding values proposed above be adopted, and</w:t>
      </w:r>
    </w:p>
    <w:p w:rsidR="00424C78" w:rsidRPr="00424C78" w:rsidRDefault="00424C78" w:rsidP="00424C78">
      <w:pPr>
        <w:pStyle w:val="ListParagraph"/>
        <w:numPr>
          <w:ilvl w:val="0"/>
          <w:numId w:val="10"/>
        </w:numPr>
        <w:rPr>
          <w:rFonts w:ascii="Arial" w:hAnsi="Arial" w:cs="Arial"/>
          <w:sz w:val="24"/>
          <w:szCs w:val="24"/>
        </w:rPr>
      </w:pPr>
      <w:r>
        <w:rPr>
          <w:rFonts w:ascii="Arial" w:hAnsi="Arial" w:cs="Arial"/>
          <w:sz w:val="24"/>
          <w:szCs w:val="24"/>
        </w:rPr>
        <w:t>the payment of future additionality payments on current children cease on the 31</w:t>
      </w:r>
      <w:r w:rsidRPr="00424C78">
        <w:rPr>
          <w:rFonts w:ascii="Arial" w:hAnsi="Arial" w:cs="Arial"/>
          <w:sz w:val="24"/>
          <w:szCs w:val="24"/>
          <w:vertAlign w:val="superscript"/>
        </w:rPr>
        <w:t>st</w:t>
      </w:r>
      <w:r>
        <w:rPr>
          <w:rFonts w:ascii="Arial" w:hAnsi="Arial" w:cs="Arial"/>
          <w:sz w:val="24"/>
          <w:szCs w:val="24"/>
        </w:rPr>
        <w:t xml:space="preserve"> August 2013.</w:t>
      </w:r>
    </w:p>
    <w:p w:rsidR="00424C78" w:rsidRDefault="00424C78" w:rsidP="00040715">
      <w:pPr>
        <w:pStyle w:val="ListParagraph"/>
        <w:rPr>
          <w:rFonts w:ascii="Arial" w:hAnsi="Arial" w:cs="Arial"/>
          <w:sz w:val="24"/>
          <w:szCs w:val="24"/>
        </w:rPr>
      </w:pPr>
    </w:p>
    <w:p w:rsidR="00040715" w:rsidRDefault="00040715" w:rsidP="00040715">
      <w:pPr>
        <w:pStyle w:val="ListParagraph"/>
        <w:rPr>
          <w:rFonts w:ascii="Arial" w:hAnsi="Arial" w:cs="Arial"/>
          <w:sz w:val="24"/>
          <w:szCs w:val="24"/>
        </w:rPr>
      </w:pPr>
    </w:p>
    <w:p w:rsidR="00040715" w:rsidRPr="00040715" w:rsidRDefault="00040715" w:rsidP="00040715">
      <w:pPr>
        <w:ind w:firstLine="720"/>
        <w:contextualSpacing/>
        <w:rPr>
          <w:rFonts w:ascii="Arial" w:hAnsi="Arial" w:cs="Arial"/>
          <w:b/>
          <w:sz w:val="24"/>
          <w:szCs w:val="24"/>
          <w:u w:val="single"/>
        </w:rPr>
      </w:pPr>
      <w:r w:rsidRPr="00040715">
        <w:rPr>
          <w:rFonts w:ascii="Arial" w:hAnsi="Arial" w:cs="Arial"/>
          <w:b/>
          <w:sz w:val="24"/>
          <w:szCs w:val="24"/>
          <w:u w:val="single"/>
        </w:rPr>
        <w:t xml:space="preserve">Contact Officers: </w:t>
      </w:r>
    </w:p>
    <w:p w:rsidR="00040715" w:rsidRDefault="00040715" w:rsidP="00040715">
      <w:pPr>
        <w:ind w:firstLine="720"/>
        <w:contextualSpacing/>
        <w:rPr>
          <w:rFonts w:ascii="Arial" w:hAnsi="Arial" w:cs="Arial"/>
          <w:sz w:val="24"/>
          <w:szCs w:val="24"/>
        </w:rPr>
      </w:pPr>
    </w:p>
    <w:p w:rsidR="00040715" w:rsidRDefault="00040715" w:rsidP="00040715">
      <w:pPr>
        <w:ind w:firstLine="720"/>
        <w:contextualSpacing/>
        <w:rPr>
          <w:rFonts w:ascii="Arial" w:hAnsi="Arial" w:cs="Arial"/>
          <w:sz w:val="24"/>
          <w:szCs w:val="24"/>
        </w:rPr>
      </w:pPr>
      <w:r>
        <w:rPr>
          <w:rFonts w:ascii="Arial" w:hAnsi="Arial" w:cs="Arial"/>
          <w:sz w:val="24"/>
          <w:szCs w:val="24"/>
        </w:rPr>
        <w:t>Denise Faulconbridge – SEN &amp; Inclusion Manager</w:t>
      </w:r>
    </w:p>
    <w:p w:rsidR="00040715" w:rsidRPr="00194894" w:rsidRDefault="00040715" w:rsidP="00040715">
      <w:pPr>
        <w:ind w:firstLine="720"/>
        <w:contextualSpacing/>
        <w:rPr>
          <w:rFonts w:ascii="Arial" w:hAnsi="Arial" w:cs="Arial"/>
          <w:sz w:val="24"/>
          <w:szCs w:val="24"/>
        </w:rPr>
      </w:pPr>
      <w:r w:rsidRPr="00194894">
        <w:rPr>
          <w:rFonts w:ascii="Arial" w:hAnsi="Arial" w:cs="Arial"/>
          <w:sz w:val="24"/>
          <w:szCs w:val="24"/>
        </w:rPr>
        <w:t>David Kirven, Service Finance Manager – Business Partnering.</w:t>
      </w:r>
    </w:p>
    <w:p w:rsidR="00040715" w:rsidRDefault="00040715" w:rsidP="00040715">
      <w:pPr>
        <w:pStyle w:val="ListParagraph"/>
        <w:rPr>
          <w:rFonts w:ascii="Arial" w:hAnsi="Arial" w:cs="Arial"/>
          <w:sz w:val="24"/>
          <w:szCs w:val="24"/>
        </w:rPr>
      </w:pPr>
    </w:p>
    <w:p w:rsidR="00040715" w:rsidRDefault="00040715" w:rsidP="00040715">
      <w:pPr>
        <w:pStyle w:val="ListParagraph"/>
        <w:rPr>
          <w:rFonts w:ascii="Arial" w:hAnsi="Arial" w:cs="Arial"/>
          <w:sz w:val="24"/>
          <w:szCs w:val="24"/>
        </w:rPr>
      </w:pPr>
    </w:p>
    <w:sectPr w:rsidR="00040715" w:rsidSect="00746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779D"/>
    <w:multiLevelType w:val="hybridMultilevel"/>
    <w:tmpl w:val="366AD0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3493B8E"/>
    <w:multiLevelType w:val="hybridMultilevel"/>
    <w:tmpl w:val="02549A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13A83CFB"/>
    <w:multiLevelType w:val="hybridMultilevel"/>
    <w:tmpl w:val="E618A9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4C04CBE"/>
    <w:multiLevelType w:val="hybridMultilevel"/>
    <w:tmpl w:val="51882126"/>
    <w:lvl w:ilvl="0" w:tplc="08090011">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4">
    <w:nsid w:val="1EA55C73"/>
    <w:multiLevelType w:val="hybridMultilevel"/>
    <w:tmpl w:val="ED1011AC"/>
    <w:lvl w:ilvl="0" w:tplc="BD0AA726">
      <w:start w:val="1"/>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5">
    <w:nsid w:val="218938EA"/>
    <w:multiLevelType w:val="hybridMultilevel"/>
    <w:tmpl w:val="6972A9C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2E6E7379"/>
    <w:multiLevelType w:val="hybridMultilevel"/>
    <w:tmpl w:val="78480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586C712C"/>
    <w:multiLevelType w:val="hybridMultilevel"/>
    <w:tmpl w:val="E4145F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AC9225C"/>
    <w:multiLevelType w:val="hybridMultilevel"/>
    <w:tmpl w:val="DD92B1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4852"/>
    <w:rsid w:val="00012967"/>
    <w:rsid w:val="00021EA9"/>
    <w:rsid w:val="00040715"/>
    <w:rsid w:val="00047BBC"/>
    <w:rsid w:val="00151B47"/>
    <w:rsid w:val="001F3F25"/>
    <w:rsid w:val="00224A2D"/>
    <w:rsid w:val="002632D5"/>
    <w:rsid w:val="00272588"/>
    <w:rsid w:val="002748F3"/>
    <w:rsid w:val="002A289E"/>
    <w:rsid w:val="002A379B"/>
    <w:rsid w:val="002B6867"/>
    <w:rsid w:val="00306989"/>
    <w:rsid w:val="0032151B"/>
    <w:rsid w:val="00397B8B"/>
    <w:rsid w:val="003B019B"/>
    <w:rsid w:val="003E627E"/>
    <w:rsid w:val="00400E99"/>
    <w:rsid w:val="00424C78"/>
    <w:rsid w:val="004437F8"/>
    <w:rsid w:val="00555919"/>
    <w:rsid w:val="00572EA7"/>
    <w:rsid w:val="005E6E7E"/>
    <w:rsid w:val="00610FDF"/>
    <w:rsid w:val="00613289"/>
    <w:rsid w:val="0068133B"/>
    <w:rsid w:val="007209D6"/>
    <w:rsid w:val="007465DA"/>
    <w:rsid w:val="0077609E"/>
    <w:rsid w:val="007C2629"/>
    <w:rsid w:val="007C541C"/>
    <w:rsid w:val="008700F4"/>
    <w:rsid w:val="00871CFD"/>
    <w:rsid w:val="008B0C8F"/>
    <w:rsid w:val="008C032D"/>
    <w:rsid w:val="008F4EB8"/>
    <w:rsid w:val="00970672"/>
    <w:rsid w:val="009712D5"/>
    <w:rsid w:val="00973A46"/>
    <w:rsid w:val="009758EC"/>
    <w:rsid w:val="009F4852"/>
    <w:rsid w:val="00A30C80"/>
    <w:rsid w:val="00AB5628"/>
    <w:rsid w:val="00AD18C7"/>
    <w:rsid w:val="00B06895"/>
    <w:rsid w:val="00B07419"/>
    <w:rsid w:val="00B10575"/>
    <w:rsid w:val="00B83E72"/>
    <w:rsid w:val="00B944F9"/>
    <w:rsid w:val="00BA102A"/>
    <w:rsid w:val="00BD0886"/>
    <w:rsid w:val="00CD1377"/>
    <w:rsid w:val="00CE2AB3"/>
    <w:rsid w:val="00D80ED7"/>
    <w:rsid w:val="00D979DC"/>
    <w:rsid w:val="00DE11B1"/>
    <w:rsid w:val="00DE61A0"/>
    <w:rsid w:val="00DF1F01"/>
    <w:rsid w:val="00E16FF7"/>
    <w:rsid w:val="00E25CEC"/>
    <w:rsid w:val="00F06DED"/>
    <w:rsid w:val="00F11B9A"/>
    <w:rsid w:val="00F21BD4"/>
    <w:rsid w:val="00F41C84"/>
    <w:rsid w:val="00F46AB6"/>
    <w:rsid w:val="00FA1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5D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F4852"/>
    <w:pPr>
      <w:ind w:left="720"/>
      <w:contextualSpacing/>
    </w:pPr>
  </w:style>
  <w:style w:type="table" w:styleId="TableGrid">
    <w:name w:val="Table Grid"/>
    <w:basedOn w:val="TableNormal"/>
    <w:uiPriority w:val="99"/>
    <w:rsid w:val="0032151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11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1786</Words>
  <Characters>10184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SEN WORKING PARTY</vt:lpstr>
    </vt:vector>
  </TitlesOfParts>
  <Company>North East Lincolnshire Council</Company>
  <LinksUpToDate>false</LinksUpToDate>
  <CharactersWithSpaces>11947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 WORKING PARTY</dc:title>
  <dc:creator>Kirven, Dave</dc:creator>
  <cp:lastModifiedBy>Ferguson, David (Resources)</cp:lastModifiedBy>
  <cp:revision>2</cp:revision>
  <cp:lastPrinted>2013-11-27T09:44:00Z</cp:lastPrinted>
  <dcterms:created xsi:type="dcterms:W3CDTF">2013-12-04T11:19:00Z</dcterms:created>
  <dcterms:modified xsi:type="dcterms:W3CDTF">2013-12-04T11:19:00Z</dcterms:modified>
</cp:coreProperties>
</file>