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ProjectTitle"/>
    <w:bookmarkStart w:id="1" w:name="_GoBack"/>
    <w:bookmarkEnd w:id="0"/>
    <w:bookmarkEnd w:id="1"/>
    <w:p w14:paraId="5C8262FC" w14:textId="77777777" w:rsidR="00DC0958" w:rsidRPr="00CA72B7" w:rsidRDefault="00F70FD0" w:rsidP="00DC0958">
      <w:pPr>
        <w:pStyle w:val="DocTitle"/>
      </w:pPr>
      <w:r w:rsidRPr="00CA72B7">
        <w:fldChar w:fldCharType="begin"/>
      </w:r>
      <w:r w:rsidR="00D0111C" w:rsidRPr="00CA72B7">
        <w:instrText xml:space="preserve"> DOCVARIABLE  DocProjectTitle  \* MERGEFORMAT </w:instrText>
      </w:r>
      <w:r w:rsidRPr="00CA72B7">
        <w:fldChar w:fldCharType="separate"/>
      </w:r>
      <w:r w:rsidR="00515486" w:rsidRPr="00515486">
        <w:rPr>
          <w:bCs/>
        </w:rPr>
        <w:t>North</w:t>
      </w:r>
      <w:r w:rsidR="00515486">
        <w:t xml:space="preserve"> East Lincolnshire </w:t>
      </w:r>
      <w:r w:rsidRPr="00CA72B7">
        <w:fldChar w:fldCharType="end"/>
      </w:r>
    </w:p>
    <w:bookmarkStart w:id="2" w:name="DocumentTitle"/>
    <w:bookmarkEnd w:id="2"/>
    <w:p w14:paraId="111C519D" w14:textId="77777777" w:rsidR="00DC0958" w:rsidRPr="00CA72B7" w:rsidRDefault="00F70FD0" w:rsidP="00DC0958">
      <w:pPr>
        <w:pStyle w:val="DocSubTitle"/>
      </w:pPr>
      <w:r w:rsidRPr="00CA72B7">
        <w:fldChar w:fldCharType="begin"/>
      </w:r>
      <w:r w:rsidR="00D0111C" w:rsidRPr="00CA72B7">
        <w:instrText xml:space="preserve"> DOCVARIABLE  DocReportTitle  \* MERGEFORMAT </w:instrText>
      </w:r>
      <w:r w:rsidRPr="00CA72B7">
        <w:fldChar w:fldCharType="separate"/>
      </w:r>
      <w:r w:rsidR="00515486">
        <w:t>Economic Baseline</w:t>
      </w:r>
      <w:r w:rsidRPr="00CA72B7">
        <w:fldChar w:fldCharType="end"/>
      </w:r>
    </w:p>
    <w:bookmarkStart w:id="3" w:name="ClientName"/>
    <w:bookmarkEnd w:id="3"/>
    <w:p w14:paraId="0673B560" w14:textId="77777777" w:rsidR="009D5CB3" w:rsidRPr="00CA72B7" w:rsidRDefault="00F70FD0" w:rsidP="00676F6C">
      <w:pPr>
        <w:pStyle w:val="ClientName"/>
      </w:pPr>
      <w:r w:rsidRPr="00CA72B7">
        <w:fldChar w:fldCharType="begin"/>
      </w:r>
      <w:r w:rsidR="00D0111C" w:rsidRPr="00CA72B7">
        <w:instrText xml:space="preserve"> DOCVARIABLE  ClientName  \* MERGEFORMAT </w:instrText>
      </w:r>
      <w:r w:rsidRPr="00CA72B7">
        <w:fldChar w:fldCharType="separate"/>
      </w:r>
      <w:r w:rsidR="00515486">
        <w:t>North East Lincolnshire Council</w:t>
      </w:r>
      <w:r w:rsidRPr="00CA72B7">
        <w:fldChar w:fldCharType="end"/>
      </w:r>
    </w:p>
    <w:bookmarkStart w:id="4" w:name="DocumentDate"/>
    <w:bookmarkEnd w:id="4"/>
    <w:p w14:paraId="2001E657" w14:textId="77777777" w:rsidR="00815EA9" w:rsidRPr="00CA72B7" w:rsidRDefault="00F70FD0" w:rsidP="00815EA9">
      <w:pPr>
        <w:pStyle w:val="DocDate"/>
      </w:pPr>
      <w:r w:rsidRPr="00CA72B7">
        <w:fldChar w:fldCharType="begin"/>
      </w:r>
      <w:r w:rsidR="00D0111C" w:rsidRPr="00CA72B7">
        <w:instrText xml:space="preserve"> DOCVARIABLE  DocDate</w:instrText>
      </w:r>
      <w:r w:rsidR="002651B9" w:rsidRPr="00CA72B7">
        <w:instrText>Submission</w:instrText>
      </w:r>
      <w:r w:rsidR="00D0111C" w:rsidRPr="00CA72B7">
        <w:instrText xml:space="preserve">  \* MERGEFORMAT </w:instrText>
      </w:r>
      <w:r w:rsidRPr="00CA72B7">
        <w:fldChar w:fldCharType="separate"/>
      </w:r>
      <w:r w:rsidR="00515486">
        <w:t>July 2014</w:t>
      </w:r>
      <w:r w:rsidRPr="00CA72B7">
        <w:fldChar w:fldCharType="end"/>
      </w:r>
    </w:p>
    <w:bookmarkStart w:id="5" w:name="AdditionalInformation"/>
    <w:bookmarkEnd w:id="5"/>
    <w:p w14:paraId="03EE4F82" w14:textId="77777777" w:rsidR="00DC0958" w:rsidRPr="00CA72B7" w:rsidRDefault="00F70FD0" w:rsidP="009A4D7B">
      <w:pPr>
        <w:ind w:right="1700"/>
      </w:pPr>
      <w:r w:rsidRPr="00CA72B7">
        <w:fldChar w:fldCharType="begin"/>
      </w:r>
      <w:r w:rsidR="00D0111C" w:rsidRPr="00CA72B7">
        <w:instrText xml:space="preserve"> DOCVARIABLE  AdditionalInformation  \* MERGEFORMAT </w:instrText>
      </w:r>
      <w:r w:rsidRPr="00CA72B7">
        <w:fldChar w:fldCharType="separate"/>
      </w:r>
      <w:r w:rsidR="00515486" w:rsidRPr="00515486">
        <w:rPr>
          <w:bCs/>
        </w:rPr>
        <w:t xml:space="preserve"> </w:t>
      </w:r>
      <w:r w:rsidRPr="00CA72B7">
        <w:fldChar w:fldCharType="end"/>
      </w:r>
    </w:p>
    <w:p w14:paraId="686CCEAB" w14:textId="77777777" w:rsidR="00E13EFD" w:rsidRPr="00CA72B7" w:rsidRDefault="00E13EFD" w:rsidP="00D47D0F">
      <w:pPr>
        <w:pStyle w:val="Heading1NoTOC"/>
      </w:pPr>
    </w:p>
    <w:p w14:paraId="314168EA" w14:textId="77777777" w:rsidR="00DC0958" w:rsidRPr="00CA72B7" w:rsidRDefault="00DC0958" w:rsidP="00F17DB4">
      <w:pPr>
        <w:pStyle w:val="Heading1NoTOC"/>
        <w:sectPr w:rsidR="00DC0958" w:rsidRPr="00CA72B7" w:rsidSect="00E27DF5">
          <w:headerReference w:type="first" r:id="rId12"/>
          <w:pgSz w:w="11906" w:h="16838" w:code="9"/>
          <w:pgMar w:top="510" w:right="1134" w:bottom="964" w:left="1022" w:header="284" w:footer="510" w:gutter="0"/>
          <w:cols w:space="708"/>
          <w:titlePg/>
          <w:docGrid w:linePitch="360"/>
        </w:sectPr>
      </w:pPr>
    </w:p>
    <w:p w14:paraId="356296F9" w14:textId="77777777" w:rsidR="00017172" w:rsidRPr="00CA72B7" w:rsidRDefault="00E1773F" w:rsidP="00BE773A">
      <w:pPr>
        <w:pStyle w:val="Heading1NoTOC"/>
        <w:rPr>
          <w:rFonts w:eastAsiaTheme="majorEastAsia" w:cstheme="majorBidi"/>
        </w:rPr>
      </w:pPr>
      <w:bookmarkStart w:id="6" w:name="NoticePage"/>
      <w:r w:rsidRPr="00CA72B7">
        <w:rPr>
          <w:rFonts w:eastAsiaTheme="majorEastAsia" w:cstheme="majorBidi"/>
        </w:rPr>
        <w:lastRenderedPageBreak/>
        <w:t>Notice</w:t>
      </w:r>
    </w:p>
    <w:p w14:paraId="2246B09D" w14:textId="77777777" w:rsidR="00E1773F" w:rsidRPr="00CA72B7" w:rsidRDefault="00E1773F" w:rsidP="00E1773F">
      <w:r w:rsidRPr="00CA72B7">
        <w:t xml:space="preserve">This document and its contents have been prepared and are intended solely for </w:t>
      </w:r>
      <w:fldSimple w:instr=" DOCVARIABLE  ClientName  \* MERGEFORMAT ">
        <w:r w:rsidR="00515486">
          <w:t>North East Lincolnshire Council</w:t>
        </w:r>
      </w:fldSimple>
      <w:r w:rsidRPr="00CA72B7">
        <w:t>’s info</w:t>
      </w:r>
      <w:r w:rsidR="00515486">
        <w:t>rmation and use in relation to the Local Economic Assessment.</w:t>
      </w:r>
    </w:p>
    <w:p w14:paraId="0CF24EEE" w14:textId="77777777" w:rsidR="00E1773F" w:rsidRPr="00CA72B7" w:rsidRDefault="00E1773F" w:rsidP="00E1773F">
      <w:r w:rsidRPr="00CA72B7">
        <w:t>ATKINS assumes no responsibility to any other party in respect of or arising out of or in connection with this document and/or its contents.</w:t>
      </w:r>
    </w:p>
    <w:p w14:paraId="46CAB669" w14:textId="77777777" w:rsidR="004733A1" w:rsidRPr="00CA72B7" w:rsidRDefault="004733A1" w:rsidP="00E1773F">
      <w:r w:rsidRPr="00CA72B7">
        <w:t xml:space="preserve">This document has </w:t>
      </w:r>
      <w:r w:rsidR="00F70FD0">
        <w:fldChar w:fldCharType="begin"/>
      </w:r>
      <w:r w:rsidR="002B4FF4">
        <w:instrText xml:space="preserve"> NUMPAGES  \# "0" \* Arabic  \* MERGEFORMAT </w:instrText>
      </w:r>
      <w:r w:rsidR="00F70FD0">
        <w:fldChar w:fldCharType="separate"/>
      </w:r>
      <w:r w:rsidR="00BC5AC6">
        <w:rPr>
          <w:noProof/>
        </w:rPr>
        <w:t>46</w:t>
      </w:r>
      <w:r w:rsidR="00F70FD0">
        <w:rPr>
          <w:noProof/>
        </w:rPr>
        <w:fldChar w:fldCharType="end"/>
      </w:r>
      <w:r w:rsidRPr="00CA72B7">
        <w:t xml:space="preserve"> pages including the cover.</w:t>
      </w:r>
    </w:p>
    <w:p w14:paraId="69C4AB97" w14:textId="77777777" w:rsidR="00E1773F" w:rsidRPr="00CA72B7" w:rsidRDefault="00E1773F" w:rsidP="00050B9A">
      <w:pPr>
        <w:pStyle w:val="Heading3NoNumb"/>
        <w:spacing w:after="120"/>
        <w:rPr>
          <w:rFonts w:eastAsiaTheme="majorEastAsia" w:cstheme="majorBidi"/>
        </w:rPr>
      </w:pPr>
      <w:r w:rsidRPr="00CA72B7">
        <w:rPr>
          <w:rFonts w:eastAsiaTheme="majorEastAsia" w:cstheme="majorBidi"/>
        </w:rPr>
        <w:t xml:space="preserve">Document </w:t>
      </w:r>
      <w:r w:rsidR="00445313" w:rsidRPr="00CA72B7">
        <w:rPr>
          <w:rFonts w:eastAsiaTheme="majorEastAsia" w:cstheme="majorBidi"/>
        </w:rPr>
        <w:t>h</w:t>
      </w:r>
      <w:r w:rsidRPr="00CA72B7">
        <w:rPr>
          <w:rFonts w:eastAsiaTheme="majorEastAsia" w:cstheme="majorBidi"/>
        </w:rPr>
        <w:t>istory</w:t>
      </w:r>
    </w:p>
    <w:tbl>
      <w:tblPr>
        <w:tblStyle w:val="Atkins14pt"/>
        <w:tblW w:w="9639" w:type="dxa"/>
        <w:tblLayout w:type="fixed"/>
        <w:tblLook w:val="0600" w:firstRow="0" w:lastRow="0" w:firstColumn="0" w:lastColumn="0" w:noHBand="1" w:noVBand="1"/>
      </w:tblPr>
      <w:tblGrid>
        <w:gridCol w:w="1029"/>
        <w:gridCol w:w="2386"/>
        <w:gridCol w:w="1405"/>
        <w:gridCol w:w="1311"/>
        <w:gridCol w:w="1311"/>
        <w:gridCol w:w="1205"/>
        <w:gridCol w:w="992"/>
      </w:tblGrid>
      <w:tr w:rsidR="00131877" w:rsidRPr="00CA72B7" w14:paraId="4AF288D0" w14:textId="77777777" w:rsidTr="00D21F89">
        <w:tc>
          <w:tcPr>
            <w:tcW w:w="4820" w:type="dxa"/>
            <w:gridSpan w:val="3"/>
            <w:shd w:val="clear" w:color="auto" w:fill="F0EEEB" w:themeFill="accent6" w:themeFillTint="99"/>
          </w:tcPr>
          <w:p w14:paraId="38F7AAB4" w14:textId="77777777" w:rsidR="00131877" w:rsidRPr="00CA72B7" w:rsidRDefault="00131877" w:rsidP="008121A6">
            <w:pPr>
              <w:pStyle w:val="TableHeading"/>
              <w:rPr>
                <w:b w:val="0"/>
              </w:rPr>
            </w:pPr>
            <w:r w:rsidRPr="00CA72B7">
              <w:t xml:space="preserve">Job number: </w:t>
            </w:r>
            <w:fldSimple w:instr=" DOCVARIABLE  DocJobNumber  \* MERGEFORMAT ">
              <w:r w:rsidR="00515486" w:rsidRPr="00515486">
                <w:rPr>
                  <w:bCs/>
                </w:rPr>
                <w:t>001</w:t>
              </w:r>
            </w:fldSimple>
          </w:p>
        </w:tc>
        <w:tc>
          <w:tcPr>
            <w:tcW w:w="4819" w:type="dxa"/>
            <w:gridSpan w:val="4"/>
            <w:shd w:val="clear" w:color="auto" w:fill="F0EEEB" w:themeFill="accent6" w:themeFillTint="99"/>
          </w:tcPr>
          <w:p w14:paraId="105C95FB" w14:textId="77777777" w:rsidR="00131877" w:rsidRPr="00CA72B7" w:rsidRDefault="00131877" w:rsidP="00544B67">
            <w:pPr>
              <w:pStyle w:val="TableHeading"/>
              <w:rPr>
                <w:b w:val="0"/>
              </w:rPr>
            </w:pPr>
            <w:r w:rsidRPr="00CA72B7">
              <w:t xml:space="preserve">Document ref: </w:t>
            </w:r>
            <w:fldSimple w:instr=" DOCVARIABLE  DocReference  \* MERGEFORMAT ">
              <w:r w:rsidR="00515486">
                <w:t>5127325</w:t>
              </w:r>
            </w:fldSimple>
          </w:p>
        </w:tc>
      </w:tr>
      <w:tr w:rsidR="00131877" w:rsidRPr="00CA72B7" w14:paraId="034D373E" w14:textId="77777777" w:rsidTr="00CA7D99">
        <w:tc>
          <w:tcPr>
            <w:tcW w:w="1029" w:type="dxa"/>
            <w:shd w:val="clear" w:color="auto" w:fill="F0EEEB" w:themeFill="accent6" w:themeFillTint="99"/>
          </w:tcPr>
          <w:p w14:paraId="55776A1B" w14:textId="77777777" w:rsidR="00131877" w:rsidRPr="00CA72B7" w:rsidRDefault="00515486" w:rsidP="00D21F89">
            <w:pPr>
              <w:pStyle w:val="TableHeading"/>
              <w:rPr>
                <w:b w:val="0"/>
              </w:rPr>
            </w:pPr>
            <w:r>
              <w:rPr>
                <w:b w:val="0"/>
              </w:rPr>
              <w:t>Version</w:t>
            </w:r>
          </w:p>
        </w:tc>
        <w:tc>
          <w:tcPr>
            <w:tcW w:w="2386" w:type="dxa"/>
            <w:shd w:val="clear" w:color="auto" w:fill="F0EEEB" w:themeFill="accent6" w:themeFillTint="99"/>
          </w:tcPr>
          <w:p w14:paraId="612E5FC7" w14:textId="77777777" w:rsidR="00131877" w:rsidRPr="00CA72B7" w:rsidRDefault="00515486" w:rsidP="00445313">
            <w:pPr>
              <w:pStyle w:val="TableHeading"/>
              <w:rPr>
                <w:b w:val="0"/>
              </w:rPr>
            </w:pPr>
            <w:r>
              <w:rPr>
                <w:b w:val="0"/>
              </w:rPr>
              <w:t>Description</w:t>
            </w:r>
          </w:p>
        </w:tc>
        <w:tc>
          <w:tcPr>
            <w:tcW w:w="1405" w:type="dxa"/>
            <w:shd w:val="clear" w:color="auto" w:fill="F0EEEB" w:themeFill="accent6" w:themeFillTint="99"/>
          </w:tcPr>
          <w:p w14:paraId="4B1D4A8E" w14:textId="77777777" w:rsidR="00131877" w:rsidRPr="00CA72B7" w:rsidRDefault="00131877" w:rsidP="00D21F89">
            <w:pPr>
              <w:pStyle w:val="TableHeading"/>
              <w:rPr>
                <w:b w:val="0"/>
              </w:rPr>
            </w:pPr>
            <w:r w:rsidRPr="00CA72B7">
              <w:rPr>
                <w:b w:val="0"/>
              </w:rPr>
              <w:t>Originated</w:t>
            </w:r>
          </w:p>
        </w:tc>
        <w:tc>
          <w:tcPr>
            <w:tcW w:w="1311" w:type="dxa"/>
            <w:shd w:val="clear" w:color="auto" w:fill="F0EEEB" w:themeFill="accent6" w:themeFillTint="99"/>
          </w:tcPr>
          <w:p w14:paraId="3DC20DB1" w14:textId="77777777" w:rsidR="00131877" w:rsidRPr="00CA72B7" w:rsidRDefault="00131877" w:rsidP="00D21F89">
            <w:pPr>
              <w:pStyle w:val="TableHeading"/>
              <w:rPr>
                <w:b w:val="0"/>
              </w:rPr>
            </w:pPr>
            <w:r w:rsidRPr="00CA72B7">
              <w:rPr>
                <w:b w:val="0"/>
              </w:rPr>
              <w:t>Checked</w:t>
            </w:r>
          </w:p>
        </w:tc>
        <w:tc>
          <w:tcPr>
            <w:tcW w:w="1311" w:type="dxa"/>
            <w:shd w:val="clear" w:color="auto" w:fill="F0EEEB" w:themeFill="accent6" w:themeFillTint="99"/>
          </w:tcPr>
          <w:p w14:paraId="58940C8D" w14:textId="77777777" w:rsidR="00131877" w:rsidRPr="00CA72B7" w:rsidRDefault="00131877" w:rsidP="00D21F89">
            <w:pPr>
              <w:pStyle w:val="TableHeading"/>
              <w:rPr>
                <w:b w:val="0"/>
              </w:rPr>
            </w:pPr>
            <w:r w:rsidRPr="00CA72B7">
              <w:rPr>
                <w:b w:val="0"/>
              </w:rPr>
              <w:t>Reviewed</w:t>
            </w:r>
          </w:p>
        </w:tc>
        <w:tc>
          <w:tcPr>
            <w:tcW w:w="1205" w:type="dxa"/>
            <w:shd w:val="clear" w:color="auto" w:fill="F0EEEB" w:themeFill="accent6" w:themeFillTint="99"/>
          </w:tcPr>
          <w:p w14:paraId="42B2617A" w14:textId="77777777" w:rsidR="00131877" w:rsidRPr="00CA72B7" w:rsidRDefault="00131877" w:rsidP="00D21F89">
            <w:pPr>
              <w:pStyle w:val="TableHeading"/>
              <w:rPr>
                <w:b w:val="0"/>
              </w:rPr>
            </w:pPr>
            <w:r w:rsidRPr="00CA72B7">
              <w:rPr>
                <w:b w:val="0"/>
              </w:rPr>
              <w:t>Authorised</w:t>
            </w:r>
          </w:p>
        </w:tc>
        <w:tc>
          <w:tcPr>
            <w:tcW w:w="992" w:type="dxa"/>
            <w:shd w:val="clear" w:color="auto" w:fill="F0EEEB" w:themeFill="accent6" w:themeFillTint="99"/>
          </w:tcPr>
          <w:p w14:paraId="50526082" w14:textId="77777777" w:rsidR="00131877" w:rsidRPr="00CA72B7" w:rsidRDefault="00131877" w:rsidP="00D21F89">
            <w:pPr>
              <w:pStyle w:val="TableHeading"/>
              <w:rPr>
                <w:b w:val="0"/>
              </w:rPr>
            </w:pPr>
            <w:r w:rsidRPr="00CA72B7">
              <w:rPr>
                <w:b w:val="0"/>
              </w:rPr>
              <w:t>Date</w:t>
            </w:r>
          </w:p>
        </w:tc>
      </w:tr>
      <w:tr w:rsidR="00E1773F" w:rsidRPr="00CA72B7" w14:paraId="3D73A067" w14:textId="77777777" w:rsidTr="00CA7D99">
        <w:tc>
          <w:tcPr>
            <w:tcW w:w="1029" w:type="dxa"/>
          </w:tcPr>
          <w:p w14:paraId="444CFB19" w14:textId="77777777" w:rsidR="00E1773F" w:rsidRPr="00CA72B7" w:rsidRDefault="00515486" w:rsidP="00544B67">
            <w:pPr>
              <w:pStyle w:val="TableText"/>
            </w:pPr>
            <w:r>
              <w:t>1-5</w:t>
            </w:r>
          </w:p>
        </w:tc>
        <w:tc>
          <w:tcPr>
            <w:tcW w:w="2386" w:type="dxa"/>
          </w:tcPr>
          <w:p w14:paraId="5849C30D" w14:textId="77777777" w:rsidR="00E1773F" w:rsidRPr="00CA72B7" w:rsidRDefault="00515486" w:rsidP="00544B67">
            <w:pPr>
              <w:pStyle w:val="TableText"/>
            </w:pPr>
            <w:r>
              <w:t>Report</w:t>
            </w:r>
          </w:p>
        </w:tc>
        <w:tc>
          <w:tcPr>
            <w:tcW w:w="1405" w:type="dxa"/>
          </w:tcPr>
          <w:p w14:paraId="20CCB9D1" w14:textId="77777777" w:rsidR="00E1773F" w:rsidRPr="00CA72B7" w:rsidRDefault="00515486" w:rsidP="00544B67">
            <w:pPr>
              <w:pStyle w:val="TableText"/>
            </w:pPr>
            <w:r>
              <w:t>JG/ES</w:t>
            </w:r>
          </w:p>
        </w:tc>
        <w:tc>
          <w:tcPr>
            <w:tcW w:w="1311" w:type="dxa"/>
          </w:tcPr>
          <w:p w14:paraId="69015693" w14:textId="77777777" w:rsidR="00E1773F" w:rsidRPr="00CA72B7" w:rsidRDefault="00515486" w:rsidP="00544B67">
            <w:pPr>
              <w:pStyle w:val="TableText"/>
            </w:pPr>
            <w:r>
              <w:t>SS</w:t>
            </w:r>
          </w:p>
        </w:tc>
        <w:tc>
          <w:tcPr>
            <w:tcW w:w="1311" w:type="dxa"/>
          </w:tcPr>
          <w:p w14:paraId="73632276" w14:textId="77777777" w:rsidR="00E1773F" w:rsidRPr="00CA72B7" w:rsidRDefault="00515486" w:rsidP="00544B67">
            <w:pPr>
              <w:pStyle w:val="TableText"/>
            </w:pPr>
            <w:r>
              <w:t>RC</w:t>
            </w:r>
          </w:p>
        </w:tc>
        <w:tc>
          <w:tcPr>
            <w:tcW w:w="1205" w:type="dxa"/>
          </w:tcPr>
          <w:p w14:paraId="3D2DF9A3" w14:textId="77777777" w:rsidR="00E1773F" w:rsidRPr="00CA72B7" w:rsidRDefault="00515486" w:rsidP="00544B67">
            <w:pPr>
              <w:pStyle w:val="TableText"/>
            </w:pPr>
            <w:r>
              <w:t>RC</w:t>
            </w:r>
          </w:p>
        </w:tc>
        <w:tc>
          <w:tcPr>
            <w:tcW w:w="992" w:type="dxa"/>
          </w:tcPr>
          <w:p w14:paraId="27CEA3EE" w14:textId="77777777" w:rsidR="00E1773F" w:rsidRPr="00CA72B7" w:rsidRDefault="00EF6B26" w:rsidP="00515486">
            <w:pPr>
              <w:pStyle w:val="TableText"/>
            </w:pPr>
            <w:r>
              <w:t>28</w:t>
            </w:r>
            <w:r w:rsidR="00515486">
              <w:t>/07/14</w:t>
            </w:r>
          </w:p>
        </w:tc>
      </w:tr>
    </w:tbl>
    <w:p w14:paraId="17DD5913" w14:textId="77777777" w:rsidR="00544B67" w:rsidRPr="00CA72B7" w:rsidRDefault="00544B67" w:rsidP="00E1773F">
      <w:pPr>
        <w:pStyle w:val="BodyText"/>
      </w:pPr>
    </w:p>
    <w:p w14:paraId="21AEF696" w14:textId="77777777" w:rsidR="00CA72B7" w:rsidRPr="00CA72B7" w:rsidRDefault="00A54FAD" w:rsidP="00CA72B7">
      <w:pPr>
        <w:pStyle w:val="Heading1NoTOC"/>
      </w:pPr>
      <w:r w:rsidRPr="00CA72B7">
        <w:t xml:space="preserve"> </w:t>
      </w:r>
      <w:bookmarkStart w:id="7" w:name="NoticePage_Australia"/>
      <w:bookmarkStart w:id="8" w:name="ContentsPage"/>
      <w:bookmarkEnd w:id="6"/>
    </w:p>
    <w:p w14:paraId="5036934F" w14:textId="77777777" w:rsidR="00ED7748" w:rsidRPr="00CA72B7" w:rsidRDefault="00ED7748" w:rsidP="004E653E">
      <w:pPr>
        <w:pStyle w:val="BodyText"/>
      </w:pPr>
      <w:r w:rsidRPr="00CA72B7">
        <w:br w:type="page"/>
      </w:r>
    </w:p>
    <w:bookmarkEnd w:id="7"/>
    <w:p w14:paraId="58BE2E17" w14:textId="77777777" w:rsidR="00B7202B" w:rsidRPr="00CA72B7" w:rsidRDefault="00325DEF" w:rsidP="00B7202B">
      <w:pPr>
        <w:pStyle w:val="Heading1NoTOC"/>
        <w:rPr>
          <w:rFonts w:eastAsiaTheme="majorEastAsia" w:cstheme="majorBidi"/>
        </w:rPr>
      </w:pPr>
      <w:r w:rsidRPr="00CA72B7">
        <w:rPr>
          <w:rFonts w:eastAsiaTheme="majorEastAsia" w:cstheme="majorBidi"/>
        </w:rPr>
        <w:lastRenderedPageBreak/>
        <w:t>Table of c</w:t>
      </w:r>
      <w:r w:rsidR="00B7202B" w:rsidRPr="00CA72B7">
        <w:rPr>
          <w:rFonts w:eastAsiaTheme="majorEastAsia" w:cstheme="majorBidi"/>
        </w:rPr>
        <w:t>ontents</w:t>
      </w:r>
    </w:p>
    <w:p w14:paraId="12FB13E1" w14:textId="77777777" w:rsidR="00B7202B" w:rsidRPr="00CA72B7" w:rsidRDefault="00B7202B" w:rsidP="00B7202B">
      <w:pPr>
        <w:pStyle w:val="Heading3NoNumb"/>
        <w:tabs>
          <w:tab w:val="right" w:pos="9638"/>
        </w:tabs>
        <w:rPr>
          <w:rFonts w:eastAsiaTheme="majorEastAsia" w:cstheme="majorBidi"/>
        </w:rPr>
      </w:pPr>
      <w:r w:rsidRPr="00CA72B7">
        <w:rPr>
          <w:rFonts w:eastAsiaTheme="majorEastAsia" w:cstheme="majorBidi"/>
        </w:rPr>
        <w:t>Chapter</w:t>
      </w:r>
      <w:r w:rsidRPr="00CA72B7">
        <w:rPr>
          <w:rFonts w:eastAsiaTheme="majorEastAsia" w:cstheme="majorBidi"/>
        </w:rPr>
        <w:tab/>
        <w:t>Pages</w:t>
      </w:r>
    </w:p>
    <w:p w14:paraId="45366B51" w14:textId="77777777" w:rsidR="00DF796E" w:rsidRDefault="00F70FD0">
      <w:pPr>
        <w:pStyle w:val="TOC1"/>
        <w:rPr>
          <w:rFonts w:asciiTheme="minorHAnsi" w:eastAsiaTheme="minorEastAsia" w:hAnsiTheme="minorHAnsi"/>
          <w:b w:val="0"/>
          <w:noProof/>
          <w:color w:val="auto"/>
          <w:sz w:val="22"/>
          <w:lang w:eastAsia="en-GB"/>
        </w:rPr>
      </w:pPr>
      <w:r w:rsidRPr="00CA72B7">
        <w:rPr>
          <w:sz w:val="22"/>
        </w:rPr>
        <w:fldChar w:fldCharType="begin"/>
      </w:r>
      <w:r w:rsidR="00B7202B" w:rsidRPr="00CA72B7">
        <w:instrText xml:space="preserve"> TOC \h \z \t "Heading 1,1,Heading 2,3,Heading 1NoNumb,2, Heading 2NoNumb,4</w:instrText>
      </w:r>
      <w:r w:rsidR="00050B9A" w:rsidRPr="00CA72B7">
        <w:instrText>,Heading 6,1,Heading 7,3,IntroHeading,6</w:instrText>
      </w:r>
      <w:r w:rsidR="00B7202B" w:rsidRPr="00CA72B7">
        <w:instrText xml:space="preserve">" </w:instrText>
      </w:r>
      <w:r w:rsidRPr="00CA72B7">
        <w:rPr>
          <w:sz w:val="22"/>
        </w:rPr>
        <w:fldChar w:fldCharType="separate"/>
      </w:r>
      <w:hyperlink w:anchor="_Toc394327682" w:history="1">
        <w:r w:rsidR="00DF796E" w:rsidRPr="005E0EC5">
          <w:rPr>
            <w:rStyle w:val="Hyperlink"/>
            <w:rFonts w:eastAsiaTheme="majorEastAsia"/>
            <w:noProof/>
          </w:rPr>
          <w:t>Summary</w:t>
        </w:r>
        <w:r w:rsidR="00DF796E">
          <w:rPr>
            <w:noProof/>
            <w:webHidden/>
          </w:rPr>
          <w:tab/>
        </w:r>
        <w:r w:rsidR="00DF796E">
          <w:rPr>
            <w:noProof/>
            <w:webHidden/>
          </w:rPr>
          <w:tab/>
        </w:r>
        <w:r w:rsidR="00DF796E">
          <w:rPr>
            <w:noProof/>
            <w:webHidden/>
          </w:rPr>
          <w:fldChar w:fldCharType="begin"/>
        </w:r>
        <w:r w:rsidR="00DF796E">
          <w:rPr>
            <w:noProof/>
            <w:webHidden/>
          </w:rPr>
          <w:instrText xml:space="preserve"> PAGEREF _Toc394327682 \h </w:instrText>
        </w:r>
        <w:r w:rsidR="00DF796E">
          <w:rPr>
            <w:noProof/>
            <w:webHidden/>
          </w:rPr>
        </w:r>
        <w:r w:rsidR="00DF796E">
          <w:rPr>
            <w:noProof/>
            <w:webHidden/>
          </w:rPr>
          <w:fldChar w:fldCharType="separate"/>
        </w:r>
        <w:r w:rsidR="00DF796E">
          <w:rPr>
            <w:noProof/>
            <w:webHidden/>
          </w:rPr>
          <w:t>4</w:t>
        </w:r>
        <w:r w:rsidR="00DF796E">
          <w:rPr>
            <w:noProof/>
            <w:webHidden/>
          </w:rPr>
          <w:fldChar w:fldCharType="end"/>
        </w:r>
      </w:hyperlink>
    </w:p>
    <w:p w14:paraId="53BFCE54" w14:textId="77777777" w:rsidR="00DF796E" w:rsidRDefault="00484239">
      <w:pPr>
        <w:pStyle w:val="TOC1"/>
        <w:rPr>
          <w:rFonts w:asciiTheme="minorHAnsi" w:eastAsiaTheme="minorEastAsia" w:hAnsiTheme="minorHAnsi"/>
          <w:b w:val="0"/>
          <w:noProof/>
          <w:color w:val="auto"/>
          <w:sz w:val="22"/>
          <w:lang w:eastAsia="en-GB"/>
        </w:rPr>
      </w:pPr>
      <w:hyperlink w:anchor="_Toc394327683" w:history="1">
        <w:r w:rsidR="00DF796E" w:rsidRPr="005E0EC5">
          <w:rPr>
            <w:rStyle w:val="Hyperlink"/>
            <w:rFonts w:eastAsiaTheme="majorEastAsia"/>
            <w:noProof/>
          </w:rPr>
          <w:t>1.</w:t>
        </w:r>
        <w:r w:rsidR="00DF796E">
          <w:rPr>
            <w:rFonts w:asciiTheme="minorHAnsi" w:eastAsiaTheme="minorEastAsia" w:hAnsiTheme="minorHAnsi"/>
            <w:b w:val="0"/>
            <w:noProof/>
            <w:color w:val="auto"/>
            <w:sz w:val="22"/>
            <w:lang w:eastAsia="en-GB"/>
          </w:rPr>
          <w:tab/>
        </w:r>
        <w:r w:rsidR="00DF796E" w:rsidRPr="005E0EC5">
          <w:rPr>
            <w:rStyle w:val="Hyperlink"/>
            <w:rFonts w:eastAsiaTheme="majorEastAsia"/>
            <w:noProof/>
          </w:rPr>
          <w:t>Introduction</w:t>
        </w:r>
        <w:r w:rsidR="00DF796E">
          <w:rPr>
            <w:noProof/>
            <w:webHidden/>
          </w:rPr>
          <w:tab/>
        </w:r>
        <w:r w:rsidR="00DF796E">
          <w:rPr>
            <w:noProof/>
            <w:webHidden/>
          </w:rPr>
          <w:fldChar w:fldCharType="begin"/>
        </w:r>
        <w:r w:rsidR="00DF796E">
          <w:rPr>
            <w:noProof/>
            <w:webHidden/>
          </w:rPr>
          <w:instrText xml:space="preserve"> PAGEREF _Toc394327683 \h </w:instrText>
        </w:r>
        <w:r w:rsidR="00DF796E">
          <w:rPr>
            <w:noProof/>
            <w:webHidden/>
          </w:rPr>
        </w:r>
        <w:r w:rsidR="00DF796E">
          <w:rPr>
            <w:noProof/>
            <w:webHidden/>
          </w:rPr>
          <w:fldChar w:fldCharType="separate"/>
        </w:r>
        <w:r w:rsidR="00DF796E">
          <w:rPr>
            <w:noProof/>
            <w:webHidden/>
          </w:rPr>
          <w:t>6</w:t>
        </w:r>
        <w:r w:rsidR="00DF796E">
          <w:rPr>
            <w:noProof/>
            <w:webHidden/>
          </w:rPr>
          <w:fldChar w:fldCharType="end"/>
        </w:r>
      </w:hyperlink>
    </w:p>
    <w:p w14:paraId="005B466F" w14:textId="77777777" w:rsidR="00DF796E" w:rsidRDefault="00484239">
      <w:pPr>
        <w:pStyle w:val="TOC1"/>
        <w:rPr>
          <w:rFonts w:asciiTheme="minorHAnsi" w:eastAsiaTheme="minorEastAsia" w:hAnsiTheme="minorHAnsi"/>
          <w:b w:val="0"/>
          <w:noProof/>
          <w:color w:val="auto"/>
          <w:sz w:val="22"/>
          <w:lang w:eastAsia="en-GB"/>
        </w:rPr>
      </w:pPr>
      <w:hyperlink w:anchor="_Toc394327684" w:history="1">
        <w:r w:rsidR="00DF796E" w:rsidRPr="005E0EC5">
          <w:rPr>
            <w:rStyle w:val="Hyperlink"/>
            <w:rFonts w:eastAsiaTheme="majorEastAsia"/>
            <w:noProof/>
          </w:rPr>
          <w:t>2.</w:t>
        </w:r>
        <w:r w:rsidR="00DF796E">
          <w:rPr>
            <w:rFonts w:asciiTheme="minorHAnsi" w:eastAsiaTheme="minorEastAsia" w:hAnsiTheme="minorHAnsi"/>
            <w:b w:val="0"/>
            <w:noProof/>
            <w:color w:val="auto"/>
            <w:sz w:val="22"/>
            <w:lang w:eastAsia="en-GB"/>
          </w:rPr>
          <w:tab/>
        </w:r>
        <w:r w:rsidR="00DF796E" w:rsidRPr="005E0EC5">
          <w:rPr>
            <w:rStyle w:val="Hyperlink"/>
            <w:rFonts w:eastAsiaTheme="majorEastAsia"/>
            <w:noProof/>
          </w:rPr>
          <w:t>Demographics</w:t>
        </w:r>
        <w:r w:rsidR="00DF796E">
          <w:rPr>
            <w:noProof/>
            <w:webHidden/>
          </w:rPr>
          <w:tab/>
        </w:r>
        <w:r w:rsidR="00DF796E">
          <w:rPr>
            <w:noProof/>
            <w:webHidden/>
          </w:rPr>
          <w:fldChar w:fldCharType="begin"/>
        </w:r>
        <w:r w:rsidR="00DF796E">
          <w:rPr>
            <w:noProof/>
            <w:webHidden/>
          </w:rPr>
          <w:instrText xml:space="preserve"> PAGEREF _Toc394327684 \h </w:instrText>
        </w:r>
        <w:r w:rsidR="00DF796E">
          <w:rPr>
            <w:noProof/>
            <w:webHidden/>
          </w:rPr>
        </w:r>
        <w:r w:rsidR="00DF796E">
          <w:rPr>
            <w:noProof/>
            <w:webHidden/>
          </w:rPr>
          <w:fldChar w:fldCharType="separate"/>
        </w:r>
        <w:r w:rsidR="00DF796E">
          <w:rPr>
            <w:noProof/>
            <w:webHidden/>
          </w:rPr>
          <w:t>7</w:t>
        </w:r>
        <w:r w:rsidR="00DF796E">
          <w:rPr>
            <w:noProof/>
            <w:webHidden/>
          </w:rPr>
          <w:fldChar w:fldCharType="end"/>
        </w:r>
      </w:hyperlink>
    </w:p>
    <w:p w14:paraId="48A9C29A" w14:textId="77777777" w:rsidR="00DF796E" w:rsidRDefault="00484239">
      <w:pPr>
        <w:pStyle w:val="TOC3"/>
        <w:rPr>
          <w:rFonts w:asciiTheme="minorHAnsi" w:eastAsiaTheme="minorEastAsia" w:hAnsiTheme="minorHAnsi"/>
          <w:noProof/>
          <w:color w:val="auto"/>
          <w:sz w:val="22"/>
          <w:lang w:eastAsia="en-GB"/>
        </w:rPr>
      </w:pPr>
      <w:hyperlink w:anchor="_Toc394327685" w:history="1">
        <w:r w:rsidR="00DF796E" w:rsidRPr="005E0EC5">
          <w:rPr>
            <w:rStyle w:val="Hyperlink"/>
            <w:noProof/>
          </w:rPr>
          <w:t>2.1.</w:t>
        </w:r>
        <w:r w:rsidR="00DF796E">
          <w:rPr>
            <w:rFonts w:asciiTheme="minorHAnsi" w:eastAsiaTheme="minorEastAsia" w:hAnsiTheme="minorHAnsi"/>
            <w:noProof/>
            <w:color w:val="auto"/>
            <w:sz w:val="22"/>
            <w:lang w:eastAsia="en-GB"/>
          </w:rPr>
          <w:tab/>
        </w:r>
        <w:r w:rsidR="00DF796E" w:rsidRPr="005E0EC5">
          <w:rPr>
            <w:rStyle w:val="Hyperlink"/>
            <w:noProof/>
          </w:rPr>
          <w:t>Age, sex and ethnicity</w:t>
        </w:r>
        <w:r w:rsidR="00DF796E">
          <w:rPr>
            <w:noProof/>
            <w:webHidden/>
          </w:rPr>
          <w:tab/>
        </w:r>
        <w:r w:rsidR="00DF796E">
          <w:rPr>
            <w:noProof/>
            <w:webHidden/>
          </w:rPr>
          <w:fldChar w:fldCharType="begin"/>
        </w:r>
        <w:r w:rsidR="00DF796E">
          <w:rPr>
            <w:noProof/>
            <w:webHidden/>
          </w:rPr>
          <w:instrText xml:space="preserve"> PAGEREF _Toc394327685 \h </w:instrText>
        </w:r>
        <w:r w:rsidR="00DF796E">
          <w:rPr>
            <w:noProof/>
            <w:webHidden/>
          </w:rPr>
        </w:r>
        <w:r w:rsidR="00DF796E">
          <w:rPr>
            <w:noProof/>
            <w:webHidden/>
          </w:rPr>
          <w:fldChar w:fldCharType="separate"/>
        </w:r>
        <w:r w:rsidR="00DF796E">
          <w:rPr>
            <w:noProof/>
            <w:webHidden/>
          </w:rPr>
          <w:t>7</w:t>
        </w:r>
        <w:r w:rsidR="00DF796E">
          <w:rPr>
            <w:noProof/>
            <w:webHidden/>
          </w:rPr>
          <w:fldChar w:fldCharType="end"/>
        </w:r>
      </w:hyperlink>
    </w:p>
    <w:p w14:paraId="339B6337" w14:textId="77777777" w:rsidR="00DF796E" w:rsidRDefault="00484239">
      <w:pPr>
        <w:pStyle w:val="TOC1"/>
        <w:rPr>
          <w:rFonts w:asciiTheme="minorHAnsi" w:eastAsiaTheme="minorEastAsia" w:hAnsiTheme="minorHAnsi"/>
          <w:b w:val="0"/>
          <w:noProof/>
          <w:color w:val="auto"/>
          <w:sz w:val="22"/>
          <w:lang w:eastAsia="en-GB"/>
        </w:rPr>
      </w:pPr>
      <w:hyperlink w:anchor="_Toc394327686" w:history="1">
        <w:r w:rsidR="00DF796E" w:rsidRPr="005E0EC5">
          <w:rPr>
            <w:rStyle w:val="Hyperlink"/>
            <w:rFonts w:eastAsiaTheme="majorEastAsia" w:cstheme="majorBidi"/>
            <w:noProof/>
          </w:rPr>
          <w:t>3.</w:t>
        </w:r>
        <w:r w:rsidR="00DF796E">
          <w:rPr>
            <w:rFonts w:asciiTheme="minorHAnsi" w:eastAsiaTheme="minorEastAsia" w:hAnsiTheme="minorHAnsi"/>
            <w:b w:val="0"/>
            <w:noProof/>
            <w:color w:val="auto"/>
            <w:sz w:val="22"/>
            <w:lang w:eastAsia="en-GB"/>
          </w:rPr>
          <w:tab/>
        </w:r>
        <w:r w:rsidR="00DF796E" w:rsidRPr="005E0EC5">
          <w:rPr>
            <w:rStyle w:val="Hyperlink"/>
            <w:rFonts w:eastAsiaTheme="majorEastAsia" w:cstheme="majorBidi"/>
            <w:noProof/>
          </w:rPr>
          <w:t>Economic Geography</w:t>
        </w:r>
        <w:r w:rsidR="00DF796E">
          <w:rPr>
            <w:noProof/>
            <w:webHidden/>
          </w:rPr>
          <w:tab/>
        </w:r>
        <w:r w:rsidR="00DF796E">
          <w:rPr>
            <w:noProof/>
            <w:webHidden/>
          </w:rPr>
          <w:fldChar w:fldCharType="begin"/>
        </w:r>
        <w:r w:rsidR="00DF796E">
          <w:rPr>
            <w:noProof/>
            <w:webHidden/>
          </w:rPr>
          <w:instrText xml:space="preserve"> PAGEREF _Toc394327686 \h </w:instrText>
        </w:r>
        <w:r w:rsidR="00DF796E">
          <w:rPr>
            <w:noProof/>
            <w:webHidden/>
          </w:rPr>
        </w:r>
        <w:r w:rsidR="00DF796E">
          <w:rPr>
            <w:noProof/>
            <w:webHidden/>
          </w:rPr>
          <w:fldChar w:fldCharType="separate"/>
        </w:r>
        <w:r w:rsidR="00DF796E">
          <w:rPr>
            <w:noProof/>
            <w:webHidden/>
          </w:rPr>
          <w:t>10</w:t>
        </w:r>
        <w:r w:rsidR="00DF796E">
          <w:rPr>
            <w:noProof/>
            <w:webHidden/>
          </w:rPr>
          <w:fldChar w:fldCharType="end"/>
        </w:r>
      </w:hyperlink>
    </w:p>
    <w:p w14:paraId="6B3A11F7" w14:textId="77777777" w:rsidR="00DF796E" w:rsidRDefault="00484239">
      <w:pPr>
        <w:pStyle w:val="TOC3"/>
        <w:rPr>
          <w:rFonts w:asciiTheme="minorHAnsi" w:eastAsiaTheme="minorEastAsia" w:hAnsiTheme="minorHAnsi"/>
          <w:noProof/>
          <w:color w:val="auto"/>
          <w:sz w:val="22"/>
          <w:lang w:eastAsia="en-GB"/>
        </w:rPr>
      </w:pPr>
      <w:hyperlink w:anchor="_Toc394327687" w:history="1">
        <w:r w:rsidR="00DF796E" w:rsidRPr="005E0EC5">
          <w:rPr>
            <w:rStyle w:val="Hyperlink"/>
            <w:rFonts w:eastAsiaTheme="majorEastAsia" w:cstheme="majorBidi"/>
            <w:noProof/>
          </w:rPr>
          <w:t>3.1.</w:t>
        </w:r>
        <w:r w:rsidR="00DF796E">
          <w:rPr>
            <w:rFonts w:asciiTheme="minorHAnsi" w:eastAsiaTheme="minorEastAsia" w:hAnsiTheme="minorHAnsi"/>
            <w:noProof/>
            <w:color w:val="auto"/>
            <w:sz w:val="22"/>
            <w:lang w:eastAsia="en-GB"/>
          </w:rPr>
          <w:tab/>
        </w:r>
        <w:r w:rsidR="00DF796E" w:rsidRPr="005E0EC5">
          <w:rPr>
            <w:rStyle w:val="Hyperlink"/>
            <w:rFonts w:eastAsiaTheme="majorEastAsia" w:cstheme="majorBidi"/>
            <w:noProof/>
          </w:rPr>
          <w:t>Transport</w:t>
        </w:r>
        <w:r w:rsidR="00DF796E">
          <w:rPr>
            <w:noProof/>
            <w:webHidden/>
          </w:rPr>
          <w:tab/>
        </w:r>
        <w:r w:rsidR="00DF796E">
          <w:rPr>
            <w:noProof/>
            <w:webHidden/>
          </w:rPr>
          <w:fldChar w:fldCharType="begin"/>
        </w:r>
        <w:r w:rsidR="00DF796E">
          <w:rPr>
            <w:noProof/>
            <w:webHidden/>
          </w:rPr>
          <w:instrText xml:space="preserve"> PAGEREF _Toc394327687 \h </w:instrText>
        </w:r>
        <w:r w:rsidR="00DF796E">
          <w:rPr>
            <w:noProof/>
            <w:webHidden/>
          </w:rPr>
        </w:r>
        <w:r w:rsidR="00DF796E">
          <w:rPr>
            <w:noProof/>
            <w:webHidden/>
          </w:rPr>
          <w:fldChar w:fldCharType="separate"/>
        </w:r>
        <w:r w:rsidR="00DF796E">
          <w:rPr>
            <w:noProof/>
            <w:webHidden/>
          </w:rPr>
          <w:t>10</w:t>
        </w:r>
        <w:r w:rsidR="00DF796E">
          <w:rPr>
            <w:noProof/>
            <w:webHidden/>
          </w:rPr>
          <w:fldChar w:fldCharType="end"/>
        </w:r>
      </w:hyperlink>
    </w:p>
    <w:p w14:paraId="2DD01A88" w14:textId="77777777" w:rsidR="00DF796E" w:rsidRDefault="00484239">
      <w:pPr>
        <w:pStyle w:val="TOC3"/>
        <w:rPr>
          <w:rFonts w:asciiTheme="minorHAnsi" w:eastAsiaTheme="minorEastAsia" w:hAnsiTheme="minorHAnsi"/>
          <w:noProof/>
          <w:color w:val="auto"/>
          <w:sz w:val="22"/>
          <w:lang w:eastAsia="en-GB"/>
        </w:rPr>
      </w:pPr>
      <w:hyperlink w:anchor="_Toc394327688" w:history="1">
        <w:r w:rsidR="00DF796E" w:rsidRPr="005E0EC5">
          <w:rPr>
            <w:rStyle w:val="Hyperlink"/>
            <w:rFonts w:eastAsiaTheme="majorEastAsia" w:cstheme="majorBidi"/>
            <w:noProof/>
          </w:rPr>
          <w:t>3.2.</w:t>
        </w:r>
        <w:r w:rsidR="00DF796E">
          <w:rPr>
            <w:rFonts w:asciiTheme="minorHAnsi" w:eastAsiaTheme="minorEastAsia" w:hAnsiTheme="minorHAnsi"/>
            <w:noProof/>
            <w:color w:val="auto"/>
            <w:sz w:val="22"/>
            <w:lang w:eastAsia="en-GB"/>
          </w:rPr>
          <w:tab/>
        </w:r>
        <w:r w:rsidR="00DF796E" w:rsidRPr="005E0EC5">
          <w:rPr>
            <w:rStyle w:val="Hyperlink"/>
            <w:rFonts w:eastAsiaTheme="majorEastAsia" w:cstheme="majorBidi"/>
            <w:noProof/>
          </w:rPr>
          <w:t>Travel to Work Patterns</w:t>
        </w:r>
        <w:r w:rsidR="00DF796E">
          <w:rPr>
            <w:noProof/>
            <w:webHidden/>
          </w:rPr>
          <w:tab/>
        </w:r>
        <w:r w:rsidR="00DF796E">
          <w:rPr>
            <w:noProof/>
            <w:webHidden/>
          </w:rPr>
          <w:fldChar w:fldCharType="begin"/>
        </w:r>
        <w:r w:rsidR="00DF796E">
          <w:rPr>
            <w:noProof/>
            <w:webHidden/>
          </w:rPr>
          <w:instrText xml:space="preserve"> PAGEREF _Toc394327688 \h </w:instrText>
        </w:r>
        <w:r w:rsidR="00DF796E">
          <w:rPr>
            <w:noProof/>
            <w:webHidden/>
          </w:rPr>
        </w:r>
        <w:r w:rsidR="00DF796E">
          <w:rPr>
            <w:noProof/>
            <w:webHidden/>
          </w:rPr>
          <w:fldChar w:fldCharType="separate"/>
        </w:r>
        <w:r w:rsidR="00DF796E">
          <w:rPr>
            <w:noProof/>
            <w:webHidden/>
          </w:rPr>
          <w:t>10</w:t>
        </w:r>
        <w:r w:rsidR="00DF796E">
          <w:rPr>
            <w:noProof/>
            <w:webHidden/>
          </w:rPr>
          <w:fldChar w:fldCharType="end"/>
        </w:r>
      </w:hyperlink>
    </w:p>
    <w:p w14:paraId="2396992B" w14:textId="77777777" w:rsidR="00DF796E" w:rsidRDefault="00484239">
      <w:pPr>
        <w:pStyle w:val="TOC3"/>
        <w:rPr>
          <w:rFonts w:asciiTheme="minorHAnsi" w:eastAsiaTheme="minorEastAsia" w:hAnsiTheme="minorHAnsi"/>
          <w:noProof/>
          <w:color w:val="auto"/>
          <w:sz w:val="22"/>
          <w:lang w:eastAsia="en-GB"/>
        </w:rPr>
      </w:pPr>
      <w:hyperlink w:anchor="_Toc394327689" w:history="1">
        <w:r w:rsidR="00DF796E" w:rsidRPr="005E0EC5">
          <w:rPr>
            <w:rStyle w:val="Hyperlink"/>
            <w:noProof/>
          </w:rPr>
          <w:t>3.3.</w:t>
        </w:r>
        <w:r w:rsidR="00DF796E">
          <w:rPr>
            <w:rFonts w:asciiTheme="minorHAnsi" w:eastAsiaTheme="minorEastAsia" w:hAnsiTheme="minorHAnsi"/>
            <w:noProof/>
            <w:color w:val="auto"/>
            <w:sz w:val="22"/>
            <w:lang w:eastAsia="en-GB"/>
          </w:rPr>
          <w:tab/>
        </w:r>
        <w:r w:rsidR="00DF796E" w:rsidRPr="005E0EC5">
          <w:rPr>
            <w:rStyle w:val="Hyperlink"/>
            <w:rFonts w:eastAsiaTheme="majorEastAsia"/>
            <w:noProof/>
          </w:rPr>
          <w:t>Housing Market Areas</w:t>
        </w:r>
        <w:r w:rsidR="00DF796E">
          <w:rPr>
            <w:noProof/>
            <w:webHidden/>
          </w:rPr>
          <w:tab/>
        </w:r>
        <w:r w:rsidR="00DF796E">
          <w:rPr>
            <w:noProof/>
            <w:webHidden/>
          </w:rPr>
          <w:fldChar w:fldCharType="begin"/>
        </w:r>
        <w:r w:rsidR="00DF796E">
          <w:rPr>
            <w:noProof/>
            <w:webHidden/>
          </w:rPr>
          <w:instrText xml:space="preserve"> PAGEREF _Toc394327689 \h </w:instrText>
        </w:r>
        <w:r w:rsidR="00DF796E">
          <w:rPr>
            <w:noProof/>
            <w:webHidden/>
          </w:rPr>
        </w:r>
        <w:r w:rsidR="00DF796E">
          <w:rPr>
            <w:noProof/>
            <w:webHidden/>
          </w:rPr>
          <w:fldChar w:fldCharType="separate"/>
        </w:r>
        <w:r w:rsidR="00DF796E">
          <w:rPr>
            <w:noProof/>
            <w:webHidden/>
          </w:rPr>
          <w:t>12</w:t>
        </w:r>
        <w:r w:rsidR="00DF796E">
          <w:rPr>
            <w:noProof/>
            <w:webHidden/>
          </w:rPr>
          <w:fldChar w:fldCharType="end"/>
        </w:r>
      </w:hyperlink>
    </w:p>
    <w:p w14:paraId="637EBE37" w14:textId="77777777" w:rsidR="00DF796E" w:rsidRDefault="00484239">
      <w:pPr>
        <w:pStyle w:val="TOC3"/>
        <w:rPr>
          <w:rFonts w:asciiTheme="minorHAnsi" w:eastAsiaTheme="minorEastAsia" w:hAnsiTheme="minorHAnsi"/>
          <w:noProof/>
          <w:color w:val="auto"/>
          <w:sz w:val="22"/>
          <w:lang w:eastAsia="en-GB"/>
        </w:rPr>
      </w:pPr>
      <w:hyperlink w:anchor="_Toc394327690" w:history="1">
        <w:r w:rsidR="00DF796E" w:rsidRPr="005E0EC5">
          <w:rPr>
            <w:rStyle w:val="Hyperlink"/>
            <w:rFonts w:eastAsiaTheme="majorEastAsia"/>
            <w:noProof/>
          </w:rPr>
          <w:t>3.4.</w:t>
        </w:r>
        <w:r w:rsidR="00DF796E">
          <w:rPr>
            <w:rFonts w:asciiTheme="minorHAnsi" w:eastAsiaTheme="minorEastAsia" w:hAnsiTheme="minorHAnsi"/>
            <w:noProof/>
            <w:color w:val="auto"/>
            <w:sz w:val="22"/>
            <w:lang w:eastAsia="en-GB"/>
          </w:rPr>
          <w:tab/>
        </w:r>
        <w:r w:rsidR="00DF796E" w:rsidRPr="005E0EC5">
          <w:rPr>
            <w:rStyle w:val="Hyperlink"/>
            <w:rFonts w:eastAsiaTheme="majorEastAsia"/>
            <w:noProof/>
          </w:rPr>
          <w:t>Functional Economic Geography</w:t>
        </w:r>
        <w:r w:rsidR="00DF796E">
          <w:rPr>
            <w:noProof/>
            <w:webHidden/>
          </w:rPr>
          <w:tab/>
        </w:r>
        <w:r w:rsidR="00DF796E">
          <w:rPr>
            <w:noProof/>
            <w:webHidden/>
          </w:rPr>
          <w:fldChar w:fldCharType="begin"/>
        </w:r>
        <w:r w:rsidR="00DF796E">
          <w:rPr>
            <w:noProof/>
            <w:webHidden/>
          </w:rPr>
          <w:instrText xml:space="preserve"> PAGEREF _Toc394327690 \h </w:instrText>
        </w:r>
        <w:r w:rsidR="00DF796E">
          <w:rPr>
            <w:noProof/>
            <w:webHidden/>
          </w:rPr>
        </w:r>
        <w:r w:rsidR="00DF796E">
          <w:rPr>
            <w:noProof/>
            <w:webHidden/>
          </w:rPr>
          <w:fldChar w:fldCharType="separate"/>
        </w:r>
        <w:r w:rsidR="00DF796E">
          <w:rPr>
            <w:noProof/>
            <w:webHidden/>
          </w:rPr>
          <w:t>13</w:t>
        </w:r>
        <w:r w:rsidR="00DF796E">
          <w:rPr>
            <w:noProof/>
            <w:webHidden/>
          </w:rPr>
          <w:fldChar w:fldCharType="end"/>
        </w:r>
      </w:hyperlink>
    </w:p>
    <w:p w14:paraId="10543BA5" w14:textId="77777777" w:rsidR="00DF796E" w:rsidRDefault="00484239">
      <w:pPr>
        <w:pStyle w:val="TOC1"/>
        <w:rPr>
          <w:rFonts w:asciiTheme="minorHAnsi" w:eastAsiaTheme="minorEastAsia" w:hAnsiTheme="minorHAnsi"/>
          <w:b w:val="0"/>
          <w:noProof/>
          <w:color w:val="auto"/>
          <w:sz w:val="22"/>
          <w:lang w:eastAsia="en-GB"/>
        </w:rPr>
      </w:pPr>
      <w:hyperlink w:anchor="_Toc394327691" w:history="1">
        <w:r w:rsidR="00DF796E" w:rsidRPr="005E0EC5">
          <w:rPr>
            <w:rStyle w:val="Hyperlink"/>
            <w:rFonts w:eastAsiaTheme="majorEastAsia" w:cstheme="majorBidi"/>
            <w:noProof/>
          </w:rPr>
          <w:t>4.</w:t>
        </w:r>
        <w:r w:rsidR="00DF796E">
          <w:rPr>
            <w:rFonts w:asciiTheme="minorHAnsi" w:eastAsiaTheme="minorEastAsia" w:hAnsiTheme="minorHAnsi"/>
            <w:b w:val="0"/>
            <w:noProof/>
            <w:color w:val="auto"/>
            <w:sz w:val="22"/>
            <w:lang w:eastAsia="en-GB"/>
          </w:rPr>
          <w:tab/>
        </w:r>
        <w:r w:rsidR="00DF796E" w:rsidRPr="005E0EC5">
          <w:rPr>
            <w:rStyle w:val="Hyperlink"/>
            <w:rFonts w:eastAsiaTheme="majorEastAsia" w:cstheme="majorBidi"/>
            <w:noProof/>
          </w:rPr>
          <w:t>Business and Enterprise</w:t>
        </w:r>
        <w:r w:rsidR="00DF796E">
          <w:rPr>
            <w:noProof/>
            <w:webHidden/>
          </w:rPr>
          <w:tab/>
        </w:r>
        <w:r w:rsidR="00DF796E">
          <w:rPr>
            <w:noProof/>
            <w:webHidden/>
          </w:rPr>
          <w:fldChar w:fldCharType="begin"/>
        </w:r>
        <w:r w:rsidR="00DF796E">
          <w:rPr>
            <w:noProof/>
            <w:webHidden/>
          </w:rPr>
          <w:instrText xml:space="preserve"> PAGEREF _Toc394327691 \h </w:instrText>
        </w:r>
        <w:r w:rsidR="00DF796E">
          <w:rPr>
            <w:noProof/>
            <w:webHidden/>
          </w:rPr>
        </w:r>
        <w:r w:rsidR="00DF796E">
          <w:rPr>
            <w:noProof/>
            <w:webHidden/>
          </w:rPr>
          <w:fldChar w:fldCharType="separate"/>
        </w:r>
        <w:r w:rsidR="00DF796E">
          <w:rPr>
            <w:noProof/>
            <w:webHidden/>
          </w:rPr>
          <w:t>14</w:t>
        </w:r>
        <w:r w:rsidR="00DF796E">
          <w:rPr>
            <w:noProof/>
            <w:webHidden/>
          </w:rPr>
          <w:fldChar w:fldCharType="end"/>
        </w:r>
      </w:hyperlink>
    </w:p>
    <w:p w14:paraId="0A80DF7E" w14:textId="77777777" w:rsidR="00DF796E" w:rsidRDefault="00484239">
      <w:pPr>
        <w:pStyle w:val="TOC3"/>
        <w:rPr>
          <w:rFonts w:asciiTheme="minorHAnsi" w:eastAsiaTheme="minorEastAsia" w:hAnsiTheme="minorHAnsi"/>
          <w:noProof/>
          <w:color w:val="auto"/>
          <w:sz w:val="22"/>
          <w:lang w:eastAsia="en-GB"/>
        </w:rPr>
      </w:pPr>
      <w:hyperlink w:anchor="_Toc394327692" w:history="1">
        <w:r w:rsidR="00DF796E" w:rsidRPr="005E0EC5">
          <w:rPr>
            <w:rStyle w:val="Hyperlink"/>
            <w:rFonts w:eastAsiaTheme="majorEastAsia" w:cstheme="majorBidi"/>
            <w:noProof/>
          </w:rPr>
          <w:t>4.1.</w:t>
        </w:r>
        <w:r w:rsidR="00DF796E">
          <w:rPr>
            <w:rFonts w:asciiTheme="minorHAnsi" w:eastAsiaTheme="minorEastAsia" w:hAnsiTheme="minorHAnsi"/>
            <w:noProof/>
            <w:color w:val="auto"/>
            <w:sz w:val="22"/>
            <w:lang w:eastAsia="en-GB"/>
          </w:rPr>
          <w:tab/>
        </w:r>
        <w:r w:rsidR="00DF796E" w:rsidRPr="005E0EC5">
          <w:rPr>
            <w:rStyle w:val="Hyperlink"/>
            <w:rFonts w:eastAsiaTheme="majorEastAsia" w:cstheme="majorBidi"/>
            <w:noProof/>
          </w:rPr>
          <w:t>Business Density</w:t>
        </w:r>
        <w:r w:rsidR="00DF796E">
          <w:rPr>
            <w:noProof/>
            <w:webHidden/>
          </w:rPr>
          <w:tab/>
        </w:r>
        <w:r w:rsidR="00DF796E">
          <w:rPr>
            <w:noProof/>
            <w:webHidden/>
          </w:rPr>
          <w:fldChar w:fldCharType="begin"/>
        </w:r>
        <w:r w:rsidR="00DF796E">
          <w:rPr>
            <w:noProof/>
            <w:webHidden/>
          </w:rPr>
          <w:instrText xml:space="preserve"> PAGEREF _Toc394327692 \h </w:instrText>
        </w:r>
        <w:r w:rsidR="00DF796E">
          <w:rPr>
            <w:noProof/>
            <w:webHidden/>
          </w:rPr>
        </w:r>
        <w:r w:rsidR="00DF796E">
          <w:rPr>
            <w:noProof/>
            <w:webHidden/>
          </w:rPr>
          <w:fldChar w:fldCharType="separate"/>
        </w:r>
        <w:r w:rsidR="00DF796E">
          <w:rPr>
            <w:noProof/>
            <w:webHidden/>
          </w:rPr>
          <w:t>14</w:t>
        </w:r>
        <w:r w:rsidR="00DF796E">
          <w:rPr>
            <w:noProof/>
            <w:webHidden/>
          </w:rPr>
          <w:fldChar w:fldCharType="end"/>
        </w:r>
      </w:hyperlink>
    </w:p>
    <w:p w14:paraId="0D0AA13E" w14:textId="77777777" w:rsidR="00DF796E" w:rsidRDefault="00484239">
      <w:pPr>
        <w:pStyle w:val="TOC3"/>
        <w:rPr>
          <w:rFonts w:asciiTheme="minorHAnsi" w:eastAsiaTheme="minorEastAsia" w:hAnsiTheme="minorHAnsi"/>
          <w:noProof/>
          <w:color w:val="auto"/>
          <w:sz w:val="22"/>
          <w:lang w:eastAsia="en-GB"/>
        </w:rPr>
      </w:pPr>
      <w:hyperlink w:anchor="_Toc394327693" w:history="1">
        <w:r w:rsidR="00DF796E" w:rsidRPr="005E0EC5">
          <w:rPr>
            <w:rStyle w:val="Hyperlink"/>
            <w:noProof/>
          </w:rPr>
          <w:t>4.2.</w:t>
        </w:r>
        <w:r w:rsidR="00DF796E">
          <w:rPr>
            <w:rFonts w:asciiTheme="minorHAnsi" w:eastAsiaTheme="minorEastAsia" w:hAnsiTheme="minorHAnsi"/>
            <w:noProof/>
            <w:color w:val="auto"/>
            <w:sz w:val="22"/>
            <w:lang w:eastAsia="en-GB"/>
          </w:rPr>
          <w:tab/>
        </w:r>
        <w:r w:rsidR="00DF796E" w:rsidRPr="005E0EC5">
          <w:rPr>
            <w:rStyle w:val="Hyperlink"/>
            <w:noProof/>
          </w:rPr>
          <w:t>Employment</w:t>
        </w:r>
        <w:r w:rsidR="00DF796E">
          <w:rPr>
            <w:noProof/>
            <w:webHidden/>
          </w:rPr>
          <w:tab/>
        </w:r>
        <w:r w:rsidR="00DF796E">
          <w:rPr>
            <w:noProof/>
            <w:webHidden/>
          </w:rPr>
          <w:fldChar w:fldCharType="begin"/>
        </w:r>
        <w:r w:rsidR="00DF796E">
          <w:rPr>
            <w:noProof/>
            <w:webHidden/>
          </w:rPr>
          <w:instrText xml:space="preserve"> PAGEREF _Toc394327693 \h </w:instrText>
        </w:r>
        <w:r w:rsidR="00DF796E">
          <w:rPr>
            <w:noProof/>
            <w:webHidden/>
          </w:rPr>
        </w:r>
        <w:r w:rsidR="00DF796E">
          <w:rPr>
            <w:noProof/>
            <w:webHidden/>
          </w:rPr>
          <w:fldChar w:fldCharType="separate"/>
        </w:r>
        <w:r w:rsidR="00DF796E">
          <w:rPr>
            <w:noProof/>
            <w:webHidden/>
          </w:rPr>
          <w:t>17</w:t>
        </w:r>
        <w:r w:rsidR="00DF796E">
          <w:rPr>
            <w:noProof/>
            <w:webHidden/>
          </w:rPr>
          <w:fldChar w:fldCharType="end"/>
        </w:r>
      </w:hyperlink>
    </w:p>
    <w:p w14:paraId="6BD89166" w14:textId="77777777" w:rsidR="00DF796E" w:rsidRDefault="00484239">
      <w:pPr>
        <w:pStyle w:val="TOC3"/>
        <w:rPr>
          <w:rFonts w:asciiTheme="minorHAnsi" w:eastAsiaTheme="minorEastAsia" w:hAnsiTheme="minorHAnsi"/>
          <w:noProof/>
          <w:color w:val="auto"/>
          <w:sz w:val="22"/>
          <w:lang w:eastAsia="en-GB"/>
        </w:rPr>
      </w:pPr>
      <w:hyperlink w:anchor="_Toc394327694" w:history="1">
        <w:r w:rsidR="00DF796E" w:rsidRPr="005E0EC5">
          <w:rPr>
            <w:rStyle w:val="Hyperlink"/>
            <w:noProof/>
          </w:rPr>
          <w:t>4.3.</w:t>
        </w:r>
        <w:r w:rsidR="00DF796E">
          <w:rPr>
            <w:rFonts w:asciiTheme="minorHAnsi" w:eastAsiaTheme="minorEastAsia" w:hAnsiTheme="minorHAnsi"/>
            <w:noProof/>
            <w:color w:val="auto"/>
            <w:sz w:val="22"/>
            <w:lang w:eastAsia="en-GB"/>
          </w:rPr>
          <w:tab/>
        </w:r>
        <w:r w:rsidR="00DF796E" w:rsidRPr="005E0EC5">
          <w:rPr>
            <w:rStyle w:val="Hyperlink"/>
            <w:noProof/>
          </w:rPr>
          <w:t>Occupational Profile</w:t>
        </w:r>
        <w:r w:rsidR="00DF796E">
          <w:rPr>
            <w:noProof/>
            <w:webHidden/>
          </w:rPr>
          <w:tab/>
        </w:r>
        <w:r w:rsidR="00DF796E">
          <w:rPr>
            <w:noProof/>
            <w:webHidden/>
          </w:rPr>
          <w:fldChar w:fldCharType="begin"/>
        </w:r>
        <w:r w:rsidR="00DF796E">
          <w:rPr>
            <w:noProof/>
            <w:webHidden/>
          </w:rPr>
          <w:instrText xml:space="preserve"> PAGEREF _Toc394327694 \h </w:instrText>
        </w:r>
        <w:r w:rsidR="00DF796E">
          <w:rPr>
            <w:noProof/>
            <w:webHidden/>
          </w:rPr>
        </w:r>
        <w:r w:rsidR="00DF796E">
          <w:rPr>
            <w:noProof/>
            <w:webHidden/>
          </w:rPr>
          <w:fldChar w:fldCharType="separate"/>
        </w:r>
        <w:r w:rsidR="00DF796E">
          <w:rPr>
            <w:noProof/>
            <w:webHidden/>
          </w:rPr>
          <w:t>20</w:t>
        </w:r>
        <w:r w:rsidR="00DF796E">
          <w:rPr>
            <w:noProof/>
            <w:webHidden/>
          </w:rPr>
          <w:fldChar w:fldCharType="end"/>
        </w:r>
      </w:hyperlink>
    </w:p>
    <w:p w14:paraId="6E4EFA00" w14:textId="77777777" w:rsidR="00DF796E" w:rsidRDefault="00484239">
      <w:pPr>
        <w:pStyle w:val="TOC3"/>
        <w:rPr>
          <w:rFonts w:asciiTheme="minorHAnsi" w:eastAsiaTheme="minorEastAsia" w:hAnsiTheme="minorHAnsi"/>
          <w:noProof/>
          <w:color w:val="auto"/>
          <w:sz w:val="22"/>
          <w:lang w:eastAsia="en-GB"/>
        </w:rPr>
      </w:pPr>
      <w:hyperlink w:anchor="_Toc394327695" w:history="1">
        <w:r w:rsidR="00DF796E" w:rsidRPr="005E0EC5">
          <w:rPr>
            <w:rStyle w:val="Hyperlink"/>
            <w:rFonts w:eastAsiaTheme="majorEastAsia"/>
            <w:noProof/>
          </w:rPr>
          <w:t>4.4.</w:t>
        </w:r>
        <w:r w:rsidR="00DF796E">
          <w:rPr>
            <w:rFonts w:asciiTheme="minorHAnsi" w:eastAsiaTheme="minorEastAsia" w:hAnsiTheme="minorHAnsi"/>
            <w:noProof/>
            <w:color w:val="auto"/>
            <w:sz w:val="22"/>
            <w:lang w:eastAsia="en-GB"/>
          </w:rPr>
          <w:tab/>
        </w:r>
        <w:r w:rsidR="00DF796E" w:rsidRPr="005E0EC5">
          <w:rPr>
            <w:rStyle w:val="Hyperlink"/>
            <w:rFonts w:eastAsiaTheme="majorEastAsia"/>
            <w:noProof/>
          </w:rPr>
          <w:t>Earnings</w:t>
        </w:r>
        <w:r w:rsidR="00DF796E">
          <w:rPr>
            <w:noProof/>
            <w:webHidden/>
          </w:rPr>
          <w:tab/>
        </w:r>
        <w:r w:rsidR="00DF796E">
          <w:rPr>
            <w:noProof/>
            <w:webHidden/>
          </w:rPr>
          <w:fldChar w:fldCharType="begin"/>
        </w:r>
        <w:r w:rsidR="00DF796E">
          <w:rPr>
            <w:noProof/>
            <w:webHidden/>
          </w:rPr>
          <w:instrText xml:space="preserve"> PAGEREF _Toc394327695 \h </w:instrText>
        </w:r>
        <w:r w:rsidR="00DF796E">
          <w:rPr>
            <w:noProof/>
            <w:webHidden/>
          </w:rPr>
        </w:r>
        <w:r w:rsidR="00DF796E">
          <w:rPr>
            <w:noProof/>
            <w:webHidden/>
          </w:rPr>
          <w:fldChar w:fldCharType="separate"/>
        </w:r>
        <w:r w:rsidR="00DF796E">
          <w:rPr>
            <w:noProof/>
            <w:webHidden/>
          </w:rPr>
          <w:t>20</w:t>
        </w:r>
        <w:r w:rsidR="00DF796E">
          <w:rPr>
            <w:noProof/>
            <w:webHidden/>
          </w:rPr>
          <w:fldChar w:fldCharType="end"/>
        </w:r>
      </w:hyperlink>
    </w:p>
    <w:p w14:paraId="66D9CD41" w14:textId="77777777" w:rsidR="00DF796E" w:rsidRDefault="00484239">
      <w:pPr>
        <w:pStyle w:val="TOC1"/>
        <w:rPr>
          <w:rFonts w:asciiTheme="minorHAnsi" w:eastAsiaTheme="minorEastAsia" w:hAnsiTheme="minorHAnsi"/>
          <w:b w:val="0"/>
          <w:noProof/>
          <w:color w:val="auto"/>
          <w:sz w:val="22"/>
          <w:lang w:eastAsia="en-GB"/>
        </w:rPr>
      </w:pPr>
      <w:hyperlink w:anchor="_Toc394327696" w:history="1">
        <w:r w:rsidR="00DF796E" w:rsidRPr="005E0EC5">
          <w:rPr>
            <w:rStyle w:val="Hyperlink"/>
            <w:noProof/>
          </w:rPr>
          <w:t>5.</w:t>
        </w:r>
        <w:r w:rsidR="00DF796E">
          <w:rPr>
            <w:rFonts w:asciiTheme="minorHAnsi" w:eastAsiaTheme="minorEastAsia" w:hAnsiTheme="minorHAnsi"/>
            <w:b w:val="0"/>
            <w:noProof/>
            <w:color w:val="auto"/>
            <w:sz w:val="22"/>
            <w:lang w:eastAsia="en-GB"/>
          </w:rPr>
          <w:tab/>
        </w:r>
        <w:r w:rsidR="00DF796E" w:rsidRPr="005E0EC5">
          <w:rPr>
            <w:rStyle w:val="Hyperlink"/>
            <w:noProof/>
          </w:rPr>
          <w:t>Economic Output &amp; Productivity</w:t>
        </w:r>
        <w:r w:rsidR="00DF796E">
          <w:rPr>
            <w:noProof/>
            <w:webHidden/>
          </w:rPr>
          <w:tab/>
        </w:r>
        <w:r w:rsidR="00DF796E">
          <w:rPr>
            <w:noProof/>
            <w:webHidden/>
          </w:rPr>
          <w:fldChar w:fldCharType="begin"/>
        </w:r>
        <w:r w:rsidR="00DF796E">
          <w:rPr>
            <w:noProof/>
            <w:webHidden/>
          </w:rPr>
          <w:instrText xml:space="preserve"> PAGEREF _Toc394327696 \h </w:instrText>
        </w:r>
        <w:r w:rsidR="00DF796E">
          <w:rPr>
            <w:noProof/>
            <w:webHidden/>
          </w:rPr>
        </w:r>
        <w:r w:rsidR="00DF796E">
          <w:rPr>
            <w:noProof/>
            <w:webHidden/>
          </w:rPr>
          <w:fldChar w:fldCharType="separate"/>
        </w:r>
        <w:r w:rsidR="00DF796E">
          <w:rPr>
            <w:noProof/>
            <w:webHidden/>
          </w:rPr>
          <w:t>23</w:t>
        </w:r>
        <w:r w:rsidR="00DF796E">
          <w:rPr>
            <w:noProof/>
            <w:webHidden/>
          </w:rPr>
          <w:fldChar w:fldCharType="end"/>
        </w:r>
      </w:hyperlink>
    </w:p>
    <w:p w14:paraId="4CA42F2C" w14:textId="77777777" w:rsidR="00DF796E" w:rsidRDefault="00484239">
      <w:pPr>
        <w:pStyle w:val="TOC3"/>
        <w:rPr>
          <w:rFonts w:asciiTheme="minorHAnsi" w:eastAsiaTheme="minorEastAsia" w:hAnsiTheme="minorHAnsi"/>
          <w:noProof/>
          <w:color w:val="auto"/>
          <w:sz w:val="22"/>
          <w:lang w:eastAsia="en-GB"/>
        </w:rPr>
      </w:pPr>
      <w:hyperlink w:anchor="_Toc394327697" w:history="1">
        <w:r w:rsidR="00DF796E" w:rsidRPr="005E0EC5">
          <w:rPr>
            <w:rStyle w:val="Hyperlink"/>
            <w:noProof/>
          </w:rPr>
          <w:t>5.1.</w:t>
        </w:r>
        <w:r w:rsidR="00DF796E">
          <w:rPr>
            <w:rFonts w:asciiTheme="minorHAnsi" w:eastAsiaTheme="minorEastAsia" w:hAnsiTheme="minorHAnsi"/>
            <w:noProof/>
            <w:color w:val="auto"/>
            <w:sz w:val="22"/>
            <w:lang w:eastAsia="en-GB"/>
          </w:rPr>
          <w:tab/>
        </w:r>
        <w:r w:rsidR="00DF796E" w:rsidRPr="005E0EC5">
          <w:rPr>
            <w:rStyle w:val="Hyperlink"/>
            <w:noProof/>
          </w:rPr>
          <w:t>Export Performance</w:t>
        </w:r>
        <w:r w:rsidR="00DF796E">
          <w:rPr>
            <w:noProof/>
            <w:webHidden/>
          </w:rPr>
          <w:tab/>
        </w:r>
        <w:r w:rsidR="00DF796E">
          <w:rPr>
            <w:noProof/>
            <w:webHidden/>
          </w:rPr>
          <w:fldChar w:fldCharType="begin"/>
        </w:r>
        <w:r w:rsidR="00DF796E">
          <w:rPr>
            <w:noProof/>
            <w:webHidden/>
          </w:rPr>
          <w:instrText xml:space="preserve"> PAGEREF _Toc394327697 \h </w:instrText>
        </w:r>
        <w:r w:rsidR="00DF796E">
          <w:rPr>
            <w:noProof/>
            <w:webHidden/>
          </w:rPr>
        </w:r>
        <w:r w:rsidR="00DF796E">
          <w:rPr>
            <w:noProof/>
            <w:webHidden/>
          </w:rPr>
          <w:fldChar w:fldCharType="separate"/>
        </w:r>
        <w:r w:rsidR="00DF796E">
          <w:rPr>
            <w:noProof/>
            <w:webHidden/>
          </w:rPr>
          <w:t>26</w:t>
        </w:r>
        <w:r w:rsidR="00DF796E">
          <w:rPr>
            <w:noProof/>
            <w:webHidden/>
          </w:rPr>
          <w:fldChar w:fldCharType="end"/>
        </w:r>
      </w:hyperlink>
    </w:p>
    <w:p w14:paraId="51B28ECA" w14:textId="77777777" w:rsidR="00DF796E" w:rsidRDefault="00484239">
      <w:pPr>
        <w:pStyle w:val="TOC1"/>
        <w:rPr>
          <w:rFonts w:asciiTheme="minorHAnsi" w:eastAsiaTheme="minorEastAsia" w:hAnsiTheme="minorHAnsi"/>
          <w:b w:val="0"/>
          <w:noProof/>
          <w:color w:val="auto"/>
          <w:sz w:val="22"/>
          <w:lang w:eastAsia="en-GB"/>
        </w:rPr>
      </w:pPr>
      <w:hyperlink w:anchor="_Toc394327698" w:history="1">
        <w:r w:rsidR="00DF796E" w:rsidRPr="005E0EC5">
          <w:rPr>
            <w:rStyle w:val="Hyperlink"/>
            <w:rFonts w:eastAsiaTheme="majorEastAsia"/>
            <w:noProof/>
          </w:rPr>
          <w:t>6.</w:t>
        </w:r>
        <w:r w:rsidR="00DF796E">
          <w:rPr>
            <w:rFonts w:asciiTheme="minorHAnsi" w:eastAsiaTheme="minorEastAsia" w:hAnsiTheme="minorHAnsi"/>
            <w:b w:val="0"/>
            <w:noProof/>
            <w:color w:val="auto"/>
            <w:sz w:val="22"/>
            <w:lang w:eastAsia="en-GB"/>
          </w:rPr>
          <w:tab/>
        </w:r>
        <w:r w:rsidR="00DF796E" w:rsidRPr="005E0EC5">
          <w:rPr>
            <w:rStyle w:val="Hyperlink"/>
            <w:rFonts w:eastAsiaTheme="majorEastAsia"/>
            <w:noProof/>
          </w:rPr>
          <w:t>Innovation</w:t>
        </w:r>
        <w:r w:rsidR="00DF796E">
          <w:rPr>
            <w:noProof/>
            <w:webHidden/>
          </w:rPr>
          <w:tab/>
        </w:r>
        <w:r w:rsidR="00DF796E">
          <w:rPr>
            <w:noProof/>
            <w:webHidden/>
          </w:rPr>
          <w:fldChar w:fldCharType="begin"/>
        </w:r>
        <w:r w:rsidR="00DF796E">
          <w:rPr>
            <w:noProof/>
            <w:webHidden/>
          </w:rPr>
          <w:instrText xml:space="preserve"> PAGEREF _Toc394327698 \h </w:instrText>
        </w:r>
        <w:r w:rsidR="00DF796E">
          <w:rPr>
            <w:noProof/>
            <w:webHidden/>
          </w:rPr>
        </w:r>
        <w:r w:rsidR="00DF796E">
          <w:rPr>
            <w:noProof/>
            <w:webHidden/>
          </w:rPr>
          <w:fldChar w:fldCharType="separate"/>
        </w:r>
        <w:r w:rsidR="00DF796E">
          <w:rPr>
            <w:noProof/>
            <w:webHidden/>
          </w:rPr>
          <w:t>28</w:t>
        </w:r>
        <w:r w:rsidR="00DF796E">
          <w:rPr>
            <w:noProof/>
            <w:webHidden/>
          </w:rPr>
          <w:fldChar w:fldCharType="end"/>
        </w:r>
      </w:hyperlink>
    </w:p>
    <w:p w14:paraId="4A1CB320" w14:textId="77777777" w:rsidR="00DF796E" w:rsidRDefault="00484239">
      <w:pPr>
        <w:pStyle w:val="TOC1"/>
        <w:rPr>
          <w:rFonts w:asciiTheme="minorHAnsi" w:eastAsiaTheme="minorEastAsia" w:hAnsiTheme="minorHAnsi"/>
          <w:b w:val="0"/>
          <w:noProof/>
          <w:color w:val="auto"/>
          <w:sz w:val="22"/>
          <w:lang w:eastAsia="en-GB"/>
        </w:rPr>
      </w:pPr>
      <w:hyperlink w:anchor="_Toc394327699" w:history="1">
        <w:r w:rsidR="00DF796E" w:rsidRPr="005E0EC5">
          <w:rPr>
            <w:rStyle w:val="Hyperlink"/>
            <w:rFonts w:eastAsiaTheme="majorEastAsia"/>
            <w:noProof/>
          </w:rPr>
          <w:t>7.</w:t>
        </w:r>
        <w:r w:rsidR="00DF796E">
          <w:rPr>
            <w:rFonts w:asciiTheme="minorHAnsi" w:eastAsiaTheme="minorEastAsia" w:hAnsiTheme="minorHAnsi"/>
            <w:b w:val="0"/>
            <w:noProof/>
            <w:color w:val="auto"/>
            <w:sz w:val="22"/>
            <w:lang w:eastAsia="en-GB"/>
          </w:rPr>
          <w:tab/>
        </w:r>
        <w:r w:rsidR="00DF796E" w:rsidRPr="005E0EC5">
          <w:rPr>
            <w:rStyle w:val="Hyperlink"/>
            <w:rFonts w:eastAsiaTheme="majorEastAsia"/>
            <w:noProof/>
          </w:rPr>
          <w:t>Qualifications &amp; Skills</w:t>
        </w:r>
        <w:r w:rsidR="00DF796E">
          <w:rPr>
            <w:noProof/>
            <w:webHidden/>
          </w:rPr>
          <w:tab/>
        </w:r>
        <w:r w:rsidR="00DF796E">
          <w:rPr>
            <w:noProof/>
            <w:webHidden/>
          </w:rPr>
          <w:fldChar w:fldCharType="begin"/>
        </w:r>
        <w:r w:rsidR="00DF796E">
          <w:rPr>
            <w:noProof/>
            <w:webHidden/>
          </w:rPr>
          <w:instrText xml:space="preserve"> PAGEREF _Toc394327699 \h </w:instrText>
        </w:r>
        <w:r w:rsidR="00DF796E">
          <w:rPr>
            <w:noProof/>
            <w:webHidden/>
          </w:rPr>
        </w:r>
        <w:r w:rsidR="00DF796E">
          <w:rPr>
            <w:noProof/>
            <w:webHidden/>
          </w:rPr>
          <w:fldChar w:fldCharType="separate"/>
        </w:r>
        <w:r w:rsidR="00DF796E">
          <w:rPr>
            <w:noProof/>
            <w:webHidden/>
          </w:rPr>
          <w:t>29</w:t>
        </w:r>
        <w:r w:rsidR="00DF796E">
          <w:rPr>
            <w:noProof/>
            <w:webHidden/>
          </w:rPr>
          <w:fldChar w:fldCharType="end"/>
        </w:r>
      </w:hyperlink>
    </w:p>
    <w:p w14:paraId="4A10A100" w14:textId="77777777" w:rsidR="00DF796E" w:rsidRDefault="00484239">
      <w:pPr>
        <w:pStyle w:val="TOC3"/>
        <w:rPr>
          <w:rFonts w:asciiTheme="minorHAnsi" w:eastAsiaTheme="minorEastAsia" w:hAnsiTheme="minorHAnsi"/>
          <w:noProof/>
          <w:color w:val="auto"/>
          <w:sz w:val="22"/>
          <w:lang w:eastAsia="en-GB"/>
        </w:rPr>
      </w:pPr>
      <w:hyperlink w:anchor="_Toc394327700" w:history="1">
        <w:r w:rsidR="00DF796E" w:rsidRPr="005E0EC5">
          <w:rPr>
            <w:rStyle w:val="Hyperlink"/>
            <w:noProof/>
          </w:rPr>
          <w:t>7.1.</w:t>
        </w:r>
        <w:r w:rsidR="00DF796E">
          <w:rPr>
            <w:rFonts w:asciiTheme="minorHAnsi" w:eastAsiaTheme="minorEastAsia" w:hAnsiTheme="minorHAnsi"/>
            <w:noProof/>
            <w:color w:val="auto"/>
            <w:sz w:val="22"/>
            <w:lang w:eastAsia="en-GB"/>
          </w:rPr>
          <w:tab/>
        </w:r>
        <w:r w:rsidR="00DF796E" w:rsidRPr="005E0EC5">
          <w:rPr>
            <w:rStyle w:val="Hyperlink"/>
            <w:noProof/>
          </w:rPr>
          <w:t>Apprenticeships</w:t>
        </w:r>
        <w:r w:rsidR="00DF796E">
          <w:rPr>
            <w:noProof/>
            <w:webHidden/>
          </w:rPr>
          <w:tab/>
        </w:r>
        <w:r w:rsidR="00DF796E">
          <w:rPr>
            <w:noProof/>
            <w:webHidden/>
          </w:rPr>
          <w:fldChar w:fldCharType="begin"/>
        </w:r>
        <w:r w:rsidR="00DF796E">
          <w:rPr>
            <w:noProof/>
            <w:webHidden/>
          </w:rPr>
          <w:instrText xml:space="preserve"> PAGEREF _Toc394327700 \h </w:instrText>
        </w:r>
        <w:r w:rsidR="00DF796E">
          <w:rPr>
            <w:noProof/>
            <w:webHidden/>
          </w:rPr>
        </w:r>
        <w:r w:rsidR="00DF796E">
          <w:rPr>
            <w:noProof/>
            <w:webHidden/>
          </w:rPr>
          <w:fldChar w:fldCharType="separate"/>
        </w:r>
        <w:r w:rsidR="00DF796E">
          <w:rPr>
            <w:noProof/>
            <w:webHidden/>
          </w:rPr>
          <w:t>30</w:t>
        </w:r>
        <w:r w:rsidR="00DF796E">
          <w:rPr>
            <w:noProof/>
            <w:webHidden/>
          </w:rPr>
          <w:fldChar w:fldCharType="end"/>
        </w:r>
      </w:hyperlink>
    </w:p>
    <w:p w14:paraId="7AFD56B0" w14:textId="77777777" w:rsidR="00DF796E" w:rsidRDefault="00484239">
      <w:pPr>
        <w:pStyle w:val="TOC3"/>
        <w:rPr>
          <w:rFonts w:asciiTheme="minorHAnsi" w:eastAsiaTheme="minorEastAsia" w:hAnsiTheme="minorHAnsi"/>
          <w:noProof/>
          <w:color w:val="auto"/>
          <w:sz w:val="22"/>
          <w:lang w:eastAsia="en-GB"/>
        </w:rPr>
      </w:pPr>
      <w:hyperlink w:anchor="_Toc394327701" w:history="1">
        <w:r w:rsidR="00DF796E" w:rsidRPr="005E0EC5">
          <w:rPr>
            <w:rStyle w:val="Hyperlink"/>
            <w:noProof/>
          </w:rPr>
          <w:t>7.2.</w:t>
        </w:r>
        <w:r w:rsidR="00DF796E">
          <w:rPr>
            <w:rFonts w:asciiTheme="minorHAnsi" w:eastAsiaTheme="minorEastAsia" w:hAnsiTheme="minorHAnsi"/>
            <w:noProof/>
            <w:color w:val="auto"/>
            <w:sz w:val="22"/>
            <w:lang w:eastAsia="en-GB"/>
          </w:rPr>
          <w:tab/>
        </w:r>
        <w:r w:rsidR="00DF796E" w:rsidRPr="005E0EC5">
          <w:rPr>
            <w:rStyle w:val="Hyperlink"/>
            <w:noProof/>
          </w:rPr>
          <w:t>Skills Gaps and Shortages</w:t>
        </w:r>
        <w:r w:rsidR="00DF796E">
          <w:rPr>
            <w:noProof/>
            <w:webHidden/>
          </w:rPr>
          <w:tab/>
        </w:r>
        <w:r w:rsidR="00DF796E">
          <w:rPr>
            <w:noProof/>
            <w:webHidden/>
          </w:rPr>
          <w:fldChar w:fldCharType="begin"/>
        </w:r>
        <w:r w:rsidR="00DF796E">
          <w:rPr>
            <w:noProof/>
            <w:webHidden/>
          </w:rPr>
          <w:instrText xml:space="preserve"> PAGEREF _Toc394327701 \h </w:instrText>
        </w:r>
        <w:r w:rsidR="00DF796E">
          <w:rPr>
            <w:noProof/>
            <w:webHidden/>
          </w:rPr>
        </w:r>
        <w:r w:rsidR="00DF796E">
          <w:rPr>
            <w:noProof/>
            <w:webHidden/>
          </w:rPr>
          <w:fldChar w:fldCharType="separate"/>
        </w:r>
        <w:r w:rsidR="00DF796E">
          <w:rPr>
            <w:noProof/>
            <w:webHidden/>
          </w:rPr>
          <w:t>30</w:t>
        </w:r>
        <w:r w:rsidR="00DF796E">
          <w:rPr>
            <w:noProof/>
            <w:webHidden/>
          </w:rPr>
          <w:fldChar w:fldCharType="end"/>
        </w:r>
      </w:hyperlink>
    </w:p>
    <w:p w14:paraId="63F38809" w14:textId="77777777" w:rsidR="00DF796E" w:rsidRDefault="00484239">
      <w:pPr>
        <w:pStyle w:val="TOC1"/>
        <w:rPr>
          <w:rFonts w:asciiTheme="minorHAnsi" w:eastAsiaTheme="minorEastAsia" w:hAnsiTheme="minorHAnsi"/>
          <w:b w:val="0"/>
          <w:noProof/>
          <w:color w:val="auto"/>
          <w:sz w:val="22"/>
          <w:lang w:eastAsia="en-GB"/>
        </w:rPr>
      </w:pPr>
      <w:hyperlink w:anchor="_Toc394327702" w:history="1">
        <w:r w:rsidR="00DF796E" w:rsidRPr="005E0EC5">
          <w:rPr>
            <w:rStyle w:val="Hyperlink"/>
            <w:noProof/>
          </w:rPr>
          <w:t>8.</w:t>
        </w:r>
        <w:r w:rsidR="00DF796E">
          <w:rPr>
            <w:rFonts w:asciiTheme="minorHAnsi" w:eastAsiaTheme="minorEastAsia" w:hAnsiTheme="minorHAnsi"/>
            <w:b w:val="0"/>
            <w:noProof/>
            <w:color w:val="auto"/>
            <w:sz w:val="22"/>
            <w:lang w:eastAsia="en-GB"/>
          </w:rPr>
          <w:tab/>
        </w:r>
        <w:r w:rsidR="00DF796E" w:rsidRPr="005E0EC5">
          <w:rPr>
            <w:rStyle w:val="Hyperlink"/>
            <w:noProof/>
          </w:rPr>
          <w:t>Housing Market</w:t>
        </w:r>
        <w:r w:rsidR="00DF796E">
          <w:rPr>
            <w:noProof/>
            <w:webHidden/>
          </w:rPr>
          <w:tab/>
        </w:r>
        <w:r w:rsidR="00DF796E">
          <w:rPr>
            <w:noProof/>
            <w:webHidden/>
          </w:rPr>
          <w:fldChar w:fldCharType="begin"/>
        </w:r>
        <w:r w:rsidR="00DF796E">
          <w:rPr>
            <w:noProof/>
            <w:webHidden/>
          </w:rPr>
          <w:instrText xml:space="preserve"> PAGEREF _Toc394327702 \h </w:instrText>
        </w:r>
        <w:r w:rsidR="00DF796E">
          <w:rPr>
            <w:noProof/>
            <w:webHidden/>
          </w:rPr>
        </w:r>
        <w:r w:rsidR="00DF796E">
          <w:rPr>
            <w:noProof/>
            <w:webHidden/>
          </w:rPr>
          <w:fldChar w:fldCharType="separate"/>
        </w:r>
        <w:r w:rsidR="00DF796E">
          <w:rPr>
            <w:noProof/>
            <w:webHidden/>
          </w:rPr>
          <w:t>33</w:t>
        </w:r>
        <w:r w:rsidR="00DF796E">
          <w:rPr>
            <w:noProof/>
            <w:webHidden/>
          </w:rPr>
          <w:fldChar w:fldCharType="end"/>
        </w:r>
      </w:hyperlink>
    </w:p>
    <w:p w14:paraId="10B6A2E8" w14:textId="77777777" w:rsidR="00DF796E" w:rsidRDefault="00484239">
      <w:pPr>
        <w:pStyle w:val="TOC1"/>
        <w:rPr>
          <w:rFonts w:asciiTheme="minorHAnsi" w:eastAsiaTheme="minorEastAsia" w:hAnsiTheme="minorHAnsi"/>
          <w:b w:val="0"/>
          <w:noProof/>
          <w:color w:val="auto"/>
          <w:sz w:val="22"/>
          <w:lang w:eastAsia="en-GB"/>
        </w:rPr>
      </w:pPr>
      <w:hyperlink w:anchor="_Toc394327703" w:history="1">
        <w:r w:rsidR="00DF796E" w:rsidRPr="005E0EC5">
          <w:rPr>
            <w:rStyle w:val="Hyperlink"/>
            <w:rFonts w:eastAsiaTheme="majorEastAsia"/>
            <w:noProof/>
          </w:rPr>
          <w:t>9.</w:t>
        </w:r>
        <w:r w:rsidR="00DF796E">
          <w:rPr>
            <w:rFonts w:asciiTheme="minorHAnsi" w:eastAsiaTheme="minorEastAsia" w:hAnsiTheme="minorHAnsi"/>
            <w:b w:val="0"/>
            <w:noProof/>
            <w:color w:val="auto"/>
            <w:sz w:val="22"/>
            <w:lang w:eastAsia="en-GB"/>
          </w:rPr>
          <w:tab/>
        </w:r>
        <w:r w:rsidR="00DF796E" w:rsidRPr="005E0EC5">
          <w:rPr>
            <w:rStyle w:val="Hyperlink"/>
            <w:rFonts w:eastAsiaTheme="majorEastAsia"/>
            <w:noProof/>
          </w:rPr>
          <w:t>Labour Market</w:t>
        </w:r>
        <w:r w:rsidR="00DF796E">
          <w:rPr>
            <w:noProof/>
            <w:webHidden/>
          </w:rPr>
          <w:tab/>
        </w:r>
        <w:r w:rsidR="00DF796E">
          <w:rPr>
            <w:noProof/>
            <w:webHidden/>
          </w:rPr>
          <w:fldChar w:fldCharType="begin"/>
        </w:r>
        <w:r w:rsidR="00DF796E">
          <w:rPr>
            <w:noProof/>
            <w:webHidden/>
          </w:rPr>
          <w:instrText xml:space="preserve"> PAGEREF _Toc394327703 \h </w:instrText>
        </w:r>
        <w:r w:rsidR="00DF796E">
          <w:rPr>
            <w:noProof/>
            <w:webHidden/>
          </w:rPr>
        </w:r>
        <w:r w:rsidR="00DF796E">
          <w:rPr>
            <w:noProof/>
            <w:webHidden/>
          </w:rPr>
          <w:fldChar w:fldCharType="separate"/>
        </w:r>
        <w:r w:rsidR="00DF796E">
          <w:rPr>
            <w:noProof/>
            <w:webHidden/>
          </w:rPr>
          <w:t>36</w:t>
        </w:r>
        <w:r w:rsidR="00DF796E">
          <w:rPr>
            <w:noProof/>
            <w:webHidden/>
          </w:rPr>
          <w:fldChar w:fldCharType="end"/>
        </w:r>
      </w:hyperlink>
    </w:p>
    <w:p w14:paraId="49944565" w14:textId="77777777" w:rsidR="00DF796E" w:rsidRDefault="00484239">
      <w:pPr>
        <w:pStyle w:val="TOC3"/>
        <w:rPr>
          <w:rFonts w:asciiTheme="minorHAnsi" w:eastAsiaTheme="minorEastAsia" w:hAnsiTheme="minorHAnsi"/>
          <w:noProof/>
          <w:color w:val="auto"/>
          <w:sz w:val="22"/>
          <w:lang w:eastAsia="en-GB"/>
        </w:rPr>
      </w:pPr>
      <w:hyperlink w:anchor="_Toc394327704" w:history="1">
        <w:r w:rsidR="00DF796E" w:rsidRPr="005E0EC5">
          <w:rPr>
            <w:rStyle w:val="Hyperlink"/>
            <w:noProof/>
          </w:rPr>
          <w:t>9.1.</w:t>
        </w:r>
        <w:r w:rsidR="00DF796E">
          <w:rPr>
            <w:rFonts w:asciiTheme="minorHAnsi" w:eastAsiaTheme="minorEastAsia" w:hAnsiTheme="minorHAnsi"/>
            <w:noProof/>
            <w:color w:val="auto"/>
            <w:sz w:val="22"/>
            <w:lang w:eastAsia="en-GB"/>
          </w:rPr>
          <w:tab/>
        </w:r>
        <w:r w:rsidR="00DF796E" w:rsidRPr="005E0EC5">
          <w:rPr>
            <w:rStyle w:val="Hyperlink"/>
            <w:noProof/>
          </w:rPr>
          <w:t>Unemployment</w:t>
        </w:r>
        <w:r w:rsidR="00DF796E">
          <w:rPr>
            <w:noProof/>
            <w:webHidden/>
          </w:rPr>
          <w:tab/>
        </w:r>
        <w:r w:rsidR="00DF796E">
          <w:rPr>
            <w:noProof/>
            <w:webHidden/>
          </w:rPr>
          <w:fldChar w:fldCharType="begin"/>
        </w:r>
        <w:r w:rsidR="00DF796E">
          <w:rPr>
            <w:noProof/>
            <w:webHidden/>
          </w:rPr>
          <w:instrText xml:space="preserve"> PAGEREF _Toc394327704 \h </w:instrText>
        </w:r>
        <w:r w:rsidR="00DF796E">
          <w:rPr>
            <w:noProof/>
            <w:webHidden/>
          </w:rPr>
        </w:r>
        <w:r w:rsidR="00DF796E">
          <w:rPr>
            <w:noProof/>
            <w:webHidden/>
          </w:rPr>
          <w:fldChar w:fldCharType="separate"/>
        </w:r>
        <w:r w:rsidR="00DF796E">
          <w:rPr>
            <w:noProof/>
            <w:webHidden/>
          </w:rPr>
          <w:t>37</w:t>
        </w:r>
        <w:r w:rsidR="00DF796E">
          <w:rPr>
            <w:noProof/>
            <w:webHidden/>
          </w:rPr>
          <w:fldChar w:fldCharType="end"/>
        </w:r>
      </w:hyperlink>
    </w:p>
    <w:p w14:paraId="5837067C" w14:textId="77777777" w:rsidR="00DF796E" w:rsidRDefault="00484239">
      <w:pPr>
        <w:pStyle w:val="TOC3"/>
        <w:rPr>
          <w:rFonts w:asciiTheme="minorHAnsi" w:eastAsiaTheme="minorEastAsia" w:hAnsiTheme="minorHAnsi"/>
          <w:noProof/>
          <w:color w:val="auto"/>
          <w:sz w:val="22"/>
          <w:lang w:eastAsia="en-GB"/>
        </w:rPr>
      </w:pPr>
      <w:hyperlink w:anchor="_Toc394327705" w:history="1">
        <w:r w:rsidR="00DF796E" w:rsidRPr="005E0EC5">
          <w:rPr>
            <w:rStyle w:val="Hyperlink"/>
            <w:noProof/>
          </w:rPr>
          <w:t>9.2.</w:t>
        </w:r>
        <w:r w:rsidR="00DF796E">
          <w:rPr>
            <w:rFonts w:asciiTheme="minorHAnsi" w:eastAsiaTheme="minorEastAsia" w:hAnsiTheme="minorHAnsi"/>
            <w:noProof/>
            <w:color w:val="auto"/>
            <w:sz w:val="22"/>
            <w:lang w:eastAsia="en-GB"/>
          </w:rPr>
          <w:tab/>
        </w:r>
        <w:r w:rsidR="00DF796E" w:rsidRPr="005E0EC5">
          <w:rPr>
            <w:rStyle w:val="Hyperlink"/>
            <w:noProof/>
          </w:rPr>
          <w:t>Claimant count</w:t>
        </w:r>
        <w:r w:rsidR="00DF796E">
          <w:rPr>
            <w:noProof/>
            <w:webHidden/>
          </w:rPr>
          <w:tab/>
        </w:r>
        <w:r w:rsidR="00DF796E">
          <w:rPr>
            <w:noProof/>
            <w:webHidden/>
          </w:rPr>
          <w:fldChar w:fldCharType="begin"/>
        </w:r>
        <w:r w:rsidR="00DF796E">
          <w:rPr>
            <w:noProof/>
            <w:webHidden/>
          </w:rPr>
          <w:instrText xml:space="preserve"> PAGEREF _Toc394327705 \h </w:instrText>
        </w:r>
        <w:r w:rsidR="00DF796E">
          <w:rPr>
            <w:noProof/>
            <w:webHidden/>
          </w:rPr>
        </w:r>
        <w:r w:rsidR="00DF796E">
          <w:rPr>
            <w:noProof/>
            <w:webHidden/>
          </w:rPr>
          <w:fldChar w:fldCharType="separate"/>
        </w:r>
        <w:r w:rsidR="00DF796E">
          <w:rPr>
            <w:noProof/>
            <w:webHidden/>
          </w:rPr>
          <w:t>38</w:t>
        </w:r>
        <w:r w:rsidR="00DF796E">
          <w:rPr>
            <w:noProof/>
            <w:webHidden/>
          </w:rPr>
          <w:fldChar w:fldCharType="end"/>
        </w:r>
      </w:hyperlink>
    </w:p>
    <w:p w14:paraId="5200B83C" w14:textId="77777777" w:rsidR="00DF796E" w:rsidRDefault="00484239">
      <w:pPr>
        <w:pStyle w:val="TOC3"/>
        <w:rPr>
          <w:rFonts w:asciiTheme="minorHAnsi" w:eastAsiaTheme="minorEastAsia" w:hAnsiTheme="minorHAnsi"/>
          <w:noProof/>
          <w:color w:val="auto"/>
          <w:sz w:val="22"/>
          <w:lang w:eastAsia="en-GB"/>
        </w:rPr>
      </w:pPr>
      <w:hyperlink w:anchor="_Toc394327706" w:history="1">
        <w:r w:rsidR="00DF796E" w:rsidRPr="005E0EC5">
          <w:rPr>
            <w:rStyle w:val="Hyperlink"/>
            <w:noProof/>
          </w:rPr>
          <w:t>9.3.</w:t>
        </w:r>
        <w:r w:rsidR="00DF796E">
          <w:rPr>
            <w:rFonts w:asciiTheme="minorHAnsi" w:eastAsiaTheme="minorEastAsia" w:hAnsiTheme="minorHAnsi"/>
            <w:noProof/>
            <w:color w:val="auto"/>
            <w:sz w:val="22"/>
            <w:lang w:eastAsia="en-GB"/>
          </w:rPr>
          <w:tab/>
        </w:r>
        <w:r w:rsidR="00DF796E" w:rsidRPr="005E0EC5">
          <w:rPr>
            <w:rStyle w:val="Hyperlink"/>
            <w:noProof/>
          </w:rPr>
          <w:t>Youth Unemployment</w:t>
        </w:r>
        <w:r w:rsidR="00DF796E">
          <w:rPr>
            <w:noProof/>
            <w:webHidden/>
          </w:rPr>
          <w:tab/>
        </w:r>
        <w:r w:rsidR="00DF796E">
          <w:rPr>
            <w:noProof/>
            <w:webHidden/>
          </w:rPr>
          <w:fldChar w:fldCharType="begin"/>
        </w:r>
        <w:r w:rsidR="00DF796E">
          <w:rPr>
            <w:noProof/>
            <w:webHidden/>
          </w:rPr>
          <w:instrText xml:space="preserve"> PAGEREF _Toc394327706 \h </w:instrText>
        </w:r>
        <w:r w:rsidR="00DF796E">
          <w:rPr>
            <w:noProof/>
            <w:webHidden/>
          </w:rPr>
        </w:r>
        <w:r w:rsidR="00DF796E">
          <w:rPr>
            <w:noProof/>
            <w:webHidden/>
          </w:rPr>
          <w:fldChar w:fldCharType="separate"/>
        </w:r>
        <w:r w:rsidR="00DF796E">
          <w:rPr>
            <w:noProof/>
            <w:webHidden/>
          </w:rPr>
          <w:t>41</w:t>
        </w:r>
        <w:r w:rsidR="00DF796E">
          <w:rPr>
            <w:noProof/>
            <w:webHidden/>
          </w:rPr>
          <w:fldChar w:fldCharType="end"/>
        </w:r>
      </w:hyperlink>
    </w:p>
    <w:p w14:paraId="00A8B2F0" w14:textId="77777777" w:rsidR="00DF796E" w:rsidRDefault="00484239">
      <w:pPr>
        <w:pStyle w:val="TOC3"/>
        <w:rPr>
          <w:rFonts w:asciiTheme="minorHAnsi" w:eastAsiaTheme="minorEastAsia" w:hAnsiTheme="minorHAnsi"/>
          <w:noProof/>
          <w:color w:val="auto"/>
          <w:sz w:val="22"/>
          <w:lang w:eastAsia="en-GB"/>
        </w:rPr>
      </w:pPr>
      <w:hyperlink w:anchor="_Toc394327707" w:history="1">
        <w:r w:rsidR="00DF796E" w:rsidRPr="005E0EC5">
          <w:rPr>
            <w:rStyle w:val="Hyperlink"/>
            <w:noProof/>
          </w:rPr>
          <w:t>9.4.</w:t>
        </w:r>
        <w:r w:rsidR="00DF796E">
          <w:rPr>
            <w:rFonts w:asciiTheme="minorHAnsi" w:eastAsiaTheme="minorEastAsia" w:hAnsiTheme="minorHAnsi"/>
            <w:noProof/>
            <w:color w:val="auto"/>
            <w:sz w:val="22"/>
            <w:lang w:eastAsia="en-GB"/>
          </w:rPr>
          <w:tab/>
        </w:r>
        <w:r w:rsidR="00DF796E" w:rsidRPr="005E0EC5">
          <w:rPr>
            <w:rStyle w:val="Hyperlink"/>
            <w:noProof/>
          </w:rPr>
          <w:t>Self Employment</w:t>
        </w:r>
        <w:r w:rsidR="00DF796E">
          <w:rPr>
            <w:noProof/>
            <w:webHidden/>
          </w:rPr>
          <w:tab/>
        </w:r>
        <w:r w:rsidR="00DF796E">
          <w:rPr>
            <w:noProof/>
            <w:webHidden/>
          </w:rPr>
          <w:fldChar w:fldCharType="begin"/>
        </w:r>
        <w:r w:rsidR="00DF796E">
          <w:rPr>
            <w:noProof/>
            <w:webHidden/>
          </w:rPr>
          <w:instrText xml:space="preserve"> PAGEREF _Toc394327707 \h </w:instrText>
        </w:r>
        <w:r w:rsidR="00DF796E">
          <w:rPr>
            <w:noProof/>
            <w:webHidden/>
          </w:rPr>
        </w:r>
        <w:r w:rsidR="00DF796E">
          <w:rPr>
            <w:noProof/>
            <w:webHidden/>
          </w:rPr>
          <w:fldChar w:fldCharType="separate"/>
        </w:r>
        <w:r w:rsidR="00DF796E">
          <w:rPr>
            <w:noProof/>
            <w:webHidden/>
          </w:rPr>
          <w:t>42</w:t>
        </w:r>
        <w:r w:rsidR="00DF796E">
          <w:rPr>
            <w:noProof/>
            <w:webHidden/>
          </w:rPr>
          <w:fldChar w:fldCharType="end"/>
        </w:r>
      </w:hyperlink>
    </w:p>
    <w:p w14:paraId="62E54C32" w14:textId="77777777" w:rsidR="00DF796E" w:rsidRDefault="00484239">
      <w:pPr>
        <w:pStyle w:val="TOC1"/>
        <w:rPr>
          <w:rFonts w:asciiTheme="minorHAnsi" w:eastAsiaTheme="minorEastAsia" w:hAnsiTheme="minorHAnsi"/>
          <w:b w:val="0"/>
          <w:noProof/>
          <w:color w:val="auto"/>
          <w:sz w:val="22"/>
          <w:lang w:eastAsia="en-GB"/>
        </w:rPr>
      </w:pPr>
      <w:hyperlink w:anchor="_Toc394327709" w:history="1">
        <w:r w:rsidR="00DF796E" w:rsidRPr="005E0EC5">
          <w:rPr>
            <w:rStyle w:val="Hyperlink"/>
            <w:rFonts w:eastAsiaTheme="majorEastAsia"/>
            <w:noProof/>
          </w:rPr>
          <w:t>10.</w:t>
        </w:r>
        <w:r w:rsidR="00DF796E">
          <w:rPr>
            <w:rFonts w:asciiTheme="minorHAnsi" w:eastAsiaTheme="minorEastAsia" w:hAnsiTheme="minorHAnsi"/>
            <w:b w:val="0"/>
            <w:noProof/>
            <w:color w:val="auto"/>
            <w:sz w:val="22"/>
            <w:lang w:eastAsia="en-GB"/>
          </w:rPr>
          <w:tab/>
        </w:r>
        <w:r w:rsidR="00DF796E" w:rsidRPr="005E0EC5">
          <w:rPr>
            <w:rStyle w:val="Hyperlink"/>
            <w:rFonts w:eastAsiaTheme="majorEastAsia"/>
            <w:noProof/>
          </w:rPr>
          <w:t>Deprivation</w:t>
        </w:r>
        <w:r w:rsidR="00DF796E">
          <w:rPr>
            <w:noProof/>
            <w:webHidden/>
          </w:rPr>
          <w:tab/>
        </w:r>
        <w:r w:rsidR="00DF796E">
          <w:rPr>
            <w:noProof/>
            <w:webHidden/>
          </w:rPr>
          <w:fldChar w:fldCharType="begin"/>
        </w:r>
        <w:r w:rsidR="00DF796E">
          <w:rPr>
            <w:noProof/>
            <w:webHidden/>
          </w:rPr>
          <w:instrText xml:space="preserve"> PAGEREF _Toc394327709 \h </w:instrText>
        </w:r>
        <w:r w:rsidR="00DF796E">
          <w:rPr>
            <w:noProof/>
            <w:webHidden/>
          </w:rPr>
        </w:r>
        <w:r w:rsidR="00DF796E">
          <w:rPr>
            <w:noProof/>
            <w:webHidden/>
          </w:rPr>
          <w:fldChar w:fldCharType="separate"/>
        </w:r>
        <w:r w:rsidR="00DF796E">
          <w:rPr>
            <w:noProof/>
            <w:webHidden/>
          </w:rPr>
          <w:t>44</w:t>
        </w:r>
        <w:r w:rsidR="00DF796E">
          <w:rPr>
            <w:noProof/>
            <w:webHidden/>
          </w:rPr>
          <w:fldChar w:fldCharType="end"/>
        </w:r>
      </w:hyperlink>
    </w:p>
    <w:p w14:paraId="11A8FE0C" w14:textId="77777777" w:rsidR="00DF796E" w:rsidRDefault="00484239">
      <w:pPr>
        <w:pStyle w:val="TOC3"/>
        <w:rPr>
          <w:rFonts w:asciiTheme="minorHAnsi" w:eastAsiaTheme="minorEastAsia" w:hAnsiTheme="minorHAnsi"/>
          <w:noProof/>
          <w:color w:val="auto"/>
          <w:sz w:val="22"/>
          <w:lang w:eastAsia="en-GB"/>
        </w:rPr>
      </w:pPr>
      <w:hyperlink w:anchor="_Toc394327710" w:history="1">
        <w:r w:rsidR="00DF796E" w:rsidRPr="005E0EC5">
          <w:rPr>
            <w:rStyle w:val="Hyperlink"/>
            <w:noProof/>
          </w:rPr>
          <w:t>10.1.</w:t>
        </w:r>
        <w:r w:rsidR="00DF796E">
          <w:rPr>
            <w:rFonts w:asciiTheme="minorHAnsi" w:eastAsiaTheme="minorEastAsia" w:hAnsiTheme="minorHAnsi"/>
            <w:noProof/>
            <w:color w:val="auto"/>
            <w:sz w:val="22"/>
            <w:lang w:eastAsia="en-GB"/>
          </w:rPr>
          <w:tab/>
        </w:r>
        <w:r w:rsidR="00DF796E" w:rsidRPr="005E0EC5">
          <w:rPr>
            <w:rStyle w:val="Hyperlink"/>
            <w:noProof/>
          </w:rPr>
          <w:t>Health</w:t>
        </w:r>
        <w:r w:rsidR="00DF796E">
          <w:rPr>
            <w:noProof/>
            <w:webHidden/>
          </w:rPr>
          <w:tab/>
        </w:r>
        <w:r w:rsidR="00DF796E">
          <w:rPr>
            <w:noProof/>
            <w:webHidden/>
          </w:rPr>
          <w:fldChar w:fldCharType="begin"/>
        </w:r>
        <w:r w:rsidR="00DF796E">
          <w:rPr>
            <w:noProof/>
            <w:webHidden/>
          </w:rPr>
          <w:instrText xml:space="preserve"> PAGEREF _Toc394327710 \h </w:instrText>
        </w:r>
        <w:r w:rsidR="00DF796E">
          <w:rPr>
            <w:noProof/>
            <w:webHidden/>
          </w:rPr>
        </w:r>
        <w:r w:rsidR="00DF796E">
          <w:rPr>
            <w:noProof/>
            <w:webHidden/>
          </w:rPr>
          <w:fldChar w:fldCharType="separate"/>
        </w:r>
        <w:r w:rsidR="00DF796E">
          <w:rPr>
            <w:noProof/>
            <w:webHidden/>
          </w:rPr>
          <w:t>44</w:t>
        </w:r>
        <w:r w:rsidR="00DF796E">
          <w:rPr>
            <w:noProof/>
            <w:webHidden/>
          </w:rPr>
          <w:fldChar w:fldCharType="end"/>
        </w:r>
      </w:hyperlink>
    </w:p>
    <w:p w14:paraId="1B26D62C" w14:textId="77777777" w:rsidR="00B7202B" w:rsidRPr="00CA72B7" w:rsidRDefault="00F70FD0" w:rsidP="00B7202B">
      <w:pPr>
        <w:pStyle w:val="NormalNoSpace"/>
      </w:pPr>
      <w:r w:rsidRPr="00CA72B7">
        <w:fldChar w:fldCharType="end"/>
      </w:r>
    </w:p>
    <w:bookmarkEnd w:id="8"/>
    <w:p w14:paraId="3BF31839" w14:textId="77777777" w:rsidR="00B235F1" w:rsidRPr="00CA72B7" w:rsidRDefault="00B235F1" w:rsidP="00E1773F">
      <w:pPr>
        <w:sectPr w:rsidR="00B235F1" w:rsidRPr="00CA72B7" w:rsidSect="009D5CB3">
          <w:headerReference w:type="default" r:id="rId13"/>
          <w:footerReference w:type="default" r:id="rId14"/>
          <w:headerReference w:type="first" r:id="rId15"/>
          <w:pgSz w:w="11906" w:h="16838" w:code="9"/>
          <w:pgMar w:top="1101" w:right="1134" w:bottom="964" w:left="1134" w:header="510" w:footer="340" w:gutter="0"/>
          <w:cols w:space="708"/>
          <w:docGrid w:linePitch="360"/>
        </w:sectPr>
      </w:pPr>
    </w:p>
    <w:p w14:paraId="77F50C0F" w14:textId="77777777" w:rsidR="00F511B6" w:rsidRDefault="00F511B6" w:rsidP="00F511B6">
      <w:pPr>
        <w:pStyle w:val="Heading1"/>
        <w:numPr>
          <w:ilvl w:val="0"/>
          <w:numId w:val="0"/>
        </w:numPr>
        <w:rPr>
          <w:rFonts w:eastAsiaTheme="majorEastAsia"/>
        </w:rPr>
      </w:pPr>
      <w:bookmarkStart w:id="9" w:name="_Toc394327682"/>
      <w:r>
        <w:rPr>
          <w:rFonts w:eastAsiaTheme="majorEastAsia"/>
        </w:rPr>
        <w:lastRenderedPageBreak/>
        <w:t>Summary</w:t>
      </w:r>
      <w:bookmarkEnd w:id="9"/>
    </w:p>
    <w:p w14:paraId="0EDC94FC" w14:textId="77777777" w:rsidR="00F511B6" w:rsidRDefault="00F511B6" w:rsidP="00F511B6">
      <w:pPr>
        <w:jc w:val="both"/>
      </w:pPr>
      <w:r>
        <w:t>This document provides a baseline assessment of socio-economic conditions in North East Lincolnshire benchmarked against surrounding local authority areas and national averages.  Its purpose is provide an overview of ‘the state of the economy’ and seeks to provide a</w:t>
      </w:r>
      <w:r w:rsidR="00905C5F">
        <w:t xml:space="preserve"> component of the evidence base</w:t>
      </w:r>
      <w:r>
        <w:t xml:space="preserve"> required to inform the development of the forthcoming Local Plan and related economic development strategie</w:t>
      </w:r>
      <w:r w:rsidR="00905C5F">
        <w:t>s</w:t>
      </w:r>
      <w:r>
        <w:t xml:space="preserve">. In addition to this baseline analysis, the Council commissioned Atkins to produce three inter-related strands of assessment, namely; a key sectors study, economic futures report and employment land review study. </w:t>
      </w:r>
    </w:p>
    <w:p w14:paraId="3F4C5300" w14:textId="77777777" w:rsidR="00F511B6" w:rsidRDefault="00F511B6" w:rsidP="00F511B6">
      <w:pPr>
        <w:jc w:val="both"/>
      </w:pPr>
      <w:r>
        <w:t>A summary of the key findings is provided below.</w:t>
      </w:r>
    </w:p>
    <w:p w14:paraId="6E18FD77" w14:textId="77777777" w:rsidR="005919F6" w:rsidRDefault="00F511B6" w:rsidP="00F511B6">
      <w:pPr>
        <w:jc w:val="both"/>
      </w:pPr>
      <w:r w:rsidRPr="00905C5F">
        <w:rPr>
          <w:b/>
        </w:rPr>
        <w:t>North</w:t>
      </w:r>
      <w:r>
        <w:t xml:space="preserve"> </w:t>
      </w:r>
      <w:r w:rsidRPr="00905C5F">
        <w:rPr>
          <w:b/>
        </w:rPr>
        <w:t>East Lincolnshire has a resident population of approximately 160,000</w:t>
      </w:r>
      <w:r>
        <w:t xml:space="preserve"> and has experienced only marginal rates of growth over recent years.  </w:t>
      </w:r>
      <w:r w:rsidRPr="00905C5F">
        <w:rPr>
          <w:b/>
        </w:rPr>
        <w:t>It</w:t>
      </w:r>
      <w:r>
        <w:t xml:space="preserve"> </w:t>
      </w:r>
      <w:r w:rsidRPr="00905C5F">
        <w:rPr>
          <w:b/>
        </w:rPr>
        <w:t>is characterised as having an ageing workforce and a relatively low economically active population</w:t>
      </w:r>
      <w:r>
        <w:t>.</w:t>
      </w:r>
      <w:r w:rsidR="005919F6">
        <w:t xml:space="preserve">  A significant proportion of economically inactive residents in North East Lincolnshire are categorised as long term or temporarily sick or as looking after family members on a full time based.  </w:t>
      </w:r>
    </w:p>
    <w:p w14:paraId="4FC0AF99" w14:textId="77777777" w:rsidR="00F96E3A" w:rsidRDefault="00F511B6" w:rsidP="00F511B6">
      <w:pPr>
        <w:jc w:val="both"/>
      </w:pPr>
      <w:r w:rsidRPr="00905C5F">
        <w:rPr>
          <w:b/>
        </w:rPr>
        <w:t>ONS project that the Borough will see a decline in its working age population by nearly -5,000 in the period up to 2021</w:t>
      </w:r>
      <w:r>
        <w:t xml:space="preserve">.  </w:t>
      </w:r>
      <w:r w:rsidR="00F96E3A">
        <w:t>This projection reflects structural demographic changes as well as historical trends of relatively high out-migration of economically active residents to other areas.</w:t>
      </w:r>
    </w:p>
    <w:p w14:paraId="2E1D53AE" w14:textId="77777777" w:rsidR="00F511B6" w:rsidRDefault="00F96E3A" w:rsidP="00F511B6">
      <w:pPr>
        <w:jc w:val="both"/>
      </w:pPr>
      <w:r w:rsidRPr="00905C5F">
        <w:rPr>
          <w:b/>
        </w:rPr>
        <w:t>The low rate of economic activity in North East Lincolnshire is accompanied by a relatively high incidence of unemployment</w:t>
      </w:r>
      <w:r>
        <w:t>.  At the time of writing, unemployment in the Borough stood at 10.4% compared to the national average of 6.4%</w:t>
      </w:r>
      <w:r w:rsidR="005919F6">
        <w:t xml:space="preserve">.  </w:t>
      </w:r>
      <w:r w:rsidR="005919F6" w:rsidRPr="00905C5F">
        <w:rPr>
          <w:b/>
        </w:rPr>
        <w:t>Underlying this are structural challenges with North East Lincolnshire being particularly characterised by unemployment being persistently high amongst the young (aged 16-24) and those that are long-term unemployed.</w:t>
      </w:r>
      <w:r w:rsidR="005919F6">
        <w:t xml:space="preserve">  The gap between unemployment and economic inactivity in North East Lincolnshire and the national averages is growing.</w:t>
      </w:r>
      <w:r>
        <w:t xml:space="preserve"> </w:t>
      </w:r>
      <w:r w:rsidR="00F511B6">
        <w:t xml:space="preserve"> </w:t>
      </w:r>
    </w:p>
    <w:p w14:paraId="361FFE8C" w14:textId="77777777" w:rsidR="005919F6" w:rsidRPr="00905C5F" w:rsidRDefault="005919F6" w:rsidP="00F511B6">
      <w:pPr>
        <w:jc w:val="both"/>
        <w:rPr>
          <w:b/>
        </w:rPr>
      </w:pPr>
      <w:r w:rsidRPr="00905C5F">
        <w:rPr>
          <w:b/>
        </w:rPr>
        <w:t>At least 7% of North East Lincolnshire residents aged 16-18 are classified as NEETs (Not in employment, education or training).</w:t>
      </w:r>
    </w:p>
    <w:p w14:paraId="04750D84" w14:textId="77777777" w:rsidR="002D03EE" w:rsidRDefault="00A46353" w:rsidP="00F511B6">
      <w:pPr>
        <w:jc w:val="both"/>
      </w:pPr>
      <w:r w:rsidRPr="00905C5F">
        <w:rPr>
          <w:b/>
        </w:rPr>
        <w:t>North East Lincolnshire is the 46</w:t>
      </w:r>
      <w:r w:rsidRPr="00905C5F">
        <w:rPr>
          <w:b/>
          <w:vertAlign w:val="superscript"/>
        </w:rPr>
        <w:t>th</w:t>
      </w:r>
      <w:r w:rsidRPr="00905C5F">
        <w:rPr>
          <w:b/>
        </w:rPr>
        <w:t xml:space="preserve"> most deprived local authority in England with significant concentrations evident in a range of neighbourhoods distributed across the Borough</w:t>
      </w:r>
      <w:r>
        <w:t>.</w:t>
      </w:r>
    </w:p>
    <w:p w14:paraId="19942D77" w14:textId="77777777" w:rsidR="002D03EE" w:rsidRDefault="002D03EE" w:rsidP="00F511B6">
      <w:pPr>
        <w:jc w:val="both"/>
      </w:pPr>
      <w:r>
        <w:t xml:space="preserve">With a high proportion of terraced housing, the North East Lincolnshire housing market is considered affordable but house building rates have been sluggish.  </w:t>
      </w:r>
    </w:p>
    <w:p w14:paraId="64A0DDA8" w14:textId="77777777" w:rsidR="002D03EE" w:rsidRDefault="002D03EE" w:rsidP="00F511B6">
      <w:pPr>
        <w:jc w:val="both"/>
      </w:pPr>
      <w:r w:rsidRPr="00905C5F">
        <w:rPr>
          <w:b/>
        </w:rPr>
        <w:t>The economy of North East Lincolnshire displays a high rate of self-containment</w:t>
      </w:r>
      <w:r>
        <w:t>.  Indeed, over 80% of those working in the area also live in the area.  Similarly, 86% of the Borough’s working residents work in the area.</w:t>
      </w:r>
    </w:p>
    <w:p w14:paraId="0A64756A" w14:textId="77777777" w:rsidR="002D03EE" w:rsidRDefault="002D03EE" w:rsidP="00F511B6">
      <w:pPr>
        <w:jc w:val="both"/>
      </w:pPr>
      <w:r>
        <w:t xml:space="preserve">According to the categorisation utilised by DEFRA, </w:t>
      </w:r>
      <w:r w:rsidRPr="00905C5F">
        <w:rPr>
          <w:b/>
        </w:rPr>
        <w:t>North East Lincolnshire is a predominantly urban local authority (88%).</w:t>
      </w:r>
      <w:r>
        <w:t xml:space="preserve">  This is significantly more urban that surrounding local authorities which are much more rural in nature.  </w:t>
      </w:r>
      <w:r w:rsidRPr="00BC5AC6">
        <w:rPr>
          <w:b/>
        </w:rPr>
        <w:t>The Borough’s urban characteristics reflect the area’s important economic role</w:t>
      </w:r>
      <w:r>
        <w:t>.</w:t>
      </w:r>
    </w:p>
    <w:p w14:paraId="4AF90EE4" w14:textId="77777777" w:rsidR="002D03EE" w:rsidRDefault="002D03EE" w:rsidP="00F511B6">
      <w:pPr>
        <w:jc w:val="both"/>
      </w:pPr>
      <w:r w:rsidRPr="00905C5F">
        <w:rPr>
          <w:b/>
        </w:rPr>
        <w:t>North</w:t>
      </w:r>
      <w:r>
        <w:t xml:space="preserve"> </w:t>
      </w:r>
      <w:r w:rsidRPr="00905C5F">
        <w:rPr>
          <w:b/>
        </w:rPr>
        <w:t>East Lincolnshire has a strong representation of businesses and employment in key sectors including manufacturing, transport and logistics, food, construction and wholesale</w:t>
      </w:r>
      <w:r>
        <w:t>.  These are vital to the ongoing and growing economic health of the area and include activities which offer substantial economic growth opportunities such as renewable energy, ports and transport</w:t>
      </w:r>
      <w:r w:rsidR="006A4EB4">
        <w:t xml:space="preserve"> and viable manufacturing operations.  The importance of North East Lincolnshire’s industrial clusters is reflected by the area having a relatively high business density.  </w:t>
      </w:r>
      <w:r w:rsidR="006A4EB4" w:rsidRPr="00905C5F">
        <w:rPr>
          <w:b/>
        </w:rPr>
        <w:t>Conversely, the area is under-represented by higher value service activities including information and communications technology (ICT) and financial and business services</w:t>
      </w:r>
      <w:r w:rsidR="006A4EB4">
        <w:t xml:space="preserve">.  </w:t>
      </w:r>
    </w:p>
    <w:p w14:paraId="4FBD212F" w14:textId="77777777" w:rsidR="006A4EB4" w:rsidRDefault="00DA5380" w:rsidP="00F511B6">
      <w:pPr>
        <w:jc w:val="both"/>
      </w:pPr>
      <w:r w:rsidRPr="00905C5F">
        <w:rPr>
          <w:b/>
        </w:rPr>
        <w:t>In terms of enterprise, North East Lincolnshire is characterised by having a relatively low proportion of micro-sized businesses (less than 10 employees)</w:t>
      </w:r>
      <w:r>
        <w:t xml:space="preserve">.  Similarly, rates of self-employment are low in the Borough.  These trends highlight the importance of targeted business support programmes including improved access to finance.  Despite the low representation of micro businesses, the Borough has relatively high rates of new </w:t>
      </w:r>
      <w:r w:rsidR="00BC5AC6">
        <w:t>business births.  The challenge</w:t>
      </w:r>
      <w:r>
        <w:t xml:space="preserve"> comes however with business death rates being equally </w:t>
      </w:r>
      <w:r>
        <w:lastRenderedPageBreak/>
        <w:t xml:space="preserve">high and survival rates being poor.  Indeed, </w:t>
      </w:r>
      <w:r w:rsidRPr="00905C5F">
        <w:rPr>
          <w:b/>
        </w:rPr>
        <w:t>only 30% of new business start ups in North East Lincolnshire survive for 3 years or more.</w:t>
      </w:r>
      <w:r>
        <w:t xml:space="preserve">  </w:t>
      </w:r>
    </w:p>
    <w:p w14:paraId="25AEF88B" w14:textId="77777777" w:rsidR="00C94EB0" w:rsidRDefault="00DA5380" w:rsidP="00F511B6">
      <w:pPr>
        <w:jc w:val="both"/>
      </w:pPr>
      <w:r w:rsidRPr="00905C5F">
        <w:rPr>
          <w:b/>
        </w:rPr>
        <w:t>Compared to its neighbours, North East Lincolnshire performs relatively strongly in terms of economic output (GVA which reflects the concentration of industrial activity in the area.  However, despite good headline GVA performance, this masks the fact the output per work</w:t>
      </w:r>
      <w:r w:rsidR="00BC5AC6">
        <w:rPr>
          <w:b/>
        </w:rPr>
        <w:t>er</w:t>
      </w:r>
      <w:r w:rsidRPr="00905C5F">
        <w:rPr>
          <w:b/>
        </w:rPr>
        <w:t xml:space="preserve"> (productivity) is relatively low</w:t>
      </w:r>
      <w:r>
        <w:t>.  In 1998, GVA per head was roughly similar to the national average but</w:t>
      </w:r>
      <w:r w:rsidR="00C94EB0">
        <w:t xml:space="preserve"> now is only</w:t>
      </w:r>
      <w:r>
        <w:t xml:space="preserve"> around 85%</w:t>
      </w:r>
      <w:r w:rsidR="00C94EB0">
        <w:t xml:space="preserve">.  This productivity gap is indicative of the Borough’s low wage economy at least when compared to the national average.  </w:t>
      </w:r>
    </w:p>
    <w:p w14:paraId="4481B8A0" w14:textId="77777777" w:rsidR="00DA5380" w:rsidRDefault="00C94EB0" w:rsidP="00F511B6">
      <w:pPr>
        <w:jc w:val="both"/>
      </w:pPr>
      <w:r w:rsidRPr="00905C5F">
        <w:rPr>
          <w:b/>
        </w:rPr>
        <w:t>Reinforcing the earnings and productivity gaps evident in North East Lincolnshire, the area has a skills profile which is over-represented by those with no qualifications and under-represented by those with an education to Level 4 and above</w:t>
      </w:r>
      <w:r>
        <w:t xml:space="preserve">.  Whilst the proportion of local residents with no qualifications has declined by 3% and those with Level 4+ qualifications have increased by 20% since 2001, these improvements have been at rates below the national averages. </w:t>
      </w:r>
    </w:p>
    <w:p w14:paraId="3F949A95" w14:textId="77777777" w:rsidR="00A46353" w:rsidRDefault="002D03EE" w:rsidP="00F511B6">
      <w:pPr>
        <w:jc w:val="both"/>
      </w:pPr>
      <w:r>
        <w:t xml:space="preserve"> </w:t>
      </w:r>
      <w:r w:rsidR="00A46353">
        <w:t xml:space="preserve"> </w:t>
      </w:r>
    </w:p>
    <w:p w14:paraId="42FB1268" w14:textId="77777777" w:rsidR="00F511B6" w:rsidRPr="00F511B6" w:rsidRDefault="00F511B6" w:rsidP="00F511B6"/>
    <w:p w14:paraId="34FDF62D" w14:textId="77777777" w:rsidR="00F511B6" w:rsidRDefault="00F511B6">
      <w:pPr>
        <w:spacing w:after="200" w:line="276" w:lineRule="auto"/>
        <w:rPr>
          <w:rFonts w:eastAsiaTheme="majorEastAsia" w:cs="Times New Roman"/>
          <w:b/>
          <w:bCs/>
          <w:color w:val="394A58" w:themeColor="accent2"/>
          <w:sz w:val="48"/>
          <w:szCs w:val="28"/>
        </w:rPr>
      </w:pPr>
      <w:r>
        <w:rPr>
          <w:rFonts w:eastAsiaTheme="majorEastAsia"/>
        </w:rPr>
        <w:br w:type="page"/>
      </w:r>
    </w:p>
    <w:p w14:paraId="0DD9E063" w14:textId="77777777" w:rsidR="00515486" w:rsidRDefault="00515486" w:rsidP="00515486">
      <w:pPr>
        <w:pStyle w:val="Heading1"/>
        <w:numPr>
          <w:ilvl w:val="0"/>
          <w:numId w:val="4"/>
        </w:numPr>
        <w:rPr>
          <w:rFonts w:eastAsiaTheme="majorEastAsia"/>
        </w:rPr>
      </w:pPr>
      <w:bookmarkStart w:id="10" w:name="_Toc394327683"/>
      <w:r>
        <w:rPr>
          <w:rFonts w:eastAsiaTheme="majorEastAsia"/>
        </w:rPr>
        <w:lastRenderedPageBreak/>
        <w:t>Introduction</w:t>
      </w:r>
      <w:bookmarkEnd w:id="10"/>
    </w:p>
    <w:p w14:paraId="7A81E6BD" w14:textId="77777777" w:rsidR="00515486" w:rsidRDefault="00515486" w:rsidP="00515486">
      <w:pPr>
        <w:jc w:val="both"/>
      </w:pPr>
      <w:r>
        <w:t>North East Lincolnshire Council</w:t>
      </w:r>
      <w:r w:rsidR="0036142A">
        <w:t xml:space="preserve"> (NELC)</w:t>
      </w:r>
      <w:r>
        <w:t xml:space="preserve"> is seeking to establish a better understanding of the opportunities for growth to enable it to articulate and drive forward sustainable economic growth </w:t>
      </w:r>
      <w:r w:rsidR="005C7CCD">
        <w:t>in the Borough</w:t>
      </w:r>
      <w:r>
        <w:t>. This will be progressed through the preparation of a new Local Plan, which will i</w:t>
      </w:r>
      <w:r w:rsidR="0036142A">
        <w:t xml:space="preserve">dentify the requirement for the allocation of </w:t>
      </w:r>
      <w:r>
        <w:t xml:space="preserve">suitable land for commercial </w:t>
      </w:r>
      <w:r w:rsidR="0036142A">
        <w:t xml:space="preserve">and industrial </w:t>
      </w:r>
      <w:r>
        <w:t>development</w:t>
      </w:r>
      <w:r w:rsidR="0036142A">
        <w:t xml:space="preserve"> for the period up to 2032.  Based on a sound evidence base, key allocations may also be made to attract </w:t>
      </w:r>
      <w:r>
        <w:t>inward investment</w:t>
      </w:r>
      <w:r w:rsidR="0036142A">
        <w:t xml:space="preserve"> in accordance with policy priorities established by NELC and in the Strategic Economic Plans prepared by Humber and Lincolnshire LEPs</w:t>
      </w:r>
      <w:r>
        <w:t xml:space="preserve">.  In doing so, it will seek to ensure that the Council can maximise the opportunities for regeneration and </w:t>
      </w:r>
      <w:r w:rsidR="00FB6B23">
        <w:t xml:space="preserve">sustainable </w:t>
      </w:r>
      <w:r>
        <w:t xml:space="preserve">economic growth.  </w:t>
      </w:r>
    </w:p>
    <w:p w14:paraId="647DEA60" w14:textId="77777777" w:rsidR="00515486" w:rsidRDefault="00515486" w:rsidP="00515486">
      <w:pPr>
        <w:jc w:val="both"/>
      </w:pPr>
      <w:r>
        <w:t>As part of the development of the Local Plan, robust economic evidence is needed. In addition to this economic baseline, the Council commissioned Atkins to produce a key sector</w:t>
      </w:r>
      <w:r w:rsidR="00EB380D">
        <w:t>s, economic futures</w:t>
      </w:r>
      <w:r>
        <w:t xml:space="preserve"> and employment land review assessment. The </w:t>
      </w:r>
      <w:r w:rsidR="00FB6B23">
        <w:t>issues identified in this document are</w:t>
      </w:r>
      <w:r>
        <w:t xml:space="preserve"> supplemented by this work so that a </w:t>
      </w:r>
      <w:r w:rsidR="00FB6B23">
        <w:t>complete</w:t>
      </w:r>
      <w:r>
        <w:t xml:space="preserve"> picture of the current position and future opportunities is fully identified. </w:t>
      </w:r>
    </w:p>
    <w:p w14:paraId="4D955FAF" w14:textId="77777777" w:rsidR="00515486" w:rsidRDefault="00515486" w:rsidP="00515486">
      <w:pPr>
        <w:jc w:val="both"/>
      </w:pPr>
      <w:r>
        <w:t xml:space="preserve">The purpose of this document is to provide a baseline analysis of the North East Lincolnshire economy. It sets out the current understanding of key socio-economic themes. The analysis </w:t>
      </w:r>
      <w:r w:rsidR="00FB6B23">
        <w:t>contained in</w:t>
      </w:r>
      <w:r>
        <w:t xml:space="preserve"> this document provides a robust evidence base to underpin the Local Plan and future economic development work in North East Lincolnshire and the wider Local Enterprise Partnerships (LEPs) areas; the Humber LEP and Greater Lincolnshire LEP.</w:t>
      </w:r>
    </w:p>
    <w:p w14:paraId="76848B3F" w14:textId="77777777" w:rsidR="00515486" w:rsidRDefault="00515486" w:rsidP="00515486">
      <w:pPr>
        <w:jc w:val="both"/>
      </w:pPr>
      <w:r>
        <w:t xml:space="preserve">The document is </w:t>
      </w:r>
      <w:r w:rsidR="00FB6B23">
        <w:t>structured into nine s</w:t>
      </w:r>
      <w:r>
        <w:t xml:space="preserve">ections:  </w:t>
      </w:r>
    </w:p>
    <w:p w14:paraId="55DEE573" w14:textId="77777777" w:rsidR="00515486" w:rsidRDefault="00515486" w:rsidP="00515486">
      <w:pPr>
        <w:pStyle w:val="ListParagraph"/>
        <w:numPr>
          <w:ilvl w:val="0"/>
          <w:numId w:val="17"/>
        </w:numPr>
        <w:jc w:val="both"/>
      </w:pPr>
      <w:r>
        <w:t>Section 2: Demographics</w:t>
      </w:r>
      <w:r w:rsidRPr="001F3220">
        <w:t xml:space="preserve"> –</w:t>
      </w:r>
      <w:r>
        <w:t xml:space="preserve"> outlines the demographic profile of North East Lincolnshire including age, gender and ethnicity.</w:t>
      </w:r>
    </w:p>
    <w:p w14:paraId="63154677" w14:textId="77777777" w:rsidR="00515486" w:rsidRDefault="00515486" w:rsidP="00515486">
      <w:pPr>
        <w:pStyle w:val="ListParagraph"/>
        <w:numPr>
          <w:ilvl w:val="0"/>
          <w:numId w:val="17"/>
        </w:numPr>
        <w:jc w:val="both"/>
      </w:pPr>
      <w:r>
        <w:t xml:space="preserve">Section 3: </w:t>
      </w:r>
      <w:r w:rsidRPr="001F3220">
        <w:t xml:space="preserve">Economic Geography – provides an outline of </w:t>
      </w:r>
      <w:r>
        <w:t xml:space="preserve">North East Lincolnshire’s </w:t>
      </w:r>
      <w:r w:rsidR="00EB380D">
        <w:t xml:space="preserve">economic </w:t>
      </w:r>
      <w:r>
        <w:t>geography</w:t>
      </w:r>
      <w:r w:rsidRPr="001F3220">
        <w:t xml:space="preserve">, the transport infrastructure and the economic </w:t>
      </w:r>
      <w:r>
        <w:t xml:space="preserve">and labour market </w:t>
      </w:r>
      <w:r w:rsidRPr="001F3220">
        <w:t xml:space="preserve">linkages the local area has with areas beyond the administrative boundary. </w:t>
      </w:r>
    </w:p>
    <w:p w14:paraId="423D2D54" w14:textId="77777777" w:rsidR="00515486" w:rsidRDefault="00515486" w:rsidP="00515486">
      <w:pPr>
        <w:pStyle w:val="ListParagraph"/>
        <w:numPr>
          <w:ilvl w:val="0"/>
          <w:numId w:val="17"/>
        </w:numPr>
        <w:jc w:val="both"/>
      </w:pPr>
      <w:r>
        <w:t xml:space="preserve">Section 4: Business and Enterprise – looks at the structure and competitiveness of the local economy including the sectoral profile, business density and employment. </w:t>
      </w:r>
    </w:p>
    <w:p w14:paraId="4000D126" w14:textId="77777777" w:rsidR="00515486" w:rsidRDefault="00515486" w:rsidP="00515486">
      <w:pPr>
        <w:pStyle w:val="ListParagraph"/>
        <w:numPr>
          <w:ilvl w:val="0"/>
          <w:numId w:val="17"/>
        </w:numPr>
        <w:jc w:val="both"/>
      </w:pPr>
      <w:r>
        <w:t>Section 5: Productivity – explores the Gross Value Added (GVA) output from North East Lincolnshire and the level of exporting.</w:t>
      </w:r>
    </w:p>
    <w:p w14:paraId="7A646C47" w14:textId="77777777" w:rsidR="00515486" w:rsidRDefault="00515486" w:rsidP="00515486">
      <w:pPr>
        <w:pStyle w:val="ListParagraph"/>
        <w:numPr>
          <w:ilvl w:val="0"/>
          <w:numId w:val="17"/>
        </w:numPr>
        <w:jc w:val="both"/>
      </w:pPr>
      <w:r>
        <w:t>Section 6: Innovation – assesses measures of the knowledge economy and patent output.</w:t>
      </w:r>
    </w:p>
    <w:p w14:paraId="799AD8F3" w14:textId="77777777" w:rsidR="00515486" w:rsidRDefault="00515486" w:rsidP="00515486">
      <w:pPr>
        <w:pStyle w:val="ListParagraph"/>
        <w:numPr>
          <w:ilvl w:val="0"/>
          <w:numId w:val="17"/>
        </w:numPr>
        <w:jc w:val="both"/>
      </w:pPr>
      <w:r>
        <w:t xml:space="preserve">Section 7: Qualifications &amp; Skills </w:t>
      </w:r>
      <w:r w:rsidRPr="001F3220">
        <w:t>–</w:t>
      </w:r>
      <w:r>
        <w:t xml:space="preserve"> explores the level of qualifications, skills gaps and shortages within North East Lincolnshire.</w:t>
      </w:r>
    </w:p>
    <w:p w14:paraId="4481D78A" w14:textId="77777777" w:rsidR="00515486" w:rsidRDefault="00515486" w:rsidP="00515486">
      <w:pPr>
        <w:pStyle w:val="ListParagraph"/>
        <w:numPr>
          <w:ilvl w:val="0"/>
          <w:numId w:val="17"/>
        </w:numPr>
        <w:jc w:val="both"/>
      </w:pPr>
      <w:r>
        <w:t>Section 8: Housing – Outlines North East Lincolnshire’s housing stock, house building, projections, tenure and house prices.</w:t>
      </w:r>
    </w:p>
    <w:p w14:paraId="4436AD50" w14:textId="77777777" w:rsidR="00515486" w:rsidRDefault="00515486" w:rsidP="00515486">
      <w:pPr>
        <w:pStyle w:val="ListParagraph"/>
        <w:numPr>
          <w:ilvl w:val="0"/>
          <w:numId w:val="17"/>
        </w:numPr>
        <w:jc w:val="both"/>
      </w:pPr>
      <w:r>
        <w:t>Section 9: Labour Market – provides an assessment of unemployment, youth unemployment and rates of self employment in the local labour market.</w:t>
      </w:r>
    </w:p>
    <w:p w14:paraId="00A3AA49" w14:textId="77777777" w:rsidR="00515486" w:rsidRDefault="00515486" w:rsidP="00515486">
      <w:pPr>
        <w:pStyle w:val="ListParagraph"/>
        <w:numPr>
          <w:ilvl w:val="0"/>
          <w:numId w:val="17"/>
        </w:numPr>
        <w:jc w:val="both"/>
      </w:pPr>
      <w:r>
        <w:t xml:space="preserve">Section 10: Deprivation – investigates wider social deprivation issues connected to health. </w:t>
      </w:r>
    </w:p>
    <w:p w14:paraId="21C86C4B" w14:textId="77777777" w:rsidR="00515486" w:rsidRDefault="00515486" w:rsidP="00515486"/>
    <w:p w14:paraId="20EF2E73" w14:textId="77777777" w:rsidR="00515486" w:rsidRDefault="00515486" w:rsidP="00515486">
      <w:r>
        <w:t xml:space="preserve"> </w:t>
      </w:r>
    </w:p>
    <w:p w14:paraId="12D5AF69" w14:textId="77777777" w:rsidR="00515486" w:rsidRPr="00440EDE" w:rsidRDefault="00515486" w:rsidP="00515486">
      <w:pPr>
        <w:pStyle w:val="Heading1"/>
        <w:numPr>
          <w:ilvl w:val="0"/>
          <w:numId w:val="4"/>
        </w:numPr>
        <w:rPr>
          <w:rFonts w:eastAsiaTheme="majorEastAsia"/>
        </w:rPr>
      </w:pPr>
      <w:r>
        <w:rPr>
          <w:rFonts w:eastAsiaTheme="majorEastAsia"/>
        </w:rPr>
        <w:br w:type="page"/>
      </w:r>
      <w:bookmarkStart w:id="11" w:name="_Ref393785594"/>
      <w:bookmarkStart w:id="12" w:name="_Toc394327684"/>
      <w:r>
        <w:rPr>
          <w:rFonts w:eastAsiaTheme="majorEastAsia"/>
        </w:rPr>
        <w:lastRenderedPageBreak/>
        <w:t>Demographics</w:t>
      </w:r>
      <w:bookmarkEnd w:id="11"/>
      <w:bookmarkEnd w:id="12"/>
    </w:p>
    <w:p w14:paraId="2AB6FEC3" w14:textId="77777777" w:rsidR="00515486" w:rsidRPr="00F639D9" w:rsidRDefault="00515486" w:rsidP="00515486">
      <w:pPr>
        <w:jc w:val="both"/>
      </w:pPr>
      <w:r>
        <w:t xml:space="preserve">The population of North East Lincolnshire, as estimated by ONS mid-year population estimates, </w:t>
      </w:r>
      <w:r w:rsidR="00FB6B23">
        <w:t>amounted to</w:t>
      </w:r>
      <w:r>
        <w:t xml:space="preserve"> 159,800 </w:t>
      </w:r>
      <w:r w:rsidR="00FB6B23">
        <w:t>in</w:t>
      </w:r>
      <w:r>
        <w:t xml:space="preserve"> 2013.  As can be seen from </w:t>
      </w:r>
      <w:r w:rsidR="00F70FD0">
        <w:fldChar w:fldCharType="begin"/>
      </w:r>
      <w:r>
        <w:instrText xml:space="preserve"> REF _Ref393456672 \h </w:instrText>
      </w:r>
      <w:r w:rsidR="00F70FD0">
        <w:fldChar w:fldCharType="separate"/>
      </w:r>
      <w:r w:rsidRPr="00BC6746">
        <w:t xml:space="preserve">Table </w:t>
      </w:r>
      <w:r>
        <w:rPr>
          <w:noProof/>
        </w:rPr>
        <w:t>2</w:t>
      </w:r>
      <w:r w:rsidRPr="00BC6746">
        <w:noBreakHyphen/>
      </w:r>
      <w:r>
        <w:rPr>
          <w:noProof/>
        </w:rPr>
        <w:t>1</w:t>
      </w:r>
      <w:r w:rsidR="00F70FD0">
        <w:fldChar w:fldCharType="end"/>
      </w:r>
      <w:r>
        <w:t xml:space="preserve">, North East Lincolnshire has a mid-size population for </w:t>
      </w:r>
      <w:r w:rsidR="00FB6B23">
        <w:t>compared to surrounding areas</w:t>
      </w:r>
      <w:r>
        <w:t xml:space="preserve">. Similar to </w:t>
      </w:r>
      <w:r w:rsidR="00FB6B23">
        <w:t>its neighbouring authorities</w:t>
      </w:r>
      <w:r>
        <w:t>, the population has exhibited low rates of growth over recent years, with an annual growth rate (0.12%)</w:t>
      </w:r>
      <w:r w:rsidR="00FB6B23">
        <w:t xml:space="preserve"> in the period between 2008 and 2013.  </w:t>
      </w:r>
      <w:r>
        <w:t xml:space="preserve"> </w:t>
      </w:r>
    </w:p>
    <w:p w14:paraId="49585618" w14:textId="77777777" w:rsidR="00515486" w:rsidRPr="00BC6746" w:rsidRDefault="00515486" w:rsidP="00515486">
      <w:pPr>
        <w:pStyle w:val="Caption"/>
        <w:jc w:val="both"/>
      </w:pPr>
      <w:bookmarkStart w:id="13" w:name="_Ref393456672"/>
      <w:r w:rsidRPr="00BC6746">
        <w:t xml:space="preserve">Table </w:t>
      </w:r>
      <w:r w:rsidR="00F70FD0">
        <w:fldChar w:fldCharType="begin"/>
      </w:r>
      <w:r w:rsidR="00F810E1">
        <w:instrText xml:space="preserve"> STYLEREF 1 \s </w:instrText>
      </w:r>
      <w:r w:rsidR="00F70FD0">
        <w:fldChar w:fldCharType="separate"/>
      </w:r>
      <w:r>
        <w:rPr>
          <w:noProof/>
        </w:rPr>
        <w:t>2</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1</w:t>
      </w:r>
      <w:r w:rsidR="00F70FD0">
        <w:rPr>
          <w:noProof/>
        </w:rPr>
        <w:fldChar w:fldCharType="end"/>
      </w:r>
      <w:bookmarkEnd w:id="13"/>
      <w:r w:rsidRPr="00BC6746">
        <w:tab/>
      </w:r>
      <w:r>
        <w:t>Population by local authority area (2008-2013)</w:t>
      </w:r>
    </w:p>
    <w:tbl>
      <w:tblPr>
        <w:tblStyle w:val="Atkins14pt"/>
        <w:tblW w:w="9639" w:type="dxa"/>
        <w:tblLayout w:type="fixed"/>
        <w:tblLook w:val="04A0" w:firstRow="1" w:lastRow="0" w:firstColumn="1" w:lastColumn="0" w:noHBand="0" w:noVBand="1"/>
      </w:tblPr>
      <w:tblGrid>
        <w:gridCol w:w="2552"/>
        <w:gridCol w:w="1012"/>
        <w:gridCol w:w="1012"/>
        <w:gridCol w:w="1013"/>
        <w:gridCol w:w="1012"/>
        <w:gridCol w:w="1013"/>
        <w:gridCol w:w="1012"/>
        <w:gridCol w:w="1013"/>
      </w:tblGrid>
      <w:tr w:rsidR="00515486" w:rsidRPr="00F4340B" w14:paraId="083C0CC7" w14:textId="77777777" w:rsidTr="004D5D22">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52" w:type="dxa"/>
            <w:hideMark/>
          </w:tcPr>
          <w:p w14:paraId="5CEBB158" w14:textId="77777777" w:rsidR="00515486" w:rsidRPr="00F4340B" w:rsidRDefault="00515486" w:rsidP="004D5D22">
            <w:pPr>
              <w:spacing w:after="0"/>
              <w:rPr>
                <w:rFonts w:eastAsia="Times New Roman"/>
                <w:bCs/>
                <w:color w:val="auto"/>
              </w:rPr>
            </w:pPr>
            <w:r w:rsidRPr="00F4340B">
              <w:rPr>
                <w:rFonts w:eastAsia="Times New Roman"/>
                <w:bCs/>
                <w:color w:val="auto"/>
              </w:rPr>
              <w:t>Area</w:t>
            </w:r>
          </w:p>
        </w:tc>
        <w:tc>
          <w:tcPr>
            <w:tcW w:w="1012" w:type="dxa"/>
            <w:hideMark/>
          </w:tcPr>
          <w:p w14:paraId="58FF5E39" w14:textId="77777777" w:rsidR="00515486" w:rsidRPr="00F4340B"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F4340B">
              <w:rPr>
                <w:rFonts w:eastAsia="Times New Roman"/>
                <w:bCs/>
                <w:color w:val="auto"/>
              </w:rPr>
              <w:t>2008</w:t>
            </w:r>
          </w:p>
        </w:tc>
        <w:tc>
          <w:tcPr>
            <w:tcW w:w="1012" w:type="dxa"/>
            <w:hideMark/>
          </w:tcPr>
          <w:p w14:paraId="57CEA811" w14:textId="77777777" w:rsidR="00515486" w:rsidRPr="00F4340B"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F4340B">
              <w:rPr>
                <w:rFonts w:eastAsia="Times New Roman"/>
                <w:bCs/>
                <w:color w:val="auto"/>
              </w:rPr>
              <w:t>2009</w:t>
            </w:r>
          </w:p>
        </w:tc>
        <w:tc>
          <w:tcPr>
            <w:tcW w:w="1013" w:type="dxa"/>
            <w:hideMark/>
          </w:tcPr>
          <w:p w14:paraId="2E127B94" w14:textId="77777777" w:rsidR="00515486" w:rsidRPr="00F4340B"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F4340B">
              <w:rPr>
                <w:rFonts w:eastAsia="Times New Roman"/>
                <w:bCs/>
                <w:color w:val="auto"/>
              </w:rPr>
              <w:t>2010</w:t>
            </w:r>
          </w:p>
        </w:tc>
        <w:tc>
          <w:tcPr>
            <w:tcW w:w="1012" w:type="dxa"/>
            <w:hideMark/>
          </w:tcPr>
          <w:p w14:paraId="161BA9B8" w14:textId="77777777" w:rsidR="00515486" w:rsidRPr="00F4340B"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F4340B">
              <w:rPr>
                <w:rFonts w:eastAsia="Times New Roman"/>
                <w:bCs/>
                <w:color w:val="auto"/>
              </w:rPr>
              <w:t>2011</w:t>
            </w:r>
          </w:p>
        </w:tc>
        <w:tc>
          <w:tcPr>
            <w:tcW w:w="1013" w:type="dxa"/>
            <w:hideMark/>
          </w:tcPr>
          <w:p w14:paraId="3E4AC03A" w14:textId="77777777" w:rsidR="00515486" w:rsidRPr="00F4340B"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F4340B">
              <w:rPr>
                <w:rFonts w:eastAsia="Times New Roman"/>
                <w:bCs/>
                <w:color w:val="auto"/>
              </w:rPr>
              <w:t>2012</w:t>
            </w:r>
          </w:p>
        </w:tc>
        <w:tc>
          <w:tcPr>
            <w:tcW w:w="1012" w:type="dxa"/>
            <w:hideMark/>
          </w:tcPr>
          <w:p w14:paraId="54BD3661" w14:textId="77777777" w:rsidR="00515486" w:rsidRPr="00F4340B"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F4340B">
              <w:rPr>
                <w:rFonts w:eastAsia="Times New Roman"/>
                <w:bCs/>
                <w:color w:val="auto"/>
              </w:rPr>
              <w:t>2013</w:t>
            </w:r>
          </w:p>
        </w:tc>
        <w:tc>
          <w:tcPr>
            <w:tcW w:w="1013" w:type="dxa"/>
          </w:tcPr>
          <w:p w14:paraId="79DC01C0" w14:textId="77777777" w:rsidR="00515486" w:rsidRPr="00F4340B"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Pr>
                <w:rFonts w:eastAsia="Times New Roman"/>
                <w:bCs/>
                <w:color w:val="auto"/>
              </w:rPr>
              <w:t>Annual Growth Rate</w:t>
            </w:r>
          </w:p>
        </w:tc>
      </w:tr>
      <w:tr w:rsidR="00515486" w:rsidRPr="00F4340B" w14:paraId="1D09E20C"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2C2E2AC" w14:textId="77777777" w:rsidR="00515486" w:rsidRPr="00F4340B" w:rsidRDefault="00515486" w:rsidP="004D5D22">
            <w:pPr>
              <w:spacing w:after="0"/>
              <w:rPr>
                <w:rFonts w:eastAsia="Times New Roman"/>
                <w:color w:val="auto"/>
              </w:rPr>
            </w:pPr>
            <w:r w:rsidRPr="00F4340B">
              <w:rPr>
                <w:rFonts w:eastAsia="Times New Roman"/>
                <w:color w:val="auto"/>
              </w:rPr>
              <w:t>East Riding of Yorkshire</w:t>
            </w:r>
          </w:p>
        </w:tc>
        <w:tc>
          <w:tcPr>
            <w:tcW w:w="1012" w:type="dxa"/>
            <w:noWrap/>
            <w:hideMark/>
          </w:tcPr>
          <w:p w14:paraId="097E92B1"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332,500</w:t>
            </w:r>
          </w:p>
        </w:tc>
        <w:tc>
          <w:tcPr>
            <w:tcW w:w="1012" w:type="dxa"/>
            <w:noWrap/>
            <w:hideMark/>
          </w:tcPr>
          <w:p w14:paraId="57CE383D"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332,700</w:t>
            </w:r>
          </w:p>
        </w:tc>
        <w:tc>
          <w:tcPr>
            <w:tcW w:w="1013" w:type="dxa"/>
            <w:noWrap/>
            <w:hideMark/>
          </w:tcPr>
          <w:p w14:paraId="1D5065E1"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333,600</w:t>
            </w:r>
          </w:p>
        </w:tc>
        <w:tc>
          <w:tcPr>
            <w:tcW w:w="1012" w:type="dxa"/>
            <w:noWrap/>
            <w:hideMark/>
          </w:tcPr>
          <w:p w14:paraId="3061183E"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334,700</w:t>
            </w:r>
          </w:p>
        </w:tc>
        <w:tc>
          <w:tcPr>
            <w:tcW w:w="1013" w:type="dxa"/>
            <w:noWrap/>
            <w:hideMark/>
          </w:tcPr>
          <w:p w14:paraId="17EBE282"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335,900</w:t>
            </w:r>
          </w:p>
        </w:tc>
        <w:tc>
          <w:tcPr>
            <w:tcW w:w="1012" w:type="dxa"/>
            <w:noWrap/>
            <w:hideMark/>
          </w:tcPr>
          <w:p w14:paraId="4F5D62DA"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336,000</w:t>
            </w:r>
          </w:p>
        </w:tc>
        <w:tc>
          <w:tcPr>
            <w:tcW w:w="1013" w:type="dxa"/>
          </w:tcPr>
          <w:p w14:paraId="4CA625ED" w14:textId="77777777" w:rsidR="00515486" w:rsidRPr="005C3B1D"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C3B1D">
              <w:rPr>
                <w:rFonts w:eastAsia="Times New Roman"/>
                <w:color w:val="auto"/>
              </w:rPr>
              <w:t>0.17%</w:t>
            </w:r>
          </w:p>
        </w:tc>
      </w:tr>
      <w:tr w:rsidR="00515486" w:rsidRPr="00F4340B" w14:paraId="6F078D3E"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F319DE2" w14:textId="77777777" w:rsidR="00515486" w:rsidRPr="00F4340B" w:rsidRDefault="00515486" w:rsidP="004D5D22">
            <w:pPr>
              <w:spacing w:after="0"/>
              <w:rPr>
                <w:rFonts w:eastAsia="Times New Roman"/>
                <w:color w:val="auto"/>
              </w:rPr>
            </w:pPr>
            <w:r w:rsidRPr="00F4340B">
              <w:rPr>
                <w:rFonts w:eastAsia="Times New Roman"/>
                <w:color w:val="auto"/>
              </w:rPr>
              <w:t>Kingston upon Hull, City of</w:t>
            </w:r>
          </w:p>
        </w:tc>
        <w:tc>
          <w:tcPr>
            <w:tcW w:w="1012" w:type="dxa"/>
            <w:noWrap/>
            <w:hideMark/>
          </w:tcPr>
          <w:p w14:paraId="4D82B16E"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256,700</w:t>
            </w:r>
          </w:p>
        </w:tc>
        <w:tc>
          <w:tcPr>
            <w:tcW w:w="1012" w:type="dxa"/>
            <w:noWrap/>
            <w:hideMark/>
          </w:tcPr>
          <w:p w14:paraId="29DDA9FF"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256,100</w:t>
            </w:r>
          </w:p>
        </w:tc>
        <w:tc>
          <w:tcPr>
            <w:tcW w:w="1013" w:type="dxa"/>
            <w:noWrap/>
            <w:hideMark/>
          </w:tcPr>
          <w:p w14:paraId="37CF57BB"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256,200</w:t>
            </w:r>
          </w:p>
        </w:tc>
        <w:tc>
          <w:tcPr>
            <w:tcW w:w="1012" w:type="dxa"/>
            <w:noWrap/>
            <w:hideMark/>
          </w:tcPr>
          <w:p w14:paraId="28656E56"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256,100</w:t>
            </w:r>
          </w:p>
        </w:tc>
        <w:tc>
          <w:tcPr>
            <w:tcW w:w="1013" w:type="dxa"/>
            <w:noWrap/>
            <w:hideMark/>
          </w:tcPr>
          <w:p w14:paraId="5646A512"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257,200</w:t>
            </w:r>
          </w:p>
        </w:tc>
        <w:tc>
          <w:tcPr>
            <w:tcW w:w="1012" w:type="dxa"/>
            <w:noWrap/>
            <w:hideMark/>
          </w:tcPr>
          <w:p w14:paraId="6F37767B"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257,600</w:t>
            </w:r>
          </w:p>
        </w:tc>
        <w:tc>
          <w:tcPr>
            <w:tcW w:w="1013" w:type="dxa"/>
          </w:tcPr>
          <w:p w14:paraId="3DC94FCF" w14:textId="77777777" w:rsidR="00515486" w:rsidRPr="005C3B1D"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C3B1D">
              <w:rPr>
                <w:rFonts w:eastAsia="Times New Roman"/>
                <w:color w:val="auto"/>
              </w:rPr>
              <w:t>0.06%</w:t>
            </w:r>
          </w:p>
        </w:tc>
      </w:tr>
      <w:tr w:rsidR="00515486" w:rsidRPr="00F4340B" w14:paraId="1141A65A"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FC26396" w14:textId="77777777" w:rsidR="00515486" w:rsidRPr="00F4340B" w:rsidRDefault="00515486" w:rsidP="004D5D22">
            <w:pPr>
              <w:spacing w:after="0"/>
              <w:rPr>
                <w:rFonts w:eastAsia="Times New Roman"/>
                <w:color w:val="auto"/>
              </w:rPr>
            </w:pPr>
            <w:r w:rsidRPr="00F4340B">
              <w:rPr>
                <w:rFonts w:eastAsia="Times New Roman"/>
                <w:color w:val="auto"/>
              </w:rPr>
              <w:t>North East Lincolnshire</w:t>
            </w:r>
          </w:p>
        </w:tc>
        <w:tc>
          <w:tcPr>
            <w:tcW w:w="1012" w:type="dxa"/>
            <w:noWrap/>
            <w:hideMark/>
          </w:tcPr>
          <w:p w14:paraId="2F731FE0"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158,700</w:t>
            </w:r>
          </w:p>
        </w:tc>
        <w:tc>
          <w:tcPr>
            <w:tcW w:w="1012" w:type="dxa"/>
            <w:noWrap/>
            <w:hideMark/>
          </w:tcPr>
          <w:p w14:paraId="6E9A988F"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158,700</w:t>
            </w:r>
          </w:p>
        </w:tc>
        <w:tc>
          <w:tcPr>
            <w:tcW w:w="1013" w:type="dxa"/>
            <w:noWrap/>
            <w:hideMark/>
          </w:tcPr>
          <w:p w14:paraId="3BDB8B07"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159,000</w:t>
            </w:r>
          </w:p>
        </w:tc>
        <w:tc>
          <w:tcPr>
            <w:tcW w:w="1012" w:type="dxa"/>
            <w:noWrap/>
            <w:hideMark/>
          </w:tcPr>
          <w:p w14:paraId="707166BA"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159,700</w:t>
            </w:r>
          </w:p>
        </w:tc>
        <w:tc>
          <w:tcPr>
            <w:tcW w:w="1013" w:type="dxa"/>
            <w:noWrap/>
            <w:hideMark/>
          </w:tcPr>
          <w:p w14:paraId="497EEFF2"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159,700</w:t>
            </w:r>
          </w:p>
        </w:tc>
        <w:tc>
          <w:tcPr>
            <w:tcW w:w="1012" w:type="dxa"/>
            <w:noWrap/>
            <w:hideMark/>
          </w:tcPr>
          <w:p w14:paraId="25C7F2DA"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159,800</w:t>
            </w:r>
          </w:p>
        </w:tc>
        <w:tc>
          <w:tcPr>
            <w:tcW w:w="1013" w:type="dxa"/>
          </w:tcPr>
          <w:p w14:paraId="02BC6A2B" w14:textId="77777777" w:rsidR="00515486" w:rsidRPr="005C3B1D"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C3B1D">
              <w:rPr>
                <w:rFonts w:eastAsia="Times New Roman"/>
                <w:color w:val="auto"/>
              </w:rPr>
              <w:t>0.12%</w:t>
            </w:r>
          </w:p>
        </w:tc>
      </w:tr>
      <w:tr w:rsidR="00515486" w:rsidRPr="00F4340B" w14:paraId="456D2685"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E977D0D" w14:textId="77777777" w:rsidR="00515486" w:rsidRPr="00F4340B" w:rsidRDefault="00515486" w:rsidP="004D5D22">
            <w:pPr>
              <w:spacing w:after="0"/>
              <w:rPr>
                <w:rFonts w:eastAsia="Times New Roman"/>
                <w:color w:val="auto"/>
              </w:rPr>
            </w:pPr>
            <w:r w:rsidRPr="00F4340B">
              <w:rPr>
                <w:rFonts w:eastAsia="Times New Roman"/>
                <w:color w:val="auto"/>
              </w:rPr>
              <w:t>North Lincolnshire</w:t>
            </w:r>
          </w:p>
        </w:tc>
        <w:tc>
          <w:tcPr>
            <w:tcW w:w="1012" w:type="dxa"/>
            <w:noWrap/>
            <w:hideMark/>
          </w:tcPr>
          <w:p w14:paraId="34A5289A"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164,500</w:t>
            </w:r>
          </w:p>
        </w:tc>
        <w:tc>
          <w:tcPr>
            <w:tcW w:w="1012" w:type="dxa"/>
            <w:noWrap/>
            <w:hideMark/>
          </w:tcPr>
          <w:p w14:paraId="3F135D5C"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165,600</w:t>
            </w:r>
          </w:p>
        </w:tc>
        <w:tc>
          <w:tcPr>
            <w:tcW w:w="1013" w:type="dxa"/>
            <w:noWrap/>
            <w:hideMark/>
          </w:tcPr>
          <w:p w14:paraId="64F15BDA"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166,500</w:t>
            </w:r>
          </w:p>
        </w:tc>
        <w:tc>
          <w:tcPr>
            <w:tcW w:w="1012" w:type="dxa"/>
            <w:noWrap/>
            <w:hideMark/>
          </w:tcPr>
          <w:p w14:paraId="1A5D9456"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167,500</w:t>
            </w:r>
          </w:p>
        </w:tc>
        <w:tc>
          <w:tcPr>
            <w:tcW w:w="1013" w:type="dxa"/>
            <w:noWrap/>
            <w:hideMark/>
          </w:tcPr>
          <w:p w14:paraId="13106E6D"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168,400</w:t>
            </w:r>
          </w:p>
        </w:tc>
        <w:tc>
          <w:tcPr>
            <w:tcW w:w="1012" w:type="dxa"/>
            <w:noWrap/>
            <w:hideMark/>
          </w:tcPr>
          <w:p w14:paraId="78691480"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168,800</w:t>
            </w:r>
          </w:p>
        </w:tc>
        <w:tc>
          <w:tcPr>
            <w:tcW w:w="1013" w:type="dxa"/>
          </w:tcPr>
          <w:p w14:paraId="72446896" w14:textId="77777777" w:rsidR="00515486" w:rsidRPr="005C3B1D"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C3B1D">
              <w:rPr>
                <w:rFonts w:eastAsia="Times New Roman"/>
                <w:color w:val="auto"/>
              </w:rPr>
              <w:t>0.43%</w:t>
            </w:r>
          </w:p>
        </w:tc>
      </w:tr>
      <w:tr w:rsidR="00515486" w:rsidRPr="00F4340B" w14:paraId="66C028A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76BA90B" w14:textId="77777777" w:rsidR="00515486" w:rsidRPr="00F4340B" w:rsidRDefault="00515486" w:rsidP="004D5D22">
            <w:pPr>
              <w:spacing w:after="0"/>
              <w:rPr>
                <w:rFonts w:eastAsia="Times New Roman"/>
                <w:color w:val="auto"/>
              </w:rPr>
            </w:pPr>
            <w:r w:rsidRPr="00F4340B">
              <w:rPr>
                <w:rFonts w:eastAsia="Times New Roman"/>
                <w:color w:val="auto"/>
              </w:rPr>
              <w:t>Greater Lincolnshire</w:t>
            </w:r>
            <w:r>
              <w:rPr>
                <w:rFonts w:eastAsia="Times New Roman"/>
                <w:color w:val="auto"/>
              </w:rPr>
              <w:t xml:space="preserve"> LEP</w:t>
            </w:r>
          </w:p>
        </w:tc>
        <w:tc>
          <w:tcPr>
            <w:tcW w:w="1012" w:type="dxa"/>
            <w:noWrap/>
            <w:hideMark/>
          </w:tcPr>
          <w:p w14:paraId="4840AD9D"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1,024,000</w:t>
            </w:r>
          </w:p>
        </w:tc>
        <w:tc>
          <w:tcPr>
            <w:tcW w:w="1012" w:type="dxa"/>
            <w:noWrap/>
            <w:hideMark/>
          </w:tcPr>
          <w:p w14:paraId="745136B9"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1,029,900</w:t>
            </w:r>
          </w:p>
        </w:tc>
        <w:tc>
          <w:tcPr>
            <w:tcW w:w="1013" w:type="dxa"/>
            <w:noWrap/>
            <w:hideMark/>
          </w:tcPr>
          <w:p w14:paraId="6AAD5D7A"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1,037,300</w:t>
            </w:r>
          </w:p>
        </w:tc>
        <w:tc>
          <w:tcPr>
            <w:tcW w:w="1012" w:type="dxa"/>
            <w:noWrap/>
            <w:hideMark/>
          </w:tcPr>
          <w:p w14:paraId="17E7FE58"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1,042,000</w:t>
            </w:r>
          </w:p>
        </w:tc>
        <w:tc>
          <w:tcPr>
            <w:tcW w:w="1013" w:type="dxa"/>
            <w:noWrap/>
            <w:hideMark/>
          </w:tcPr>
          <w:p w14:paraId="3A153476"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1,046,900</w:t>
            </w:r>
          </w:p>
        </w:tc>
        <w:tc>
          <w:tcPr>
            <w:tcW w:w="1012" w:type="dxa"/>
            <w:noWrap/>
            <w:hideMark/>
          </w:tcPr>
          <w:p w14:paraId="5A8A5913"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1,053,000</w:t>
            </w:r>
          </w:p>
        </w:tc>
        <w:tc>
          <w:tcPr>
            <w:tcW w:w="1013" w:type="dxa"/>
          </w:tcPr>
          <w:p w14:paraId="08880F50" w14:textId="77777777" w:rsidR="00515486" w:rsidRPr="005C3B1D"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C3B1D">
              <w:rPr>
                <w:rFonts w:eastAsia="Times New Roman"/>
                <w:color w:val="auto"/>
              </w:rPr>
              <w:t>0.47%</w:t>
            </w:r>
          </w:p>
        </w:tc>
      </w:tr>
      <w:tr w:rsidR="00515486" w:rsidRPr="00F4340B" w14:paraId="357E633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4E3AE02" w14:textId="77777777" w:rsidR="00515486" w:rsidRPr="00F4340B" w:rsidRDefault="00515486" w:rsidP="004D5D22">
            <w:pPr>
              <w:spacing w:after="0"/>
              <w:rPr>
                <w:rFonts w:eastAsia="Times New Roman"/>
                <w:color w:val="auto"/>
              </w:rPr>
            </w:pPr>
            <w:r w:rsidRPr="00F4340B">
              <w:rPr>
                <w:rFonts w:eastAsia="Times New Roman"/>
                <w:color w:val="auto"/>
              </w:rPr>
              <w:t>Humber</w:t>
            </w:r>
            <w:r>
              <w:rPr>
                <w:rFonts w:eastAsia="Times New Roman"/>
                <w:color w:val="auto"/>
              </w:rPr>
              <w:t xml:space="preserve"> LEP</w:t>
            </w:r>
          </w:p>
        </w:tc>
        <w:tc>
          <w:tcPr>
            <w:tcW w:w="1012" w:type="dxa"/>
            <w:noWrap/>
            <w:hideMark/>
          </w:tcPr>
          <w:p w14:paraId="5D9776CA"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912,400</w:t>
            </w:r>
          </w:p>
        </w:tc>
        <w:tc>
          <w:tcPr>
            <w:tcW w:w="1012" w:type="dxa"/>
            <w:noWrap/>
            <w:hideMark/>
          </w:tcPr>
          <w:p w14:paraId="16B50B29"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913,100</w:t>
            </w:r>
          </w:p>
        </w:tc>
        <w:tc>
          <w:tcPr>
            <w:tcW w:w="1013" w:type="dxa"/>
            <w:noWrap/>
            <w:hideMark/>
          </w:tcPr>
          <w:p w14:paraId="3A79ED53"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915,300</w:t>
            </w:r>
          </w:p>
        </w:tc>
        <w:tc>
          <w:tcPr>
            <w:tcW w:w="1012" w:type="dxa"/>
            <w:noWrap/>
            <w:hideMark/>
          </w:tcPr>
          <w:p w14:paraId="7292634A"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918,000</w:t>
            </w:r>
          </w:p>
        </w:tc>
        <w:tc>
          <w:tcPr>
            <w:tcW w:w="1013" w:type="dxa"/>
            <w:noWrap/>
            <w:hideMark/>
          </w:tcPr>
          <w:p w14:paraId="74F7FB6D"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921,200</w:t>
            </w:r>
          </w:p>
        </w:tc>
        <w:tc>
          <w:tcPr>
            <w:tcW w:w="1012" w:type="dxa"/>
            <w:noWrap/>
            <w:hideMark/>
          </w:tcPr>
          <w:p w14:paraId="68757404" w14:textId="77777777" w:rsidR="00515486" w:rsidRPr="00F4340B"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F4340B">
              <w:rPr>
                <w:rFonts w:eastAsia="Times New Roman"/>
                <w:color w:val="auto"/>
              </w:rPr>
              <w:t>922,200</w:t>
            </w:r>
          </w:p>
        </w:tc>
        <w:tc>
          <w:tcPr>
            <w:tcW w:w="1013" w:type="dxa"/>
          </w:tcPr>
          <w:p w14:paraId="7CF09B2F" w14:textId="77777777" w:rsidR="00515486" w:rsidRPr="005C3B1D" w:rsidRDefault="00515486" w:rsidP="004D5D2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C3B1D">
              <w:rPr>
                <w:rFonts w:eastAsia="Times New Roman"/>
                <w:color w:val="auto"/>
              </w:rPr>
              <w:t>0.18%</w:t>
            </w:r>
          </w:p>
        </w:tc>
      </w:tr>
    </w:tbl>
    <w:p w14:paraId="4CB03839" w14:textId="77777777" w:rsidR="00515486" w:rsidRDefault="00515486" w:rsidP="00515486">
      <w:pPr>
        <w:pStyle w:val="TableSource"/>
      </w:pPr>
      <w:r>
        <w:t>Source: ONS MYPE 2013</w:t>
      </w:r>
    </w:p>
    <w:p w14:paraId="1F69D25A" w14:textId="77777777" w:rsidR="00515486" w:rsidRDefault="00515486" w:rsidP="00515486">
      <w:pPr>
        <w:pStyle w:val="Heading2"/>
        <w:numPr>
          <w:ilvl w:val="1"/>
          <w:numId w:val="4"/>
        </w:numPr>
        <w:jc w:val="both"/>
      </w:pPr>
      <w:bookmarkStart w:id="14" w:name="_Toc394327685"/>
      <w:r>
        <w:t>Age, sex and ethnicity</w:t>
      </w:r>
      <w:bookmarkEnd w:id="14"/>
    </w:p>
    <w:p w14:paraId="39B792E6" w14:textId="77777777" w:rsidR="00515486" w:rsidRPr="002E2E7B" w:rsidRDefault="00515486" w:rsidP="00515486">
      <w:pPr>
        <w:pStyle w:val="Caption"/>
        <w:rPr>
          <w:b w:val="0"/>
        </w:rPr>
      </w:pPr>
      <w:r w:rsidRPr="002E2E7B">
        <w:rPr>
          <w:b w:val="0"/>
        </w:rPr>
        <w:t xml:space="preserve">The age profile of North East Lincolnshire is becoming increasingly </w:t>
      </w:r>
      <w:r w:rsidR="00FB6B23">
        <w:rPr>
          <w:b w:val="0"/>
        </w:rPr>
        <w:t>skewed</w:t>
      </w:r>
      <w:r w:rsidRPr="002E2E7B">
        <w:rPr>
          <w:b w:val="0"/>
        </w:rPr>
        <w:t xml:space="preserve"> towards older age groups, as demonstrated by the comparison between 2001 and 2011 in </w:t>
      </w:r>
      <w:r w:rsidR="00AA08C5">
        <w:fldChar w:fldCharType="begin"/>
      </w:r>
      <w:r w:rsidR="00AA08C5">
        <w:instrText xml:space="preserve"> REF _Ref393457639 \h  \* MERGEFORMAT </w:instrText>
      </w:r>
      <w:r w:rsidR="00AA08C5">
        <w:fldChar w:fldCharType="separate"/>
      </w:r>
      <w:r w:rsidRPr="00515486">
        <w:rPr>
          <w:b w:val="0"/>
        </w:rPr>
        <w:t xml:space="preserve">Figure </w:t>
      </w:r>
      <w:r w:rsidRPr="00515486">
        <w:rPr>
          <w:b w:val="0"/>
          <w:noProof/>
        </w:rPr>
        <w:t>2-1</w:t>
      </w:r>
      <w:r w:rsidR="00AA08C5">
        <w:fldChar w:fldCharType="end"/>
      </w:r>
      <w:r w:rsidRPr="002E2E7B">
        <w:rPr>
          <w:b w:val="0"/>
        </w:rPr>
        <w:t xml:space="preserve">. This is part of a national aging phenomenon, though </w:t>
      </w:r>
      <w:r w:rsidR="00AA08C5">
        <w:fldChar w:fldCharType="begin"/>
      </w:r>
      <w:r w:rsidR="00AA08C5">
        <w:instrText xml:space="preserve"> REF _Ref394041539 \h  \* MERGEFORMAT </w:instrText>
      </w:r>
      <w:r w:rsidR="00AA08C5">
        <w:fldChar w:fldCharType="separate"/>
      </w:r>
      <w:r w:rsidRPr="00515486">
        <w:rPr>
          <w:b w:val="0"/>
        </w:rPr>
        <w:t xml:space="preserve">Figure </w:t>
      </w:r>
      <w:r w:rsidRPr="00515486">
        <w:rPr>
          <w:b w:val="0"/>
          <w:noProof/>
        </w:rPr>
        <w:t>2-2</w:t>
      </w:r>
      <w:r w:rsidR="00AA08C5">
        <w:fldChar w:fldCharType="end"/>
      </w:r>
      <w:r w:rsidRPr="002E2E7B">
        <w:rPr>
          <w:b w:val="0"/>
        </w:rPr>
        <w:t xml:space="preserve"> demonstrates that North East Lincolnshire has a slightly older age profile </w:t>
      </w:r>
      <w:r w:rsidR="00FB6B23">
        <w:rPr>
          <w:b w:val="0"/>
        </w:rPr>
        <w:t>compared to the national average.</w:t>
      </w:r>
      <w:r w:rsidRPr="002E2E7B">
        <w:rPr>
          <w:b w:val="0"/>
        </w:rPr>
        <w:t xml:space="preserve"> </w:t>
      </w:r>
    </w:p>
    <w:p w14:paraId="528B50FA" w14:textId="77777777" w:rsidR="00515486" w:rsidRPr="00384A9A" w:rsidRDefault="00515486" w:rsidP="00515486">
      <w:pPr>
        <w:pStyle w:val="Caption"/>
      </w:pPr>
      <w:bookmarkStart w:id="15" w:name="_Ref393457639"/>
      <w:r>
        <w:t xml:space="preserve">Figure </w:t>
      </w:r>
      <w:fldSimple w:instr=" STYLEREF 1 \s  \* MERGEFORMAT ">
        <w:r>
          <w:rPr>
            <w:noProof/>
          </w:rPr>
          <w:t>2</w:t>
        </w:r>
      </w:fldSimple>
      <w:r>
        <w:t>-</w:t>
      </w:r>
      <w:fldSimple w:instr=" SEQ Figure \* ARABIC \s 1  \* MERGEFORMAT ">
        <w:r>
          <w:rPr>
            <w:noProof/>
          </w:rPr>
          <w:t>1</w:t>
        </w:r>
      </w:fldSimple>
      <w:bookmarkEnd w:id="15"/>
      <w:r>
        <w:tab/>
        <w:t>Age Structure in North East Lincolnshire (2001-2011)</w:t>
      </w:r>
    </w:p>
    <w:p w14:paraId="45AE7557" w14:textId="77777777" w:rsidR="00515486" w:rsidRDefault="00515486" w:rsidP="00515486">
      <w:pPr>
        <w:jc w:val="both"/>
      </w:pPr>
      <w:r>
        <w:rPr>
          <w:noProof/>
          <w:lang w:eastAsia="en-GB"/>
        </w:rPr>
        <w:drawing>
          <wp:inline distT="0" distB="0" distL="0" distR="0" wp14:anchorId="77D16C76" wp14:editId="383ADA5C">
            <wp:extent cx="5521576" cy="3424452"/>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D8615F" w14:textId="77777777" w:rsidR="00515486" w:rsidRDefault="00515486" w:rsidP="00515486">
      <w:pPr>
        <w:pStyle w:val="TableSource"/>
        <w:jc w:val="both"/>
      </w:pPr>
      <w:r>
        <w:t xml:space="preserve">Source: Census 2001; Census 2011. </w:t>
      </w:r>
    </w:p>
    <w:p w14:paraId="181C6064" w14:textId="77777777" w:rsidR="00515486" w:rsidRDefault="00515486" w:rsidP="00515486">
      <w:pPr>
        <w:pStyle w:val="Caption"/>
      </w:pPr>
      <w:bookmarkStart w:id="16" w:name="_Ref393457659"/>
    </w:p>
    <w:p w14:paraId="13AA9EDE" w14:textId="77777777" w:rsidR="00515486" w:rsidRDefault="00515486" w:rsidP="00515486">
      <w:pPr>
        <w:pStyle w:val="Caption"/>
      </w:pPr>
    </w:p>
    <w:p w14:paraId="139D6984" w14:textId="77777777" w:rsidR="00515486" w:rsidRPr="00780605" w:rsidRDefault="00515486" w:rsidP="00515486">
      <w:pPr>
        <w:pStyle w:val="Caption"/>
      </w:pPr>
      <w:bookmarkStart w:id="17" w:name="_Ref394041539"/>
      <w:r>
        <w:lastRenderedPageBreak/>
        <w:t xml:space="preserve">Figure </w:t>
      </w:r>
      <w:fldSimple w:instr=" STYLEREF 1 \s  \* MERGEFORMAT ">
        <w:r>
          <w:rPr>
            <w:noProof/>
          </w:rPr>
          <w:t>2</w:t>
        </w:r>
      </w:fldSimple>
      <w:r>
        <w:t>-</w:t>
      </w:r>
      <w:fldSimple w:instr=" SEQ Figure \* ARABIC \s 1  \* MERGEFORMAT ">
        <w:r>
          <w:rPr>
            <w:noProof/>
          </w:rPr>
          <w:t>2</w:t>
        </w:r>
      </w:fldSimple>
      <w:bookmarkEnd w:id="16"/>
      <w:bookmarkEnd w:id="17"/>
      <w:r>
        <w:tab/>
        <w:t>Age structure in North East Lincolnshire and England, 2011</w:t>
      </w:r>
    </w:p>
    <w:p w14:paraId="18E5AFA4" w14:textId="77777777" w:rsidR="00515486" w:rsidRPr="004D64E0" w:rsidRDefault="00515486" w:rsidP="00515486">
      <w:pPr>
        <w:jc w:val="both"/>
      </w:pPr>
      <w:r>
        <w:rPr>
          <w:noProof/>
          <w:lang w:eastAsia="en-GB"/>
        </w:rPr>
        <w:drawing>
          <wp:inline distT="0" distB="0" distL="0" distR="0" wp14:anchorId="44D7E00D" wp14:editId="28BB2A64">
            <wp:extent cx="5544000" cy="3456000"/>
            <wp:effectExtent l="0" t="0" r="0" b="0"/>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8FF361" w14:textId="77777777" w:rsidR="00515486" w:rsidRDefault="00515486" w:rsidP="00515486">
      <w:pPr>
        <w:pStyle w:val="TableSource"/>
        <w:jc w:val="both"/>
      </w:pPr>
      <w:r>
        <w:t xml:space="preserve">Source: Census 2011 </w:t>
      </w:r>
    </w:p>
    <w:p w14:paraId="3378B10C" w14:textId="77777777" w:rsidR="00515486" w:rsidRDefault="00515486" w:rsidP="00515486">
      <w:pPr>
        <w:jc w:val="both"/>
      </w:pPr>
      <w:r>
        <w:t>The aging population results in a proportionately smaller active workforce, as demonstrated by the increase in old age dependency ratios (the number of people aged over 64 per 100 of the working age population) both in North East Lincolnshire and nationally (</w:t>
      </w:r>
      <w:r w:rsidR="00F70FD0">
        <w:fldChar w:fldCharType="begin"/>
      </w:r>
      <w:r>
        <w:instrText xml:space="preserve"> REF _Ref393799832 \h </w:instrText>
      </w:r>
      <w:r w:rsidR="00F70FD0">
        <w:fldChar w:fldCharType="separate"/>
      </w:r>
      <w:r>
        <w:t xml:space="preserve">Table </w:t>
      </w:r>
      <w:r>
        <w:rPr>
          <w:noProof/>
        </w:rPr>
        <w:t>2</w:t>
      </w:r>
      <w:r>
        <w:t>-</w:t>
      </w:r>
      <w:r>
        <w:rPr>
          <w:noProof/>
        </w:rPr>
        <w:t>2</w:t>
      </w:r>
      <w:r w:rsidR="00F70FD0">
        <w:fldChar w:fldCharType="end"/>
      </w:r>
      <w:r>
        <w:t xml:space="preserve">). However, </w:t>
      </w:r>
      <w:r w:rsidR="00F70FD0">
        <w:fldChar w:fldCharType="begin"/>
      </w:r>
      <w:r>
        <w:instrText xml:space="preserve"> REF _Ref393457639 \h </w:instrText>
      </w:r>
      <w:r w:rsidR="00F70FD0">
        <w:fldChar w:fldCharType="separate"/>
      </w:r>
      <w:r>
        <w:t xml:space="preserve">Figure </w:t>
      </w:r>
      <w:r>
        <w:rPr>
          <w:noProof/>
        </w:rPr>
        <w:t>2</w:t>
      </w:r>
      <w:r>
        <w:t>-</w:t>
      </w:r>
      <w:r>
        <w:rPr>
          <w:noProof/>
        </w:rPr>
        <w:t>1</w:t>
      </w:r>
      <w:r w:rsidR="00F70FD0">
        <w:fldChar w:fldCharType="end"/>
      </w:r>
      <w:r>
        <w:t xml:space="preserve"> also shows that the proportion of the population aged 20-29 has actually increased since 2001, suggesting the area has improved its ability to attract or retain younger members of the population. </w:t>
      </w:r>
      <w:r w:rsidR="00F70FD0">
        <w:fldChar w:fldCharType="begin"/>
      </w:r>
      <w:r>
        <w:instrText xml:space="preserve"> REF _Ref393799832 \h </w:instrText>
      </w:r>
      <w:r w:rsidR="00F70FD0">
        <w:fldChar w:fldCharType="separate"/>
      </w:r>
      <w:r>
        <w:t xml:space="preserve">Table </w:t>
      </w:r>
      <w:r>
        <w:rPr>
          <w:noProof/>
        </w:rPr>
        <w:t>2</w:t>
      </w:r>
      <w:r>
        <w:t>-</w:t>
      </w:r>
      <w:r>
        <w:rPr>
          <w:noProof/>
        </w:rPr>
        <w:t>2</w:t>
      </w:r>
      <w:r w:rsidR="00F70FD0">
        <w:fldChar w:fldCharType="end"/>
      </w:r>
      <w:r>
        <w:t xml:space="preserve"> shows that while neighbouring North Lincolnshire has experienced a similar increase in the old age dependency ratio to North East Lincolnshire, Kingston upon Hull has experienced a</w:t>
      </w:r>
      <w:r w:rsidR="00FB6B23">
        <w:t xml:space="preserve"> moderate decrease in dependency</w:t>
      </w:r>
      <w:r>
        <w:t xml:space="preserve">. </w:t>
      </w:r>
    </w:p>
    <w:p w14:paraId="382CE6E9" w14:textId="77777777" w:rsidR="00515486" w:rsidRDefault="00515486" w:rsidP="00515486">
      <w:pPr>
        <w:pStyle w:val="Caption"/>
      </w:pPr>
      <w:bookmarkStart w:id="18" w:name="_Ref393799832"/>
      <w:bookmarkStart w:id="19" w:name="_Ref393458864"/>
      <w:r>
        <w:t xml:space="preserve">Table </w:t>
      </w:r>
      <w:fldSimple w:instr=" STYLEREF 1 \s  \* MERGEFORMAT ">
        <w:r>
          <w:rPr>
            <w:noProof/>
          </w:rPr>
          <w:t>2</w:t>
        </w:r>
      </w:fldSimple>
      <w:r>
        <w:t>-</w:t>
      </w:r>
      <w:fldSimple w:instr=" SEQ Table \* ARABIC \s 1  \* MERGEFORMAT ">
        <w:r>
          <w:rPr>
            <w:noProof/>
          </w:rPr>
          <w:t>2</w:t>
        </w:r>
      </w:fldSimple>
      <w:bookmarkEnd w:id="18"/>
      <w:r>
        <w:tab/>
        <w:t>Old-age dependency ratios (2003 and 2013)</w:t>
      </w:r>
      <w:bookmarkEnd w:id="19"/>
    </w:p>
    <w:tbl>
      <w:tblPr>
        <w:tblStyle w:val="Atkins14pt"/>
        <w:tblW w:w="5188" w:type="dxa"/>
        <w:tblLook w:val="04A0" w:firstRow="1" w:lastRow="0" w:firstColumn="1" w:lastColumn="0" w:noHBand="0" w:noVBand="1"/>
      </w:tblPr>
      <w:tblGrid>
        <w:gridCol w:w="2694"/>
        <w:gridCol w:w="1247"/>
        <w:gridCol w:w="1247"/>
      </w:tblGrid>
      <w:tr w:rsidR="00515486" w:rsidRPr="00CF75B2" w14:paraId="1BB667D2" w14:textId="77777777" w:rsidTr="004D5D2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694" w:type="dxa"/>
            <w:noWrap/>
            <w:hideMark/>
          </w:tcPr>
          <w:p w14:paraId="2DA35269" w14:textId="77777777" w:rsidR="00515486" w:rsidRPr="00E97A33" w:rsidRDefault="00515486" w:rsidP="004D5D22">
            <w:pPr>
              <w:pStyle w:val="TableHeading"/>
              <w:jc w:val="both"/>
              <w:rPr>
                <w:color w:val="auto"/>
              </w:rPr>
            </w:pPr>
            <w:r w:rsidRPr="00E97A33">
              <w:rPr>
                <w:color w:val="auto"/>
              </w:rPr>
              <w:t>Area</w:t>
            </w:r>
          </w:p>
        </w:tc>
        <w:tc>
          <w:tcPr>
            <w:tcW w:w="1247" w:type="dxa"/>
          </w:tcPr>
          <w:p w14:paraId="6D9D50D8" w14:textId="77777777" w:rsidR="00515486" w:rsidRPr="00E97A33" w:rsidRDefault="00515486" w:rsidP="00FB6B23">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2003 Dependency Ratios (%)</w:t>
            </w:r>
          </w:p>
        </w:tc>
        <w:tc>
          <w:tcPr>
            <w:tcW w:w="1247" w:type="dxa"/>
            <w:noWrap/>
            <w:hideMark/>
          </w:tcPr>
          <w:p w14:paraId="47337258" w14:textId="77777777" w:rsidR="00515486" w:rsidRPr="00E97A33" w:rsidRDefault="00515486" w:rsidP="00FB6B23">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2013 Dependency Ratios (%)</w:t>
            </w:r>
          </w:p>
        </w:tc>
      </w:tr>
      <w:tr w:rsidR="00515486" w:rsidRPr="00CF75B2" w14:paraId="4DBA88A7"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FB9B290" w14:textId="77777777" w:rsidR="00515486" w:rsidRPr="00E97A33" w:rsidRDefault="00515486" w:rsidP="004D5D22">
            <w:pPr>
              <w:pStyle w:val="TableText"/>
              <w:jc w:val="both"/>
              <w:rPr>
                <w:color w:val="auto"/>
              </w:rPr>
            </w:pPr>
            <w:r w:rsidRPr="00E97A33">
              <w:rPr>
                <w:color w:val="auto"/>
              </w:rPr>
              <w:t>North East Lincolnshire</w:t>
            </w:r>
          </w:p>
        </w:tc>
        <w:tc>
          <w:tcPr>
            <w:tcW w:w="1247" w:type="dxa"/>
          </w:tcPr>
          <w:p w14:paraId="52041EE5" w14:textId="77777777" w:rsidR="00515486" w:rsidRPr="00E97A33"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16.8</w:t>
            </w:r>
          </w:p>
        </w:tc>
        <w:tc>
          <w:tcPr>
            <w:tcW w:w="1247" w:type="dxa"/>
            <w:noWrap/>
            <w:hideMark/>
          </w:tcPr>
          <w:p w14:paraId="03221634" w14:textId="77777777" w:rsidR="00515486" w:rsidRPr="00E97A33"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18.8</w:t>
            </w:r>
          </w:p>
        </w:tc>
      </w:tr>
      <w:tr w:rsidR="00515486" w:rsidRPr="00CF75B2" w14:paraId="25D89E64"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8195E9E" w14:textId="77777777" w:rsidR="00515486" w:rsidRPr="00E97A33" w:rsidRDefault="00515486" w:rsidP="004D5D22">
            <w:pPr>
              <w:pStyle w:val="TableText"/>
              <w:jc w:val="both"/>
              <w:rPr>
                <w:color w:val="auto"/>
              </w:rPr>
            </w:pPr>
            <w:r w:rsidRPr="00E97A33">
              <w:rPr>
                <w:color w:val="auto"/>
              </w:rPr>
              <w:t>North Lincolnshire</w:t>
            </w:r>
          </w:p>
        </w:tc>
        <w:tc>
          <w:tcPr>
            <w:tcW w:w="1247" w:type="dxa"/>
          </w:tcPr>
          <w:p w14:paraId="504F85C0" w14:textId="77777777" w:rsidR="00515486" w:rsidRPr="00E97A33"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17.0</w:t>
            </w:r>
          </w:p>
        </w:tc>
        <w:tc>
          <w:tcPr>
            <w:tcW w:w="1247" w:type="dxa"/>
            <w:noWrap/>
            <w:hideMark/>
          </w:tcPr>
          <w:p w14:paraId="15CAF2FD" w14:textId="77777777" w:rsidR="00515486" w:rsidRPr="00E97A33"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19.3</w:t>
            </w:r>
          </w:p>
        </w:tc>
      </w:tr>
      <w:tr w:rsidR="00515486" w:rsidRPr="00CF75B2" w14:paraId="7D5608CE"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412AF0" w14:textId="77777777" w:rsidR="00515486" w:rsidRPr="00E97A33" w:rsidRDefault="00515486" w:rsidP="004D5D22">
            <w:pPr>
              <w:pStyle w:val="TableText"/>
              <w:jc w:val="both"/>
              <w:rPr>
                <w:color w:val="auto"/>
              </w:rPr>
            </w:pPr>
            <w:r w:rsidRPr="00E97A33">
              <w:rPr>
                <w:color w:val="auto"/>
              </w:rPr>
              <w:t xml:space="preserve">Kingston upon Hull </w:t>
            </w:r>
          </w:p>
        </w:tc>
        <w:tc>
          <w:tcPr>
            <w:tcW w:w="1247" w:type="dxa"/>
          </w:tcPr>
          <w:p w14:paraId="1918ED0A" w14:textId="77777777" w:rsidR="00515486" w:rsidRPr="00E97A33"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14.8</w:t>
            </w:r>
          </w:p>
        </w:tc>
        <w:tc>
          <w:tcPr>
            <w:tcW w:w="1247" w:type="dxa"/>
            <w:noWrap/>
            <w:hideMark/>
          </w:tcPr>
          <w:p w14:paraId="6C4A66C8" w14:textId="77777777" w:rsidR="00515486" w:rsidRPr="00E97A33"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14.6</w:t>
            </w:r>
          </w:p>
        </w:tc>
      </w:tr>
      <w:tr w:rsidR="00515486" w:rsidRPr="00CF75B2" w14:paraId="17BB05FF"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89CB44E" w14:textId="77777777" w:rsidR="00515486" w:rsidRPr="00E97A33" w:rsidRDefault="00515486" w:rsidP="004D5D22">
            <w:pPr>
              <w:pStyle w:val="TableText"/>
              <w:jc w:val="both"/>
              <w:rPr>
                <w:color w:val="auto"/>
              </w:rPr>
            </w:pPr>
            <w:r w:rsidRPr="00E97A33">
              <w:rPr>
                <w:color w:val="auto"/>
              </w:rPr>
              <w:t>England</w:t>
            </w:r>
          </w:p>
        </w:tc>
        <w:tc>
          <w:tcPr>
            <w:tcW w:w="1247" w:type="dxa"/>
          </w:tcPr>
          <w:p w14:paraId="5EBDFCB6" w14:textId="77777777" w:rsidR="00515486" w:rsidRPr="00E97A33"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15.9</w:t>
            </w:r>
          </w:p>
        </w:tc>
        <w:tc>
          <w:tcPr>
            <w:tcW w:w="1247" w:type="dxa"/>
            <w:noWrap/>
            <w:hideMark/>
          </w:tcPr>
          <w:p w14:paraId="3994ACEE" w14:textId="77777777" w:rsidR="00515486" w:rsidRPr="00E97A33"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17.3</w:t>
            </w:r>
          </w:p>
        </w:tc>
      </w:tr>
    </w:tbl>
    <w:p w14:paraId="7CE1D1D0" w14:textId="77777777" w:rsidR="00515486" w:rsidRDefault="00515486" w:rsidP="00515486">
      <w:pPr>
        <w:pStyle w:val="TableSource"/>
        <w:jc w:val="both"/>
      </w:pPr>
      <w:r>
        <w:t>Source: ONS Mid-Year Population Estimates 2013</w:t>
      </w:r>
    </w:p>
    <w:p w14:paraId="7E3B1205" w14:textId="77777777" w:rsidR="00515486" w:rsidRPr="002E2E7B" w:rsidRDefault="00515486" w:rsidP="00515486">
      <w:pPr>
        <w:pStyle w:val="Caption"/>
        <w:jc w:val="both"/>
        <w:rPr>
          <w:b w:val="0"/>
        </w:rPr>
      </w:pPr>
      <w:r w:rsidRPr="002E2E7B">
        <w:rPr>
          <w:b w:val="0"/>
        </w:rPr>
        <w:t>The population of North East Lincolnshire is expected to continue to age, in particular due to loss of individuals in the 16-24 age group</w:t>
      </w:r>
      <w:r w:rsidR="00EB380D">
        <w:rPr>
          <w:b w:val="0"/>
        </w:rPr>
        <w:t xml:space="preserve"> (see </w:t>
      </w:r>
      <w:r w:rsidR="00AA08C5">
        <w:fldChar w:fldCharType="begin"/>
      </w:r>
      <w:r w:rsidR="00AA08C5">
        <w:instrText xml:space="preserve"> REF _Ref394041572 \h  \* MERGEFORMAT </w:instrText>
      </w:r>
      <w:r w:rsidR="00AA08C5">
        <w:fldChar w:fldCharType="separate"/>
      </w:r>
      <w:r w:rsidRPr="00515486">
        <w:rPr>
          <w:b w:val="0"/>
          <w:noProof/>
          <w:lang w:eastAsia="en-GB"/>
        </w:rPr>
        <w:t>Figure 2-3</w:t>
      </w:r>
      <w:r w:rsidR="00AA08C5">
        <w:fldChar w:fldCharType="end"/>
      </w:r>
      <w:r w:rsidR="00EB380D">
        <w:rPr>
          <w:b w:val="0"/>
          <w:noProof/>
          <w:lang w:eastAsia="en-GB"/>
        </w:rPr>
        <w:t>)</w:t>
      </w:r>
      <w:r w:rsidRPr="002E2E7B">
        <w:rPr>
          <w:b w:val="0"/>
        </w:rPr>
        <w:t>. This will result in a loss of 4,600 indi</w:t>
      </w:r>
      <w:r w:rsidR="00FB6B23">
        <w:rPr>
          <w:b w:val="0"/>
        </w:rPr>
        <w:t>viduals of working age by 2021 which reflects trend-based factors of demographic change and relatively high levels of out-migration.</w:t>
      </w:r>
    </w:p>
    <w:p w14:paraId="3B2F3497" w14:textId="77777777" w:rsidR="00515486" w:rsidRDefault="00515486" w:rsidP="00515486">
      <w:pPr>
        <w:pStyle w:val="Caption"/>
        <w:rPr>
          <w:noProof/>
          <w:lang w:eastAsia="en-GB"/>
        </w:rPr>
      </w:pPr>
      <w:bookmarkStart w:id="20" w:name="_Ref393459322"/>
    </w:p>
    <w:p w14:paraId="1D01588E" w14:textId="77777777" w:rsidR="00515486" w:rsidRDefault="00515486" w:rsidP="00515486">
      <w:pPr>
        <w:pStyle w:val="Caption"/>
        <w:rPr>
          <w:noProof/>
          <w:lang w:eastAsia="en-GB"/>
        </w:rPr>
      </w:pPr>
    </w:p>
    <w:p w14:paraId="57AEEEF1" w14:textId="77777777" w:rsidR="00515486" w:rsidRDefault="00515486" w:rsidP="00515486">
      <w:pPr>
        <w:pStyle w:val="Caption"/>
        <w:rPr>
          <w:noProof/>
          <w:lang w:eastAsia="en-GB"/>
        </w:rPr>
      </w:pPr>
    </w:p>
    <w:p w14:paraId="6D116598" w14:textId="77777777" w:rsidR="00515486" w:rsidRDefault="00515486" w:rsidP="00515486">
      <w:pPr>
        <w:pStyle w:val="Caption"/>
        <w:rPr>
          <w:noProof/>
          <w:lang w:eastAsia="en-GB"/>
        </w:rPr>
      </w:pPr>
    </w:p>
    <w:p w14:paraId="4F737473" w14:textId="77777777" w:rsidR="00515486" w:rsidRDefault="00515486" w:rsidP="00515486">
      <w:pPr>
        <w:pStyle w:val="Caption"/>
        <w:rPr>
          <w:noProof/>
          <w:lang w:eastAsia="en-GB"/>
        </w:rPr>
      </w:pPr>
      <w:bookmarkStart w:id="21" w:name="_Ref394041572"/>
      <w:r>
        <w:rPr>
          <w:noProof/>
          <w:lang w:eastAsia="en-GB"/>
        </w:rPr>
        <w:lastRenderedPageBreak/>
        <w:t xml:space="preserve">Figure </w:t>
      </w:r>
      <w:fldSimple w:instr=" STYLEREF 1 \s  \* MERGEFORMAT ">
        <w:r>
          <w:rPr>
            <w:noProof/>
            <w:lang w:eastAsia="en-GB"/>
          </w:rPr>
          <w:t>2</w:t>
        </w:r>
      </w:fldSimple>
      <w:r>
        <w:rPr>
          <w:noProof/>
          <w:lang w:eastAsia="en-GB"/>
        </w:rPr>
        <w:t>-</w:t>
      </w:r>
      <w:fldSimple w:instr=" SEQ Figure \* ARABIC \s 1  \* MERGEFORMAT ">
        <w:r>
          <w:rPr>
            <w:noProof/>
            <w:lang w:eastAsia="en-GB"/>
          </w:rPr>
          <w:t>3</w:t>
        </w:r>
      </w:fldSimple>
      <w:bookmarkEnd w:id="20"/>
      <w:bookmarkEnd w:id="21"/>
      <w:r>
        <w:rPr>
          <w:noProof/>
          <w:lang w:eastAsia="en-GB"/>
        </w:rPr>
        <w:tab/>
        <w:t>Projected change in the age profile of the population (2011-2021)</w:t>
      </w:r>
    </w:p>
    <w:p w14:paraId="1B473FEA" w14:textId="77777777" w:rsidR="00515486" w:rsidRPr="00587E21" w:rsidRDefault="00515486" w:rsidP="00515486">
      <w:pPr>
        <w:pStyle w:val="Caption"/>
      </w:pPr>
      <w:r>
        <w:rPr>
          <w:noProof/>
          <w:lang w:eastAsia="en-GB"/>
        </w:rPr>
        <w:drawing>
          <wp:inline distT="0" distB="0" distL="0" distR="0" wp14:anchorId="2F5605BC" wp14:editId="1226DB1C">
            <wp:extent cx="5543990" cy="3453325"/>
            <wp:effectExtent l="0" t="0" r="0" b="127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6BA936" w14:textId="77777777" w:rsidR="00515486" w:rsidRDefault="00515486" w:rsidP="00515486">
      <w:pPr>
        <w:pStyle w:val="TableSource"/>
        <w:jc w:val="both"/>
      </w:pPr>
      <w:r>
        <w:t>Source: ONS Sub-national Population Projections 2011</w:t>
      </w:r>
    </w:p>
    <w:p w14:paraId="18472EBF" w14:textId="77777777" w:rsidR="00515486" w:rsidRPr="00E2680E" w:rsidRDefault="00F70FD0" w:rsidP="00515486">
      <w:pPr>
        <w:jc w:val="both"/>
      </w:pPr>
      <w:r>
        <w:rPr>
          <w:noProof/>
          <w:lang w:eastAsia="en-GB"/>
        </w:rPr>
        <w:fldChar w:fldCharType="begin"/>
      </w:r>
      <w:r w:rsidR="00515486">
        <w:rPr>
          <w:noProof/>
          <w:lang w:eastAsia="en-GB"/>
        </w:rPr>
        <w:instrText xml:space="preserve"> REF _Ref393460024 \h </w:instrText>
      </w:r>
      <w:r>
        <w:rPr>
          <w:noProof/>
          <w:lang w:eastAsia="en-GB"/>
        </w:rPr>
      </w:r>
      <w:r>
        <w:rPr>
          <w:noProof/>
          <w:lang w:eastAsia="en-GB"/>
        </w:rPr>
        <w:fldChar w:fldCharType="separate"/>
      </w:r>
      <w:r w:rsidR="00515486">
        <w:t xml:space="preserve">Table </w:t>
      </w:r>
      <w:r w:rsidR="00515486">
        <w:rPr>
          <w:noProof/>
        </w:rPr>
        <w:t>2</w:t>
      </w:r>
      <w:r w:rsidR="00515486">
        <w:t>-</w:t>
      </w:r>
      <w:r w:rsidR="00515486">
        <w:rPr>
          <w:noProof/>
        </w:rPr>
        <w:t>3</w:t>
      </w:r>
      <w:r>
        <w:rPr>
          <w:noProof/>
          <w:lang w:eastAsia="en-GB"/>
        </w:rPr>
        <w:fldChar w:fldCharType="end"/>
      </w:r>
      <w:r w:rsidR="00515486">
        <w:rPr>
          <w:noProof/>
          <w:lang w:eastAsia="en-GB"/>
        </w:rPr>
        <w:t xml:space="preserve"> </w:t>
      </w:r>
      <w:r w:rsidR="00515486">
        <w:t xml:space="preserve">provides statistics on the demographic characteristics of the North East Lincolnshire population (aged 16 and over). It demonstrates that the adult population has in fact slightly shrunk since 2007, and that the decrease in the female population exceeds that of the male population. As the male unemployment rate is higher than the female rate (see section </w:t>
      </w:r>
      <w:r>
        <w:fldChar w:fldCharType="begin"/>
      </w:r>
      <w:r w:rsidR="00515486">
        <w:instrText xml:space="preserve"> REF _Ref393872607 \r \h </w:instrText>
      </w:r>
      <w:r>
        <w:fldChar w:fldCharType="separate"/>
      </w:r>
      <w:r w:rsidR="00515486">
        <w:t>9</w:t>
      </w:r>
      <w:r>
        <w:fldChar w:fldCharType="end"/>
      </w:r>
      <w:r w:rsidR="00515486">
        <w:t xml:space="preserve">), this suggests the total rate of unemployment may rise if </w:t>
      </w:r>
      <w:r w:rsidR="00EB380D">
        <w:t>the</w:t>
      </w:r>
      <w:r w:rsidR="00515486">
        <w:t xml:space="preserve"> trend in out-migration continues. </w:t>
      </w:r>
    </w:p>
    <w:p w14:paraId="7DD91CB7" w14:textId="77777777" w:rsidR="00515486" w:rsidRDefault="00515486" w:rsidP="00515486">
      <w:pPr>
        <w:pStyle w:val="Caption"/>
      </w:pPr>
      <w:bookmarkStart w:id="22" w:name="_Ref393460024"/>
      <w:r>
        <w:t xml:space="preserve">Table </w:t>
      </w:r>
      <w:fldSimple w:instr=" STYLEREF 1 \s  \* MERGEFORMAT ">
        <w:r>
          <w:rPr>
            <w:noProof/>
          </w:rPr>
          <w:t>2</w:t>
        </w:r>
      </w:fldSimple>
      <w:r>
        <w:t>-</w:t>
      </w:r>
      <w:fldSimple w:instr=" SEQ Table \* ARABIC \s 1  \* MERGEFORMAT ">
        <w:r>
          <w:rPr>
            <w:noProof/>
          </w:rPr>
          <w:t>3</w:t>
        </w:r>
      </w:fldSimple>
      <w:bookmarkEnd w:id="22"/>
      <w:r>
        <w:tab/>
        <w:t>Demographic characteristics of the adult population (2007-2013)</w:t>
      </w:r>
    </w:p>
    <w:tbl>
      <w:tblPr>
        <w:tblStyle w:val="Atkins14pt"/>
        <w:tblpPr w:leftFromText="180" w:rightFromText="180" w:vertAnchor="text" w:horzAnchor="page" w:tblpX="1192" w:tblpY="335"/>
        <w:tblW w:w="9498" w:type="dxa"/>
        <w:tblInd w:w="0" w:type="dxa"/>
        <w:tblLayout w:type="fixed"/>
        <w:tblLook w:val="04A0" w:firstRow="1" w:lastRow="0" w:firstColumn="1" w:lastColumn="0" w:noHBand="0" w:noVBand="1"/>
      </w:tblPr>
      <w:tblGrid>
        <w:gridCol w:w="2374"/>
        <w:gridCol w:w="2375"/>
        <w:gridCol w:w="2374"/>
        <w:gridCol w:w="2375"/>
      </w:tblGrid>
      <w:tr w:rsidR="00515486" w:rsidRPr="004A04EC" w14:paraId="5A2EC7D4" w14:textId="77777777" w:rsidTr="004D5D2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374" w:type="dxa"/>
            <w:noWrap/>
            <w:hideMark/>
          </w:tcPr>
          <w:p w14:paraId="0D2F95B0" w14:textId="77777777" w:rsidR="00515486" w:rsidRPr="00130A85" w:rsidRDefault="00515486" w:rsidP="004D5D22">
            <w:pPr>
              <w:spacing w:after="0"/>
              <w:jc w:val="both"/>
              <w:rPr>
                <w:rFonts w:eastAsia="Times New Roman" w:cs="Times New Roman"/>
                <w:color w:val="auto"/>
              </w:rPr>
            </w:pPr>
          </w:p>
        </w:tc>
        <w:tc>
          <w:tcPr>
            <w:tcW w:w="2375" w:type="dxa"/>
            <w:noWrap/>
            <w:hideMark/>
          </w:tcPr>
          <w:p w14:paraId="758E487E" w14:textId="77777777" w:rsidR="00515486" w:rsidRPr="00130A85" w:rsidRDefault="00515486" w:rsidP="00FB6B23">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130A85">
              <w:rPr>
                <w:color w:val="auto"/>
              </w:rPr>
              <w:t>2007</w:t>
            </w:r>
          </w:p>
        </w:tc>
        <w:tc>
          <w:tcPr>
            <w:tcW w:w="2374" w:type="dxa"/>
            <w:noWrap/>
            <w:hideMark/>
          </w:tcPr>
          <w:p w14:paraId="6E7FF585" w14:textId="77777777" w:rsidR="00515486" w:rsidRPr="00130A85" w:rsidRDefault="00515486" w:rsidP="00FB6B23">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130A85">
              <w:rPr>
                <w:color w:val="auto"/>
              </w:rPr>
              <w:t>2010</w:t>
            </w:r>
          </w:p>
        </w:tc>
        <w:tc>
          <w:tcPr>
            <w:tcW w:w="2375" w:type="dxa"/>
            <w:noWrap/>
            <w:hideMark/>
          </w:tcPr>
          <w:p w14:paraId="3DFAD0F3" w14:textId="77777777" w:rsidR="00515486" w:rsidRPr="00130A85" w:rsidRDefault="00515486" w:rsidP="00FB6B23">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130A85">
              <w:rPr>
                <w:color w:val="auto"/>
              </w:rPr>
              <w:t>2013</w:t>
            </w:r>
          </w:p>
        </w:tc>
      </w:tr>
      <w:tr w:rsidR="00515486" w:rsidRPr="004A04EC" w14:paraId="6A79685C"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9498" w:type="dxa"/>
            <w:gridSpan w:val="4"/>
            <w:noWrap/>
          </w:tcPr>
          <w:p w14:paraId="4FB4E9C7" w14:textId="77777777" w:rsidR="00515486" w:rsidRPr="00130A85" w:rsidRDefault="00515486" w:rsidP="00FB6B23">
            <w:pPr>
              <w:pStyle w:val="TableText"/>
              <w:tabs>
                <w:tab w:val="left" w:pos="1993"/>
              </w:tabs>
              <w:jc w:val="center"/>
              <w:rPr>
                <w:b/>
                <w:color w:val="auto"/>
              </w:rPr>
            </w:pPr>
            <w:r w:rsidRPr="00130A85">
              <w:rPr>
                <w:b/>
                <w:color w:val="auto"/>
              </w:rPr>
              <w:t>Gender</w:t>
            </w:r>
          </w:p>
        </w:tc>
      </w:tr>
      <w:tr w:rsidR="00515486" w:rsidRPr="004A04EC" w14:paraId="7A320E79"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4EA56EEF" w14:textId="77777777" w:rsidR="00515486" w:rsidRPr="00130A85" w:rsidRDefault="00515486" w:rsidP="004D5D22">
            <w:pPr>
              <w:pStyle w:val="TableText"/>
              <w:jc w:val="both"/>
              <w:rPr>
                <w:color w:val="auto"/>
              </w:rPr>
            </w:pPr>
            <w:r w:rsidRPr="00130A85">
              <w:rPr>
                <w:color w:val="auto"/>
              </w:rPr>
              <w:t>Male</w:t>
            </w:r>
          </w:p>
        </w:tc>
        <w:tc>
          <w:tcPr>
            <w:tcW w:w="2375" w:type="dxa"/>
            <w:noWrap/>
            <w:hideMark/>
          </w:tcPr>
          <w:p w14:paraId="3B9D94AD"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62,000</w:t>
            </w:r>
          </w:p>
        </w:tc>
        <w:tc>
          <w:tcPr>
            <w:tcW w:w="2374" w:type="dxa"/>
            <w:noWrap/>
            <w:hideMark/>
          </w:tcPr>
          <w:p w14:paraId="275D8020"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61,400</w:t>
            </w:r>
          </w:p>
        </w:tc>
        <w:tc>
          <w:tcPr>
            <w:tcW w:w="2375" w:type="dxa"/>
            <w:noWrap/>
            <w:hideMark/>
          </w:tcPr>
          <w:p w14:paraId="490905D8"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61,500</w:t>
            </w:r>
          </w:p>
        </w:tc>
      </w:tr>
      <w:tr w:rsidR="00515486" w:rsidRPr="004A04EC" w14:paraId="145C39A7"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6D624472" w14:textId="77777777" w:rsidR="00515486" w:rsidRPr="00130A85" w:rsidRDefault="00515486" w:rsidP="004D5D22">
            <w:pPr>
              <w:pStyle w:val="TableText"/>
              <w:jc w:val="both"/>
              <w:rPr>
                <w:color w:val="auto"/>
              </w:rPr>
            </w:pPr>
            <w:r w:rsidRPr="00130A85">
              <w:rPr>
                <w:color w:val="auto"/>
              </w:rPr>
              <w:t>Female</w:t>
            </w:r>
          </w:p>
        </w:tc>
        <w:tc>
          <w:tcPr>
            <w:tcW w:w="2375" w:type="dxa"/>
            <w:noWrap/>
            <w:hideMark/>
          </w:tcPr>
          <w:p w14:paraId="6DE8B96E"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65,900</w:t>
            </w:r>
          </w:p>
        </w:tc>
        <w:tc>
          <w:tcPr>
            <w:tcW w:w="2374" w:type="dxa"/>
            <w:noWrap/>
            <w:hideMark/>
          </w:tcPr>
          <w:p w14:paraId="141EA015"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63,500</w:t>
            </w:r>
          </w:p>
        </w:tc>
        <w:tc>
          <w:tcPr>
            <w:tcW w:w="2375" w:type="dxa"/>
            <w:noWrap/>
            <w:hideMark/>
          </w:tcPr>
          <w:p w14:paraId="75F0077D"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64,600</w:t>
            </w:r>
          </w:p>
        </w:tc>
      </w:tr>
      <w:tr w:rsidR="00515486" w:rsidRPr="004A04EC" w14:paraId="2CFD17CD"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9498" w:type="dxa"/>
            <w:gridSpan w:val="4"/>
            <w:noWrap/>
            <w:hideMark/>
          </w:tcPr>
          <w:p w14:paraId="311C7D3B" w14:textId="77777777" w:rsidR="00515486" w:rsidRPr="00130A85" w:rsidRDefault="00515486" w:rsidP="00FB6B23">
            <w:pPr>
              <w:pStyle w:val="TableText"/>
              <w:jc w:val="center"/>
              <w:rPr>
                <w:b/>
                <w:color w:val="auto"/>
              </w:rPr>
            </w:pPr>
            <w:r w:rsidRPr="00130A85">
              <w:rPr>
                <w:b/>
                <w:color w:val="auto"/>
              </w:rPr>
              <w:t>Ethnicity</w:t>
            </w:r>
          </w:p>
        </w:tc>
      </w:tr>
      <w:tr w:rsidR="00515486" w:rsidRPr="004A04EC" w14:paraId="2F5E100C"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0486E560" w14:textId="77777777" w:rsidR="00515486" w:rsidRPr="00130A85" w:rsidRDefault="00515486" w:rsidP="004D5D22">
            <w:pPr>
              <w:pStyle w:val="TableText"/>
              <w:jc w:val="both"/>
              <w:rPr>
                <w:color w:val="auto"/>
              </w:rPr>
            </w:pPr>
            <w:r w:rsidRPr="00130A85">
              <w:rPr>
                <w:color w:val="auto"/>
              </w:rPr>
              <w:t>White</w:t>
            </w:r>
          </w:p>
        </w:tc>
        <w:tc>
          <w:tcPr>
            <w:tcW w:w="2375" w:type="dxa"/>
            <w:noWrap/>
            <w:hideMark/>
          </w:tcPr>
          <w:p w14:paraId="461A3571"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125,100</w:t>
            </w:r>
          </w:p>
        </w:tc>
        <w:tc>
          <w:tcPr>
            <w:tcW w:w="2374" w:type="dxa"/>
            <w:noWrap/>
            <w:hideMark/>
          </w:tcPr>
          <w:p w14:paraId="76811846"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122,900</w:t>
            </w:r>
          </w:p>
        </w:tc>
        <w:tc>
          <w:tcPr>
            <w:tcW w:w="2375" w:type="dxa"/>
            <w:noWrap/>
            <w:hideMark/>
          </w:tcPr>
          <w:p w14:paraId="518D28AB"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124,500</w:t>
            </w:r>
          </w:p>
        </w:tc>
      </w:tr>
      <w:tr w:rsidR="00515486" w:rsidRPr="004A04EC" w14:paraId="37219029"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469A73BA" w14:textId="77777777" w:rsidR="00515486" w:rsidRPr="00130A85" w:rsidRDefault="00515486" w:rsidP="004D5D22">
            <w:pPr>
              <w:pStyle w:val="TableText"/>
              <w:jc w:val="both"/>
              <w:rPr>
                <w:color w:val="auto"/>
              </w:rPr>
            </w:pPr>
            <w:r w:rsidRPr="00130A85">
              <w:rPr>
                <w:color w:val="auto"/>
              </w:rPr>
              <w:t xml:space="preserve">Black &amp; Minority Ethnic </w:t>
            </w:r>
          </w:p>
        </w:tc>
        <w:tc>
          <w:tcPr>
            <w:tcW w:w="2375" w:type="dxa"/>
            <w:noWrap/>
            <w:hideMark/>
          </w:tcPr>
          <w:p w14:paraId="2E567878"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2,800</w:t>
            </w:r>
          </w:p>
        </w:tc>
        <w:tc>
          <w:tcPr>
            <w:tcW w:w="2374" w:type="dxa"/>
            <w:noWrap/>
            <w:hideMark/>
          </w:tcPr>
          <w:p w14:paraId="46585B86"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2,100</w:t>
            </w:r>
          </w:p>
        </w:tc>
        <w:tc>
          <w:tcPr>
            <w:tcW w:w="2375" w:type="dxa"/>
            <w:noWrap/>
            <w:hideMark/>
          </w:tcPr>
          <w:p w14:paraId="46BC0BE8"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1,700</w:t>
            </w:r>
          </w:p>
        </w:tc>
      </w:tr>
      <w:tr w:rsidR="00515486" w:rsidRPr="004A04EC" w14:paraId="3FC43E21"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9498" w:type="dxa"/>
            <w:gridSpan w:val="4"/>
            <w:noWrap/>
            <w:hideMark/>
          </w:tcPr>
          <w:p w14:paraId="1DA4364F" w14:textId="77777777" w:rsidR="00515486" w:rsidRPr="00130A85" w:rsidRDefault="00515486" w:rsidP="00FB6B23">
            <w:pPr>
              <w:pStyle w:val="TableText"/>
              <w:jc w:val="center"/>
              <w:rPr>
                <w:b/>
                <w:color w:val="auto"/>
              </w:rPr>
            </w:pPr>
            <w:r w:rsidRPr="00130A85">
              <w:rPr>
                <w:b/>
                <w:color w:val="auto"/>
              </w:rPr>
              <w:t>Disability</w:t>
            </w:r>
          </w:p>
        </w:tc>
      </w:tr>
      <w:tr w:rsidR="00515486" w:rsidRPr="004A04EC" w14:paraId="0C16C641"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66905220" w14:textId="77777777" w:rsidR="00515486" w:rsidRPr="00130A85" w:rsidRDefault="00515486" w:rsidP="004D5D22">
            <w:pPr>
              <w:pStyle w:val="TableText"/>
              <w:jc w:val="both"/>
              <w:rPr>
                <w:color w:val="auto"/>
              </w:rPr>
            </w:pPr>
            <w:r w:rsidRPr="00130A85">
              <w:rPr>
                <w:color w:val="auto"/>
              </w:rPr>
              <w:t>Both DDA &amp; work-limiting</w:t>
            </w:r>
          </w:p>
        </w:tc>
        <w:tc>
          <w:tcPr>
            <w:tcW w:w="2375" w:type="dxa"/>
            <w:noWrap/>
            <w:hideMark/>
          </w:tcPr>
          <w:p w14:paraId="49AB832B"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14,300</w:t>
            </w:r>
          </w:p>
        </w:tc>
        <w:tc>
          <w:tcPr>
            <w:tcW w:w="2374" w:type="dxa"/>
            <w:noWrap/>
            <w:hideMark/>
          </w:tcPr>
          <w:p w14:paraId="53D3F7E4"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11,100</w:t>
            </w:r>
          </w:p>
        </w:tc>
        <w:tc>
          <w:tcPr>
            <w:tcW w:w="2375" w:type="dxa"/>
            <w:noWrap/>
            <w:hideMark/>
          </w:tcPr>
          <w:p w14:paraId="05D9B58E"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14,900</w:t>
            </w:r>
          </w:p>
        </w:tc>
      </w:tr>
      <w:tr w:rsidR="00515486" w:rsidRPr="004A04EC" w14:paraId="19B75B19"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60C071E5" w14:textId="77777777" w:rsidR="00515486" w:rsidRPr="00130A85" w:rsidRDefault="00515486" w:rsidP="004D5D22">
            <w:pPr>
              <w:pStyle w:val="TableText"/>
              <w:jc w:val="both"/>
              <w:rPr>
                <w:color w:val="auto"/>
              </w:rPr>
            </w:pPr>
            <w:r w:rsidRPr="00130A85">
              <w:rPr>
                <w:color w:val="auto"/>
              </w:rPr>
              <w:t>DDA only disabled</w:t>
            </w:r>
          </w:p>
        </w:tc>
        <w:tc>
          <w:tcPr>
            <w:tcW w:w="2375" w:type="dxa"/>
            <w:noWrap/>
            <w:hideMark/>
          </w:tcPr>
          <w:p w14:paraId="51DE4691"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5,600</w:t>
            </w:r>
          </w:p>
        </w:tc>
        <w:tc>
          <w:tcPr>
            <w:tcW w:w="2374" w:type="dxa"/>
            <w:noWrap/>
            <w:hideMark/>
          </w:tcPr>
          <w:p w14:paraId="5746037D"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4,600</w:t>
            </w:r>
          </w:p>
        </w:tc>
        <w:tc>
          <w:tcPr>
            <w:tcW w:w="2375" w:type="dxa"/>
            <w:noWrap/>
            <w:hideMark/>
          </w:tcPr>
          <w:p w14:paraId="3400B1F2"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11,100</w:t>
            </w:r>
          </w:p>
        </w:tc>
      </w:tr>
      <w:tr w:rsidR="00515486" w:rsidRPr="004A04EC" w14:paraId="5340E662"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2A2E7AD1" w14:textId="77777777" w:rsidR="00515486" w:rsidRPr="00130A85" w:rsidRDefault="00515486" w:rsidP="004D5D22">
            <w:pPr>
              <w:pStyle w:val="TableText"/>
              <w:rPr>
                <w:color w:val="auto"/>
              </w:rPr>
            </w:pPr>
            <w:r w:rsidRPr="00130A85">
              <w:rPr>
                <w:color w:val="auto"/>
              </w:rPr>
              <w:t>Work-limiting only disabled</w:t>
            </w:r>
          </w:p>
        </w:tc>
        <w:tc>
          <w:tcPr>
            <w:tcW w:w="2375" w:type="dxa"/>
            <w:noWrap/>
            <w:hideMark/>
          </w:tcPr>
          <w:p w14:paraId="542A6842"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4,200</w:t>
            </w:r>
          </w:p>
        </w:tc>
        <w:tc>
          <w:tcPr>
            <w:tcW w:w="2374" w:type="dxa"/>
            <w:noWrap/>
            <w:hideMark/>
          </w:tcPr>
          <w:p w14:paraId="79EE9EFD"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3.,400</w:t>
            </w:r>
          </w:p>
        </w:tc>
        <w:tc>
          <w:tcPr>
            <w:tcW w:w="2375" w:type="dxa"/>
            <w:noWrap/>
            <w:hideMark/>
          </w:tcPr>
          <w:p w14:paraId="52564925"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3,400</w:t>
            </w:r>
          </w:p>
        </w:tc>
      </w:tr>
      <w:tr w:rsidR="00515486" w:rsidRPr="004A04EC" w14:paraId="5AF56C5C"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7BD3248D" w14:textId="77777777" w:rsidR="00515486" w:rsidRPr="00130A85" w:rsidRDefault="00515486" w:rsidP="004D5D22">
            <w:pPr>
              <w:pStyle w:val="TableText"/>
              <w:jc w:val="both"/>
              <w:rPr>
                <w:color w:val="auto"/>
              </w:rPr>
            </w:pPr>
            <w:r w:rsidRPr="00130A85">
              <w:rPr>
                <w:color w:val="auto"/>
              </w:rPr>
              <w:t>Not disabled</w:t>
            </w:r>
          </w:p>
        </w:tc>
        <w:tc>
          <w:tcPr>
            <w:tcW w:w="2375" w:type="dxa"/>
            <w:noWrap/>
            <w:hideMark/>
          </w:tcPr>
          <w:p w14:paraId="6E2E2517"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76,700</w:t>
            </w:r>
          </w:p>
        </w:tc>
        <w:tc>
          <w:tcPr>
            <w:tcW w:w="2374" w:type="dxa"/>
            <w:noWrap/>
            <w:hideMark/>
          </w:tcPr>
          <w:p w14:paraId="7B51C489"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79,200</w:t>
            </w:r>
          </w:p>
        </w:tc>
        <w:tc>
          <w:tcPr>
            <w:tcW w:w="2375" w:type="dxa"/>
            <w:noWrap/>
            <w:hideMark/>
          </w:tcPr>
          <w:p w14:paraId="0AEDAC3E"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130A85">
              <w:rPr>
                <w:color w:val="auto"/>
              </w:rPr>
              <w:t>96,800</w:t>
            </w:r>
          </w:p>
        </w:tc>
      </w:tr>
      <w:tr w:rsidR="00515486" w:rsidRPr="004A04EC" w14:paraId="4B825608"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374" w:type="dxa"/>
            <w:noWrap/>
            <w:hideMark/>
          </w:tcPr>
          <w:p w14:paraId="144AFB36" w14:textId="77777777" w:rsidR="00515486" w:rsidRPr="00130A85" w:rsidRDefault="00515486" w:rsidP="004D5D22">
            <w:pPr>
              <w:pStyle w:val="TableText"/>
              <w:jc w:val="both"/>
              <w:rPr>
                <w:b/>
                <w:color w:val="auto"/>
              </w:rPr>
            </w:pPr>
            <w:r w:rsidRPr="00130A85">
              <w:rPr>
                <w:b/>
                <w:color w:val="auto"/>
              </w:rPr>
              <w:t>Total (16+)</w:t>
            </w:r>
          </w:p>
        </w:tc>
        <w:tc>
          <w:tcPr>
            <w:tcW w:w="2375" w:type="dxa"/>
            <w:noWrap/>
            <w:hideMark/>
          </w:tcPr>
          <w:p w14:paraId="1B940EC7"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b/>
                <w:color w:val="auto"/>
              </w:rPr>
            </w:pPr>
            <w:r w:rsidRPr="00130A85">
              <w:rPr>
                <w:b/>
                <w:color w:val="auto"/>
              </w:rPr>
              <w:t>127,900</w:t>
            </w:r>
          </w:p>
        </w:tc>
        <w:tc>
          <w:tcPr>
            <w:tcW w:w="2374" w:type="dxa"/>
            <w:noWrap/>
            <w:hideMark/>
          </w:tcPr>
          <w:p w14:paraId="1A0798B3"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b/>
                <w:color w:val="auto"/>
              </w:rPr>
            </w:pPr>
            <w:r w:rsidRPr="00130A85">
              <w:rPr>
                <w:b/>
                <w:color w:val="auto"/>
              </w:rPr>
              <w:t>125,000</w:t>
            </w:r>
          </w:p>
        </w:tc>
        <w:tc>
          <w:tcPr>
            <w:tcW w:w="2375" w:type="dxa"/>
            <w:noWrap/>
            <w:hideMark/>
          </w:tcPr>
          <w:p w14:paraId="3079CB8B" w14:textId="77777777" w:rsidR="00515486" w:rsidRPr="00130A85" w:rsidRDefault="00515486" w:rsidP="00FB6B23">
            <w:pPr>
              <w:pStyle w:val="TableText"/>
              <w:jc w:val="center"/>
              <w:cnfStyle w:val="000000000000" w:firstRow="0" w:lastRow="0" w:firstColumn="0" w:lastColumn="0" w:oddVBand="0" w:evenVBand="0" w:oddHBand="0" w:evenHBand="0" w:firstRowFirstColumn="0" w:firstRowLastColumn="0" w:lastRowFirstColumn="0" w:lastRowLastColumn="0"/>
              <w:rPr>
                <w:b/>
                <w:color w:val="auto"/>
              </w:rPr>
            </w:pPr>
            <w:r w:rsidRPr="00130A85">
              <w:rPr>
                <w:b/>
                <w:color w:val="auto"/>
              </w:rPr>
              <w:t>126,100</w:t>
            </w:r>
          </w:p>
        </w:tc>
      </w:tr>
    </w:tbl>
    <w:p w14:paraId="622B5622" w14:textId="77777777" w:rsidR="00515486" w:rsidRPr="00EB1182" w:rsidRDefault="00515486" w:rsidP="00515486">
      <w:pPr>
        <w:pStyle w:val="TableSource"/>
      </w:pPr>
      <w:r>
        <w:t xml:space="preserve">Source: Annual Population Survey 2013 </w:t>
      </w:r>
    </w:p>
    <w:p w14:paraId="33943F67" w14:textId="77777777" w:rsidR="00515486" w:rsidRPr="00641A00" w:rsidRDefault="00515486" w:rsidP="00515486">
      <w:pPr>
        <w:jc w:val="both"/>
      </w:pPr>
    </w:p>
    <w:p w14:paraId="59511F38" w14:textId="77777777" w:rsidR="00515486" w:rsidRPr="00BC6746" w:rsidRDefault="00515486" w:rsidP="00515486">
      <w:pPr>
        <w:pStyle w:val="Heading1"/>
        <w:numPr>
          <w:ilvl w:val="0"/>
          <w:numId w:val="4"/>
        </w:numPr>
        <w:jc w:val="both"/>
        <w:rPr>
          <w:rFonts w:eastAsiaTheme="majorEastAsia" w:cstheme="majorBidi"/>
        </w:rPr>
      </w:pPr>
      <w:bookmarkStart w:id="23" w:name="_Ref393793815"/>
      <w:bookmarkStart w:id="24" w:name="_Toc394327686"/>
      <w:r>
        <w:rPr>
          <w:rFonts w:eastAsiaTheme="majorEastAsia" w:cstheme="majorBidi"/>
        </w:rPr>
        <w:lastRenderedPageBreak/>
        <w:t>Economic Geography</w:t>
      </w:r>
      <w:bookmarkEnd w:id="23"/>
      <w:bookmarkEnd w:id="24"/>
    </w:p>
    <w:p w14:paraId="18278827" w14:textId="77777777" w:rsidR="00515486" w:rsidRDefault="00515486" w:rsidP="00515486">
      <w:pPr>
        <w:pStyle w:val="Heading2"/>
        <w:numPr>
          <w:ilvl w:val="1"/>
          <w:numId w:val="4"/>
        </w:numPr>
        <w:jc w:val="both"/>
        <w:rPr>
          <w:rFonts w:eastAsiaTheme="majorEastAsia" w:cstheme="majorBidi"/>
        </w:rPr>
      </w:pPr>
      <w:bookmarkStart w:id="25" w:name="_Toc394327687"/>
      <w:r>
        <w:rPr>
          <w:rFonts w:eastAsiaTheme="majorEastAsia" w:cstheme="majorBidi"/>
        </w:rPr>
        <w:t>Transport</w:t>
      </w:r>
      <w:bookmarkEnd w:id="25"/>
    </w:p>
    <w:p w14:paraId="3F9F0DB8" w14:textId="77777777" w:rsidR="00515486" w:rsidRDefault="00515486" w:rsidP="00515486">
      <w:pPr>
        <w:jc w:val="both"/>
      </w:pPr>
      <w:r>
        <w:t xml:space="preserve">North East Lincolnshire is accessible by road by the M180/A180 to the west, the A46 from Lincoln to the south-west, and the A18 and A16 from the south. A rail line terminates at Cleethorpes with stations at Grimsby Town and Grimsby Docks, running to Manchester, Doncaster, Newark, </w:t>
      </w:r>
      <w:r w:rsidRPr="00263591">
        <w:t>Barton-on-Humber</w:t>
      </w:r>
      <w:r>
        <w:t xml:space="preserve"> and Scunthorpe. Humberside Airport is located nearby in neighbouring North Lincolnshire, with destinations across Europe. </w:t>
      </w:r>
      <w:r w:rsidR="00F70FD0">
        <w:fldChar w:fldCharType="begin"/>
      </w:r>
      <w:r>
        <w:instrText xml:space="preserve"> REF _Ref393721180 \h </w:instrText>
      </w:r>
      <w:r w:rsidR="00F70FD0">
        <w:fldChar w:fldCharType="separate"/>
      </w:r>
      <w:r w:rsidRPr="00BC6746">
        <w:t xml:space="preserve">Table </w:t>
      </w:r>
      <w:r>
        <w:rPr>
          <w:noProof/>
        </w:rPr>
        <w:t>3</w:t>
      </w:r>
      <w:r w:rsidRPr="00BC6746">
        <w:noBreakHyphen/>
      </w:r>
      <w:r>
        <w:rPr>
          <w:noProof/>
        </w:rPr>
        <w:t>1</w:t>
      </w:r>
      <w:r w:rsidR="00F70FD0">
        <w:fldChar w:fldCharType="end"/>
      </w:r>
      <w:r>
        <w:t xml:space="preserve"> reviews the local transport connections and </w:t>
      </w:r>
      <w:r w:rsidR="00EB380D">
        <w:t>highlights key</w:t>
      </w:r>
      <w:r>
        <w:t xml:space="preserve"> geographic</w:t>
      </w:r>
      <w:r w:rsidR="00EB380D">
        <w:t>al</w:t>
      </w:r>
      <w:r>
        <w:t xml:space="preserve"> linkages.</w:t>
      </w:r>
    </w:p>
    <w:p w14:paraId="53DE259B" w14:textId="77777777" w:rsidR="00515486" w:rsidRDefault="00515486" w:rsidP="00515486">
      <w:pPr>
        <w:pStyle w:val="Caption"/>
        <w:rPr>
          <w:noProof/>
          <w:lang w:eastAsia="en-GB"/>
        </w:rPr>
      </w:pPr>
      <w:bookmarkStart w:id="26" w:name="_Ref393721180"/>
      <w:r w:rsidRPr="00BC6746">
        <w:t xml:space="preserve">Table </w:t>
      </w:r>
      <w:r w:rsidR="00F70FD0">
        <w:fldChar w:fldCharType="begin"/>
      </w:r>
      <w:r w:rsidR="00F810E1">
        <w:instrText xml:space="preserve"> STYLEREF 1 \s </w:instrText>
      </w:r>
      <w:r w:rsidR="00F70FD0">
        <w:fldChar w:fldCharType="separate"/>
      </w:r>
      <w:r>
        <w:rPr>
          <w:noProof/>
        </w:rPr>
        <w:t>3</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1</w:t>
      </w:r>
      <w:r w:rsidR="00F70FD0">
        <w:rPr>
          <w:noProof/>
        </w:rPr>
        <w:fldChar w:fldCharType="end"/>
      </w:r>
      <w:bookmarkEnd w:id="26"/>
      <w:r>
        <w:t xml:space="preserve">: </w:t>
      </w:r>
      <w:r>
        <w:rPr>
          <w:noProof/>
          <w:lang w:eastAsia="en-GB"/>
        </w:rPr>
        <w:t>Transport Connections</w:t>
      </w:r>
    </w:p>
    <w:tbl>
      <w:tblPr>
        <w:tblStyle w:val="Atkins14pt"/>
        <w:tblW w:w="0" w:type="auto"/>
        <w:tblLook w:val="04A0" w:firstRow="1" w:lastRow="0" w:firstColumn="1" w:lastColumn="0" w:noHBand="0" w:noVBand="1"/>
      </w:tblPr>
      <w:tblGrid>
        <w:gridCol w:w="3686"/>
        <w:gridCol w:w="5953"/>
      </w:tblGrid>
      <w:tr w:rsidR="00515486" w14:paraId="46E55FD1" w14:textId="77777777" w:rsidTr="004D5D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Pr>
          <w:p w14:paraId="0C559C61" w14:textId="77777777" w:rsidR="00515486" w:rsidRPr="00E97A33" w:rsidRDefault="00515486" w:rsidP="004D5D22">
            <w:pPr>
              <w:spacing w:after="120"/>
              <w:rPr>
                <w:color w:val="auto"/>
              </w:rPr>
            </w:pPr>
            <w:r w:rsidRPr="00E97A33">
              <w:rPr>
                <w:color w:val="auto"/>
              </w:rPr>
              <w:t>Geography</w:t>
            </w:r>
          </w:p>
        </w:tc>
        <w:tc>
          <w:tcPr>
            <w:tcW w:w="5953" w:type="dxa"/>
          </w:tcPr>
          <w:p w14:paraId="4B5CEC63" w14:textId="77777777" w:rsidR="00515486" w:rsidRPr="00E97A33" w:rsidRDefault="00515486" w:rsidP="004D5D22">
            <w:pPr>
              <w:spacing w:after="120"/>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Connection</w:t>
            </w:r>
          </w:p>
        </w:tc>
      </w:tr>
      <w:tr w:rsidR="00515486" w14:paraId="49D7C153" w14:textId="77777777" w:rsidTr="004D5D22">
        <w:tc>
          <w:tcPr>
            <w:cnfStyle w:val="001000000000" w:firstRow="0" w:lastRow="0" w:firstColumn="1" w:lastColumn="0" w:oddVBand="0" w:evenVBand="0" w:oddHBand="0" w:evenHBand="0" w:firstRowFirstColumn="0" w:firstRowLastColumn="0" w:lastRowFirstColumn="0" w:lastRowLastColumn="0"/>
            <w:tcW w:w="3686" w:type="dxa"/>
          </w:tcPr>
          <w:p w14:paraId="6899A433" w14:textId="77777777" w:rsidR="00515486" w:rsidRPr="00E97A33" w:rsidRDefault="00515486" w:rsidP="004D5D22">
            <w:pPr>
              <w:spacing w:after="120"/>
              <w:rPr>
                <w:color w:val="auto"/>
              </w:rPr>
            </w:pPr>
            <w:r w:rsidRPr="00E97A33">
              <w:rPr>
                <w:color w:val="auto"/>
              </w:rPr>
              <w:t>Neighbouring Authorities:</w:t>
            </w:r>
          </w:p>
          <w:p w14:paraId="693D191C" w14:textId="77777777" w:rsidR="00515486" w:rsidRPr="00E97A33" w:rsidRDefault="00515486" w:rsidP="004D5D22">
            <w:pPr>
              <w:spacing w:after="120"/>
              <w:rPr>
                <w:color w:val="auto"/>
              </w:rPr>
            </w:pPr>
          </w:p>
        </w:tc>
        <w:tc>
          <w:tcPr>
            <w:tcW w:w="5953" w:type="dxa"/>
          </w:tcPr>
          <w:p w14:paraId="67F9262E"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Road Direct - A180 - Scunthorpe</w:t>
            </w:r>
          </w:p>
          <w:p w14:paraId="5C3A98D6"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Road Direct - A16 - Skegness &amp; Boston</w:t>
            </w:r>
          </w:p>
          <w:p w14:paraId="4F0639AF"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A15 - Hull</w:t>
            </w:r>
          </w:p>
          <w:p w14:paraId="3CDFD6A6"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Rail - Barton-on-Humber</w:t>
            </w:r>
          </w:p>
          <w:p w14:paraId="723A839B"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Rail – Scunthorpe</w:t>
            </w:r>
          </w:p>
        </w:tc>
      </w:tr>
      <w:tr w:rsidR="00515486" w14:paraId="5CF319E1" w14:textId="77777777" w:rsidTr="004D5D22">
        <w:tc>
          <w:tcPr>
            <w:cnfStyle w:val="001000000000" w:firstRow="0" w:lastRow="0" w:firstColumn="1" w:lastColumn="0" w:oddVBand="0" w:evenVBand="0" w:oddHBand="0" w:evenHBand="0" w:firstRowFirstColumn="0" w:firstRowLastColumn="0" w:lastRowFirstColumn="0" w:lastRowLastColumn="0"/>
            <w:tcW w:w="3686" w:type="dxa"/>
          </w:tcPr>
          <w:p w14:paraId="75207C45" w14:textId="77777777" w:rsidR="00515486" w:rsidRPr="00E97A33" w:rsidRDefault="00515486" w:rsidP="004D5D22">
            <w:pPr>
              <w:tabs>
                <w:tab w:val="num" w:pos="720"/>
              </w:tabs>
              <w:spacing w:after="120"/>
              <w:rPr>
                <w:color w:val="auto"/>
              </w:rPr>
            </w:pPr>
            <w:r w:rsidRPr="00E97A33">
              <w:rPr>
                <w:color w:val="auto"/>
              </w:rPr>
              <w:t>Yorkshire &amp; Humber and Lincolnshire</w:t>
            </w:r>
          </w:p>
          <w:p w14:paraId="7A4C4B37" w14:textId="77777777" w:rsidR="00515486" w:rsidRPr="00E97A33" w:rsidRDefault="00515486" w:rsidP="004D5D22">
            <w:pPr>
              <w:spacing w:after="120"/>
              <w:rPr>
                <w:color w:val="auto"/>
              </w:rPr>
            </w:pPr>
          </w:p>
        </w:tc>
        <w:tc>
          <w:tcPr>
            <w:tcW w:w="5953" w:type="dxa"/>
          </w:tcPr>
          <w:p w14:paraId="5BEE6966"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Rail – Doncaster (&amp;Rest of Yorkshire)</w:t>
            </w:r>
          </w:p>
          <w:p w14:paraId="644E67F6"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Rail – Newark (&amp; Rest of Lincolnshire)</w:t>
            </w:r>
          </w:p>
          <w:p w14:paraId="2EF73683"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 xml:space="preserve">Road Direct - A46 - Lincoln </w:t>
            </w:r>
          </w:p>
        </w:tc>
      </w:tr>
      <w:tr w:rsidR="00515486" w14:paraId="488A230A" w14:textId="77777777" w:rsidTr="004D5D22">
        <w:tc>
          <w:tcPr>
            <w:cnfStyle w:val="001000000000" w:firstRow="0" w:lastRow="0" w:firstColumn="1" w:lastColumn="0" w:oddVBand="0" w:evenVBand="0" w:oddHBand="0" w:evenHBand="0" w:firstRowFirstColumn="0" w:firstRowLastColumn="0" w:lastRowFirstColumn="0" w:lastRowLastColumn="0"/>
            <w:tcW w:w="3686" w:type="dxa"/>
          </w:tcPr>
          <w:p w14:paraId="7534A1DB" w14:textId="77777777" w:rsidR="00515486" w:rsidRPr="00E97A33" w:rsidRDefault="00515486" w:rsidP="004D5D22">
            <w:pPr>
              <w:spacing w:after="120"/>
              <w:rPr>
                <w:color w:val="auto"/>
              </w:rPr>
            </w:pPr>
            <w:r w:rsidRPr="00E97A33">
              <w:rPr>
                <w:color w:val="auto"/>
              </w:rPr>
              <w:t xml:space="preserve">Rest of the United Kingdom </w:t>
            </w:r>
          </w:p>
        </w:tc>
        <w:tc>
          <w:tcPr>
            <w:tcW w:w="5953" w:type="dxa"/>
          </w:tcPr>
          <w:p w14:paraId="7F323595"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Road indirect – England &amp; Scotland A1/M1/M180/M18/M62</w:t>
            </w:r>
          </w:p>
          <w:p w14:paraId="443E8C0A"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Rail – Manchester (and rest of North West)</w:t>
            </w:r>
          </w:p>
          <w:p w14:paraId="2E8F3FAA"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Air - Aberdeen</w:t>
            </w:r>
          </w:p>
        </w:tc>
      </w:tr>
      <w:tr w:rsidR="00515486" w14:paraId="5B03C4DF" w14:textId="77777777" w:rsidTr="004D5D22">
        <w:tc>
          <w:tcPr>
            <w:cnfStyle w:val="001000000000" w:firstRow="0" w:lastRow="0" w:firstColumn="1" w:lastColumn="0" w:oddVBand="0" w:evenVBand="0" w:oddHBand="0" w:evenHBand="0" w:firstRowFirstColumn="0" w:firstRowLastColumn="0" w:lastRowFirstColumn="0" w:lastRowLastColumn="0"/>
            <w:tcW w:w="3686" w:type="dxa"/>
          </w:tcPr>
          <w:p w14:paraId="766F1F01" w14:textId="77777777" w:rsidR="00515486" w:rsidRPr="00E97A33" w:rsidRDefault="00515486" w:rsidP="004D5D22">
            <w:pPr>
              <w:spacing w:after="120"/>
              <w:rPr>
                <w:color w:val="auto"/>
              </w:rPr>
            </w:pPr>
            <w:r w:rsidRPr="00E97A33">
              <w:rPr>
                <w:color w:val="auto"/>
              </w:rPr>
              <w:t xml:space="preserve">Europe </w:t>
            </w:r>
          </w:p>
        </w:tc>
        <w:tc>
          <w:tcPr>
            <w:tcW w:w="5953" w:type="dxa"/>
          </w:tcPr>
          <w:p w14:paraId="20056A8B"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Air - Amsterdam</w:t>
            </w:r>
          </w:p>
          <w:p w14:paraId="0AD50FAC"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 xml:space="preserve">Air - North Sea </w:t>
            </w:r>
          </w:p>
          <w:p w14:paraId="2AC6DD4D"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Air - Turkey, Italy.</w:t>
            </w:r>
          </w:p>
          <w:p w14:paraId="2A24A612" w14:textId="77777777" w:rsidR="00515486" w:rsidRPr="00E97A33" w:rsidRDefault="00515486" w:rsidP="00515486">
            <w:pPr>
              <w:numPr>
                <w:ilvl w:val="0"/>
                <w:numId w:val="19"/>
              </w:numPr>
              <w:spacing w:after="120"/>
              <w:ind w:left="714" w:hanging="357"/>
              <w:contextualSpacing/>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 xml:space="preserve">Ship – </w:t>
            </w:r>
            <w:r>
              <w:rPr>
                <w:color w:val="auto"/>
              </w:rPr>
              <w:t xml:space="preserve">UK, </w:t>
            </w:r>
            <w:r w:rsidRPr="00E97A33">
              <w:rPr>
                <w:color w:val="auto"/>
              </w:rPr>
              <w:t>Europe and World</w:t>
            </w:r>
          </w:p>
        </w:tc>
      </w:tr>
    </w:tbl>
    <w:p w14:paraId="3AA49207" w14:textId="77777777" w:rsidR="00515486" w:rsidRDefault="00515486" w:rsidP="00391C94">
      <w:pPr>
        <w:pStyle w:val="Heading2"/>
        <w:numPr>
          <w:ilvl w:val="1"/>
          <w:numId w:val="4"/>
        </w:numPr>
        <w:spacing w:before="240"/>
        <w:jc w:val="both"/>
        <w:rPr>
          <w:rFonts w:eastAsiaTheme="majorEastAsia" w:cstheme="majorBidi"/>
        </w:rPr>
      </w:pPr>
      <w:bookmarkStart w:id="27" w:name="_Ref393876619"/>
      <w:bookmarkStart w:id="28" w:name="_Toc394327688"/>
      <w:r>
        <w:rPr>
          <w:rFonts w:eastAsiaTheme="majorEastAsia" w:cstheme="majorBidi"/>
        </w:rPr>
        <w:t xml:space="preserve">Travel to Work </w:t>
      </w:r>
      <w:bookmarkEnd w:id="27"/>
      <w:r w:rsidR="00EB380D">
        <w:rPr>
          <w:rFonts w:eastAsiaTheme="majorEastAsia" w:cstheme="majorBidi"/>
        </w:rPr>
        <w:t>Patterns</w:t>
      </w:r>
      <w:bookmarkEnd w:id="28"/>
      <w:r>
        <w:rPr>
          <w:rFonts w:eastAsiaTheme="majorEastAsia" w:cstheme="majorBidi"/>
        </w:rPr>
        <w:t xml:space="preserve"> </w:t>
      </w:r>
    </w:p>
    <w:p w14:paraId="5682E96A" w14:textId="77777777" w:rsidR="00515486" w:rsidRDefault="00F70FD0" w:rsidP="00515486">
      <w:pPr>
        <w:jc w:val="both"/>
      </w:pPr>
      <w:r>
        <w:fldChar w:fldCharType="begin"/>
      </w:r>
      <w:r w:rsidR="00515486">
        <w:instrText xml:space="preserve"> REF _Ref393460732 \h </w:instrText>
      </w:r>
      <w:r>
        <w:fldChar w:fldCharType="separate"/>
      </w:r>
      <w:r w:rsidR="00515486">
        <w:t xml:space="preserve">Table </w:t>
      </w:r>
      <w:r w:rsidR="00515486">
        <w:rPr>
          <w:noProof/>
        </w:rPr>
        <w:t>3</w:t>
      </w:r>
      <w:r w:rsidR="00515486">
        <w:t>-</w:t>
      </w:r>
      <w:r w:rsidR="00515486">
        <w:rPr>
          <w:noProof/>
        </w:rPr>
        <w:t>2</w:t>
      </w:r>
      <w:r>
        <w:fldChar w:fldCharType="end"/>
      </w:r>
      <w:r w:rsidR="00515486">
        <w:t xml:space="preserve"> and </w:t>
      </w:r>
      <w:r>
        <w:fldChar w:fldCharType="begin"/>
      </w:r>
      <w:r w:rsidR="00515486">
        <w:instrText xml:space="preserve"> REF _Ref393460743 \h </w:instrText>
      </w:r>
      <w:r>
        <w:fldChar w:fldCharType="separate"/>
      </w:r>
      <w:r w:rsidR="00515486">
        <w:t xml:space="preserve">Table </w:t>
      </w:r>
      <w:r w:rsidR="00515486">
        <w:rPr>
          <w:noProof/>
        </w:rPr>
        <w:t>3</w:t>
      </w:r>
      <w:r w:rsidR="00515486">
        <w:t>-</w:t>
      </w:r>
      <w:r w:rsidR="00515486">
        <w:rPr>
          <w:noProof/>
        </w:rPr>
        <w:t>3</w:t>
      </w:r>
      <w:r>
        <w:fldChar w:fldCharType="end"/>
      </w:r>
      <w:r w:rsidR="00515486">
        <w:t xml:space="preserve"> </w:t>
      </w:r>
      <w:r w:rsidR="00EB380D">
        <w:t>summarise</w:t>
      </w:r>
      <w:r w:rsidR="00515486">
        <w:t xml:space="preserve"> travel to work </w:t>
      </w:r>
      <w:r w:rsidR="00EB380D">
        <w:t>patterns within North East Lincolnshire and surrounding centres.  The tables demonstrate that the Borough exhibits a high degree of self-containment with 86</w:t>
      </w:r>
      <w:r w:rsidR="00515486">
        <w:t>% of employed residents work</w:t>
      </w:r>
      <w:r w:rsidR="00EB380D">
        <w:t>ing</w:t>
      </w:r>
      <w:r w:rsidR="00515486">
        <w:t xml:space="preserve"> within the administrative area</w:t>
      </w:r>
      <w:r w:rsidR="00EB380D">
        <w:t xml:space="preserve"> of North East Lincolnshire.  Similarly, over 80% of </w:t>
      </w:r>
      <w:r w:rsidR="00391C94">
        <w:t xml:space="preserve">those who work in the Borough also live there.  Of </w:t>
      </w:r>
      <w:r w:rsidR="00515486">
        <w:t>those who do commute outside largely</w:t>
      </w:r>
      <w:r w:rsidR="00391C94">
        <w:t xml:space="preserve"> NEL, most</w:t>
      </w:r>
      <w:r w:rsidR="00515486">
        <w:t xml:space="preserve"> travel to </w:t>
      </w:r>
      <w:r w:rsidR="00391C94">
        <w:t xml:space="preserve">other locations </w:t>
      </w:r>
      <w:r w:rsidR="00515486">
        <w:t>in Li</w:t>
      </w:r>
      <w:r w:rsidR="00391C94">
        <w:t>ncolnshire or within Yorkshire and</w:t>
      </w:r>
      <w:r w:rsidR="00515486">
        <w:t xml:space="preserve"> Humber. Similarly, few workers commute into the area and those that do largely come from elsewhere in Lincolnshire or Yorkshire &amp; Humber. </w:t>
      </w:r>
      <w:r w:rsidR="00391C94">
        <w:t xml:space="preserve">  Should North East Lincolnshire and the LEPs be successful in generating significant economic and employment growth in the area, it is likely that the residential influence of the Borough would spread outwards as workers would seek a greater choice of residential options.</w:t>
      </w:r>
    </w:p>
    <w:p w14:paraId="77415D4C" w14:textId="77777777" w:rsidR="00515486" w:rsidRDefault="00515486" w:rsidP="00391C94">
      <w:pPr>
        <w:pStyle w:val="Caption"/>
        <w:spacing w:after="120"/>
      </w:pPr>
      <w:bookmarkStart w:id="29" w:name="_Ref393460732"/>
      <w:r>
        <w:t xml:space="preserve">Table </w:t>
      </w:r>
      <w:fldSimple w:instr=" STYLEREF 1 \s  \* MERGEFORMAT ">
        <w:r>
          <w:rPr>
            <w:noProof/>
          </w:rPr>
          <w:t>3</w:t>
        </w:r>
      </w:fldSimple>
      <w:r>
        <w:t>-</w:t>
      </w:r>
      <w:fldSimple w:instr=" SEQ Table \* ARABIC \s 1  \* MERGEFORMAT ">
        <w:r>
          <w:rPr>
            <w:noProof/>
          </w:rPr>
          <w:t>2</w:t>
        </w:r>
      </w:fldSimple>
      <w:bookmarkEnd w:id="29"/>
      <w:r>
        <w:tab/>
        <w:t>Residence of workforce in North East Lincolnshire (2011)</w:t>
      </w:r>
    </w:p>
    <w:tbl>
      <w:tblPr>
        <w:tblStyle w:val="Atkins14pt"/>
        <w:tblpPr w:leftFromText="180" w:rightFromText="180" w:vertAnchor="text" w:tblpY="1"/>
        <w:tblW w:w="5106" w:type="dxa"/>
        <w:tblInd w:w="0" w:type="dxa"/>
        <w:tblLook w:val="04A0" w:firstRow="1" w:lastRow="0" w:firstColumn="1" w:lastColumn="0" w:noHBand="0" w:noVBand="1"/>
      </w:tblPr>
      <w:tblGrid>
        <w:gridCol w:w="2552"/>
        <w:gridCol w:w="2554"/>
      </w:tblGrid>
      <w:tr w:rsidR="00515486" w:rsidRPr="00BB263C" w14:paraId="74C3BF63" w14:textId="77777777" w:rsidTr="004D5D2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552" w:type="dxa"/>
            <w:noWrap/>
            <w:hideMark/>
          </w:tcPr>
          <w:p w14:paraId="21A52BFD" w14:textId="77777777" w:rsidR="00515486" w:rsidRPr="00E97A33" w:rsidRDefault="00515486" w:rsidP="004D5D22">
            <w:pPr>
              <w:pStyle w:val="TableHeading"/>
              <w:jc w:val="both"/>
              <w:rPr>
                <w:color w:val="auto"/>
              </w:rPr>
            </w:pPr>
            <w:r w:rsidRPr="00E97A33">
              <w:rPr>
                <w:color w:val="auto"/>
              </w:rPr>
              <w:t>Place of residence</w:t>
            </w:r>
          </w:p>
        </w:tc>
        <w:tc>
          <w:tcPr>
            <w:tcW w:w="2554" w:type="dxa"/>
            <w:noWrap/>
            <w:hideMark/>
          </w:tcPr>
          <w:p w14:paraId="58955AA8" w14:textId="77777777" w:rsidR="00515486" w:rsidRPr="00E97A33" w:rsidRDefault="00515486" w:rsidP="001C558B">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Percentage of total workforce (%)</w:t>
            </w:r>
          </w:p>
        </w:tc>
      </w:tr>
      <w:tr w:rsidR="00515486" w:rsidRPr="00BB263C" w14:paraId="792D3177"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492296F" w14:textId="77777777" w:rsidR="00515486" w:rsidRPr="00E97A33" w:rsidRDefault="00515486" w:rsidP="004D5D22">
            <w:pPr>
              <w:pStyle w:val="TableText"/>
              <w:jc w:val="both"/>
              <w:rPr>
                <w:color w:val="auto"/>
              </w:rPr>
            </w:pPr>
            <w:r w:rsidRPr="00E97A33">
              <w:rPr>
                <w:color w:val="auto"/>
              </w:rPr>
              <w:t>North East Lincolnshire</w:t>
            </w:r>
          </w:p>
        </w:tc>
        <w:tc>
          <w:tcPr>
            <w:tcW w:w="2554" w:type="dxa"/>
            <w:noWrap/>
            <w:hideMark/>
          </w:tcPr>
          <w:p w14:paraId="464C5387" w14:textId="77777777" w:rsidR="00515486" w:rsidRPr="00E97A33" w:rsidRDefault="00515486" w:rsidP="001C558B">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80.5</w:t>
            </w:r>
          </w:p>
        </w:tc>
      </w:tr>
      <w:tr w:rsidR="00515486" w:rsidRPr="00BB263C" w14:paraId="33B14AB4"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5CF90C0" w14:textId="77777777" w:rsidR="00515486" w:rsidRPr="00E97A33" w:rsidRDefault="00515486" w:rsidP="004D5D22">
            <w:pPr>
              <w:pStyle w:val="TableText"/>
              <w:jc w:val="both"/>
              <w:rPr>
                <w:color w:val="auto"/>
              </w:rPr>
            </w:pPr>
            <w:r w:rsidRPr="00E97A33">
              <w:rPr>
                <w:color w:val="auto"/>
              </w:rPr>
              <w:t>East Lindsey</w:t>
            </w:r>
          </w:p>
        </w:tc>
        <w:tc>
          <w:tcPr>
            <w:tcW w:w="2554" w:type="dxa"/>
            <w:noWrap/>
            <w:hideMark/>
          </w:tcPr>
          <w:p w14:paraId="16F0EC98" w14:textId="77777777" w:rsidR="00515486" w:rsidRPr="00E97A33" w:rsidRDefault="00515486" w:rsidP="001C558B">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5.6</w:t>
            </w:r>
          </w:p>
        </w:tc>
      </w:tr>
      <w:tr w:rsidR="00515486" w:rsidRPr="00BB263C" w14:paraId="28AC0338"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38B99CF" w14:textId="77777777" w:rsidR="00515486" w:rsidRPr="00E97A33" w:rsidRDefault="00515486" w:rsidP="004D5D22">
            <w:pPr>
              <w:pStyle w:val="TableText"/>
              <w:jc w:val="both"/>
              <w:rPr>
                <w:color w:val="auto"/>
              </w:rPr>
            </w:pPr>
            <w:r w:rsidRPr="00E97A33">
              <w:rPr>
                <w:color w:val="auto"/>
              </w:rPr>
              <w:t>North Lincolnshire</w:t>
            </w:r>
          </w:p>
        </w:tc>
        <w:tc>
          <w:tcPr>
            <w:tcW w:w="2554" w:type="dxa"/>
            <w:noWrap/>
            <w:hideMark/>
          </w:tcPr>
          <w:p w14:paraId="0D985971" w14:textId="77777777" w:rsidR="00515486" w:rsidRPr="00E97A33" w:rsidRDefault="00515486" w:rsidP="001C558B">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5.2</w:t>
            </w:r>
          </w:p>
        </w:tc>
      </w:tr>
      <w:tr w:rsidR="00515486" w:rsidRPr="00BB263C" w14:paraId="55B068DE"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A04338A" w14:textId="77777777" w:rsidR="00515486" w:rsidRPr="00E97A33" w:rsidRDefault="00515486" w:rsidP="004D5D22">
            <w:pPr>
              <w:pStyle w:val="TableText"/>
              <w:jc w:val="both"/>
              <w:rPr>
                <w:color w:val="auto"/>
              </w:rPr>
            </w:pPr>
            <w:r w:rsidRPr="00E97A33">
              <w:rPr>
                <w:color w:val="auto"/>
              </w:rPr>
              <w:t>West Lindsey</w:t>
            </w:r>
          </w:p>
        </w:tc>
        <w:tc>
          <w:tcPr>
            <w:tcW w:w="2554" w:type="dxa"/>
            <w:noWrap/>
            <w:hideMark/>
          </w:tcPr>
          <w:p w14:paraId="3E3A17D0" w14:textId="77777777" w:rsidR="00515486" w:rsidRPr="00E97A33" w:rsidRDefault="00515486" w:rsidP="001C558B">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2.7</w:t>
            </w:r>
          </w:p>
        </w:tc>
      </w:tr>
      <w:tr w:rsidR="00515486" w:rsidRPr="00BB263C" w14:paraId="0B83FCAE"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BB3F279" w14:textId="77777777" w:rsidR="00515486" w:rsidRPr="00E97A33" w:rsidRDefault="00515486" w:rsidP="004D5D22">
            <w:pPr>
              <w:pStyle w:val="TableText"/>
              <w:jc w:val="both"/>
              <w:rPr>
                <w:color w:val="auto"/>
              </w:rPr>
            </w:pPr>
            <w:r w:rsidRPr="00E97A33">
              <w:rPr>
                <w:color w:val="auto"/>
              </w:rPr>
              <w:t>East Riding of Yorkshire</w:t>
            </w:r>
          </w:p>
        </w:tc>
        <w:tc>
          <w:tcPr>
            <w:tcW w:w="2554" w:type="dxa"/>
            <w:noWrap/>
            <w:hideMark/>
          </w:tcPr>
          <w:p w14:paraId="716A0663" w14:textId="77777777" w:rsidR="00515486" w:rsidRPr="00E97A33" w:rsidRDefault="00515486" w:rsidP="001C558B">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2.0</w:t>
            </w:r>
          </w:p>
        </w:tc>
      </w:tr>
      <w:tr w:rsidR="00515486" w:rsidRPr="00BB263C" w14:paraId="4AEAFE0E"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181444C" w14:textId="77777777" w:rsidR="00515486" w:rsidRPr="00E97A33" w:rsidRDefault="00515486" w:rsidP="004D5D22">
            <w:pPr>
              <w:pStyle w:val="TableText"/>
              <w:jc w:val="both"/>
              <w:rPr>
                <w:color w:val="auto"/>
              </w:rPr>
            </w:pPr>
            <w:r w:rsidRPr="00E97A33">
              <w:rPr>
                <w:color w:val="auto"/>
              </w:rPr>
              <w:t>Kingston upon Hull, city of</w:t>
            </w:r>
          </w:p>
        </w:tc>
        <w:tc>
          <w:tcPr>
            <w:tcW w:w="2554" w:type="dxa"/>
            <w:noWrap/>
            <w:hideMark/>
          </w:tcPr>
          <w:p w14:paraId="37261471" w14:textId="77777777" w:rsidR="00515486" w:rsidRPr="00E97A33" w:rsidRDefault="00515486" w:rsidP="001C558B">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1.5</w:t>
            </w:r>
          </w:p>
        </w:tc>
      </w:tr>
      <w:tr w:rsidR="00515486" w:rsidRPr="00BB263C" w14:paraId="31BC93E8"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421321C" w14:textId="77777777" w:rsidR="00515486" w:rsidRPr="00E97A33" w:rsidRDefault="00515486" w:rsidP="004D5D22">
            <w:pPr>
              <w:pStyle w:val="TableText"/>
              <w:jc w:val="both"/>
              <w:rPr>
                <w:color w:val="auto"/>
              </w:rPr>
            </w:pPr>
            <w:r w:rsidRPr="00E97A33">
              <w:rPr>
                <w:color w:val="auto"/>
              </w:rPr>
              <w:t>Sevenoaks</w:t>
            </w:r>
          </w:p>
        </w:tc>
        <w:tc>
          <w:tcPr>
            <w:tcW w:w="2554" w:type="dxa"/>
            <w:noWrap/>
            <w:hideMark/>
          </w:tcPr>
          <w:p w14:paraId="788C1989" w14:textId="77777777" w:rsidR="00515486" w:rsidRPr="00E97A33" w:rsidRDefault="00515486" w:rsidP="001C558B">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0.7</w:t>
            </w:r>
          </w:p>
        </w:tc>
      </w:tr>
      <w:tr w:rsidR="00515486" w:rsidRPr="00BB263C" w14:paraId="0434BFB7"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A82FDEE" w14:textId="77777777" w:rsidR="00515486" w:rsidRPr="00E97A33" w:rsidRDefault="00515486" w:rsidP="004D5D22">
            <w:pPr>
              <w:pStyle w:val="TableText"/>
              <w:jc w:val="both"/>
              <w:rPr>
                <w:color w:val="auto"/>
              </w:rPr>
            </w:pPr>
            <w:r w:rsidRPr="00E97A33">
              <w:rPr>
                <w:color w:val="auto"/>
              </w:rPr>
              <w:t>North Kesteven</w:t>
            </w:r>
          </w:p>
        </w:tc>
        <w:tc>
          <w:tcPr>
            <w:tcW w:w="2554" w:type="dxa"/>
            <w:noWrap/>
            <w:hideMark/>
          </w:tcPr>
          <w:p w14:paraId="7E545458" w14:textId="77777777" w:rsidR="00515486" w:rsidRPr="00E97A33" w:rsidRDefault="00515486" w:rsidP="001C558B">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0.5</w:t>
            </w:r>
          </w:p>
        </w:tc>
      </w:tr>
      <w:tr w:rsidR="00515486" w:rsidRPr="00BB263C" w14:paraId="1269C994"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6AB79D0" w14:textId="77777777" w:rsidR="00515486" w:rsidRPr="00E97A33" w:rsidRDefault="00515486" w:rsidP="004D5D22">
            <w:pPr>
              <w:pStyle w:val="TableText"/>
              <w:jc w:val="both"/>
              <w:rPr>
                <w:color w:val="auto"/>
              </w:rPr>
            </w:pPr>
            <w:r w:rsidRPr="00E97A33">
              <w:rPr>
                <w:color w:val="auto"/>
              </w:rPr>
              <w:t>Bassetlaw</w:t>
            </w:r>
          </w:p>
        </w:tc>
        <w:tc>
          <w:tcPr>
            <w:tcW w:w="2554" w:type="dxa"/>
            <w:noWrap/>
            <w:hideMark/>
          </w:tcPr>
          <w:p w14:paraId="2B6D1275" w14:textId="77777777" w:rsidR="00515486" w:rsidRPr="00E97A33" w:rsidRDefault="00515486" w:rsidP="00EB380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0.5</w:t>
            </w:r>
          </w:p>
        </w:tc>
      </w:tr>
    </w:tbl>
    <w:p w14:paraId="7F66F9A5" w14:textId="77777777" w:rsidR="00515486" w:rsidRDefault="00515486" w:rsidP="00515486">
      <w:pPr>
        <w:pStyle w:val="TableSource"/>
      </w:pPr>
    </w:p>
    <w:p w14:paraId="2C8428B4" w14:textId="77777777" w:rsidR="00515486" w:rsidRDefault="00515486" w:rsidP="00515486">
      <w:pPr>
        <w:pStyle w:val="TableSource"/>
      </w:pPr>
      <w:r>
        <w:br w:type="textWrapping" w:clear="all"/>
        <w:t>Source: Annual Population Survey 2013</w:t>
      </w:r>
    </w:p>
    <w:p w14:paraId="651A3B4F" w14:textId="77777777" w:rsidR="00515486" w:rsidRDefault="00515486" w:rsidP="00515486">
      <w:pPr>
        <w:pStyle w:val="Caption"/>
      </w:pPr>
      <w:bookmarkStart w:id="30" w:name="_Ref393460743"/>
      <w:r>
        <w:t xml:space="preserve">Table </w:t>
      </w:r>
      <w:fldSimple w:instr=" STYLEREF 1 \s  \* MERGEFORMAT ">
        <w:r>
          <w:rPr>
            <w:noProof/>
          </w:rPr>
          <w:t>3</w:t>
        </w:r>
      </w:fldSimple>
      <w:r>
        <w:t>-</w:t>
      </w:r>
      <w:fldSimple w:instr=" SEQ Table \* ARABIC \s 1  \* MERGEFORMAT ">
        <w:r>
          <w:rPr>
            <w:noProof/>
          </w:rPr>
          <w:t>3</w:t>
        </w:r>
      </w:fldSimple>
      <w:bookmarkEnd w:id="30"/>
      <w:r>
        <w:tab/>
        <w:t>Workplace of residents in North East Lincolnshire (2011)</w:t>
      </w:r>
    </w:p>
    <w:tbl>
      <w:tblPr>
        <w:tblStyle w:val="Atkins14pt"/>
        <w:tblW w:w="5103" w:type="dxa"/>
        <w:tblLook w:val="04A0" w:firstRow="1" w:lastRow="0" w:firstColumn="1" w:lastColumn="0" w:noHBand="0" w:noVBand="1"/>
      </w:tblPr>
      <w:tblGrid>
        <w:gridCol w:w="2552"/>
        <w:gridCol w:w="2551"/>
      </w:tblGrid>
      <w:tr w:rsidR="00515486" w:rsidRPr="00BB263C" w14:paraId="5F9AA55F" w14:textId="77777777" w:rsidTr="004D5D2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552" w:type="dxa"/>
            <w:noWrap/>
            <w:hideMark/>
          </w:tcPr>
          <w:p w14:paraId="3A622F33" w14:textId="77777777" w:rsidR="00515486" w:rsidRPr="00E97A33" w:rsidRDefault="00515486" w:rsidP="004D5D22">
            <w:pPr>
              <w:pStyle w:val="TableHeading"/>
              <w:jc w:val="both"/>
              <w:rPr>
                <w:color w:val="auto"/>
              </w:rPr>
            </w:pPr>
            <w:r w:rsidRPr="00E97A33">
              <w:rPr>
                <w:color w:val="auto"/>
              </w:rPr>
              <w:t>Place of work</w:t>
            </w:r>
          </w:p>
        </w:tc>
        <w:tc>
          <w:tcPr>
            <w:tcW w:w="2551" w:type="dxa"/>
            <w:noWrap/>
            <w:hideMark/>
          </w:tcPr>
          <w:p w14:paraId="63B987C6" w14:textId="77777777" w:rsidR="00515486" w:rsidRPr="00E97A33" w:rsidRDefault="00EB380D" w:rsidP="00EB380D">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w:t>
            </w:r>
            <w:r w:rsidR="00515486" w:rsidRPr="00E97A33">
              <w:rPr>
                <w:color w:val="auto"/>
              </w:rPr>
              <w:t xml:space="preserve"> of residents</w:t>
            </w:r>
          </w:p>
        </w:tc>
      </w:tr>
      <w:tr w:rsidR="00515486" w:rsidRPr="00BB263C" w14:paraId="0EA51F36"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AC723AC" w14:textId="77777777" w:rsidR="00515486" w:rsidRPr="00E97A33" w:rsidRDefault="00515486" w:rsidP="004D5D22">
            <w:pPr>
              <w:pStyle w:val="TableText"/>
              <w:jc w:val="both"/>
              <w:rPr>
                <w:color w:val="auto"/>
              </w:rPr>
            </w:pPr>
            <w:r w:rsidRPr="00E97A33">
              <w:rPr>
                <w:color w:val="auto"/>
              </w:rPr>
              <w:t>North East Lincolnshire</w:t>
            </w:r>
          </w:p>
        </w:tc>
        <w:tc>
          <w:tcPr>
            <w:tcW w:w="2551" w:type="dxa"/>
            <w:noWrap/>
            <w:hideMark/>
          </w:tcPr>
          <w:p w14:paraId="54B0687B" w14:textId="77777777" w:rsidR="00515486" w:rsidRPr="00E97A33" w:rsidRDefault="00515486" w:rsidP="00EB380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86.1</w:t>
            </w:r>
          </w:p>
        </w:tc>
      </w:tr>
      <w:tr w:rsidR="00515486" w:rsidRPr="00BB263C" w14:paraId="012EA60A"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FAB1D00" w14:textId="77777777" w:rsidR="00515486" w:rsidRPr="00E97A33" w:rsidRDefault="00515486" w:rsidP="004D5D22">
            <w:pPr>
              <w:pStyle w:val="TableText"/>
              <w:jc w:val="both"/>
              <w:rPr>
                <w:color w:val="auto"/>
              </w:rPr>
            </w:pPr>
            <w:r w:rsidRPr="00E97A33">
              <w:rPr>
                <w:color w:val="auto"/>
              </w:rPr>
              <w:t>North Lincolnshire</w:t>
            </w:r>
          </w:p>
        </w:tc>
        <w:tc>
          <w:tcPr>
            <w:tcW w:w="2551" w:type="dxa"/>
            <w:noWrap/>
            <w:hideMark/>
          </w:tcPr>
          <w:p w14:paraId="128486A8" w14:textId="77777777" w:rsidR="00515486" w:rsidRPr="00E97A33" w:rsidRDefault="00515486" w:rsidP="00EB380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4.5</w:t>
            </w:r>
          </w:p>
        </w:tc>
      </w:tr>
      <w:tr w:rsidR="00515486" w:rsidRPr="00BB263C" w14:paraId="542BFF6C"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5A47A4A" w14:textId="77777777" w:rsidR="00515486" w:rsidRPr="00E97A33" w:rsidRDefault="00515486" w:rsidP="004D5D22">
            <w:pPr>
              <w:pStyle w:val="TableText"/>
              <w:jc w:val="both"/>
              <w:rPr>
                <w:color w:val="auto"/>
              </w:rPr>
            </w:pPr>
            <w:r w:rsidRPr="00E97A33">
              <w:rPr>
                <w:color w:val="auto"/>
              </w:rPr>
              <w:t>East Lindsey</w:t>
            </w:r>
          </w:p>
        </w:tc>
        <w:tc>
          <w:tcPr>
            <w:tcW w:w="2551" w:type="dxa"/>
            <w:noWrap/>
            <w:hideMark/>
          </w:tcPr>
          <w:p w14:paraId="41F44C9D" w14:textId="77777777" w:rsidR="00515486" w:rsidRPr="00E97A33" w:rsidRDefault="00515486" w:rsidP="00EB380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1.5</w:t>
            </w:r>
          </w:p>
        </w:tc>
      </w:tr>
      <w:tr w:rsidR="00515486" w:rsidRPr="00BB263C" w14:paraId="355AD2DF"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6F2AAA7" w14:textId="77777777" w:rsidR="00515486" w:rsidRPr="00E97A33" w:rsidRDefault="00515486" w:rsidP="004D5D22">
            <w:pPr>
              <w:pStyle w:val="TableText"/>
              <w:jc w:val="both"/>
              <w:rPr>
                <w:color w:val="auto"/>
              </w:rPr>
            </w:pPr>
            <w:r w:rsidRPr="00E97A33">
              <w:rPr>
                <w:color w:val="auto"/>
              </w:rPr>
              <w:t>Lincoln</w:t>
            </w:r>
          </w:p>
        </w:tc>
        <w:tc>
          <w:tcPr>
            <w:tcW w:w="2551" w:type="dxa"/>
            <w:noWrap/>
            <w:hideMark/>
          </w:tcPr>
          <w:p w14:paraId="16898909" w14:textId="77777777" w:rsidR="00515486" w:rsidRPr="00E97A33" w:rsidRDefault="00515486" w:rsidP="00EB380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1.2</w:t>
            </w:r>
          </w:p>
        </w:tc>
      </w:tr>
      <w:tr w:rsidR="00515486" w:rsidRPr="00BB263C" w14:paraId="5AB63F5F"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8587C1E" w14:textId="77777777" w:rsidR="00515486" w:rsidRPr="00E97A33" w:rsidRDefault="00515486" w:rsidP="004D5D22">
            <w:pPr>
              <w:pStyle w:val="TableText"/>
              <w:jc w:val="both"/>
              <w:rPr>
                <w:color w:val="auto"/>
              </w:rPr>
            </w:pPr>
            <w:r w:rsidRPr="00E97A33">
              <w:rPr>
                <w:color w:val="auto"/>
              </w:rPr>
              <w:t>West Lindsey</w:t>
            </w:r>
          </w:p>
        </w:tc>
        <w:tc>
          <w:tcPr>
            <w:tcW w:w="2551" w:type="dxa"/>
            <w:noWrap/>
            <w:hideMark/>
          </w:tcPr>
          <w:p w14:paraId="759E7332" w14:textId="77777777" w:rsidR="00515486" w:rsidRPr="00E97A33" w:rsidRDefault="00515486" w:rsidP="00EB380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1.1</w:t>
            </w:r>
          </w:p>
        </w:tc>
      </w:tr>
      <w:tr w:rsidR="00515486" w:rsidRPr="00BB263C" w14:paraId="7CD5601A"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CAA033E" w14:textId="77777777" w:rsidR="00515486" w:rsidRPr="00E97A33" w:rsidRDefault="00515486" w:rsidP="004D5D22">
            <w:pPr>
              <w:pStyle w:val="TableText"/>
              <w:jc w:val="both"/>
              <w:rPr>
                <w:color w:val="auto"/>
              </w:rPr>
            </w:pPr>
            <w:r w:rsidRPr="00E97A33">
              <w:rPr>
                <w:color w:val="auto"/>
              </w:rPr>
              <w:t>Kingston upon Hull, city of</w:t>
            </w:r>
          </w:p>
        </w:tc>
        <w:tc>
          <w:tcPr>
            <w:tcW w:w="2551" w:type="dxa"/>
            <w:noWrap/>
            <w:hideMark/>
          </w:tcPr>
          <w:p w14:paraId="414B324C" w14:textId="77777777" w:rsidR="00515486" w:rsidRPr="00E97A33" w:rsidRDefault="00515486" w:rsidP="00EB380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0.7</w:t>
            </w:r>
          </w:p>
        </w:tc>
      </w:tr>
      <w:tr w:rsidR="00515486" w:rsidRPr="00BB263C" w14:paraId="63BC64F9"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0D4C520" w14:textId="77777777" w:rsidR="00515486" w:rsidRPr="00E97A33" w:rsidRDefault="00515486" w:rsidP="004D5D22">
            <w:pPr>
              <w:pStyle w:val="TableText"/>
              <w:jc w:val="both"/>
              <w:rPr>
                <w:color w:val="auto"/>
              </w:rPr>
            </w:pPr>
            <w:r w:rsidRPr="00E97A33">
              <w:rPr>
                <w:color w:val="auto"/>
              </w:rPr>
              <w:t>Northern Ireland</w:t>
            </w:r>
          </w:p>
        </w:tc>
        <w:tc>
          <w:tcPr>
            <w:tcW w:w="2551" w:type="dxa"/>
            <w:noWrap/>
            <w:hideMark/>
          </w:tcPr>
          <w:p w14:paraId="1D9B23E2" w14:textId="77777777" w:rsidR="00515486" w:rsidRPr="00E97A33" w:rsidRDefault="00515486" w:rsidP="00EB380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0.7</w:t>
            </w:r>
          </w:p>
        </w:tc>
      </w:tr>
    </w:tbl>
    <w:p w14:paraId="4D7A966C" w14:textId="77777777" w:rsidR="00515486" w:rsidRDefault="00515486" w:rsidP="00515486">
      <w:pPr>
        <w:pStyle w:val="TableSource"/>
      </w:pPr>
      <w:r>
        <w:t>Source: Annual Population Survey 2013</w:t>
      </w:r>
    </w:p>
    <w:p w14:paraId="72E991A3" w14:textId="77777777" w:rsidR="00515486" w:rsidRDefault="00391C94" w:rsidP="00515486">
      <w:pPr>
        <w:jc w:val="both"/>
      </w:pPr>
      <w:r>
        <w:t>Travel to Work Areas (</w:t>
      </w:r>
      <w:r w:rsidR="00515486">
        <w:t>TTWAs</w:t>
      </w:r>
      <w:r>
        <w:t>)</w:t>
      </w:r>
      <w:r w:rsidR="00515486">
        <w:t xml:space="preserve"> present challenges</w:t>
      </w:r>
      <w:r>
        <w:t xml:space="preserve"> to planning authorities is they often</w:t>
      </w:r>
      <w:r w:rsidR="00515486">
        <w:t xml:space="preserve"> cut across administrative boundaries. </w:t>
      </w:r>
      <w:r>
        <w:t>At present, ONS has identified TTWAs based on</w:t>
      </w:r>
      <w:r w:rsidR="00515486">
        <w:t xml:space="preserve"> 2001</w:t>
      </w:r>
      <w:r>
        <w:t xml:space="preserve"> Census results although these will be replaced when small area outputs from the 2011 Census become available.  </w:t>
      </w:r>
      <w:r w:rsidR="00515486">
        <w:t xml:space="preserve"> </w:t>
      </w:r>
      <w:r w:rsidR="00F70FD0">
        <w:fldChar w:fldCharType="begin"/>
      </w:r>
      <w:r w:rsidR="00515486">
        <w:instrText xml:space="preserve"> REF _Ref393872700 \h </w:instrText>
      </w:r>
      <w:r w:rsidR="00F70FD0">
        <w:fldChar w:fldCharType="separate"/>
      </w:r>
      <w:r w:rsidR="00515486">
        <w:rPr>
          <w:noProof/>
          <w:lang w:eastAsia="en-GB"/>
        </w:rPr>
        <w:t>Figure 3-1</w:t>
      </w:r>
      <w:r w:rsidR="00F70FD0">
        <w:fldChar w:fldCharType="end"/>
      </w:r>
      <w:r w:rsidR="00515486">
        <w:t xml:space="preserve"> shows that North East Lincolnshire and large areas of nearby North Lincolnshire, East Lindsey and West Lindsay </w:t>
      </w:r>
      <w:r w:rsidR="001C558B">
        <w:t>administrative area</w:t>
      </w:r>
      <w:r w:rsidR="00515486">
        <w:t xml:space="preserve"> are included in the Grimsby</w:t>
      </w:r>
      <w:r>
        <w:t xml:space="preserve"> 2001</w:t>
      </w:r>
      <w:r w:rsidR="00515486">
        <w:t xml:space="preserve"> TTWA. However, nearby </w:t>
      </w:r>
      <w:r w:rsidR="00515486" w:rsidRPr="00123D0A">
        <w:t xml:space="preserve">urban areas </w:t>
      </w:r>
      <w:r>
        <w:t>such as</w:t>
      </w:r>
      <w:r w:rsidR="00515486">
        <w:t xml:space="preserve"> Brigg (within Scunthorpe’s TTWA) and Louth (within Louth &amp; Horncastle’s TTWA) are not in</w:t>
      </w:r>
      <w:r>
        <w:t>cluded in the Grimsby TTWA.  This</w:t>
      </w:r>
      <w:r w:rsidR="00515486">
        <w:t xml:space="preserve"> </w:t>
      </w:r>
      <w:r>
        <w:t>illustrates</w:t>
      </w:r>
      <w:r w:rsidR="001C558B">
        <w:t xml:space="preserve"> the draw to other centres within the w</w:t>
      </w:r>
      <w:r>
        <w:t>ider area</w:t>
      </w:r>
      <w:r w:rsidR="00515486">
        <w:t xml:space="preserve">. </w:t>
      </w:r>
    </w:p>
    <w:p w14:paraId="05850358" w14:textId="77777777" w:rsidR="00515486" w:rsidRDefault="00515486" w:rsidP="00515486">
      <w:pPr>
        <w:pStyle w:val="Caption"/>
        <w:rPr>
          <w:noProof/>
          <w:lang w:eastAsia="en-GB"/>
        </w:rPr>
      </w:pPr>
      <w:bookmarkStart w:id="31" w:name="_Ref393872700"/>
      <w:r>
        <w:rPr>
          <w:noProof/>
          <w:lang w:eastAsia="en-GB"/>
        </w:rPr>
        <w:t xml:space="preserve">Figure </w:t>
      </w:r>
      <w:fldSimple w:instr=" STYLEREF 1 \s  \* MERGEFORMAT ">
        <w:r>
          <w:rPr>
            <w:noProof/>
            <w:lang w:eastAsia="en-GB"/>
          </w:rPr>
          <w:t>3</w:t>
        </w:r>
      </w:fldSimple>
      <w:r>
        <w:rPr>
          <w:noProof/>
          <w:lang w:eastAsia="en-GB"/>
        </w:rPr>
        <w:t>-</w:t>
      </w:r>
      <w:fldSimple w:instr=" SEQ Figure \* ARABIC \s 1  \* MERGEFORMAT ">
        <w:r>
          <w:rPr>
            <w:noProof/>
            <w:lang w:eastAsia="en-GB"/>
          </w:rPr>
          <w:t>1</w:t>
        </w:r>
      </w:fldSimple>
      <w:bookmarkEnd w:id="31"/>
      <w:r>
        <w:rPr>
          <w:noProof/>
          <w:lang w:eastAsia="en-GB"/>
        </w:rPr>
        <w:tab/>
        <w:t>2001 TTWA Boundaries</w:t>
      </w:r>
    </w:p>
    <w:p w14:paraId="5ADDF473" w14:textId="77777777" w:rsidR="00515486" w:rsidRDefault="00515486" w:rsidP="00515486">
      <w:pPr>
        <w:pStyle w:val="Caption"/>
      </w:pPr>
      <w:r>
        <w:rPr>
          <w:noProof/>
          <w:lang w:eastAsia="en-GB"/>
        </w:rPr>
        <w:drawing>
          <wp:inline distT="0" distB="0" distL="0" distR="0" wp14:anchorId="77B08488" wp14:editId="49D93A8F">
            <wp:extent cx="3662300" cy="3582548"/>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670507" cy="3590576"/>
                    </a:xfrm>
                    <a:prstGeom prst="rect">
                      <a:avLst/>
                    </a:prstGeom>
                    <a:noFill/>
                    <a:ln w="9525">
                      <a:noFill/>
                      <a:miter lim="800000"/>
                      <a:headEnd/>
                      <a:tailEnd/>
                    </a:ln>
                  </pic:spPr>
                </pic:pic>
              </a:graphicData>
            </a:graphic>
          </wp:inline>
        </w:drawing>
      </w:r>
    </w:p>
    <w:p w14:paraId="0FF7C36F" w14:textId="77777777" w:rsidR="00515486" w:rsidRDefault="00515486" w:rsidP="00515486">
      <w:pPr>
        <w:pStyle w:val="TableSource"/>
        <w:rPr>
          <w:rFonts w:cs="Times New Roman"/>
          <w:b/>
          <w:bCs/>
          <w:color w:val="156570" w:themeColor="background2"/>
          <w:sz w:val="26"/>
        </w:rPr>
      </w:pPr>
      <w:r>
        <w:t>Source: ONS 2009</w:t>
      </w:r>
    </w:p>
    <w:p w14:paraId="2F114321" w14:textId="77777777" w:rsidR="00515486" w:rsidRDefault="00515486" w:rsidP="001C558B">
      <w:pPr>
        <w:pStyle w:val="Heading3"/>
        <w:numPr>
          <w:ilvl w:val="2"/>
          <w:numId w:val="4"/>
        </w:numPr>
        <w:ind w:left="1163" w:hanging="1163"/>
        <w:rPr>
          <w:rFonts w:eastAsiaTheme="majorEastAsia"/>
        </w:rPr>
      </w:pPr>
      <w:r>
        <w:rPr>
          <w:rFonts w:eastAsiaTheme="majorEastAsia"/>
        </w:rPr>
        <w:t xml:space="preserve">Rural/Urban </w:t>
      </w:r>
      <w:r w:rsidR="00BC6EAB">
        <w:rPr>
          <w:rFonts w:eastAsiaTheme="majorEastAsia"/>
        </w:rPr>
        <w:t>Balance</w:t>
      </w:r>
    </w:p>
    <w:p w14:paraId="44491F9B" w14:textId="77777777" w:rsidR="00515486" w:rsidRDefault="00515486" w:rsidP="00515486">
      <w:pPr>
        <w:jc w:val="both"/>
      </w:pPr>
      <w:r>
        <w:t xml:space="preserve">The towns of Grimsby and Cleethorpes are the </w:t>
      </w:r>
      <w:r w:rsidR="00BC6EAB">
        <w:t>principal</w:t>
      </w:r>
      <w:r>
        <w:t xml:space="preserve"> c</w:t>
      </w:r>
      <w:r w:rsidR="00BC6EAB">
        <w:t xml:space="preserve">entres of population in the </w:t>
      </w:r>
      <w:r w:rsidR="00415199">
        <w:t>Borough</w:t>
      </w:r>
      <w:r w:rsidR="00BC6EAB">
        <w:t>.  North East Lincolnshire</w:t>
      </w:r>
      <w:r>
        <w:t xml:space="preserve"> </w:t>
      </w:r>
      <w:r w:rsidR="00BC6EAB">
        <w:t>is categorised as 88</w:t>
      </w:r>
      <w:r>
        <w:t xml:space="preserve">% urban under DEFRA </w:t>
      </w:r>
      <w:r w:rsidR="00BC6EAB">
        <w:t xml:space="preserve">definition of rural and </w:t>
      </w:r>
      <w:r>
        <w:t xml:space="preserve">urban </w:t>
      </w:r>
      <w:r w:rsidR="00BC6EAB">
        <w:t>areas</w:t>
      </w:r>
      <w:r>
        <w:t xml:space="preserve"> (</w:t>
      </w:r>
      <w:r w:rsidR="00F70FD0">
        <w:fldChar w:fldCharType="begin"/>
      </w:r>
      <w:r>
        <w:instrText xml:space="preserve"> REF _Ref393461631 \h </w:instrText>
      </w:r>
      <w:r w:rsidR="00F70FD0">
        <w:fldChar w:fldCharType="separate"/>
      </w:r>
      <w:r>
        <w:t xml:space="preserve">Table </w:t>
      </w:r>
      <w:r>
        <w:rPr>
          <w:noProof/>
        </w:rPr>
        <w:t>3</w:t>
      </w:r>
      <w:r>
        <w:t>-</w:t>
      </w:r>
      <w:r>
        <w:rPr>
          <w:noProof/>
        </w:rPr>
        <w:t>4</w:t>
      </w:r>
      <w:r w:rsidR="00F70FD0">
        <w:fldChar w:fldCharType="end"/>
      </w:r>
      <w:r>
        <w:t xml:space="preserve">). Nearby North Lincolnshire is more rural with a 48.7% of the population </w:t>
      </w:r>
      <w:r w:rsidR="00415199">
        <w:t>identified as living in</w:t>
      </w:r>
      <w:r>
        <w:t xml:space="preserve"> an urban area. Nearby West Lindsey and East Lindsey are classified as mainly rural with 99-100% of the population living in rural areas.</w:t>
      </w:r>
      <w:r w:rsidR="00BC6EAB">
        <w:t xml:space="preserve">  These differing balances between urban and rural use clearly reflect the varying economic roles of authorities in the area. </w:t>
      </w:r>
    </w:p>
    <w:p w14:paraId="444E5640" w14:textId="77777777" w:rsidR="00515486" w:rsidRDefault="00515486" w:rsidP="00515486">
      <w:pPr>
        <w:pStyle w:val="Caption"/>
      </w:pPr>
      <w:bookmarkStart w:id="32" w:name="_Ref393461631"/>
      <w:r>
        <w:t xml:space="preserve">Table </w:t>
      </w:r>
      <w:fldSimple w:instr=" STYLEREF 1 \s  \* MERGEFORMAT ">
        <w:r>
          <w:rPr>
            <w:noProof/>
          </w:rPr>
          <w:t>3</w:t>
        </w:r>
      </w:fldSimple>
      <w:r>
        <w:t>-</w:t>
      </w:r>
      <w:fldSimple w:instr=" SEQ Table \* ARABIC \s 1  \* MERGEFORMAT ">
        <w:r>
          <w:rPr>
            <w:noProof/>
          </w:rPr>
          <w:t>4</w:t>
        </w:r>
      </w:fldSimple>
      <w:bookmarkEnd w:id="32"/>
      <w:r>
        <w:tab/>
        <w:t>Rural and urban populations (2009)</w:t>
      </w:r>
    </w:p>
    <w:tbl>
      <w:tblPr>
        <w:tblStyle w:val="Atkins14pt"/>
        <w:tblW w:w="9759" w:type="dxa"/>
        <w:tblLook w:val="04A0" w:firstRow="1" w:lastRow="0" w:firstColumn="1" w:lastColumn="0" w:noHBand="0" w:noVBand="1"/>
      </w:tblPr>
      <w:tblGrid>
        <w:gridCol w:w="2760"/>
        <w:gridCol w:w="2428"/>
        <w:gridCol w:w="2213"/>
        <w:gridCol w:w="2358"/>
      </w:tblGrid>
      <w:tr w:rsidR="00515486" w:rsidRPr="002B55AC" w14:paraId="1EEB684F" w14:textId="77777777" w:rsidTr="004D5D2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760" w:type="dxa"/>
            <w:noWrap/>
            <w:hideMark/>
          </w:tcPr>
          <w:p w14:paraId="0C4FA008" w14:textId="77777777" w:rsidR="00515486" w:rsidRPr="00E97A33" w:rsidRDefault="00515486" w:rsidP="004D5D22">
            <w:pPr>
              <w:spacing w:after="0"/>
              <w:rPr>
                <w:rFonts w:eastAsia="Times New Roman"/>
                <w:color w:val="auto"/>
              </w:rPr>
            </w:pPr>
            <w:r w:rsidRPr="00E97A33">
              <w:rPr>
                <w:rFonts w:eastAsia="Times New Roman"/>
                <w:color w:val="auto"/>
              </w:rPr>
              <w:t>LA</w:t>
            </w:r>
          </w:p>
        </w:tc>
        <w:tc>
          <w:tcPr>
            <w:tcW w:w="2428" w:type="dxa"/>
          </w:tcPr>
          <w:p w14:paraId="65BB1105" w14:textId="77777777" w:rsidR="00515486" w:rsidRPr="00E97A33" w:rsidRDefault="00515486" w:rsidP="00BC6EAB">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Population</w:t>
            </w:r>
          </w:p>
        </w:tc>
        <w:tc>
          <w:tcPr>
            <w:tcW w:w="2213" w:type="dxa"/>
          </w:tcPr>
          <w:p w14:paraId="5488DCE8" w14:textId="77777777" w:rsidR="00515486" w:rsidRPr="00E97A33" w:rsidRDefault="00515486" w:rsidP="00BC6EAB">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Rural Population (including market Towns)</w:t>
            </w:r>
          </w:p>
        </w:tc>
        <w:tc>
          <w:tcPr>
            <w:tcW w:w="2358" w:type="dxa"/>
          </w:tcPr>
          <w:p w14:paraId="218FA64C" w14:textId="77777777" w:rsidR="00515486" w:rsidRPr="00E97A33" w:rsidRDefault="00515486" w:rsidP="00BC6EAB">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Rural %</w:t>
            </w:r>
          </w:p>
        </w:tc>
      </w:tr>
      <w:tr w:rsidR="00515486" w:rsidRPr="002B55AC" w14:paraId="4FA5EF59"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760" w:type="dxa"/>
            <w:noWrap/>
            <w:hideMark/>
          </w:tcPr>
          <w:p w14:paraId="480D691A" w14:textId="77777777" w:rsidR="00515486" w:rsidRPr="00E97A33" w:rsidRDefault="00515486" w:rsidP="004D5D22">
            <w:pPr>
              <w:spacing w:after="0"/>
              <w:rPr>
                <w:rFonts w:eastAsia="Times New Roman"/>
                <w:color w:val="auto"/>
              </w:rPr>
            </w:pPr>
            <w:r w:rsidRPr="00E97A33">
              <w:rPr>
                <w:rFonts w:eastAsia="Times New Roman"/>
                <w:color w:val="auto"/>
              </w:rPr>
              <w:t>East Lindsey</w:t>
            </w:r>
          </w:p>
        </w:tc>
        <w:tc>
          <w:tcPr>
            <w:tcW w:w="2428" w:type="dxa"/>
          </w:tcPr>
          <w:p w14:paraId="4585F272"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130,413</w:t>
            </w:r>
          </w:p>
        </w:tc>
        <w:tc>
          <w:tcPr>
            <w:tcW w:w="2213" w:type="dxa"/>
          </w:tcPr>
          <w:p w14:paraId="3EB2DDC0"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130,413</w:t>
            </w:r>
          </w:p>
        </w:tc>
        <w:tc>
          <w:tcPr>
            <w:tcW w:w="2358" w:type="dxa"/>
          </w:tcPr>
          <w:p w14:paraId="6EF1DC86"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100</w:t>
            </w:r>
          </w:p>
        </w:tc>
      </w:tr>
      <w:tr w:rsidR="00515486" w:rsidRPr="002B55AC" w14:paraId="57746D7E"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BDC0E1D" w14:textId="77777777" w:rsidR="00515486" w:rsidRPr="00E97A33" w:rsidRDefault="00515486" w:rsidP="004D5D22">
            <w:pPr>
              <w:spacing w:after="0"/>
              <w:rPr>
                <w:rFonts w:eastAsia="Times New Roman"/>
                <w:color w:val="auto"/>
              </w:rPr>
            </w:pPr>
            <w:r w:rsidRPr="00E97A33">
              <w:rPr>
                <w:rFonts w:eastAsia="Times New Roman"/>
                <w:color w:val="auto"/>
              </w:rPr>
              <w:t>East Riding of Yorkshire</w:t>
            </w:r>
          </w:p>
        </w:tc>
        <w:tc>
          <w:tcPr>
            <w:tcW w:w="2428" w:type="dxa"/>
          </w:tcPr>
          <w:p w14:paraId="34162DC7"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314,169</w:t>
            </w:r>
          </w:p>
        </w:tc>
        <w:tc>
          <w:tcPr>
            <w:tcW w:w="2213" w:type="dxa"/>
          </w:tcPr>
          <w:p w14:paraId="51E6EA75"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222,643</w:t>
            </w:r>
          </w:p>
        </w:tc>
        <w:tc>
          <w:tcPr>
            <w:tcW w:w="2358" w:type="dxa"/>
          </w:tcPr>
          <w:p w14:paraId="22BD6911"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70.8</w:t>
            </w:r>
          </w:p>
        </w:tc>
      </w:tr>
      <w:tr w:rsidR="00515486" w:rsidRPr="002B55AC" w14:paraId="7DAC9E91"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8995D15" w14:textId="77777777" w:rsidR="00515486" w:rsidRPr="00E97A33" w:rsidRDefault="00515486" w:rsidP="004D5D22">
            <w:pPr>
              <w:spacing w:after="0"/>
              <w:rPr>
                <w:rFonts w:eastAsia="Times New Roman"/>
                <w:color w:val="auto"/>
              </w:rPr>
            </w:pPr>
            <w:r w:rsidRPr="00E97A33">
              <w:rPr>
                <w:rFonts w:eastAsia="Times New Roman"/>
                <w:color w:val="auto"/>
              </w:rPr>
              <w:t>Kingston upon Hull City of</w:t>
            </w:r>
          </w:p>
        </w:tc>
        <w:tc>
          <w:tcPr>
            <w:tcW w:w="2428" w:type="dxa"/>
          </w:tcPr>
          <w:p w14:paraId="1E94AE18"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243,753</w:t>
            </w:r>
          </w:p>
        </w:tc>
        <w:tc>
          <w:tcPr>
            <w:tcW w:w="2213" w:type="dxa"/>
          </w:tcPr>
          <w:p w14:paraId="48E7A2CA"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w:t>
            </w:r>
          </w:p>
        </w:tc>
        <w:tc>
          <w:tcPr>
            <w:tcW w:w="2358" w:type="dxa"/>
          </w:tcPr>
          <w:p w14:paraId="795CF193"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0.0</w:t>
            </w:r>
          </w:p>
        </w:tc>
      </w:tr>
      <w:tr w:rsidR="00515486" w:rsidRPr="002B55AC" w14:paraId="700A6F4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760" w:type="dxa"/>
            <w:noWrap/>
            <w:hideMark/>
          </w:tcPr>
          <w:p w14:paraId="624C1EC7" w14:textId="77777777" w:rsidR="00515486" w:rsidRPr="00E97A33" w:rsidRDefault="00515486" w:rsidP="004D5D22">
            <w:pPr>
              <w:spacing w:after="0"/>
              <w:rPr>
                <w:rFonts w:eastAsia="Times New Roman"/>
                <w:color w:val="auto"/>
              </w:rPr>
            </w:pPr>
            <w:r w:rsidRPr="00E97A33">
              <w:rPr>
                <w:rFonts w:eastAsia="Times New Roman"/>
                <w:color w:val="auto"/>
              </w:rPr>
              <w:t>North East Lincolnshire</w:t>
            </w:r>
          </w:p>
        </w:tc>
        <w:tc>
          <w:tcPr>
            <w:tcW w:w="2428" w:type="dxa"/>
          </w:tcPr>
          <w:p w14:paraId="1D45AD1C"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157,711</w:t>
            </w:r>
          </w:p>
        </w:tc>
        <w:tc>
          <w:tcPr>
            <w:tcW w:w="2213" w:type="dxa"/>
          </w:tcPr>
          <w:p w14:paraId="150EC578"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19,132</w:t>
            </w:r>
          </w:p>
        </w:tc>
        <w:tc>
          <w:tcPr>
            <w:tcW w:w="2358" w:type="dxa"/>
          </w:tcPr>
          <w:p w14:paraId="72BA4C35"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12.1</w:t>
            </w:r>
          </w:p>
        </w:tc>
      </w:tr>
      <w:tr w:rsidR="00515486" w:rsidRPr="002B55AC" w14:paraId="3BD9D33B"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760" w:type="dxa"/>
            <w:noWrap/>
            <w:hideMark/>
          </w:tcPr>
          <w:p w14:paraId="5B5B274B" w14:textId="77777777" w:rsidR="00515486" w:rsidRPr="00E97A33" w:rsidRDefault="00515486" w:rsidP="004D5D22">
            <w:pPr>
              <w:spacing w:after="0"/>
              <w:rPr>
                <w:rFonts w:eastAsia="Times New Roman"/>
                <w:color w:val="auto"/>
              </w:rPr>
            </w:pPr>
            <w:r w:rsidRPr="00E97A33">
              <w:rPr>
                <w:rFonts w:eastAsia="Times New Roman"/>
                <w:color w:val="auto"/>
              </w:rPr>
              <w:t>North Lincolnshire</w:t>
            </w:r>
          </w:p>
        </w:tc>
        <w:tc>
          <w:tcPr>
            <w:tcW w:w="2428" w:type="dxa"/>
          </w:tcPr>
          <w:p w14:paraId="52FF4CE0"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152,778</w:t>
            </w:r>
          </w:p>
        </w:tc>
        <w:tc>
          <w:tcPr>
            <w:tcW w:w="2213" w:type="dxa"/>
          </w:tcPr>
          <w:p w14:paraId="2735050B"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80,031</w:t>
            </w:r>
          </w:p>
        </w:tc>
        <w:tc>
          <w:tcPr>
            <w:tcW w:w="2358" w:type="dxa"/>
          </w:tcPr>
          <w:p w14:paraId="380F3E67"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52.3</w:t>
            </w:r>
          </w:p>
        </w:tc>
      </w:tr>
      <w:tr w:rsidR="00515486" w:rsidRPr="002B55AC" w14:paraId="583D2725"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760" w:type="dxa"/>
            <w:noWrap/>
            <w:hideMark/>
          </w:tcPr>
          <w:p w14:paraId="2E8941CC" w14:textId="77777777" w:rsidR="00515486" w:rsidRPr="00E97A33" w:rsidRDefault="00515486" w:rsidP="004D5D22">
            <w:pPr>
              <w:spacing w:after="0"/>
              <w:rPr>
                <w:rFonts w:eastAsia="Times New Roman"/>
                <w:color w:val="auto"/>
              </w:rPr>
            </w:pPr>
            <w:r w:rsidRPr="00E97A33">
              <w:rPr>
                <w:rFonts w:eastAsia="Times New Roman"/>
                <w:color w:val="auto"/>
              </w:rPr>
              <w:t>West Lindsey</w:t>
            </w:r>
          </w:p>
        </w:tc>
        <w:tc>
          <w:tcPr>
            <w:tcW w:w="2428" w:type="dxa"/>
          </w:tcPr>
          <w:p w14:paraId="62ADEDE6"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79,487</w:t>
            </w:r>
          </w:p>
        </w:tc>
        <w:tc>
          <w:tcPr>
            <w:tcW w:w="2213" w:type="dxa"/>
          </w:tcPr>
          <w:p w14:paraId="458C72A3"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79,303</w:t>
            </w:r>
          </w:p>
        </w:tc>
        <w:tc>
          <w:tcPr>
            <w:tcW w:w="2358" w:type="dxa"/>
          </w:tcPr>
          <w:p w14:paraId="3816A823"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99.7</w:t>
            </w:r>
          </w:p>
        </w:tc>
      </w:tr>
      <w:tr w:rsidR="00515486" w:rsidRPr="002B55AC" w14:paraId="0386605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760" w:type="dxa"/>
            <w:noWrap/>
            <w:hideMark/>
          </w:tcPr>
          <w:p w14:paraId="3D13ADE1" w14:textId="77777777" w:rsidR="00515486" w:rsidRPr="00E97A33" w:rsidRDefault="00515486" w:rsidP="004D5D22">
            <w:pPr>
              <w:spacing w:after="0"/>
              <w:rPr>
                <w:rFonts w:eastAsia="Times New Roman"/>
                <w:color w:val="auto"/>
              </w:rPr>
            </w:pPr>
          </w:p>
        </w:tc>
        <w:tc>
          <w:tcPr>
            <w:tcW w:w="2428" w:type="dxa"/>
          </w:tcPr>
          <w:p w14:paraId="370258BF"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p>
        </w:tc>
        <w:tc>
          <w:tcPr>
            <w:tcW w:w="2213" w:type="dxa"/>
          </w:tcPr>
          <w:p w14:paraId="70136037"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p>
        </w:tc>
        <w:tc>
          <w:tcPr>
            <w:tcW w:w="2358" w:type="dxa"/>
          </w:tcPr>
          <w:p w14:paraId="325F0D1A"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p>
        </w:tc>
      </w:tr>
      <w:tr w:rsidR="00515486" w:rsidRPr="002B55AC" w14:paraId="2BF94A87"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760" w:type="dxa"/>
            <w:noWrap/>
            <w:hideMark/>
          </w:tcPr>
          <w:p w14:paraId="55298393" w14:textId="77777777" w:rsidR="00515486" w:rsidRPr="00E97A33" w:rsidRDefault="00515486" w:rsidP="004D5D22">
            <w:pPr>
              <w:spacing w:after="0"/>
              <w:rPr>
                <w:rFonts w:eastAsia="Times New Roman"/>
                <w:color w:val="auto"/>
              </w:rPr>
            </w:pPr>
            <w:r w:rsidRPr="00E97A33">
              <w:rPr>
                <w:rFonts w:eastAsia="Times New Roman"/>
                <w:color w:val="auto"/>
              </w:rPr>
              <w:t>England</w:t>
            </w:r>
          </w:p>
        </w:tc>
        <w:tc>
          <w:tcPr>
            <w:tcW w:w="2428" w:type="dxa"/>
          </w:tcPr>
          <w:p w14:paraId="34A9862E"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49,142,130</w:t>
            </w:r>
          </w:p>
        </w:tc>
        <w:tc>
          <w:tcPr>
            <w:tcW w:w="2213" w:type="dxa"/>
          </w:tcPr>
          <w:p w14:paraId="668D5C23"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13,225,672</w:t>
            </w:r>
          </w:p>
        </w:tc>
        <w:tc>
          <w:tcPr>
            <w:tcW w:w="2358" w:type="dxa"/>
          </w:tcPr>
          <w:p w14:paraId="5814AB37" w14:textId="77777777" w:rsidR="00515486" w:rsidRPr="00E97A33" w:rsidRDefault="00515486" w:rsidP="00BC6EAB">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26.9</w:t>
            </w:r>
          </w:p>
        </w:tc>
      </w:tr>
    </w:tbl>
    <w:p w14:paraId="15ACE5F3" w14:textId="77777777" w:rsidR="00515486" w:rsidRDefault="00515486" w:rsidP="00515486">
      <w:pPr>
        <w:pStyle w:val="TableSource"/>
        <w:jc w:val="both"/>
      </w:pPr>
      <w:r>
        <w:t xml:space="preserve">Source: DEFRA Rural/Urban Local Authority Classification, 2009 </w:t>
      </w:r>
    </w:p>
    <w:p w14:paraId="24FE6B01" w14:textId="77777777" w:rsidR="00515486" w:rsidRPr="009A59EF" w:rsidRDefault="00515486" w:rsidP="00515486">
      <w:pPr>
        <w:pStyle w:val="Heading2"/>
        <w:numPr>
          <w:ilvl w:val="1"/>
          <w:numId w:val="4"/>
        </w:numPr>
      </w:pPr>
      <w:bookmarkStart w:id="33" w:name="_Toc394327689"/>
      <w:r>
        <w:rPr>
          <w:rFonts w:eastAsiaTheme="majorEastAsia"/>
        </w:rPr>
        <w:t>Housing Market Areas</w:t>
      </w:r>
      <w:bookmarkEnd w:id="33"/>
    </w:p>
    <w:p w14:paraId="4F5BC307" w14:textId="77777777" w:rsidR="00515486" w:rsidRDefault="00515486" w:rsidP="00515486">
      <w:pPr>
        <w:jc w:val="both"/>
      </w:pPr>
      <w:r>
        <w:t xml:space="preserve">The 2013 </w:t>
      </w:r>
      <w:r>
        <w:rPr>
          <w:i/>
        </w:rPr>
        <w:t>Strategic Housing Market Assessment</w:t>
      </w:r>
      <w:r>
        <w:t xml:space="preserve"> (SHMA) explores a range of </w:t>
      </w:r>
      <w:r w:rsidR="0052511D">
        <w:t>housing market geographies</w:t>
      </w:r>
      <w:r>
        <w:t xml:space="preserve">. The SHMA provides a more localised </w:t>
      </w:r>
      <w:r w:rsidR="00BC6EAB">
        <w:t>analysis of spatial z</w:t>
      </w:r>
      <w:r>
        <w:t>ones within</w:t>
      </w:r>
      <w:r w:rsidR="0052511D">
        <w:t xml:space="preserve"> and outside</w:t>
      </w:r>
      <w:r>
        <w:t xml:space="preserve"> North East Lincolnshire </w:t>
      </w:r>
      <w:r w:rsidR="0052511D">
        <w:t>which</w:t>
      </w:r>
      <w:r>
        <w:t xml:space="preserve"> </w:t>
      </w:r>
      <w:r w:rsidR="0052511D">
        <w:t>demonstrate</w:t>
      </w:r>
      <w:r>
        <w:t xml:space="preserve"> strong</w:t>
      </w:r>
      <w:r w:rsidR="00BC6EAB">
        <w:t xml:space="preserve"> interactions between</w:t>
      </w:r>
      <w:r w:rsidR="0052511D">
        <w:t xml:space="preserve"> the </w:t>
      </w:r>
      <w:r>
        <w:t xml:space="preserve">economic and </w:t>
      </w:r>
      <w:r w:rsidR="00BC6EAB">
        <w:t>residential functions</w:t>
      </w:r>
      <w:r>
        <w:t xml:space="preserve"> across North East Lincolnshire, North Lincolnshire, East Lindsey and West Lindsey. The SHMA identifies one single housing market area for North East Lincolnshire; categorised into four spatial zones:</w:t>
      </w:r>
    </w:p>
    <w:p w14:paraId="0E55D031" w14:textId="77777777" w:rsidR="00515486" w:rsidRDefault="00515486" w:rsidP="00515486">
      <w:pPr>
        <w:pStyle w:val="ListBulletLast"/>
        <w:numPr>
          <w:ilvl w:val="0"/>
          <w:numId w:val="20"/>
        </w:numPr>
        <w:ind w:left="714" w:hanging="357"/>
        <w:contextualSpacing/>
        <w:jc w:val="both"/>
      </w:pPr>
      <w:r>
        <w:t xml:space="preserve">Urban area – this comprises Grimsby and Cleethorpes, and is identified as the focus for further housing development. </w:t>
      </w:r>
    </w:p>
    <w:p w14:paraId="0D20A9D1" w14:textId="77777777" w:rsidR="00515486" w:rsidRDefault="00515486" w:rsidP="00515486">
      <w:pPr>
        <w:pStyle w:val="ListBulletLast"/>
        <w:numPr>
          <w:ilvl w:val="0"/>
          <w:numId w:val="20"/>
        </w:numPr>
        <w:ind w:left="714" w:hanging="357"/>
        <w:contextualSpacing/>
        <w:jc w:val="both"/>
      </w:pPr>
      <w:r>
        <w:t xml:space="preserve">Estuary zone – This constitutes the port town of Immingham and the area between Immingham and Grimsby, along the Humber estuary. </w:t>
      </w:r>
    </w:p>
    <w:p w14:paraId="391F6B60" w14:textId="77777777" w:rsidR="00515486" w:rsidRDefault="00515486" w:rsidP="00515486">
      <w:pPr>
        <w:pStyle w:val="ListBulletLast"/>
        <w:numPr>
          <w:ilvl w:val="0"/>
          <w:numId w:val="20"/>
        </w:numPr>
        <w:ind w:left="714" w:hanging="357"/>
        <w:contextualSpacing/>
        <w:jc w:val="both"/>
      </w:pPr>
      <w:r>
        <w:t>Western and southern arc – this area surrounds the urban area to the south and west, and contains several villages</w:t>
      </w:r>
    </w:p>
    <w:p w14:paraId="0567216A" w14:textId="77777777" w:rsidR="00515486" w:rsidRDefault="00515486" w:rsidP="00515486">
      <w:pPr>
        <w:pStyle w:val="ListBulletLast"/>
        <w:numPr>
          <w:ilvl w:val="0"/>
          <w:numId w:val="20"/>
        </w:numPr>
        <w:ind w:left="714" w:hanging="357"/>
        <w:contextualSpacing/>
        <w:jc w:val="both"/>
      </w:pPr>
      <w:r>
        <w:t xml:space="preserve">Rural area – Situated inland from the estuary zone and western and southern arcs, comprising several villages and small settlements. </w:t>
      </w:r>
    </w:p>
    <w:p w14:paraId="60798352" w14:textId="77777777" w:rsidR="00515486" w:rsidRDefault="00515486" w:rsidP="00515486">
      <w:pPr>
        <w:jc w:val="both"/>
      </w:pPr>
      <w:r>
        <w:t xml:space="preserve">The four sub-market areas are displayed within </w:t>
      </w:r>
      <w:r w:rsidR="00AA08C5">
        <w:fldChar w:fldCharType="begin"/>
      </w:r>
      <w:r w:rsidR="00AA08C5">
        <w:instrText xml:space="preserve"> REF _Ref393873416 \h  \* MERGEFORMAT </w:instrText>
      </w:r>
      <w:r w:rsidR="00AA08C5">
        <w:fldChar w:fldCharType="separate"/>
      </w:r>
      <w:r>
        <w:rPr>
          <w:noProof/>
          <w:lang w:eastAsia="en-GB"/>
        </w:rPr>
        <w:t>Figure 3-2</w:t>
      </w:r>
      <w:r w:rsidR="00AA08C5">
        <w:fldChar w:fldCharType="end"/>
      </w:r>
      <w:r>
        <w:t>.</w:t>
      </w:r>
    </w:p>
    <w:p w14:paraId="30AFDA40" w14:textId="77777777" w:rsidR="00515486" w:rsidRDefault="00515486" w:rsidP="00515486">
      <w:pPr>
        <w:pStyle w:val="Caption"/>
        <w:rPr>
          <w:noProof/>
          <w:lang w:eastAsia="en-GB"/>
        </w:rPr>
      </w:pPr>
      <w:bookmarkStart w:id="34" w:name="_Ref393873416"/>
      <w:r>
        <w:rPr>
          <w:noProof/>
          <w:lang w:eastAsia="en-GB"/>
        </w:rPr>
        <w:t xml:space="preserve">Figure </w:t>
      </w:r>
      <w:fldSimple w:instr=" STYLEREF 1 \s  \* MERGEFORMAT ">
        <w:r>
          <w:rPr>
            <w:noProof/>
            <w:lang w:eastAsia="en-GB"/>
          </w:rPr>
          <w:t>3</w:t>
        </w:r>
      </w:fldSimple>
      <w:r>
        <w:rPr>
          <w:noProof/>
          <w:lang w:eastAsia="en-GB"/>
        </w:rPr>
        <w:t>-</w:t>
      </w:r>
      <w:fldSimple w:instr=" SEQ Figure \* ARABIC \s 1  \* MERGEFORMAT ">
        <w:r>
          <w:rPr>
            <w:noProof/>
            <w:lang w:eastAsia="en-GB"/>
          </w:rPr>
          <w:t>2</w:t>
        </w:r>
      </w:fldSimple>
      <w:bookmarkEnd w:id="34"/>
      <w:r>
        <w:rPr>
          <w:noProof/>
          <w:lang w:eastAsia="en-GB"/>
        </w:rPr>
        <w:tab/>
        <w:t>Spatial Zones in the SHMA</w:t>
      </w:r>
    </w:p>
    <w:p w14:paraId="65548D95" w14:textId="77777777" w:rsidR="00515486" w:rsidRDefault="00515486" w:rsidP="00515486">
      <w:pPr>
        <w:rPr>
          <w:lang w:eastAsia="en-GB"/>
        </w:rPr>
      </w:pPr>
      <w:r>
        <w:rPr>
          <w:noProof/>
          <w:lang w:eastAsia="en-GB"/>
        </w:rPr>
        <w:drawing>
          <wp:inline distT="0" distB="0" distL="0" distR="0" wp14:anchorId="2DA8622F" wp14:editId="2FCB5D92">
            <wp:extent cx="4138883" cy="2834674"/>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t="1035" r="3087" b="1437"/>
                    <a:stretch>
                      <a:fillRect/>
                    </a:stretch>
                  </pic:blipFill>
                  <pic:spPr bwMode="auto">
                    <a:xfrm>
                      <a:off x="0" y="0"/>
                      <a:ext cx="4139417" cy="2835040"/>
                    </a:xfrm>
                    <a:prstGeom prst="rect">
                      <a:avLst/>
                    </a:prstGeom>
                    <a:noFill/>
                    <a:ln w="9525">
                      <a:noFill/>
                      <a:miter lim="800000"/>
                      <a:headEnd/>
                      <a:tailEnd/>
                    </a:ln>
                  </pic:spPr>
                </pic:pic>
              </a:graphicData>
            </a:graphic>
          </wp:inline>
        </w:drawing>
      </w:r>
    </w:p>
    <w:p w14:paraId="77C88024" w14:textId="77777777" w:rsidR="00515486" w:rsidRPr="00CE2C67" w:rsidRDefault="00515486" w:rsidP="00515486">
      <w:pPr>
        <w:pStyle w:val="TableSource"/>
        <w:rPr>
          <w:lang w:eastAsia="en-GB"/>
        </w:rPr>
      </w:pPr>
      <w:r>
        <w:rPr>
          <w:lang w:eastAsia="en-GB"/>
        </w:rPr>
        <w:t>Source: GVA and North East Lincolnshire Council 2013</w:t>
      </w:r>
    </w:p>
    <w:p w14:paraId="61E8DE4F" w14:textId="77777777" w:rsidR="00515486" w:rsidRPr="003562BC" w:rsidRDefault="00515486" w:rsidP="00515486">
      <w:pPr>
        <w:pStyle w:val="Heading2"/>
        <w:numPr>
          <w:ilvl w:val="1"/>
          <w:numId w:val="4"/>
        </w:numPr>
        <w:rPr>
          <w:rFonts w:eastAsiaTheme="majorEastAsia"/>
        </w:rPr>
      </w:pPr>
      <w:bookmarkStart w:id="35" w:name="_Toc394327690"/>
      <w:r w:rsidRPr="003562BC">
        <w:rPr>
          <w:rFonts w:eastAsiaTheme="majorEastAsia"/>
        </w:rPr>
        <w:t xml:space="preserve">Functional Economic </w:t>
      </w:r>
      <w:r>
        <w:rPr>
          <w:rFonts w:eastAsiaTheme="majorEastAsia"/>
        </w:rPr>
        <w:t>Geography</w:t>
      </w:r>
      <w:bookmarkEnd w:id="35"/>
      <w:r>
        <w:rPr>
          <w:rFonts w:eastAsiaTheme="majorEastAsia"/>
        </w:rPr>
        <w:t xml:space="preserve"> </w:t>
      </w:r>
    </w:p>
    <w:p w14:paraId="3DA57901" w14:textId="77777777" w:rsidR="00515486" w:rsidRDefault="00515486" w:rsidP="00515486">
      <w:pPr>
        <w:jc w:val="both"/>
        <w:rPr>
          <w:rFonts w:eastAsiaTheme="majorEastAsia" w:cstheme="majorBidi"/>
        </w:rPr>
      </w:pPr>
      <w:r>
        <w:rPr>
          <w:rFonts w:eastAsiaTheme="majorEastAsia" w:cstheme="majorBidi"/>
        </w:rPr>
        <w:t xml:space="preserve">The identification of </w:t>
      </w:r>
      <w:r w:rsidRPr="003562BC">
        <w:rPr>
          <w:rFonts w:eastAsiaTheme="majorEastAsia" w:cstheme="majorBidi"/>
        </w:rPr>
        <w:t>functional economic</w:t>
      </w:r>
      <w:r>
        <w:rPr>
          <w:rFonts w:eastAsiaTheme="majorEastAsia" w:cstheme="majorBidi"/>
        </w:rPr>
        <w:t xml:space="preserve"> </w:t>
      </w:r>
      <w:r w:rsidR="00BC6EAB">
        <w:rPr>
          <w:rFonts w:eastAsiaTheme="majorEastAsia" w:cstheme="majorBidi"/>
        </w:rPr>
        <w:t>area</w:t>
      </w:r>
      <w:r w:rsidR="0052511D">
        <w:rPr>
          <w:rFonts w:eastAsiaTheme="majorEastAsia" w:cstheme="majorBidi"/>
        </w:rPr>
        <w:t>s</w:t>
      </w:r>
      <w:r w:rsidRPr="003562BC">
        <w:rPr>
          <w:rFonts w:eastAsiaTheme="majorEastAsia" w:cstheme="majorBidi"/>
        </w:rPr>
        <w:t xml:space="preserve"> can help define potential markets for</w:t>
      </w:r>
      <w:r w:rsidR="0052511D">
        <w:rPr>
          <w:rFonts w:eastAsiaTheme="majorEastAsia" w:cstheme="majorBidi"/>
        </w:rPr>
        <w:t xml:space="preserve"> future</w:t>
      </w:r>
      <w:r w:rsidRPr="003562BC">
        <w:rPr>
          <w:rFonts w:eastAsiaTheme="majorEastAsia" w:cstheme="majorBidi"/>
        </w:rPr>
        <w:t xml:space="preserve"> jobs and employment growth</w:t>
      </w:r>
      <w:r w:rsidR="0052511D">
        <w:rPr>
          <w:rFonts w:eastAsiaTheme="majorEastAsia" w:cstheme="majorBidi"/>
        </w:rPr>
        <w:t xml:space="preserve"> which in turn can influence priorities for spatial and development planning.  Often the cross-boundary nature of functional economic areas reflects the importance of communication and co-operation between neighbouring local authorities as called for by Government under the ‘duty to co-operate’.   </w:t>
      </w:r>
      <w:r>
        <w:rPr>
          <w:rFonts w:eastAsiaTheme="majorEastAsia" w:cstheme="majorBidi"/>
        </w:rPr>
        <w:t xml:space="preserve"> </w:t>
      </w:r>
      <w:r w:rsidR="00F70FD0">
        <w:fldChar w:fldCharType="begin"/>
      </w:r>
      <w:r>
        <w:rPr>
          <w:rFonts w:eastAsiaTheme="majorEastAsia" w:cstheme="majorBidi"/>
        </w:rPr>
        <w:instrText xml:space="preserve"> REF _Ref393791883 \h </w:instrText>
      </w:r>
      <w:r w:rsidR="00F70FD0">
        <w:fldChar w:fldCharType="separate"/>
      </w:r>
      <w:r>
        <w:t xml:space="preserve">Table </w:t>
      </w:r>
      <w:r>
        <w:rPr>
          <w:noProof/>
        </w:rPr>
        <w:t>3</w:t>
      </w:r>
      <w:r>
        <w:t>-</w:t>
      </w:r>
      <w:r>
        <w:rPr>
          <w:noProof/>
        </w:rPr>
        <w:t>5</w:t>
      </w:r>
      <w:r w:rsidR="00F70FD0">
        <w:fldChar w:fldCharType="end"/>
      </w:r>
      <w:r>
        <w:t xml:space="preserve"> </w:t>
      </w:r>
      <w:r>
        <w:rPr>
          <w:rFonts w:eastAsiaTheme="majorEastAsia" w:cstheme="majorBidi"/>
        </w:rPr>
        <w:t>outlines a summary of the m</w:t>
      </w:r>
      <w:r w:rsidR="0052511D">
        <w:rPr>
          <w:rFonts w:eastAsiaTheme="majorEastAsia" w:cstheme="majorBidi"/>
        </w:rPr>
        <w:t>ain functional economic themes in North East Lincolnshire.</w:t>
      </w:r>
    </w:p>
    <w:p w14:paraId="10200251" w14:textId="77777777" w:rsidR="00515486" w:rsidRDefault="00515486" w:rsidP="00515486">
      <w:pPr>
        <w:pStyle w:val="Caption"/>
      </w:pPr>
      <w:bookmarkStart w:id="36" w:name="_Ref393791883"/>
      <w:r>
        <w:t xml:space="preserve">Table </w:t>
      </w:r>
      <w:fldSimple w:instr=" STYLEREF 1 \s  \* MERGEFORMAT ">
        <w:r>
          <w:rPr>
            <w:noProof/>
          </w:rPr>
          <w:t>3</w:t>
        </w:r>
      </w:fldSimple>
      <w:r>
        <w:t>-</w:t>
      </w:r>
      <w:fldSimple w:instr=" SEQ Table \* ARABIC \s 1  \* MERGEFORMAT ">
        <w:r>
          <w:rPr>
            <w:noProof/>
          </w:rPr>
          <w:t>5</w:t>
        </w:r>
      </w:fldSimple>
      <w:bookmarkEnd w:id="36"/>
      <w:r>
        <w:tab/>
        <w:t xml:space="preserve">Functional </w:t>
      </w:r>
      <w:r w:rsidR="0052511D">
        <w:t>Economic Themes in North East Lincolnshire</w:t>
      </w:r>
    </w:p>
    <w:tbl>
      <w:tblPr>
        <w:tblStyle w:val="Atkins14pt"/>
        <w:tblW w:w="9684" w:type="dxa"/>
        <w:tblLook w:val="04A0" w:firstRow="1" w:lastRow="0" w:firstColumn="1" w:lastColumn="0" w:noHBand="0" w:noVBand="1"/>
      </w:tblPr>
      <w:tblGrid>
        <w:gridCol w:w="1843"/>
        <w:gridCol w:w="3969"/>
        <w:gridCol w:w="3872"/>
      </w:tblGrid>
      <w:tr w:rsidR="00515486" w14:paraId="4E86A3CD" w14:textId="77777777" w:rsidTr="004D5D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3705A6EE" w14:textId="77777777" w:rsidR="00515486" w:rsidRPr="00DD3782" w:rsidRDefault="00515486" w:rsidP="004D5D22">
            <w:pPr>
              <w:spacing w:after="0"/>
              <w:rPr>
                <w:rFonts w:eastAsiaTheme="majorEastAsia" w:cstheme="majorBidi"/>
                <w:color w:val="auto"/>
              </w:rPr>
            </w:pPr>
            <w:r w:rsidRPr="00DD3782">
              <w:rPr>
                <w:rFonts w:eastAsiaTheme="majorEastAsia" w:cstheme="majorBidi"/>
                <w:color w:val="auto"/>
              </w:rPr>
              <w:t xml:space="preserve"> Theme</w:t>
            </w:r>
          </w:p>
        </w:tc>
        <w:tc>
          <w:tcPr>
            <w:tcW w:w="3969" w:type="dxa"/>
          </w:tcPr>
          <w:p w14:paraId="6EE1D991" w14:textId="77777777" w:rsidR="00515486" w:rsidRPr="00DD3782" w:rsidRDefault="00515486" w:rsidP="004D5D22">
            <w:pPr>
              <w:spacing w:after="0"/>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Comment</w:t>
            </w:r>
          </w:p>
        </w:tc>
        <w:tc>
          <w:tcPr>
            <w:tcW w:w="3872" w:type="dxa"/>
          </w:tcPr>
          <w:p w14:paraId="69647919" w14:textId="77777777" w:rsidR="00515486" w:rsidRPr="00DD3782" w:rsidRDefault="00515486" w:rsidP="004D5D22">
            <w:pPr>
              <w:spacing w:after="0"/>
              <w:cnfStyle w:val="100000000000" w:firstRow="1"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Strategic Fit</w:t>
            </w:r>
          </w:p>
        </w:tc>
      </w:tr>
      <w:tr w:rsidR="00515486" w14:paraId="423DC81E" w14:textId="77777777" w:rsidTr="004D5D22">
        <w:tc>
          <w:tcPr>
            <w:cnfStyle w:val="001000000000" w:firstRow="0" w:lastRow="0" w:firstColumn="1" w:lastColumn="0" w:oddVBand="0" w:evenVBand="0" w:oddHBand="0" w:evenHBand="0" w:firstRowFirstColumn="0" w:firstRowLastColumn="0" w:lastRowFirstColumn="0" w:lastRowLastColumn="0"/>
            <w:tcW w:w="1843" w:type="dxa"/>
          </w:tcPr>
          <w:p w14:paraId="1E46C2A5" w14:textId="77777777" w:rsidR="00515486" w:rsidRPr="00DD3782" w:rsidRDefault="00515486" w:rsidP="004D5D22">
            <w:pPr>
              <w:spacing w:after="0"/>
              <w:rPr>
                <w:rFonts w:eastAsiaTheme="majorEastAsia" w:cstheme="majorBidi"/>
                <w:color w:val="auto"/>
              </w:rPr>
            </w:pPr>
            <w:r w:rsidRPr="00DD3782">
              <w:rPr>
                <w:rFonts w:eastAsiaTheme="majorEastAsia" w:cstheme="majorBidi"/>
                <w:color w:val="auto"/>
              </w:rPr>
              <w:t>Transport</w:t>
            </w:r>
          </w:p>
        </w:tc>
        <w:tc>
          <w:tcPr>
            <w:tcW w:w="3969" w:type="dxa"/>
          </w:tcPr>
          <w:p w14:paraId="1BA5FF3F" w14:textId="77777777" w:rsidR="00515486" w:rsidRPr="00DD3782" w:rsidRDefault="0052511D"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Pr>
                <w:rFonts w:eastAsiaTheme="majorEastAsia" w:cstheme="majorBidi"/>
                <w:color w:val="auto"/>
              </w:rPr>
              <w:t xml:space="preserve">Accessibility and connectivity are importance determinants in functional economic geography.  </w:t>
            </w:r>
          </w:p>
        </w:tc>
        <w:tc>
          <w:tcPr>
            <w:tcW w:w="3872" w:type="dxa"/>
          </w:tcPr>
          <w:p w14:paraId="4A3DDC6B" w14:textId="77777777" w:rsidR="00515486" w:rsidRPr="00DD3782" w:rsidRDefault="0052511D"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Pr>
                <w:rFonts w:eastAsiaTheme="majorEastAsia" w:cstheme="majorBidi"/>
                <w:color w:val="auto"/>
              </w:rPr>
              <w:t>Lincolnshire, the Humber area and east Yorkshire.</w:t>
            </w:r>
            <w:r w:rsidR="00515486" w:rsidRPr="00DD3782">
              <w:rPr>
                <w:rFonts w:eastAsiaTheme="majorEastAsia" w:cstheme="majorBidi"/>
                <w:color w:val="auto"/>
              </w:rPr>
              <w:t xml:space="preserve"> </w:t>
            </w:r>
          </w:p>
        </w:tc>
      </w:tr>
      <w:tr w:rsidR="00515486" w14:paraId="0D6B42D1" w14:textId="77777777" w:rsidTr="004D5D22">
        <w:tc>
          <w:tcPr>
            <w:cnfStyle w:val="001000000000" w:firstRow="0" w:lastRow="0" w:firstColumn="1" w:lastColumn="0" w:oddVBand="0" w:evenVBand="0" w:oddHBand="0" w:evenHBand="0" w:firstRowFirstColumn="0" w:firstRowLastColumn="0" w:lastRowFirstColumn="0" w:lastRowLastColumn="0"/>
            <w:tcW w:w="1843" w:type="dxa"/>
          </w:tcPr>
          <w:p w14:paraId="5732F92B" w14:textId="77777777" w:rsidR="00515486" w:rsidRPr="00DD3782" w:rsidRDefault="00515486" w:rsidP="004D5D22">
            <w:pPr>
              <w:spacing w:after="0"/>
              <w:rPr>
                <w:rFonts w:eastAsiaTheme="majorEastAsia" w:cstheme="majorBidi"/>
                <w:color w:val="auto"/>
              </w:rPr>
            </w:pPr>
            <w:r>
              <w:rPr>
                <w:rFonts w:eastAsiaTheme="majorEastAsia" w:cstheme="majorBidi"/>
                <w:color w:val="auto"/>
              </w:rPr>
              <w:t>Rural/Urban</w:t>
            </w:r>
          </w:p>
        </w:tc>
        <w:tc>
          <w:tcPr>
            <w:tcW w:w="3969" w:type="dxa"/>
          </w:tcPr>
          <w:p w14:paraId="598DD165"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Pr>
                <w:rFonts w:eastAsiaTheme="majorEastAsia" w:cstheme="majorBidi"/>
                <w:color w:val="auto"/>
              </w:rPr>
              <w:t xml:space="preserve">Urban areas and rural areas often have separate economies and requirements. </w:t>
            </w:r>
          </w:p>
        </w:tc>
        <w:tc>
          <w:tcPr>
            <w:tcW w:w="3872" w:type="dxa"/>
          </w:tcPr>
          <w:p w14:paraId="30A6E350"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Pr>
                <w:rFonts w:eastAsiaTheme="majorEastAsia" w:cstheme="majorBidi"/>
                <w:color w:val="auto"/>
              </w:rPr>
              <w:t>North Lincolnshire &amp; Hull.</w:t>
            </w:r>
          </w:p>
        </w:tc>
      </w:tr>
      <w:tr w:rsidR="00515486" w14:paraId="44AA56AD" w14:textId="77777777" w:rsidTr="004D5D22">
        <w:tc>
          <w:tcPr>
            <w:cnfStyle w:val="001000000000" w:firstRow="0" w:lastRow="0" w:firstColumn="1" w:lastColumn="0" w:oddVBand="0" w:evenVBand="0" w:oddHBand="0" w:evenHBand="0" w:firstRowFirstColumn="0" w:firstRowLastColumn="0" w:lastRowFirstColumn="0" w:lastRowLastColumn="0"/>
            <w:tcW w:w="1843" w:type="dxa"/>
          </w:tcPr>
          <w:p w14:paraId="66EEFBBA" w14:textId="77777777" w:rsidR="00515486" w:rsidRPr="00DD3782" w:rsidRDefault="00515486" w:rsidP="004D5D22">
            <w:pPr>
              <w:spacing w:after="0"/>
              <w:rPr>
                <w:rFonts w:eastAsiaTheme="majorEastAsia" w:cstheme="majorBidi"/>
                <w:color w:val="auto"/>
              </w:rPr>
            </w:pPr>
            <w:r w:rsidRPr="00DD3782">
              <w:rPr>
                <w:rFonts w:eastAsiaTheme="majorEastAsia" w:cstheme="majorBidi"/>
                <w:color w:val="auto"/>
              </w:rPr>
              <w:t>Labour market</w:t>
            </w:r>
            <w:r w:rsidR="0052511D">
              <w:rPr>
                <w:rFonts w:eastAsiaTheme="majorEastAsia" w:cstheme="majorBidi"/>
                <w:color w:val="auto"/>
              </w:rPr>
              <w:t>s</w:t>
            </w:r>
          </w:p>
        </w:tc>
        <w:tc>
          <w:tcPr>
            <w:tcW w:w="3969" w:type="dxa"/>
          </w:tcPr>
          <w:p w14:paraId="793C0A6C" w14:textId="77777777" w:rsidR="00515486" w:rsidRPr="00DD3782" w:rsidRDefault="00515486" w:rsidP="0052511D">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 xml:space="preserve">Significant degree of </w:t>
            </w:r>
            <w:r w:rsidR="0052511D">
              <w:rPr>
                <w:rFonts w:eastAsiaTheme="majorEastAsia" w:cstheme="majorBidi"/>
                <w:color w:val="auto"/>
              </w:rPr>
              <w:t>interdependence</w:t>
            </w:r>
            <w:r w:rsidRPr="00DD3782">
              <w:rPr>
                <w:rFonts w:eastAsiaTheme="majorEastAsia" w:cstheme="majorBidi"/>
                <w:color w:val="auto"/>
              </w:rPr>
              <w:t xml:space="preserve"> </w:t>
            </w:r>
            <w:r w:rsidR="0052511D">
              <w:rPr>
                <w:rFonts w:eastAsiaTheme="majorEastAsia" w:cstheme="majorBidi"/>
                <w:color w:val="auto"/>
              </w:rPr>
              <w:t>between</w:t>
            </w:r>
            <w:r w:rsidRPr="00DD3782">
              <w:rPr>
                <w:rFonts w:eastAsiaTheme="majorEastAsia" w:cstheme="majorBidi"/>
                <w:color w:val="auto"/>
              </w:rPr>
              <w:t xml:space="preserve"> </w:t>
            </w:r>
            <w:r w:rsidR="00BC6EAB">
              <w:rPr>
                <w:rFonts w:eastAsiaTheme="majorEastAsia" w:cstheme="majorBidi"/>
                <w:color w:val="auto"/>
              </w:rPr>
              <w:t>local authority</w:t>
            </w:r>
            <w:r w:rsidRPr="00DD3782">
              <w:rPr>
                <w:rFonts w:eastAsiaTheme="majorEastAsia" w:cstheme="majorBidi"/>
                <w:color w:val="auto"/>
              </w:rPr>
              <w:t xml:space="preserve"> areas in the Humber</w:t>
            </w:r>
            <w:r w:rsidR="00BC6EAB">
              <w:rPr>
                <w:rFonts w:eastAsiaTheme="majorEastAsia" w:cstheme="majorBidi"/>
                <w:color w:val="auto"/>
              </w:rPr>
              <w:t xml:space="preserve"> area</w:t>
            </w:r>
            <w:r w:rsidRPr="00DD3782">
              <w:rPr>
                <w:rFonts w:eastAsiaTheme="majorEastAsia" w:cstheme="majorBidi"/>
                <w:color w:val="auto"/>
              </w:rPr>
              <w:t>.</w:t>
            </w:r>
          </w:p>
        </w:tc>
        <w:tc>
          <w:tcPr>
            <w:tcW w:w="3872" w:type="dxa"/>
          </w:tcPr>
          <w:p w14:paraId="0F68DB1B"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Hull, East Riding, North Lincolnshire, East Lindsey and West Lindsey.</w:t>
            </w:r>
          </w:p>
        </w:tc>
      </w:tr>
      <w:tr w:rsidR="00515486" w14:paraId="6BDF501B" w14:textId="77777777" w:rsidTr="004D5D22">
        <w:tc>
          <w:tcPr>
            <w:cnfStyle w:val="001000000000" w:firstRow="0" w:lastRow="0" w:firstColumn="1" w:lastColumn="0" w:oddVBand="0" w:evenVBand="0" w:oddHBand="0" w:evenHBand="0" w:firstRowFirstColumn="0" w:firstRowLastColumn="0" w:lastRowFirstColumn="0" w:lastRowLastColumn="0"/>
            <w:tcW w:w="1843" w:type="dxa"/>
          </w:tcPr>
          <w:p w14:paraId="55CC09B5" w14:textId="77777777" w:rsidR="00515486" w:rsidRPr="00DD3782" w:rsidRDefault="00515486" w:rsidP="004D5D22">
            <w:pPr>
              <w:spacing w:after="0"/>
              <w:rPr>
                <w:rFonts w:eastAsiaTheme="majorEastAsia" w:cstheme="majorBidi"/>
                <w:color w:val="auto"/>
              </w:rPr>
            </w:pPr>
            <w:r w:rsidRPr="00DD3782">
              <w:rPr>
                <w:rFonts w:eastAsiaTheme="majorEastAsia" w:cstheme="majorBidi"/>
                <w:color w:val="auto"/>
              </w:rPr>
              <w:t>Housing market</w:t>
            </w:r>
            <w:r w:rsidR="0052511D">
              <w:rPr>
                <w:rFonts w:eastAsiaTheme="majorEastAsia" w:cstheme="majorBidi"/>
                <w:color w:val="auto"/>
              </w:rPr>
              <w:t>s</w:t>
            </w:r>
          </w:p>
        </w:tc>
        <w:tc>
          <w:tcPr>
            <w:tcW w:w="3969" w:type="dxa"/>
          </w:tcPr>
          <w:p w14:paraId="0F9D3CF3" w14:textId="77777777" w:rsidR="00515486" w:rsidRPr="00DD3782" w:rsidRDefault="00515486" w:rsidP="004D5D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szCs w:val="22"/>
              </w:rPr>
            </w:pPr>
            <w:r w:rsidRPr="00DD3782">
              <w:rPr>
                <w:rFonts w:eastAsiaTheme="majorEastAsia" w:cstheme="majorBidi"/>
                <w:color w:val="auto"/>
              </w:rPr>
              <w:t xml:space="preserve">Clear indication from the 2013 SHMA </w:t>
            </w:r>
            <w:r w:rsidR="0052511D">
              <w:rPr>
                <w:rFonts w:eastAsiaTheme="majorEastAsia" w:cstheme="majorBidi"/>
                <w:color w:val="auto"/>
              </w:rPr>
              <w:t>showing key linkages with</w:t>
            </w:r>
            <w:r w:rsidRPr="00DD3782">
              <w:rPr>
                <w:rFonts w:eastAsiaTheme="majorEastAsia" w:cstheme="majorBidi"/>
                <w:color w:val="auto"/>
                <w:szCs w:val="22"/>
              </w:rPr>
              <w:t xml:space="preserve"> North Lincolnshire, East Lindsey and</w:t>
            </w:r>
          </w:p>
          <w:p w14:paraId="1E37E1BD"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szCs w:val="22"/>
              </w:rPr>
              <w:t>West Lindsey</w:t>
            </w:r>
            <w:r w:rsidRPr="00DD3782">
              <w:rPr>
                <w:rFonts w:eastAsiaTheme="majorEastAsia" w:cstheme="majorBidi"/>
                <w:color w:val="auto"/>
              </w:rPr>
              <w:t>.</w:t>
            </w:r>
          </w:p>
        </w:tc>
        <w:tc>
          <w:tcPr>
            <w:tcW w:w="3872" w:type="dxa"/>
          </w:tcPr>
          <w:p w14:paraId="60DBD09F"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Neighbouring councils.</w:t>
            </w:r>
          </w:p>
        </w:tc>
      </w:tr>
      <w:tr w:rsidR="00515486" w14:paraId="4969B378" w14:textId="77777777" w:rsidTr="004D5D22">
        <w:tc>
          <w:tcPr>
            <w:cnfStyle w:val="001000000000" w:firstRow="0" w:lastRow="0" w:firstColumn="1" w:lastColumn="0" w:oddVBand="0" w:evenVBand="0" w:oddHBand="0" w:evenHBand="0" w:firstRowFirstColumn="0" w:firstRowLastColumn="0" w:lastRowFirstColumn="0" w:lastRowLastColumn="0"/>
            <w:tcW w:w="1843" w:type="dxa"/>
          </w:tcPr>
          <w:p w14:paraId="71110EAC" w14:textId="77777777" w:rsidR="00515486" w:rsidRPr="00DD3782" w:rsidRDefault="00515486" w:rsidP="004D5D22">
            <w:pPr>
              <w:spacing w:after="0"/>
              <w:rPr>
                <w:rFonts w:eastAsiaTheme="majorEastAsia" w:cstheme="majorBidi"/>
                <w:color w:val="auto"/>
              </w:rPr>
            </w:pPr>
            <w:r w:rsidRPr="00DD3782">
              <w:rPr>
                <w:rFonts w:eastAsiaTheme="majorEastAsia" w:cstheme="majorBidi"/>
                <w:color w:val="auto"/>
              </w:rPr>
              <w:t xml:space="preserve">Administrative Boundaries </w:t>
            </w:r>
          </w:p>
        </w:tc>
        <w:tc>
          <w:tcPr>
            <w:tcW w:w="3969" w:type="dxa"/>
          </w:tcPr>
          <w:p w14:paraId="366CC7DC"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As a member of the Humber</w:t>
            </w:r>
            <w:r>
              <w:rPr>
                <w:rFonts w:eastAsiaTheme="majorEastAsia" w:cstheme="majorBidi"/>
                <w:color w:val="auto"/>
              </w:rPr>
              <w:t xml:space="preserve"> </w:t>
            </w:r>
            <w:r w:rsidRPr="00DD3782">
              <w:rPr>
                <w:rFonts w:eastAsiaTheme="majorEastAsia" w:cstheme="majorBidi"/>
                <w:color w:val="auto"/>
              </w:rPr>
              <w:t>LEP and Greater Lincolnshire LEP there are key economic linkages</w:t>
            </w:r>
            <w:r>
              <w:rPr>
                <w:rFonts w:eastAsiaTheme="majorEastAsia" w:cstheme="majorBidi"/>
                <w:color w:val="auto"/>
              </w:rPr>
              <w:t xml:space="preserve"> </w:t>
            </w:r>
            <w:r w:rsidR="00691145">
              <w:rPr>
                <w:rFonts w:eastAsiaTheme="majorEastAsia" w:cstheme="majorBidi"/>
                <w:color w:val="auto"/>
              </w:rPr>
              <w:t>north and south of the Humber estuary</w:t>
            </w:r>
            <w:r w:rsidRPr="00DD3782">
              <w:rPr>
                <w:rFonts w:eastAsiaTheme="majorEastAsia" w:cstheme="majorBidi"/>
                <w:color w:val="auto"/>
              </w:rPr>
              <w:t>.</w:t>
            </w:r>
          </w:p>
          <w:p w14:paraId="063C01A4"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 xml:space="preserve">Other </w:t>
            </w:r>
            <w:r>
              <w:rPr>
                <w:rFonts w:eastAsiaTheme="majorEastAsia" w:cstheme="majorBidi"/>
                <w:color w:val="auto"/>
              </w:rPr>
              <w:t>a</w:t>
            </w:r>
            <w:r w:rsidRPr="00DD3782">
              <w:rPr>
                <w:rFonts w:eastAsiaTheme="majorEastAsia" w:cstheme="majorBidi"/>
                <w:color w:val="auto"/>
              </w:rPr>
              <w:t xml:space="preserve">dministrative </w:t>
            </w:r>
            <w:r>
              <w:rPr>
                <w:rFonts w:eastAsiaTheme="majorEastAsia" w:cstheme="majorBidi"/>
                <w:color w:val="auto"/>
              </w:rPr>
              <w:t>b</w:t>
            </w:r>
            <w:r w:rsidRPr="00DD3782">
              <w:rPr>
                <w:rFonts w:eastAsiaTheme="majorEastAsia" w:cstheme="majorBidi"/>
                <w:color w:val="auto"/>
              </w:rPr>
              <w:t>oundaries include European NUTS</w:t>
            </w:r>
            <w:r w:rsidRPr="00DD3782">
              <w:rPr>
                <w:rStyle w:val="FootnoteReference"/>
                <w:rFonts w:eastAsiaTheme="majorEastAsia" w:cstheme="majorBidi"/>
                <w:color w:val="auto"/>
              </w:rPr>
              <w:footnoteReference w:id="1"/>
            </w:r>
            <w:r w:rsidRPr="00DD3782">
              <w:rPr>
                <w:rFonts w:eastAsiaTheme="majorEastAsia" w:cstheme="majorBidi"/>
                <w:color w:val="auto"/>
              </w:rPr>
              <w:t xml:space="preserve"> and old county boundaries like Humberside.</w:t>
            </w:r>
          </w:p>
        </w:tc>
        <w:tc>
          <w:tcPr>
            <w:tcW w:w="3872" w:type="dxa"/>
          </w:tcPr>
          <w:p w14:paraId="4717A554"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NUTS III places North Lincolnshire &amp; North East Lincolnshire together.</w:t>
            </w:r>
          </w:p>
          <w:p w14:paraId="712E5C8E"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Humber</w:t>
            </w:r>
            <w:r>
              <w:rPr>
                <w:rFonts w:eastAsiaTheme="majorEastAsia" w:cstheme="majorBidi"/>
                <w:color w:val="auto"/>
              </w:rPr>
              <w:t xml:space="preserve"> </w:t>
            </w:r>
            <w:r w:rsidRPr="00DD3782">
              <w:rPr>
                <w:rFonts w:eastAsiaTheme="majorEastAsia" w:cstheme="majorBidi"/>
                <w:color w:val="auto"/>
              </w:rPr>
              <w:t>LEP, Humber &amp; Ports City Region and Humberside: North Lincolnshire, North East Lincolnshire, Kingston upon Hull and East Riding of Yorkshire.</w:t>
            </w:r>
          </w:p>
          <w:p w14:paraId="1AA1BA03" w14:textId="77777777" w:rsidR="00515486" w:rsidRPr="00DD3782" w:rsidRDefault="00515486" w:rsidP="004D5D22">
            <w:pPr>
              <w:spacing w:after="0"/>
              <w:cnfStyle w:val="000000000000" w:firstRow="0" w:lastRow="0" w:firstColumn="0" w:lastColumn="0" w:oddVBand="0" w:evenVBand="0" w:oddHBand="0" w:evenHBand="0" w:firstRowFirstColumn="0" w:firstRowLastColumn="0" w:lastRowFirstColumn="0" w:lastRowLastColumn="0"/>
              <w:rPr>
                <w:rFonts w:eastAsiaTheme="majorEastAsia" w:cstheme="majorBidi"/>
                <w:color w:val="auto"/>
              </w:rPr>
            </w:pPr>
            <w:r w:rsidRPr="00DD3782">
              <w:rPr>
                <w:rFonts w:eastAsiaTheme="majorEastAsia" w:cstheme="majorBidi"/>
                <w:color w:val="auto"/>
              </w:rPr>
              <w:t>Lincolnshire LEP: County of Lincolnshire.</w:t>
            </w:r>
          </w:p>
        </w:tc>
      </w:tr>
    </w:tbl>
    <w:p w14:paraId="7716ED24" w14:textId="77777777" w:rsidR="00515486" w:rsidRPr="00DD3782" w:rsidRDefault="00515486" w:rsidP="00515486">
      <w:pPr>
        <w:spacing w:before="120"/>
        <w:jc w:val="both"/>
        <w:rPr>
          <w:rFonts w:eastAsiaTheme="majorEastAsia" w:cstheme="majorBidi"/>
        </w:rPr>
      </w:pPr>
      <w:r w:rsidRPr="000C7AE0">
        <w:rPr>
          <w:rFonts w:eastAsiaTheme="majorEastAsia" w:cstheme="majorBidi"/>
        </w:rPr>
        <w:t>The assessment suggest</w:t>
      </w:r>
      <w:r>
        <w:rPr>
          <w:rFonts w:eastAsiaTheme="majorEastAsia" w:cstheme="majorBidi"/>
        </w:rPr>
        <w:t>s</w:t>
      </w:r>
      <w:r w:rsidRPr="000C7AE0">
        <w:rPr>
          <w:rFonts w:eastAsiaTheme="majorEastAsia" w:cstheme="majorBidi"/>
        </w:rPr>
        <w:t xml:space="preserve"> different definitions </w:t>
      </w:r>
      <w:r w:rsidR="00BC6EAB">
        <w:rPr>
          <w:rFonts w:eastAsiaTheme="majorEastAsia" w:cstheme="majorBidi"/>
        </w:rPr>
        <w:t>could be used to describe</w:t>
      </w:r>
      <w:r w:rsidRPr="000C7AE0">
        <w:rPr>
          <w:rFonts w:eastAsiaTheme="majorEastAsia" w:cstheme="majorBidi"/>
        </w:rPr>
        <w:t xml:space="preserve"> the functional economic </w:t>
      </w:r>
      <w:r w:rsidR="00BC6EAB">
        <w:rPr>
          <w:rFonts w:eastAsiaTheme="majorEastAsia" w:cstheme="majorBidi"/>
        </w:rPr>
        <w:t>area</w:t>
      </w:r>
      <w:r>
        <w:rPr>
          <w:rFonts w:eastAsiaTheme="majorEastAsia" w:cstheme="majorBidi"/>
        </w:rPr>
        <w:t xml:space="preserve"> for North East Lincolnshire</w:t>
      </w:r>
      <w:r w:rsidRPr="000C7AE0">
        <w:rPr>
          <w:rFonts w:eastAsiaTheme="majorEastAsia" w:cstheme="majorBidi"/>
        </w:rPr>
        <w:t xml:space="preserve">. </w:t>
      </w:r>
      <w:r>
        <w:rPr>
          <w:rFonts w:eastAsiaTheme="majorEastAsia" w:cstheme="majorBidi"/>
        </w:rPr>
        <w:t>T</w:t>
      </w:r>
      <w:r w:rsidRPr="000C7AE0">
        <w:rPr>
          <w:rFonts w:eastAsiaTheme="majorEastAsia" w:cstheme="majorBidi"/>
        </w:rPr>
        <w:t xml:space="preserve">he </w:t>
      </w:r>
      <w:r>
        <w:rPr>
          <w:rFonts w:eastAsiaTheme="majorEastAsia" w:cstheme="majorBidi"/>
        </w:rPr>
        <w:t>l</w:t>
      </w:r>
      <w:r w:rsidRPr="000C7AE0">
        <w:rPr>
          <w:rFonts w:eastAsiaTheme="majorEastAsia" w:cstheme="majorBidi"/>
        </w:rPr>
        <w:t xml:space="preserve">abour market assessment is the most comprehensive, </w:t>
      </w:r>
      <w:r>
        <w:rPr>
          <w:rFonts w:eastAsiaTheme="majorEastAsia" w:cstheme="majorBidi"/>
        </w:rPr>
        <w:t xml:space="preserve">and demonstrates the relative </w:t>
      </w:r>
      <w:r w:rsidR="00691145">
        <w:rPr>
          <w:rFonts w:eastAsiaTheme="majorEastAsia" w:cstheme="majorBidi"/>
        </w:rPr>
        <w:t>self-</w:t>
      </w:r>
      <w:r>
        <w:rPr>
          <w:rFonts w:eastAsiaTheme="majorEastAsia" w:cstheme="majorBidi"/>
        </w:rPr>
        <w:t xml:space="preserve">containment of the North East Lincolnshire economy. </w:t>
      </w:r>
      <w:r>
        <w:rPr>
          <w:rFonts w:eastAsiaTheme="majorEastAsia" w:cstheme="majorBidi"/>
        </w:rPr>
        <w:br w:type="page"/>
      </w:r>
    </w:p>
    <w:p w14:paraId="45946328" w14:textId="77777777" w:rsidR="00515486" w:rsidRPr="00BC6746" w:rsidRDefault="00515486" w:rsidP="00515486">
      <w:pPr>
        <w:pStyle w:val="Heading1"/>
        <w:numPr>
          <w:ilvl w:val="0"/>
          <w:numId w:val="4"/>
        </w:numPr>
        <w:jc w:val="both"/>
        <w:rPr>
          <w:rFonts w:eastAsiaTheme="majorEastAsia" w:cstheme="majorBidi"/>
        </w:rPr>
      </w:pPr>
      <w:bookmarkStart w:id="37" w:name="_Toc394327691"/>
      <w:r>
        <w:rPr>
          <w:rFonts w:eastAsiaTheme="majorEastAsia" w:cstheme="majorBidi"/>
        </w:rPr>
        <w:t>Business and Enterprise</w:t>
      </w:r>
      <w:bookmarkEnd w:id="37"/>
      <w:r>
        <w:rPr>
          <w:rFonts w:eastAsiaTheme="majorEastAsia" w:cstheme="majorBidi"/>
        </w:rPr>
        <w:t xml:space="preserve"> </w:t>
      </w:r>
    </w:p>
    <w:p w14:paraId="68ACD0B8" w14:textId="77777777" w:rsidR="00515486" w:rsidRDefault="00515486" w:rsidP="00515486">
      <w:pPr>
        <w:jc w:val="both"/>
      </w:pPr>
      <w:r>
        <w:t xml:space="preserve">As demonstrated in </w:t>
      </w:r>
      <w:r w:rsidR="00F70FD0">
        <w:fldChar w:fldCharType="begin"/>
      </w:r>
      <w:r>
        <w:instrText xml:space="preserve"> REF _Ref393462487 \h </w:instrText>
      </w:r>
      <w:r w:rsidR="00F70FD0">
        <w:fldChar w:fldCharType="separate"/>
      </w:r>
      <w:r>
        <w:t xml:space="preserve">Table </w:t>
      </w:r>
      <w:r>
        <w:rPr>
          <w:noProof/>
        </w:rPr>
        <w:t>4</w:t>
      </w:r>
      <w:r>
        <w:t>-</w:t>
      </w:r>
      <w:r>
        <w:rPr>
          <w:noProof/>
        </w:rPr>
        <w:t>1</w:t>
      </w:r>
      <w:r w:rsidR="00F70FD0">
        <w:fldChar w:fldCharType="end"/>
      </w:r>
      <w:r>
        <w:t xml:space="preserve">, North East Lincolnshire has an above average concentration of businesses in manufacturing, construction, motor trades, wholesale and retail, transport and storage, and accommodation and food sectors. This reflects local sectoral strengths in port and logistics operations, renewables and energy, the processing and sale of food (particularly seafood), the visitor economy and chemical &amp; process industries. </w:t>
      </w:r>
    </w:p>
    <w:p w14:paraId="48CFFEDB" w14:textId="77777777" w:rsidR="00515486" w:rsidRPr="006446A1" w:rsidRDefault="00515486" w:rsidP="00515486">
      <w:pPr>
        <w:jc w:val="both"/>
      </w:pPr>
      <w:r>
        <w:t>Th</w:t>
      </w:r>
      <w:r w:rsidR="00906EE5">
        <w:t>e area</w:t>
      </w:r>
      <w:r w:rsidR="00207F63">
        <w:t xml:space="preserve"> is</w:t>
      </w:r>
      <w:r w:rsidR="00906EE5">
        <w:t xml:space="preserve"> relatively under-represented by</w:t>
      </w:r>
      <w:r>
        <w:t xml:space="preserve"> businesses in sectors including information and communication, financial and insurance, professional, scientific and technical and business administration and support services. These sectors are where the UK Government expects to see</w:t>
      </w:r>
      <w:r w:rsidR="00906EE5">
        <w:t xml:space="preserve"> significant</w:t>
      </w:r>
      <w:r>
        <w:t xml:space="preserve"> employment growth nationally over the medium to long term. Economic g</w:t>
      </w:r>
      <w:r w:rsidRPr="006446A1">
        <w:t xml:space="preserve">rowth </w:t>
      </w:r>
      <w:r>
        <w:t xml:space="preserve">in these sectors is expected to create employment for </w:t>
      </w:r>
      <w:r w:rsidRPr="006446A1">
        <w:t xml:space="preserve">highly qualified and highly paid </w:t>
      </w:r>
      <w:r>
        <w:t>individuals</w:t>
      </w:r>
      <w:r w:rsidRPr="006446A1">
        <w:t>, with consequent benefits to the economy’s competitiveness and the prosperity.</w:t>
      </w:r>
      <w:r>
        <w:t xml:space="preserve"> However, the Government is also pushing for a more balanced economic recovery </w:t>
      </w:r>
      <w:r w:rsidR="00906EE5">
        <w:t xml:space="preserve">which includes the ‘reshoring’ of manufacturing, investment in ports and other key infrastructure and significant development of new capacity in renewable energy.  These strands </w:t>
      </w:r>
      <w:r>
        <w:t>o</w:t>
      </w:r>
      <w:r w:rsidR="00906EE5">
        <w:t xml:space="preserve">f Government economic and energy policy offer substantial opportunities for employment growth, economic diversification and enhanced prosperity for North East Lincolnshire over the next decade and beyond.   </w:t>
      </w:r>
      <w:r>
        <w:t xml:space="preserve"> </w:t>
      </w:r>
    </w:p>
    <w:p w14:paraId="6E70F37E" w14:textId="77777777" w:rsidR="00515486" w:rsidRDefault="00515486" w:rsidP="00515486">
      <w:pPr>
        <w:pStyle w:val="Caption"/>
      </w:pPr>
      <w:bookmarkStart w:id="38" w:name="_Ref393462487"/>
      <w:r>
        <w:t xml:space="preserve">Table </w:t>
      </w:r>
      <w:fldSimple w:instr=" STYLEREF 1 \s  \* MERGEFORMAT ">
        <w:r>
          <w:rPr>
            <w:noProof/>
          </w:rPr>
          <w:t>4</w:t>
        </w:r>
      </w:fldSimple>
      <w:r>
        <w:t>-</w:t>
      </w:r>
      <w:fldSimple w:instr=" SEQ Table \* ARABIC \s 1  \* MERGEFORMAT ">
        <w:r>
          <w:rPr>
            <w:noProof/>
          </w:rPr>
          <w:t>1</w:t>
        </w:r>
      </w:fldSimple>
      <w:bookmarkEnd w:id="38"/>
      <w:r>
        <w:tab/>
        <w:t>Distribution of businesses by sector</w:t>
      </w:r>
    </w:p>
    <w:tbl>
      <w:tblPr>
        <w:tblStyle w:val="Atkins14pt"/>
        <w:tblW w:w="9781" w:type="dxa"/>
        <w:tblLayout w:type="fixed"/>
        <w:tblLook w:val="04A0" w:firstRow="1" w:lastRow="0" w:firstColumn="1" w:lastColumn="0" w:noHBand="0" w:noVBand="1"/>
      </w:tblPr>
      <w:tblGrid>
        <w:gridCol w:w="4678"/>
        <w:gridCol w:w="1418"/>
        <w:gridCol w:w="1417"/>
        <w:gridCol w:w="1134"/>
        <w:gridCol w:w="1134"/>
      </w:tblGrid>
      <w:tr w:rsidR="00515486" w:rsidRPr="00124CAE" w14:paraId="71CE7E78" w14:textId="77777777" w:rsidTr="004D5D22">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4678" w:type="dxa"/>
            <w:hideMark/>
          </w:tcPr>
          <w:p w14:paraId="7E3A241A" w14:textId="77777777" w:rsidR="00515486" w:rsidRPr="00B61A50" w:rsidRDefault="00515486" w:rsidP="004D5D22">
            <w:pPr>
              <w:spacing w:after="0"/>
              <w:rPr>
                <w:rFonts w:eastAsia="Times New Roman"/>
                <w:bCs/>
                <w:color w:val="auto"/>
              </w:rPr>
            </w:pPr>
            <w:r w:rsidRPr="00B61A50">
              <w:rPr>
                <w:rFonts w:eastAsia="Times New Roman"/>
                <w:bCs/>
                <w:color w:val="auto"/>
              </w:rPr>
              <w:t>Industry</w:t>
            </w:r>
          </w:p>
        </w:tc>
        <w:tc>
          <w:tcPr>
            <w:tcW w:w="1418" w:type="dxa"/>
            <w:hideMark/>
          </w:tcPr>
          <w:p w14:paraId="1787F90D" w14:textId="77777777" w:rsidR="00515486" w:rsidRPr="00B61A50" w:rsidRDefault="00515486" w:rsidP="00207F6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North East Lincolnshire</w:t>
            </w:r>
          </w:p>
        </w:tc>
        <w:tc>
          <w:tcPr>
            <w:tcW w:w="1417" w:type="dxa"/>
            <w:hideMark/>
          </w:tcPr>
          <w:p w14:paraId="566A2816" w14:textId="77777777" w:rsidR="00515486" w:rsidRPr="00B61A50" w:rsidRDefault="00515486" w:rsidP="00207F6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North Lincolnshire</w:t>
            </w:r>
          </w:p>
        </w:tc>
        <w:tc>
          <w:tcPr>
            <w:tcW w:w="1134" w:type="dxa"/>
            <w:hideMark/>
          </w:tcPr>
          <w:p w14:paraId="4190AEF5" w14:textId="77777777" w:rsidR="00515486" w:rsidRPr="00B61A50" w:rsidRDefault="00515486" w:rsidP="00207F6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Kingston upon Hull, City of</w:t>
            </w:r>
          </w:p>
        </w:tc>
        <w:tc>
          <w:tcPr>
            <w:tcW w:w="1134" w:type="dxa"/>
            <w:hideMark/>
          </w:tcPr>
          <w:p w14:paraId="6694B41C" w14:textId="77777777" w:rsidR="00515486" w:rsidRPr="00B61A50" w:rsidRDefault="00515486" w:rsidP="00207F6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England</w:t>
            </w:r>
          </w:p>
        </w:tc>
      </w:tr>
      <w:tr w:rsidR="00515486" w:rsidRPr="00B61A50" w14:paraId="6AD31DB7"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19D6BBCE" w14:textId="77777777" w:rsidR="00515486" w:rsidRPr="00B61A50" w:rsidRDefault="00515486" w:rsidP="004D5D22">
            <w:pPr>
              <w:spacing w:after="0"/>
              <w:rPr>
                <w:rFonts w:eastAsia="Times New Roman"/>
                <w:bCs/>
                <w:color w:val="auto"/>
              </w:rPr>
            </w:pPr>
            <w:r w:rsidRPr="00B61A50">
              <w:rPr>
                <w:rFonts w:eastAsia="Times New Roman"/>
                <w:bCs/>
                <w:color w:val="auto"/>
              </w:rPr>
              <w:t>Agriculture, forestry &amp; fishing</w:t>
            </w:r>
          </w:p>
        </w:tc>
        <w:tc>
          <w:tcPr>
            <w:tcW w:w="1418" w:type="dxa"/>
            <w:hideMark/>
          </w:tcPr>
          <w:p w14:paraId="5DEF8B33"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1.4%</w:t>
            </w:r>
          </w:p>
        </w:tc>
        <w:tc>
          <w:tcPr>
            <w:tcW w:w="1417" w:type="dxa"/>
            <w:hideMark/>
          </w:tcPr>
          <w:p w14:paraId="49BC1AAA"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8.7%</w:t>
            </w:r>
          </w:p>
        </w:tc>
        <w:tc>
          <w:tcPr>
            <w:tcW w:w="1134" w:type="dxa"/>
            <w:hideMark/>
          </w:tcPr>
          <w:p w14:paraId="5057BE41"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0.3%</w:t>
            </w:r>
          </w:p>
        </w:tc>
        <w:tc>
          <w:tcPr>
            <w:tcW w:w="1134" w:type="dxa"/>
            <w:hideMark/>
          </w:tcPr>
          <w:p w14:paraId="512A9CED"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4.4%</w:t>
            </w:r>
          </w:p>
        </w:tc>
      </w:tr>
      <w:tr w:rsidR="00515486" w:rsidRPr="00B61A50" w14:paraId="76D9D832"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4027EBB8" w14:textId="77777777" w:rsidR="00515486" w:rsidRPr="00B61A50" w:rsidRDefault="00515486" w:rsidP="004D5D22">
            <w:pPr>
              <w:spacing w:after="0"/>
              <w:rPr>
                <w:rFonts w:eastAsia="Times New Roman"/>
                <w:bCs/>
                <w:color w:val="auto"/>
              </w:rPr>
            </w:pPr>
            <w:r w:rsidRPr="00B61A50">
              <w:rPr>
                <w:rFonts w:eastAsia="Times New Roman"/>
                <w:bCs/>
                <w:color w:val="auto"/>
              </w:rPr>
              <w:t>Mining, quarrying &amp; utilities</w:t>
            </w:r>
          </w:p>
        </w:tc>
        <w:tc>
          <w:tcPr>
            <w:tcW w:w="1418" w:type="dxa"/>
            <w:hideMark/>
          </w:tcPr>
          <w:p w14:paraId="568ABD98"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0.8%</w:t>
            </w:r>
          </w:p>
        </w:tc>
        <w:tc>
          <w:tcPr>
            <w:tcW w:w="1417" w:type="dxa"/>
            <w:hideMark/>
          </w:tcPr>
          <w:p w14:paraId="23986290"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1.2%</w:t>
            </w:r>
          </w:p>
        </w:tc>
        <w:tc>
          <w:tcPr>
            <w:tcW w:w="1134" w:type="dxa"/>
            <w:hideMark/>
          </w:tcPr>
          <w:p w14:paraId="2809E8D5"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0.5%</w:t>
            </w:r>
          </w:p>
        </w:tc>
        <w:tc>
          <w:tcPr>
            <w:tcW w:w="1134" w:type="dxa"/>
            <w:hideMark/>
          </w:tcPr>
          <w:p w14:paraId="1F3607E6"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0.6%</w:t>
            </w:r>
          </w:p>
        </w:tc>
      </w:tr>
      <w:tr w:rsidR="00515486" w:rsidRPr="00B61A50" w14:paraId="675C4432"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1E47E79C" w14:textId="77777777" w:rsidR="00515486" w:rsidRPr="00B61A50" w:rsidRDefault="00515486" w:rsidP="004D5D22">
            <w:pPr>
              <w:spacing w:after="0"/>
              <w:rPr>
                <w:rFonts w:eastAsia="Times New Roman"/>
                <w:bCs/>
                <w:color w:val="auto"/>
              </w:rPr>
            </w:pPr>
            <w:r w:rsidRPr="00B61A50">
              <w:rPr>
                <w:rFonts w:eastAsia="Times New Roman"/>
                <w:bCs/>
                <w:color w:val="auto"/>
              </w:rPr>
              <w:t>Manufacturing</w:t>
            </w:r>
          </w:p>
        </w:tc>
        <w:tc>
          <w:tcPr>
            <w:tcW w:w="1418" w:type="dxa"/>
            <w:hideMark/>
          </w:tcPr>
          <w:p w14:paraId="478CFF72"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7.3%</w:t>
            </w:r>
          </w:p>
        </w:tc>
        <w:tc>
          <w:tcPr>
            <w:tcW w:w="1417" w:type="dxa"/>
            <w:hideMark/>
          </w:tcPr>
          <w:p w14:paraId="0730A5F7"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6.3%</w:t>
            </w:r>
          </w:p>
        </w:tc>
        <w:tc>
          <w:tcPr>
            <w:tcW w:w="1134" w:type="dxa"/>
            <w:hideMark/>
          </w:tcPr>
          <w:p w14:paraId="705B9745"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9.0%</w:t>
            </w:r>
          </w:p>
        </w:tc>
        <w:tc>
          <w:tcPr>
            <w:tcW w:w="1134" w:type="dxa"/>
            <w:hideMark/>
          </w:tcPr>
          <w:p w14:paraId="04C72828"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5.3%</w:t>
            </w:r>
          </w:p>
        </w:tc>
      </w:tr>
      <w:tr w:rsidR="00515486" w:rsidRPr="00B61A50" w14:paraId="51066772"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59B11ECF" w14:textId="77777777" w:rsidR="00515486" w:rsidRPr="00B61A50" w:rsidRDefault="00515486" w:rsidP="004D5D22">
            <w:pPr>
              <w:spacing w:after="0"/>
              <w:rPr>
                <w:rFonts w:eastAsia="Times New Roman"/>
                <w:bCs/>
                <w:color w:val="auto"/>
              </w:rPr>
            </w:pPr>
            <w:r w:rsidRPr="00B61A50">
              <w:rPr>
                <w:rFonts w:eastAsia="Times New Roman"/>
                <w:bCs/>
                <w:color w:val="auto"/>
              </w:rPr>
              <w:t>Construction</w:t>
            </w:r>
          </w:p>
        </w:tc>
        <w:tc>
          <w:tcPr>
            <w:tcW w:w="1418" w:type="dxa"/>
            <w:hideMark/>
          </w:tcPr>
          <w:p w14:paraId="7AF7D392"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12.5%</w:t>
            </w:r>
          </w:p>
        </w:tc>
        <w:tc>
          <w:tcPr>
            <w:tcW w:w="1417" w:type="dxa"/>
            <w:hideMark/>
          </w:tcPr>
          <w:p w14:paraId="107C8938"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11.2%</w:t>
            </w:r>
          </w:p>
        </w:tc>
        <w:tc>
          <w:tcPr>
            <w:tcW w:w="1134" w:type="dxa"/>
            <w:hideMark/>
          </w:tcPr>
          <w:p w14:paraId="14A8E284"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9.2%</w:t>
            </w:r>
          </w:p>
        </w:tc>
        <w:tc>
          <w:tcPr>
            <w:tcW w:w="1134" w:type="dxa"/>
            <w:hideMark/>
          </w:tcPr>
          <w:p w14:paraId="2E06AC22"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10.2%</w:t>
            </w:r>
          </w:p>
        </w:tc>
      </w:tr>
      <w:tr w:rsidR="00515486" w:rsidRPr="00B61A50" w14:paraId="58715D68"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DBB6B1C" w14:textId="77777777" w:rsidR="00515486" w:rsidRPr="00B61A50" w:rsidRDefault="00515486" w:rsidP="004D5D22">
            <w:pPr>
              <w:spacing w:after="0"/>
              <w:rPr>
                <w:rFonts w:eastAsia="Times New Roman"/>
                <w:bCs/>
                <w:color w:val="auto"/>
              </w:rPr>
            </w:pPr>
            <w:r w:rsidRPr="00B61A50">
              <w:rPr>
                <w:rFonts w:eastAsia="Times New Roman"/>
                <w:bCs/>
                <w:color w:val="auto"/>
              </w:rPr>
              <w:t>Motor trades</w:t>
            </w:r>
          </w:p>
        </w:tc>
        <w:tc>
          <w:tcPr>
            <w:tcW w:w="1418" w:type="dxa"/>
            <w:hideMark/>
          </w:tcPr>
          <w:p w14:paraId="1A090430"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4.5%</w:t>
            </w:r>
          </w:p>
        </w:tc>
        <w:tc>
          <w:tcPr>
            <w:tcW w:w="1417" w:type="dxa"/>
            <w:hideMark/>
          </w:tcPr>
          <w:p w14:paraId="66F27862"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4.6%</w:t>
            </w:r>
          </w:p>
        </w:tc>
        <w:tc>
          <w:tcPr>
            <w:tcW w:w="1134" w:type="dxa"/>
            <w:hideMark/>
          </w:tcPr>
          <w:p w14:paraId="7F01245C"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3.6%</w:t>
            </w:r>
          </w:p>
        </w:tc>
        <w:tc>
          <w:tcPr>
            <w:tcW w:w="1134" w:type="dxa"/>
            <w:hideMark/>
          </w:tcPr>
          <w:p w14:paraId="69DCD8AD"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3.0%</w:t>
            </w:r>
          </w:p>
        </w:tc>
      </w:tr>
      <w:tr w:rsidR="00515486" w:rsidRPr="00B61A50" w14:paraId="427CE6C3"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10194297" w14:textId="77777777" w:rsidR="00515486" w:rsidRPr="00B61A50" w:rsidRDefault="00515486" w:rsidP="004D5D22">
            <w:pPr>
              <w:spacing w:after="0"/>
              <w:rPr>
                <w:rFonts w:eastAsia="Times New Roman"/>
                <w:bCs/>
                <w:color w:val="auto"/>
              </w:rPr>
            </w:pPr>
            <w:r w:rsidRPr="00B61A50">
              <w:rPr>
                <w:rFonts w:eastAsia="Times New Roman"/>
                <w:bCs/>
                <w:color w:val="auto"/>
              </w:rPr>
              <w:t xml:space="preserve">Wholesale </w:t>
            </w:r>
          </w:p>
        </w:tc>
        <w:tc>
          <w:tcPr>
            <w:tcW w:w="1418" w:type="dxa"/>
            <w:hideMark/>
          </w:tcPr>
          <w:p w14:paraId="341C4C3C"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5.5%</w:t>
            </w:r>
          </w:p>
        </w:tc>
        <w:tc>
          <w:tcPr>
            <w:tcW w:w="1417" w:type="dxa"/>
            <w:hideMark/>
          </w:tcPr>
          <w:p w14:paraId="3CA5682C"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4.7%</w:t>
            </w:r>
          </w:p>
        </w:tc>
        <w:tc>
          <w:tcPr>
            <w:tcW w:w="1134" w:type="dxa"/>
            <w:hideMark/>
          </w:tcPr>
          <w:p w14:paraId="309A39AD"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5.6%</w:t>
            </w:r>
          </w:p>
        </w:tc>
        <w:tc>
          <w:tcPr>
            <w:tcW w:w="1134" w:type="dxa"/>
            <w:hideMark/>
          </w:tcPr>
          <w:p w14:paraId="27A36596"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4.9%</w:t>
            </w:r>
          </w:p>
        </w:tc>
      </w:tr>
      <w:tr w:rsidR="00515486" w:rsidRPr="00B61A50" w14:paraId="16773E7A"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4CAD9451" w14:textId="77777777" w:rsidR="00515486" w:rsidRPr="00B61A50" w:rsidRDefault="00515486" w:rsidP="004D5D22">
            <w:pPr>
              <w:spacing w:after="0"/>
              <w:rPr>
                <w:rFonts w:eastAsia="Times New Roman"/>
                <w:bCs/>
                <w:color w:val="auto"/>
              </w:rPr>
            </w:pPr>
            <w:r w:rsidRPr="00B61A50">
              <w:rPr>
                <w:rFonts w:eastAsia="Times New Roman"/>
                <w:bCs/>
                <w:color w:val="auto"/>
              </w:rPr>
              <w:t xml:space="preserve">Retail </w:t>
            </w:r>
          </w:p>
        </w:tc>
        <w:tc>
          <w:tcPr>
            <w:tcW w:w="1418" w:type="dxa"/>
            <w:hideMark/>
          </w:tcPr>
          <w:p w14:paraId="3A1FBA39"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16.2%</w:t>
            </w:r>
          </w:p>
        </w:tc>
        <w:tc>
          <w:tcPr>
            <w:tcW w:w="1417" w:type="dxa"/>
            <w:hideMark/>
          </w:tcPr>
          <w:p w14:paraId="6E37EB87"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11.1%</w:t>
            </w:r>
          </w:p>
        </w:tc>
        <w:tc>
          <w:tcPr>
            <w:tcW w:w="1134" w:type="dxa"/>
            <w:hideMark/>
          </w:tcPr>
          <w:p w14:paraId="72539D8A"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15.0%</w:t>
            </w:r>
          </w:p>
        </w:tc>
        <w:tc>
          <w:tcPr>
            <w:tcW w:w="1134" w:type="dxa"/>
            <w:hideMark/>
          </w:tcPr>
          <w:p w14:paraId="0CCFAEF2"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10.7%</w:t>
            </w:r>
          </w:p>
        </w:tc>
      </w:tr>
      <w:tr w:rsidR="00515486" w:rsidRPr="00B61A50" w14:paraId="075C7432"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7A48983" w14:textId="77777777" w:rsidR="00515486" w:rsidRPr="00B61A50" w:rsidRDefault="00515486" w:rsidP="004D5D22">
            <w:pPr>
              <w:spacing w:after="0"/>
              <w:rPr>
                <w:rFonts w:eastAsia="Times New Roman"/>
                <w:bCs/>
                <w:color w:val="auto"/>
              </w:rPr>
            </w:pPr>
            <w:r w:rsidRPr="00B61A50">
              <w:rPr>
                <w:rFonts w:eastAsia="Times New Roman"/>
                <w:bCs/>
                <w:color w:val="auto"/>
              </w:rPr>
              <w:t>Transport &amp; storage</w:t>
            </w:r>
          </w:p>
        </w:tc>
        <w:tc>
          <w:tcPr>
            <w:tcW w:w="1418" w:type="dxa"/>
            <w:hideMark/>
          </w:tcPr>
          <w:p w14:paraId="7E3C5375"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6.3%</w:t>
            </w:r>
          </w:p>
        </w:tc>
        <w:tc>
          <w:tcPr>
            <w:tcW w:w="1417" w:type="dxa"/>
            <w:hideMark/>
          </w:tcPr>
          <w:p w14:paraId="6B5AACDB"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7.5%</w:t>
            </w:r>
          </w:p>
        </w:tc>
        <w:tc>
          <w:tcPr>
            <w:tcW w:w="1134" w:type="dxa"/>
            <w:hideMark/>
          </w:tcPr>
          <w:p w14:paraId="10A6496B"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3.6%</w:t>
            </w:r>
          </w:p>
        </w:tc>
        <w:tc>
          <w:tcPr>
            <w:tcW w:w="1134" w:type="dxa"/>
            <w:hideMark/>
          </w:tcPr>
          <w:p w14:paraId="565B4B16"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3.2%</w:t>
            </w:r>
          </w:p>
        </w:tc>
      </w:tr>
      <w:tr w:rsidR="00515486" w:rsidRPr="00B61A50" w14:paraId="3C61CE45"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00E2568B" w14:textId="77777777" w:rsidR="00515486" w:rsidRPr="00B61A50" w:rsidRDefault="00515486" w:rsidP="004D5D22">
            <w:pPr>
              <w:spacing w:after="0"/>
              <w:rPr>
                <w:rFonts w:eastAsia="Times New Roman"/>
                <w:bCs/>
                <w:color w:val="auto"/>
              </w:rPr>
            </w:pPr>
            <w:r w:rsidRPr="00B61A50">
              <w:rPr>
                <w:rFonts w:eastAsia="Times New Roman"/>
                <w:bCs/>
                <w:color w:val="auto"/>
              </w:rPr>
              <w:t>Accommodation &amp; food services</w:t>
            </w:r>
          </w:p>
        </w:tc>
        <w:tc>
          <w:tcPr>
            <w:tcW w:w="1418" w:type="dxa"/>
            <w:hideMark/>
          </w:tcPr>
          <w:p w14:paraId="061EC4B4"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7.1%</w:t>
            </w:r>
          </w:p>
        </w:tc>
        <w:tc>
          <w:tcPr>
            <w:tcW w:w="1417" w:type="dxa"/>
            <w:hideMark/>
          </w:tcPr>
          <w:p w14:paraId="656CD554"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7.4%</w:t>
            </w:r>
          </w:p>
        </w:tc>
        <w:tc>
          <w:tcPr>
            <w:tcW w:w="1134" w:type="dxa"/>
            <w:hideMark/>
          </w:tcPr>
          <w:p w14:paraId="1B40D5BC"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6.8%</w:t>
            </w:r>
          </w:p>
        </w:tc>
        <w:tc>
          <w:tcPr>
            <w:tcW w:w="1134" w:type="dxa"/>
            <w:hideMark/>
          </w:tcPr>
          <w:p w14:paraId="21545C33"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6.2%</w:t>
            </w:r>
          </w:p>
        </w:tc>
      </w:tr>
      <w:tr w:rsidR="00515486" w:rsidRPr="00B61A50" w14:paraId="7F3FD180"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0F32FA52" w14:textId="77777777" w:rsidR="00515486" w:rsidRPr="00B61A50" w:rsidRDefault="00515486" w:rsidP="004D5D22">
            <w:pPr>
              <w:spacing w:after="0"/>
              <w:rPr>
                <w:rFonts w:eastAsia="Times New Roman"/>
                <w:bCs/>
                <w:color w:val="auto"/>
              </w:rPr>
            </w:pPr>
            <w:r w:rsidRPr="00B61A50">
              <w:rPr>
                <w:rFonts w:eastAsia="Times New Roman"/>
                <w:bCs/>
                <w:color w:val="auto"/>
              </w:rPr>
              <w:t xml:space="preserve">Information &amp; communication </w:t>
            </w:r>
          </w:p>
        </w:tc>
        <w:tc>
          <w:tcPr>
            <w:tcW w:w="1418" w:type="dxa"/>
            <w:hideMark/>
          </w:tcPr>
          <w:p w14:paraId="31B9D9AE"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2.1%</w:t>
            </w:r>
          </w:p>
        </w:tc>
        <w:tc>
          <w:tcPr>
            <w:tcW w:w="1417" w:type="dxa"/>
            <w:hideMark/>
          </w:tcPr>
          <w:p w14:paraId="41E0C366"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2.1%</w:t>
            </w:r>
          </w:p>
        </w:tc>
        <w:tc>
          <w:tcPr>
            <w:tcW w:w="1134" w:type="dxa"/>
            <w:hideMark/>
          </w:tcPr>
          <w:p w14:paraId="66B4FC11"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2.5%</w:t>
            </w:r>
          </w:p>
        </w:tc>
        <w:tc>
          <w:tcPr>
            <w:tcW w:w="1134" w:type="dxa"/>
            <w:hideMark/>
          </w:tcPr>
          <w:p w14:paraId="4836F41D"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7.1%</w:t>
            </w:r>
          </w:p>
        </w:tc>
      </w:tr>
      <w:tr w:rsidR="00515486" w:rsidRPr="00B61A50" w14:paraId="1D79051A"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4E551AF4" w14:textId="77777777" w:rsidR="00515486" w:rsidRPr="00B61A50" w:rsidRDefault="00515486" w:rsidP="004D5D22">
            <w:pPr>
              <w:spacing w:after="0"/>
              <w:rPr>
                <w:rFonts w:eastAsia="Times New Roman"/>
                <w:bCs/>
                <w:color w:val="auto"/>
              </w:rPr>
            </w:pPr>
            <w:r w:rsidRPr="00B61A50">
              <w:rPr>
                <w:rFonts w:eastAsia="Times New Roman"/>
                <w:bCs/>
                <w:color w:val="auto"/>
              </w:rPr>
              <w:t xml:space="preserve">Financial &amp; insurance </w:t>
            </w:r>
          </w:p>
        </w:tc>
        <w:tc>
          <w:tcPr>
            <w:tcW w:w="1418" w:type="dxa"/>
            <w:hideMark/>
          </w:tcPr>
          <w:p w14:paraId="31F7DB6F"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1.8%</w:t>
            </w:r>
          </w:p>
        </w:tc>
        <w:tc>
          <w:tcPr>
            <w:tcW w:w="1417" w:type="dxa"/>
            <w:hideMark/>
          </w:tcPr>
          <w:p w14:paraId="0CA9EE2B"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1.7%</w:t>
            </w:r>
          </w:p>
        </w:tc>
        <w:tc>
          <w:tcPr>
            <w:tcW w:w="1134" w:type="dxa"/>
            <w:hideMark/>
          </w:tcPr>
          <w:p w14:paraId="6E22ADFA"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2.3%</w:t>
            </w:r>
          </w:p>
        </w:tc>
        <w:tc>
          <w:tcPr>
            <w:tcW w:w="1134" w:type="dxa"/>
            <w:hideMark/>
          </w:tcPr>
          <w:p w14:paraId="43793F2A"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2.6%</w:t>
            </w:r>
          </w:p>
        </w:tc>
      </w:tr>
      <w:tr w:rsidR="00515486" w:rsidRPr="00B61A50" w14:paraId="48F81C82"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46C57DED" w14:textId="77777777" w:rsidR="00515486" w:rsidRPr="00B61A50" w:rsidRDefault="00515486" w:rsidP="004D5D22">
            <w:pPr>
              <w:spacing w:after="0"/>
              <w:rPr>
                <w:rFonts w:eastAsia="Times New Roman"/>
                <w:bCs/>
                <w:color w:val="auto"/>
              </w:rPr>
            </w:pPr>
            <w:r w:rsidRPr="00B61A50">
              <w:rPr>
                <w:rFonts w:eastAsia="Times New Roman"/>
                <w:bCs/>
                <w:color w:val="auto"/>
              </w:rPr>
              <w:t>Property</w:t>
            </w:r>
          </w:p>
        </w:tc>
        <w:tc>
          <w:tcPr>
            <w:tcW w:w="1418" w:type="dxa"/>
            <w:hideMark/>
          </w:tcPr>
          <w:p w14:paraId="217CD1E1"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2.7%</w:t>
            </w:r>
          </w:p>
        </w:tc>
        <w:tc>
          <w:tcPr>
            <w:tcW w:w="1417" w:type="dxa"/>
            <w:hideMark/>
          </w:tcPr>
          <w:p w14:paraId="4C8C63FA"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2.2%</w:t>
            </w:r>
          </w:p>
        </w:tc>
        <w:tc>
          <w:tcPr>
            <w:tcW w:w="1134" w:type="dxa"/>
            <w:hideMark/>
          </w:tcPr>
          <w:p w14:paraId="40E45359"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3.0%</w:t>
            </w:r>
          </w:p>
        </w:tc>
        <w:tc>
          <w:tcPr>
            <w:tcW w:w="1134" w:type="dxa"/>
            <w:hideMark/>
          </w:tcPr>
          <w:p w14:paraId="125E5BE5"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3.7%</w:t>
            </w:r>
          </w:p>
        </w:tc>
      </w:tr>
      <w:tr w:rsidR="00515486" w:rsidRPr="00B61A50" w14:paraId="16BBC660"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16A8988" w14:textId="77777777" w:rsidR="00515486" w:rsidRPr="00B61A50" w:rsidRDefault="00515486" w:rsidP="004D5D22">
            <w:pPr>
              <w:spacing w:after="0"/>
              <w:rPr>
                <w:rFonts w:eastAsia="Times New Roman"/>
                <w:bCs/>
                <w:color w:val="auto"/>
              </w:rPr>
            </w:pPr>
            <w:r w:rsidRPr="00B61A50">
              <w:rPr>
                <w:rFonts w:eastAsia="Times New Roman"/>
                <w:bCs/>
                <w:color w:val="auto"/>
              </w:rPr>
              <w:t>Professional, scientific &amp; technical</w:t>
            </w:r>
          </w:p>
        </w:tc>
        <w:tc>
          <w:tcPr>
            <w:tcW w:w="1418" w:type="dxa"/>
            <w:hideMark/>
          </w:tcPr>
          <w:p w14:paraId="1F2B0C3C"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9.6%</w:t>
            </w:r>
          </w:p>
        </w:tc>
        <w:tc>
          <w:tcPr>
            <w:tcW w:w="1417" w:type="dxa"/>
            <w:hideMark/>
          </w:tcPr>
          <w:p w14:paraId="51812DF1"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10.1%</w:t>
            </w:r>
          </w:p>
        </w:tc>
        <w:tc>
          <w:tcPr>
            <w:tcW w:w="1134" w:type="dxa"/>
            <w:hideMark/>
          </w:tcPr>
          <w:p w14:paraId="63CC4FB7"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8.1%</w:t>
            </w:r>
          </w:p>
        </w:tc>
        <w:tc>
          <w:tcPr>
            <w:tcW w:w="1134" w:type="dxa"/>
            <w:hideMark/>
          </w:tcPr>
          <w:p w14:paraId="301AFF2A"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15.3%</w:t>
            </w:r>
          </w:p>
        </w:tc>
      </w:tr>
      <w:tr w:rsidR="00515486" w:rsidRPr="00B61A50" w14:paraId="48DD9F22"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3CB61BBB" w14:textId="77777777" w:rsidR="00515486" w:rsidRPr="00B61A50" w:rsidRDefault="00515486" w:rsidP="004D5D22">
            <w:pPr>
              <w:spacing w:after="0"/>
              <w:rPr>
                <w:rFonts w:eastAsia="Times New Roman"/>
                <w:bCs/>
                <w:color w:val="auto"/>
              </w:rPr>
            </w:pPr>
            <w:r w:rsidRPr="00B61A50">
              <w:rPr>
                <w:rFonts w:eastAsia="Times New Roman"/>
                <w:bCs/>
                <w:color w:val="auto"/>
              </w:rPr>
              <w:t>Business administration &amp; support services</w:t>
            </w:r>
          </w:p>
        </w:tc>
        <w:tc>
          <w:tcPr>
            <w:tcW w:w="1418" w:type="dxa"/>
            <w:hideMark/>
          </w:tcPr>
          <w:p w14:paraId="31529A05"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5.3%</w:t>
            </w:r>
          </w:p>
        </w:tc>
        <w:tc>
          <w:tcPr>
            <w:tcW w:w="1417" w:type="dxa"/>
            <w:hideMark/>
          </w:tcPr>
          <w:p w14:paraId="48EB776D"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5.8%</w:t>
            </w:r>
          </w:p>
        </w:tc>
        <w:tc>
          <w:tcPr>
            <w:tcW w:w="1134" w:type="dxa"/>
            <w:hideMark/>
          </w:tcPr>
          <w:p w14:paraId="0C5160A0"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6.3%</w:t>
            </w:r>
          </w:p>
        </w:tc>
        <w:tc>
          <w:tcPr>
            <w:tcW w:w="1134" w:type="dxa"/>
            <w:hideMark/>
          </w:tcPr>
          <w:p w14:paraId="28F48D4E"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7.0%</w:t>
            </w:r>
          </w:p>
        </w:tc>
      </w:tr>
      <w:tr w:rsidR="00515486" w:rsidRPr="00B61A50" w14:paraId="78739D58"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92EC539" w14:textId="77777777" w:rsidR="00515486" w:rsidRPr="00B61A50" w:rsidRDefault="00515486" w:rsidP="004D5D22">
            <w:pPr>
              <w:spacing w:after="0"/>
              <w:rPr>
                <w:rFonts w:eastAsia="Times New Roman"/>
                <w:bCs/>
                <w:color w:val="auto"/>
              </w:rPr>
            </w:pPr>
            <w:r w:rsidRPr="00B61A50">
              <w:rPr>
                <w:rFonts w:eastAsia="Times New Roman"/>
                <w:bCs/>
                <w:color w:val="auto"/>
              </w:rPr>
              <w:t>Public administration &amp; defence</w:t>
            </w:r>
          </w:p>
        </w:tc>
        <w:tc>
          <w:tcPr>
            <w:tcW w:w="1418" w:type="dxa"/>
            <w:hideMark/>
          </w:tcPr>
          <w:p w14:paraId="12510ECD"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0.9%</w:t>
            </w:r>
          </w:p>
        </w:tc>
        <w:tc>
          <w:tcPr>
            <w:tcW w:w="1417" w:type="dxa"/>
            <w:hideMark/>
          </w:tcPr>
          <w:p w14:paraId="4AB181F3"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1.2%</w:t>
            </w:r>
          </w:p>
        </w:tc>
        <w:tc>
          <w:tcPr>
            <w:tcW w:w="1134" w:type="dxa"/>
            <w:hideMark/>
          </w:tcPr>
          <w:p w14:paraId="16D318F4"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4.9%</w:t>
            </w:r>
          </w:p>
        </w:tc>
        <w:tc>
          <w:tcPr>
            <w:tcW w:w="1134" w:type="dxa"/>
            <w:hideMark/>
          </w:tcPr>
          <w:p w14:paraId="3B70FBAB"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0.9%</w:t>
            </w:r>
          </w:p>
        </w:tc>
      </w:tr>
      <w:tr w:rsidR="00515486" w:rsidRPr="00B61A50" w14:paraId="3944E7B3"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06682B17" w14:textId="77777777" w:rsidR="00515486" w:rsidRPr="00B61A50" w:rsidRDefault="00515486" w:rsidP="004D5D22">
            <w:pPr>
              <w:spacing w:after="0"/>
              <w:rPr>
                <w:rFonts w:eastAsia="Times New Roman"/>
                <w:bCs/>
                <w:color w:val="auto"/>
              </w:rPr>
            </w:pPr>
            <w:r w:rsidRPr="00B61A50">
              <w:rPr>
                <w:rFonts w:eastAsia="Times New Roman"/>
                <w:bCs/>
                <w:color w:val="auto"/>
              </w:rPr>
              <w:t>Education</w:t>
            </w:r>
          </w:p>
        </w:tc>
        <w:tc>
          <w:tcPr>
            <w:tcW w:w="1418" w:type="dxa"/>
            <w:hideMark/>
          </w:tcPr>
          <w:p w14:paraId="6549B70B"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2.5%</w:t>
            </w:r>
          </w:p>
        </w:tc>
        <w:tc>
          <w:tcPr>
            <w:tcW w:w="1417" w:type="dxa"/>
            <w:hideMark/>
          </w:tcPr>
          <w:p w14:paraId="580008D8"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2.7%</w:t>
            </w:r>
          </w:p>
        </w:tc>
        <w:tc>
          <w:tcPr>
            <w:tcW w:w="1134" w:type="dxa"/>
            <w:hideMark/>
          </w:tcPr>
          <w:p w14:paraId="14603D3C"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3.0%</w:t>
            </w:r>
          </w:p>
        </w:tc>
        <w:tc>
          <w:tcPr>
            <w:tcW w:w="1134" w:type="dxa"/>
            <w:hideMark/>
          </w:tcPr>
          <w:p w14:paraId="4B19D673"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2.5%</w:t>
            </w:r>
          </w:p>
        </w:tc>
      </w:tr>
      <w:tr w:rsidR="00515486" w:rsidRPr="00B61A50" w14:paraId="624B4792"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2379836A" w14:textId="77777777" w:rsidR="00515486" w:rsidRPr="00B61A50" w:rsidRDefault="00515486" w:rsidP="004D5D22">
            <w:pPr>
              <w:spacing w:after="0"/>
              <w:rPr>
                <w:rFonts w:eastAsia="Times New Roman"/>
                <w:bCs/>
                <w:color w:val="auto"/>
              </w:rPr>
            </w:pPr>
            <w:r w:rsidRPr="00B61A50">
              <w:rPr>
                <w:rFonts w:eastAsia="Times New Roman"/>
                <w:bCs/>
                <w:color w:val="auto"/>
              </w:rPr>
              <w:t>Health</w:t>
            </w:r>
          </w:p>
        </w:tc>
        <w:tc>
          <w:tcPr>
            <w:tcW w:w="1418" w:type="dxa"/>
            <w:hideMark/>
          </w:tcPr>
          <w:p w14:paraId="07B334A1"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6.5%</w:t>
            </w:r>
          </w:p>
        </w:tc>
        <w:tc>
          <w:tcPr>
            <w:tcW w:w="1417" w:type="dxa"/>
            <w:hideMark/>
          </w:tcPr>
          <w:p w14:paraId="00F6C408"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5.0%</w:t>
            </w:r>
          </w:p>
        </w:tc>
        <w:tc>
          <w:tcPr>
            <w:tcW w:w="1134" w:type="dxa"/>
            <w:hideMark/>
          </w:tcPr>
          <w:p w14:paraId="15CB1B95"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10.6%</w:t>
            </w:r>
          </w:p>
        </w:tc>
        <w:tc>
          <w:tcPr>
            <w:tcW w:w="1134" w:type="dxa"/>
            <w:hideMark/>
          </w:tcPr>
          <w:p w14:paraId="2BEDF135"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5.7%</w:t>
            </w:r>
          </w:p>
        </w:tc>
      </w:tr>
      <w:tr w:rsidR="00515486" w:rsidRPr="00B61A50" w14:paraId="5A8A34D9" w14:textId="77777777" w:rsidTr="004D5D22">
        <w:trPr>
          <w:trHeight w:val="170"/>
        </w:trPr>
        <w:tc>
          <w:tcPr>
            <w:cnfStyle w:val="001000000000" w:firstRow="0" w:lastRow="0" w:firstColumn="1" w:lastColumn="0" w:oddVBand="0" w:evenVBand="0" w:oddHBand="0" w:evenHBand="0" w:firstRowFirstColumn="0" w:firstRowLastColumn="0" w:lastRowFirstColumn="0" w:lastRowLastColumn="0"/>
            <w:tcW w:w="4678" w:type="dxa"/>
            <w:hideMark/>
          </w:tcPr>
          <w:p w14:paraId="7D058EE7" w14:textId="77777777" w:rsidR="00515486" w:rsidRPr="00B61A50" w:rsidRDefault="00515486" w:rsidP="004D5D22">
            <w:pPr>
              <w:spacing w:after="0"/>
              <w:rPr>
                <w:rFonts w:eastAsia="Times New Roman"/>
                <w:bCs/>
                <w:color w:val="auto"/>
              </w:rPr>
            </w:pPr>
            <w:r w:rsidRPr="00B61A50">
              <w:rPr>
                <w:rFonts w:eastAsia="Times New Roman"/>
                <w:bCs/>
                <w:color w:val="auto"/>
              </w:rPr>
              <w:t>Arts, entertainment, recreation &amp; other services</w:t>
            </w:r>
          </w:p>
        </w:tc>
        <w:tc>
          <w:tcPr>
            <w:tcW w:w="1418" w:type="dxa"/>
            <w:hideMark/>
          </w:tcPr>
          <w:p w14:paraId="59483ACA"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6.7%</w:t>
            </w:r>
          </w:p>
        </w:tc>
        <w:tc>
          <w:tcPr>
            <w:tcW w:w="1417" w:type="dxa"/>
            <w:hideMark/>
          </w:tcPr>
          <w:p w14:paraId="43042F6C"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6.5%</w:t>
            </w:r>
          </w:p>
        </w:tc>
        <w:tc>
          <w:tcPr>
            <w:tcW w:w="1134" w:type="dxa"/>
            <w:hideMark/>
          </w:tcPr>
          <w:p w14:paraId="129C2C7C"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5.8%</w:t>
            </w:r>
          </w:p>
        </w:tc>
        <w:tc>
          <w:tcPr>
            <w:tcW w:w="1134" w:type="dxa"/>
            <w:hideMark/>
          </w:tcPr>
          <w:p w14:paraId="0C635A41" w14:textId="77777777" w:rsidR="00515486" w:rsidRPr="00B61A50" w:rsidRDefault="00515486" w:rsidP="00207F6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B61A50">
              <w:rPr>
                <w:rFonts w:eastAsia="Times New Roman"/>
                <w:bCs/>
                <w:color w:val="auto"/>
              </w:rPr>
              <w:t>6.8%</w:t>
            </w:r>
          </w:p>
        </w:tc>
      </w:tr>
    </w:tbl>
    <w:p w14:paraId="031A3C62" w14:textId="77777777" w:rsidR="00515486" w:rsidRDefault="00515486" w:rsidP="00515486">
      <w:pPr>
        <w:pStyle w:val="TableSource"/>
      </w:pPr>
      <w:r>
        <w:t>Source: ONS Enterprise Counts</w:t>
      </w:r>
    </w:p>
    <w:p w14:paraId="208B1D06" w14:textId="77777777" w:rsidR="00515486" w:rsidRDefault="00515486" w:rsidP="00515486">
      <w:pPr>
        <w:pStyle w:val="Heading2"/>
        <w:numPr>
          <w:ilvl w:val="1"/>
          <w:numId w:val="4"/>
        </w:numPr>
        <w:jc w:val="both"/>
        <w:rPr>
          <w:rFonts w:eastAsiaTheme="majorEastAsia" w:cstheme="majorBidi"/>
        </w:rPr>
      </w:pPr>
      <w:bookmarkStart w:id="39" w:name="_Toc394327692"/>
      <w:r>
        <w:rPr>
          <w:rFonts w:eastAsiaTheme="majorEastAsia" w:cstheme="majorBidi"/>
        </w:rPr>
        <w:t>Business Density</w:t>
      </w:r>
      <w:bookmarkEnd w:id="39"/>
    </w:p>
    <w:p w14:paraId="13E5231C" w14:textId="77777777" w:rsidR="00515486" w:rsidRDefault="00515486" w:rsidP="00515486">
      <w:pPr>
        <w:jc w:val="both"/>
      </w:pPr>
      <w:r>
        <w:t xml:space="preserve">North East Lincolnshire features a relatively high business density when compared to England, as demonstrated by </w:t>
      </w:r>
      <w:r w:rsidR="00F70FD0">
        <w:rPr>
          <w:noProof/>
          <w:lang w:eastAsia="en-GB"/>
        </w:rPr>
        <w:fldChar w:fldCharType="begin"/>
      </w:r>
      <w:r>
        <w:instrText xml:space="preserve"> REF _Ref393463140 \h </w:instrText>
      </w:r>
      <w:r w:rsidR="00F70FD0">
        <w:rPr>
          <w:noProof/>
          <w:lang w:eastAsia="en-GB"/>
        </w:rPr>
      </w:r>
      <w:r w:rsidR="00F70FD0">
        <w:rPr>
          <w:noProof/>
          <w:lang w:eastAsia="en-GB"/>
        </w:rPr>
        <w:fldChar w:fldCharType="separate"/>
      </w:r>
      <w:r>
        <w:rPr>
          <w:noProof/>
          <w:lang w:eastAsia="en-GB"/>
        </w:rPr>
        <w:t>Figure 4-1</w:t>
      </w:r>
      <w:r w:rsidR="00F70FD0">
        <w:rPr>
          <w:noProof/>
          <w:lang w:eastAsia="en-GB"/>
        </w:rPr>
        <w:fldChar w:fldCharType="end"/>
      </w:r>
      <w:r>
        <w:t xml:space="preserve">. This </w:t>
      </w:r>
      <w:r w:rsidR="00207F63">
        <w:t>partly reflects the</w:t>
      </w:r>
      <w:r>
        <w:t xml:space="preserve"> clustering of several key </w:t>
      </w:r>
      <w:r w:rsidR="00207F63">
        <w:t xml:space="preserve">industrial </w:t>
      </w:r>
      <w:r>
        <w:t>sectors</w:t>
      </w:r>
      <w:r w:rsidR="00207F63">
        <w:t xml:space="preserve"> in the area</w:t>
      </w:r>
      <w:r>
        <w:t>, particularl</w:t>
      </w:r>
      <w:r w:rsidR="00207F63">
        <w:t>y food processing as well as the largely urban characteristics of the Borough.</w:t>
      </w:r>
    </w:p>
    <w:p w14:paraId="5880AEEE" w14:textId="77777777" w:rsidR="00515486" w:rsidRDefault="00515486" w:rsidP="00515486">
      <w:pPr>
        <w:pStyle w:val="Caption"/>
      </w:pPr>
      <w:bookmarkStart w:id="40" w:name="_Ref393463140"/>
      <w:r>
        <w:rPr>
          <w:noProof/>
          <w:lang w:eastAsia="en-GB"/>
        </w:rPr>
        <w:t xml:space="preserve">Figure </w:t>
      </w:r>
      <w:fldSimple w:instr=" STYLEREF 1 \s  \* MERGEFORMAT ">
        <w:r>
          <w:rPr>
            <w:noProof/>
            <w:lang w:eastAsia="en-GB"/>
          </w:rPr>
          <w:t>4</w:t>
        </w:r>
      </w:fldSimple>
      <w:r>
        <w:rPr>
          <w:noProof/>
          <w:lang w:eastAsia="en-GB"/>
        </w:rPr>
        <w:t>-</w:t>
      </w:r>
      <w:fldSimple w:instr=" SEQ Figure \* ARABIC \s 1  \* MERGEFORMAT ">
        <w:r>
          <w:rPr>
            <w:noProof/>
            <w:lang w:eastAsia="en-GB"/>
          </w:rPr>
          <w:t>1</w:t>
        </w:r>
      </w:fldSimple>
      <w:bookmarkEnd w:id="40"/>
      <w:r>
        <w:rPr>
          <w:noProof/>
          <w:lang w:eastAsia="en-GB"/>
        </w:rPr>
        <w:tab/>
        <w:t>Business density (number of enterprises per 10,000 population aged 16-64, 2013)</w:t>
      </w:r>
      <w:r>
        <w:rPr>
          <w:noProof/>
          <w:lang w:eastAsia="en-GB"/>
        </w:rPr>
        <w:drawing>
          <wp:inline distT="0" distB="0" distL="0" distR="0" wp14:anchorId="27D1823B" wp14:editId="2B7DE342">
            <wp:extent cx="5545776" cy="3360717"/>
            <wp:effectExtent l="0" t="0" r="0" b="0"/>
            <wp:docPr id="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C3BE6B" w14:textId="77777777" w:rsidR="00515486" w:rsidRDefault="00515486" w:rsidP="00515486">
      <w:pPr>
        <w:pStyle w:val="TableSource"/>
      </w:pPr>
      <w:r>
        <w:t xml:space="preserve">Source: Mid Year Population Estimates and ONS Enterprise Counts, 2013. </w:t>
      </w:r>
    </w:p>
    <w:p w14:paraId="7F6D0687" w14:textId="77777777" w:rsidR="00515486" w:rsidRPr="00D8799B" w:rsidRDefault="00515486" w:rsidP="00515486">
      <w:pPr>
        <w:jc w:val="both"/>
      </w:pPr>
      <w:r>
        <w:t xml:space="preserve">As demonstrated in </w:t>
      </w:r>
      <w:r w:rsidR="00F70FD0">
        <w:fldChar w:fldCharType="begin"/>
      </w:r>
      <w:r>
        <w:instrText xml:space="preserve"> REF _Ref393463314 \h </w:instrText>
      </w:r>
      <w:r w:rsidR="00F70FD0">
        <w:fldChar w:fldCharType="separate"/>
      </w:r>
      <w:r>
        <w:t xml:space="preserve">Table </w:t>
      </w:r>
      <w:r>
        <w:rPr>
          <w:noProof/>
        </w:rPr>
        <w:t>4</w:t>
      </w:r>
      <w:r>
        <w:t>-</w:t>
      </w:r>
      <w:r>
        <w:rPr>
          <w:noProof/>
        </w:rPr>
        <w:t>2</w:t>
      </w:r>
      <w:r w:rsidR="00F70FD0">
        <w:fldChar w:fldCharType="end"/>
      </w:r>
      <w:r>
        <w:t xml:space="preserve">, </w:t>
      </w:r>
      <w:r w:rsidR="000D7A68">
        <w:t>North East Lincolnshire when compared to the national average,</w:t>
      </w:r>
      <w:r>
        <w:t xml:space="preserve"> has a relatively </w:t>
      </w:r>
      <w:r w:rsidR="000D7A68">
        <w:t>low</w:t>
      </w:r>
      <w:r>
        <w:t xml:space="preserve"> prop</w:t>
      </w:r>
      <w:r w:rsidR="000D7A68">
        <w:t>ortion of micro-businesses (</w:t>
      </w:r>
      <w:r>
        <w:t>2-4 employees</w:t>
      </w:r>
      <w:r w:rsidR="000D7A68">
        <w:t>)</w:t>
      </w:r>
      <w:r>
        <w:t xml:space="preserve"> and a relatively high proportion of small </w:t>
      </w:r>
      <w:r w:rsidR="000D7A68">
        <w:t>businesses with 10-24 employees</w:t>
      </w:r>
      <w:r>
        <w:t xml:space="preserve">. </w:t>
      </w:r>
      <w:r w:rsidR="000D7A68">
        <w:t>The under-representation of micro businesses presents both a challenge and an opportunity.  Business support efforts should be prioritised for micro and small businesses in order to enhance enterprise and the entrepreneurship culture in North East Lincolnshire.  Significant latent economic growth and prosperity could be released as a result of carefully targeted business support initiatives including better access to funding.</w:t>
      </w:r>
    </w:p>
    <w:p w14:paraId="14A06C52" w14:textId="77777777" w:rsidR="00515486" w:rsidRDefault="00515486" w:rsidP="00515486">
      <w:pPr>
        <w:pStyle w:val="Caption"/>
      </w:pPr>
      <w:bookmarkStart w:id="41" w:name="_Ref393463314"/>
      <w:bookmarkStart w:id="42" w:name="_Ref393873719"/>
      <w:r>
        <w:t xml:space="preserve">Table </w:t>
      </w:r>
      <w:fldSimple w:instr=" STYLEREF 1 \s  \* MERGEFORMAT ">
        <w:r>
          <w:rPr>
            <w:noProof/>
          </w:rPr>
          <w:t>4</w:t>
        </w:r>
      </w:fldSimple>
      <w:r>
        <w:t>-</w:t>
      </w:r>
      <w:fldSimple w:instr=" SEQ Table \* ARABIC \s 1  \* MERGEFORMAT ">
        <w:r>
          <w:rPr>
            <w:noProof/>
          </w:rPr>
          <w:t>2</w:t>
        </w:r>
      </w:fldSimple>
      <w:bookmarkEnd w:id="41"/>
      <w:r>
        <w:tab/>
        <w:t>Distribution of businesses by size (2013)</w:t>
      </w:r>
      <w:bookmarkEnd w:id="42"/>
    </w:p>
    <w:tbl>
      <w:tblPr>
        <w:tblStyle w:val="Atkins14pt"/>
        <w:tblW w:w="9680" w:type="dxa"/>
        <w:tblLayout w:type="fixed"/>
        <w:tblLook w:val="04A0" w:firstRow="1" w:lastRow="0" w:firstColumn="1" w:lastColumn="0" w:noHBand="0" w:noVBand="1"/>
      </w:tblPr>
      <w:tblGrid>
        <w:gridCol w:w="2820"/>
        <w:gridCol w:w="1372"/>
        <w:gridCol w:w="1372"/>
        <w:gridCol w:w="1372"/>
        <w:gridCol w:w="1372"/>
        <w:gridCol w:w="1372"/>
      </w:tblGrid>
      <w:tr w:rsidR="00515486" w:rsidRPr="00CB034F" w14:paraId="4795F26C" w14:textId="77777777" w:rsidTr="004D5D22">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2820" w:type="dxa"/>
            <w:noWrap/>
            <w:hideMark/>
          </w:tcPr>
          <w:p w14:paraId="69684241" w14:textId="77777777" w:rsidR="00515486" w:rsidRPr="00E97A33" w:rsidRDefault="00515486" w:rsidP="004D5D22">
            <w:pPr>
              <w:pStyle w:val="TableHeading"/>
              <w:jc w:val="both"/>
              <w:rPr>
                <w:color w:val="auto"/>
              </w:rPr>
            </w:pPr>
            <w:r w:rsidRPr="00E97A33">
              <w:rPr>
                <w:color w:val="auto"/>
              </w:rPr>
              <w:t>Number of employees</w:t>
            </w:r>
          </w:p>
        </w:tc>
        <w:tc>
          <w:tcPr>
            <w:tcW w:w="1372" w:type="dxa"/>
          </w:tcPr>
          <w:p w14:paraId="5FC2A7DB" w14:textId="77777777" w:rsidR="00515486" w:rsidRPr="00E97A33" w:rsidRDefault="00515486" w:rsidP="00747120">
            <w:pPr>
              <w:pStyle w:val="TableHeading"/>
              <w:jc w:val="center"/>
              <w:cnfStyle w:val="100000000000" w:firstRow="1" w:lastRow="0" w:firstColumn="0" w:lastColumn="0" w:oddVBand="0" w:evenVBand="0" w:oddHBand="0" w:evenHBand="0" w:firstRowFirstColumn="0" w:firstRowLastColumn="0" w:lastRowFirstColumn="0" w:lastRowLastColumn="0"/>
              <w:rPr>
                <w:bCs/>
                <w:color w:val="auto"/>
              </w:rPr>
            </w:pPr>
            <w:r w:rsidRPr="00E97A33">
              <w:rPr>
                <w:bCs/>
                <w:color w:val="auto"/>
              </w:rPr>
              <w:t>North East Lincs.</w:t>
            </w:r>
          </w:p>
        </w:tc>
        <w:tc>
          <w:tcPr>
            <w:tcW w:w="1372" w:type="dxa"/>
            <w:noWrap/>
            <w:hideMark/>
          </w:tcPr>
          <w:p w14:paraId="49AE5A25" w14:textId="77777777" w:rsidR="00515486" w:rsidRPr="00E97A33" w:rsidRDefault="00515486" w:rsidP="00747120">
            <w:pPr>
              <w:pStyle w:val="TableHeading"/>
              <w:jc w:val="center"/>
              <w:cnfStyle w:val="100000000000" w:firstRow="1" w:lastRow="0" w:firstColumn="0" w:lastColumn="0" w:oddVBand="0" w:evenVBand="0" w:oddHBand="0" w:evenHBand="0" w:firstRowFirstColumn="0" w:firstRowLastColumn="0" w:lastRowFirstColumn="0" w:lastRowLastColumn="0"/>
              <w:rPr>
                <w:bCs/>
                <w:color w:val="auto"/>
              </w:rPr>
            </w:pPr>
            <w:r w:rsidRPr="00E97A33">
              <w:rPr>
                <w:bCs/>
                <w:color w:val="auto"/>
              </w:rPr>
              <w:t>Kingston upon Hull</w:t>
            </w:r>
          </w:p>
        </w:tc>
        <w:tc>
          <w:tcPr>
            <w:tcW w:w="1372" w:type="dxa"/>
            <w:noWrap/>
            <w:hideMark/>
          </w:tcPr>
          <w:p w14:paraId="40C51243" w14:textId="77777777" w:rsidR="00515486" w:rsidRPr="00E97A33" w:rsidRDefault="00515486" w:rsidP="00747120">
            <w:pPr>
              <w:pStyle w:val="TableHeading"/>
              <w:jc w:val="center"/>
              <w:cnfStyle w:val="100000000000" w:firstRow="1" w:lastRow="0" w:firstColumn="0" w:lastColumn="0" w:oddVBand="0" w:evenVBand="0" w:oddHBand="0" w:evenHBand="0" w:firstRowFirstColumn="0" w:firstRowLastColumn="0" w:lastRowFirstColumn="0" w:lastRowLastColumn="0"/>
              <w:rPr>
                <w:bCs/>
                <w:color w:val="auto"/>
              </w:rPr>
            </w:pPr>
            <w:r w:rsidRPr="00E97A33">
              <w:rPr>
                <w:bCs/>
                <w:color w:val="auto"/>
              </w:rPr>
              <w:t>East Riding of Yorkshire</w:t>
            </w:r>
          </w:p>
        </w:tc>
        <w:tc>
          <w:tcPr>
            <w:tcW w:w="1372" w:type="dxa"/>
            <w:noWrap/>
            <w:hideMark/>
          </w:tcPr>
          <w:p w14:paraId="635A5F7E" w14:textId="77777777" w:rsidR="00515486" w:rsidRPr="00E97A33" w:rsidRDefault="00515486" w:rsidP="00747120">
            <w:pPr>
              <w:pStyle w:val="TableHeading"/>
              <w:jc w:val="center"/>
              <w:cnfStyle w:val="100000000000" w:firstRow="1" w:lastRow="0" w:firstColumn="0" w:lastColumn="0" w:oddVBand="0" w:evenVBand="0" w:oddHBand="0" w:evenHBand="0" w:firstRowFirstColumn="0" w:firstRowLastColumn="0" w:lastRowFirstColumn="0" w:lastRowLastColumn="0"/>
              <w:rPr>
                <w:bCs/>
                <w:color w:val="auto"/>
              </w:rPr>
            </w:pPr>
            <w:r w:rsidRPr="00E97A33">
              <w:rPr>
                <w:bCs/>
                <w:color w:val="auto"/>
              </w:rPr>
              <w:t>North Lincs.</w:t>
            </w:r>
          </w:p>
        </w:tc>
        <w:tc>
          <w:tcPr>
            <w:tcW w:w="1372" w:type="dxa"/>
            <w:noWrap/>
            <w:hideMark/>
          </w:tcPr>
          <w:p w14:paraId="1D0E45BC" w14:textId="77777777" w:rsidR="00515486" w:rsidRPr="00E97A33" w:rsidRDefault="00515486" w:rsidP="00747120">
            <w:pPr>
              <w:pStyle w:val="TableHeading"/>
              <w:jc w:val="center"/>
              <w:cnfStyle w:val="100000000000" w:firstRow="1" w:lastRow="0" w:firstColumn="0" w:lastColumn="0" w:oddVBand="0" w:evenVBand="0" w:oddHBand="0" w:evenHBand="0" w:firstRowFirstColumn="0" w:firstRowLastColumn="0" w:lastRowFirstColumn="0" w:lastRowLastColumn="0"/>
              <w:rPr>
                <w:bCs/>
                <w:color w:val="auto"/>
              </w:rPr>
            </w:pPr>
            <w:r w:rsidRPr="00E97A33">
              <w:rPr>
                <w:bCs/>
                <w:color w:val="auto"/>
              </w:rPr>
              <w:t>England</w:t>
            </w:r>
          </w:p>
        </w:tc>
      </w:tr>
      <w:tr w:rsidR="00515486" w:rsidRPr="00CB034F" w14:paraId="0AE2FAF6"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5E81EAC1" w14:textId="77777777" w:rsidR="00515486" w:rsidRPr="00E97A33" w:rsidRDefault="00515486" w:rsidP="004D5D22">
            <w:pPr>
              <w:pStyle w:val="TableText"/>
              <w:jc w:val="both"/>
              <w:rPr>
                <w:color w:val="auto"/>
              </w:rPr>
            </w:pPr>
            <w:r w:rsidRPr="00E97A33">
              <w:rPr>
                <w:color w:val="auto"/>
              </w:rPr>
              <w:t>2 to 4</w:t>
            </w:r>
          </w:p>
        </w:tc>
        <w:tc>
          <w:tcPr>
            <w:tcW w:w="1372" w:type="dxa"/>
          </w:tcPr>
          <w:p w14:paraId="3917DFEE"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40%</w:t>
            </w:r>
          </w:p>
        </w:tc>
        <w:tc>
          <w:tcPr>
            <w:tcW w:w="1372" w:type="dxa"/>
            <w:noWrap/>
            <w:hideMark/>
          </w:tcPr>
          <w:p w14:paraId="63F683ED"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40%</w:t>
            </w:r>
          </w:p>
        </w:tc>
        <w:tc>
          <w:tcPr>
            <w:tcW w:w="1372" w:type="dxa"/>
            <w:noWrap/>
            <w:hideMark/>
          </w:tcPr>
          <w:p w14:paraId="03300C78"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57%</w:t>
            </w:r>
          </w:p>
        </w:tc>
        <w:tc>
          <w:tcPr>
            <w:tcW w:w="1372" w:type="dxa"/>
            <w:noWrap/>
            <w:hideMark/>
          </w:tcPr>
          <w:p w14:paraId="655B0440"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51%</w:t>
            </w:r>
          </w:p>
        </w:tc>
        <w:tc>
          <w:tcPr>
            <w:tcW w:w="1372" w:type="dxa"/>
            <w:noWrap/>
            <w:hideMark/>
          </w:tcPr>
          <w:p w14:paraId="6FBEEEFB"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52%</w:t>
            </w:r>
          </w:p>
        </w:tc>
      </w:tr>
      <w:tr w:rsidR="00515486" w:rsidRPr="00CB034F" w14:paraId="46772CF4"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40C278DF" w14:textId="77777777" w:rsidR="00515486" w:rsidRPr="00E97A33" w:rsidRDefault="00515486" w:rsidP="004D5D22">
            <w:pPr>
              <w:pStyle w:val="TableText"/>
              <w:jc w:val="both"/>
              <w:rPr>
                <w:color w:val="auto"/>
              </w:rPr>
            </w:pPr>
            <w:r w:rsidRPr="00E97A33">
              <w:rPr>
                <w:color w:val="auto"/>
              </w:rPr>
              <w:t>5 to 9</w:t>
            </w:r>
          </w:p>
        </w:tc>
        <w:tc>
          <w:tcPr>
            <w:tcW w:w="1372" w:type="dxa"/>
          </w:tcPr>
          <w:p w14:paraId="7FA3E41D"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21%</w:t>
            </w:r>
          </w:p>
        </w:tc>
        <w:tc>
          <w:tcPr>
            <w:tcW w:w="1372" w:type="dxa"/>
            <w:noWrap/>
            <w:hideMark/>
          </w:tcPr>
          <w:p w14:paraId="4D733C52"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23%</w:t>
            </w:r>
          </w:p>
        </w:tc>
        <w:tc>
          <w:tcPr>
            <w:tcW w:w="1372" w:type="dxa"/>
            <w:noWrap/>
            <w:hideMark/>
          </w:tcPr>
          <w:p w14:paraId="58DE0582"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17%</w:t>
            </w:r>
          </w:p>
        </w:tc>
        <w:tc>
          <w:tcPr>
            <w:tcW w:w="1372" w:type="dxa"/>
            <w:noWrap/>
            <w:hideMark/>
          </w:tcPr>
          <w:p w14:paraId="58861F65"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20%</w:t>
            </w:r>
          </w:p>
        </w:tc>
        <w:tc>
          <w:tcPr>
            <w:tcW w:w="1372" w:type="dxa"/>
            <w:noWrap/>
            <w:hideMark/>
          </w:tcPr>
          <w:p w14:paraId="2C6F575C"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22%</w:t>
            </w:r>
          </w:p>
        </w:tc>
      </w:tr>
      <w:tr w:rsidR="00515486" w:rsidRPr="00CB034F" w14:paraId="12963CDF"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65045FE2" w14:textId="77777777" w:rsidR="00515486" w:rsidRPr="00E97A33" w:rsidRDefault="00515486" w:rsidP="004D5D22">
            <w:pPr>
              <w:pStyle w:val="TableText"/>
              <w:jc w:val="both"/>
              <w:rPr>
                <w:color w:val="auto"/>
              </w:rPr>
            </w:pPr>
            <w:r w:rsidRPr="00E97A33">
              <w:rPr>
                <w:color w:val="auto"/>
              </w:rPr>
              <w:t>10 to 24</w:t>
            </w:r>
          </w:p>
        </w:tc>
        <w:tc>
          <w:tcPr>
            <w:tcW w:w="1372" w:type="dxa"/>
          </w:tcPr>
          <w:p w14:paraId="73DF59BC"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26%</w:t>
            </w:r>
          </w:p>
        </w:tc>
        <w:tc>
          <w:tcPr>
            <w:tcW w:w="1372" w:type="dxa"/>
            <w:noWrap/>
            <w:hideMark/>
          </w:tcPr>
          <w:p w14:paraId="5A826C12"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23%</w:t>
            </w:r>
          </w:p>
        </w:tc>
        <w:tc>
          <w:tcPr>
            <w:tcW w:w="1372" w:type="dxa"/>
            <w:noWrap/>
            <w:hideMark/>
          </w:tcPr>
          <w:p w14:paraId="5878C23C"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17%</w:t>
            </w:r>
          </w:p>
        </w:tc>
        <w:tc>
          <w:tcPr>
            <w:tcW w:w="1372" w:type="dxa"/>
            <w:noWrap/>
            <w:hideMark/>
          </w:tcPr>
          <w:p w14:paraId="2BC04D84"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19%</w:t>
            </w:r>
          </w:p>
        </w:tc>
        <w:tc>
          <w:tcPr>
            <w:tcW w:w="1372" w:type="dxa"/>
            <w:noWrap/>
            <w:hideMark/>
          </w:tcPr>
          <w:p w14:paraId="0B6A9301"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15%</w:t>
            </w:r>
          </w:p>
        </w:tc>
      </w:tr>
      <w:tr w:rsidR="00515486" w:rsidRPr="00CB034F" w14:paraId="6B13DEE6"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28A9F0A2" w14:textId="77777777" w:rsidR="00515486" w:rsidRPr="00E97A33" w:rsidRDefault="00515486" w:rsidP="004D5D22">
            <w:pPr>
              <w:pStyle w:val="TableText"/>
              <w:jc w:val="both"/>
              <w:rPr>
                <w:color w:val="auto"/>
              </w:rPr>
            </w:pPr>
            <w:r w:rsidRPr="00E97A33">
              <w:rPr>
                <w:color w:val="auto"/>
              </w:rPr>
              <w:t>25 to 49</w:t>
            </w:r>
          </w:p>
        </w:tc>
        <w:tc>
          <w:tcPr>
            <w:tcW w:w="1372" w:type="dxa"/>
          </w:tcPr>
          <w:p w14:paraId="1A81447B"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6%</w:t>
            </w:r>
          </w:p>
        </w:tc>
        <w:tc>
          <w:tcPr>
            <w:tcW w:w="1372" w:type="dxa"/>
            <w:noWrap/>
            <w:hideMark/>
          </w:tcPr>
          <w:p w14:paraId="6C2CDD0D"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8%</w:t>
            </w:r>
          </w:p>
        </w:tc>
        <w:tc>
          <w:tcPr>
            <w:tcW w:w="1372" w:type="dxa"/>
            <w:noWrap/>
            <w:hideMark/>
          </w:tcPr>
          <w:p w14:paraId="102928AC"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w:t>
            </w:r>
          </w:p>
        </w:tc>
        <w:tc>
          <w:tcPr>
            <w:tcW w:w="1372" w:type="dxa"/>
            <w:noWrap/>
            <w:hideMark/>
          </w:tcPr>
          <w:p w14:paraId="160A0629"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7%</w:t>
            </w:r>
          </w:p>
        </w:tc>
        <w:tc>
          <w:tcPr>
            <w:tcW w:w="1372" w:type="dxa"/>
            <w:noWrap/>
            <w:hideMark/>
          </w:tcPr>
          <w:p w14:paraId="199B04CD"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6%</w:t>
            </w:r>
          </w:p>
        </w:tc>
      </w:tr>
      <w:tr w:rsidR="00515486" w:rsidRPr="00CB034F" w14:paraId="14F5CBBC"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745B00C2" w14:textId="77777777" w:rsidR="00515486" w:rsidRPr="00E97A33" w:rsidRDefault="00515486" w:rsidP="004D5D22">
            <w:pPr>
              <w:pStyle w:val="TableText"/>
              <w:jc w:val="both"/>
              <w:rPr>
                <w:color w:val="auto"/>
              </w:rPr>
            </w:pPr>
            <w:r w:rsidRPr="00E97A33">
              <w:rPr>
                <w:color w:val="auto"/>
              </w:rPr>
              <w:t>50 to 99</w:t>
            </w:r>
          </w:p>
        </w:tc>
        <w:tc>
          <w:tcPr>
            <w:tcW w:w="1372" w:type="dxa"/>
          </w:tcPr>
          <w:p w14:paraId="6238FF32"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w:t>
            </w:r>
          </w:p>
        </w:tc>
        <w:tc>
          <w:tcPr>
            <w:tcW w:w="1372" w:type="dxa"/>
            <w:noWrap/>
            <w:hideMark/>
          </w:tcPr>
          <w:p w14:paraId="3FA31095"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3%</w:t>
            </w:r>
          </w:p>
        </w:tc>
        <w:tc>
          <w:tcPr>
            <w:tcW w:w="1372" w:type="dxa"/>
            <w:noWrap/>
            <w:hideMark/>
          </w:tcPr>
          <w:p w14:paraId="6DC001C9"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3%</w:t>
            </w:r>
          </w:p>
        </w:tc>
        <w:tc>
          <w:tcPr>
            <w:tcW w:w="1372" w:type="dxa"/>
            <w:noWrap/>
            <w:hideMark/>
          </w:tcPr>
          <w:p w14:paraId="7A117E2B"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3%</w:t>
            </w:r>
          </w:p>
        </w:tc>
        <w:tc>
          <w:tcPr>
            <w:tcW w:w="1372" w:type="dxa"/>
            <w:noWrap/>
            <w:hideMark/>
          </w:tcPr>
          <w:p w14:paraId="0C222518"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3%</w:t>
            </w:r>
          </w:p>
        </w:tc>
      </w:tr>
      <w:tr w:rsidR="00515486" w:rsidRPr="00CB034F" w14:paraId="6E67444A"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34959FBF" w14:textId="77777777" w:rsidR="00515486" w:rsidRPr="00E97A33" w:rsidRDefault="00515486" w:rsidP="004D5D22">
            <w:pPr>
              <w:pStyle w:val="TableText"/>
              <w:jc w:val="both"/>
              <w:rPr>
                <w:color w:val="auto"/>
              </w:rPr>
            </w:pPr>
            <w:r w:rsidRPr="00E97A33">
              <w:rPr>
                <w:color w:val="auto"/>
              </w:rPr>
              <w:t>100 to 249</w:t>
            </w:r>
          </w:p>
        </w:tc>
        <w:tc>
          <w:tcPr>
            <w:tcW w:w="1372" w:type="dxa"/>
          </w:tcPr>
          <w:p w14:paraId="6B1E41EB"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w:t>
            </w:r>
          </w:p>
        </w:tc>
        <w:tc>
          <w:tcPr>
            <w:tcW w:w="1372" w:type="dxa"/>
            <w:noWrap/>
            <w:hideMark/>
          </w:tcPr>
          <w:p w14:paraId="02D3C4EB"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w:t>
            </w:r>
          </w:p>
        </w:tc>
        <w:tc>
          <w:tcPr>
            <w:tcW w:w="1372" w:type="dxa"/>
            <w:noWrap/>
            <w:hideMark/>
          </w:tcPr>
          <w:p w14:paraId="11361842"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w:t>
            </w:r>
          </w:p>
        </w:tc>
        <w:tc>
          <w:tcPr>
            <w:tcW w:w="1372" w:type="dxa"/>
            <w:noWrap/>
            <w:hideMark/>
          </w:tcPr>
          <w:p w14:paraId="634D47E3"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w:t>
            </w:r>
          </w:p>
        </w:tc>
        <w:tc>
          <w:tcPr>
            <w:tcW w:w="1372" w:type="dxa"/>
            <w:noWrap/>
            <w:hideMark/>
          </w:tcPr>
          <w:p w14:paraId="26CBAAE1"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w:t>
            </w:r>
          </w:p>
        </w:tc>
      </w:tr>
      <w:tr w:rsidR="00515486" w:rsidRPr="00CB034F" w14:paraId="09836E0D"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2820" w:type="dxa"/>
            <w:noWrap/>
            <w:hideMark/>
          </w:tcPr>
          <w:p w14:paraId="0AB3C0D3" w14:textId="77777777" w:rsidR="00515486" w:rsidRPr="00E97A33" w:rsidRDefault="00515486" w:rsidP="004D5D22">
            <w:pPr>
              <w:pStyle w:val="TableText"/>
              <w:jc w:val="both"/>
              <w:rPr>
                <w:color w:val="auto"/>
              </w:rPr>
            </w:pPr>
            <w:r w:rsidRPr="00E97A33">
              <w:rPr>
                <w:color w:val="auto"/>
              </w:rPr>
              <w:t>250+</w:t>
            </w:r>
          </w:p>
        </w:tc>
        <w:tc>
          <w:tcPr>
            <w:tcW w:w="1372" w:type="dxa"/>
          </w:tcPr>
          <w:p w14:paraId="2CF90E88"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w:t>
            </w:r>
          </w:p>
        </w:tc>
        <w:tc>
          <w:tcPr>
            <w:tcW w:w="1372" w:type="dxa"/>
            <w:noWrap/>
            <w:hideMark/>
          </w:tcPr>
          <w:p w14:paraId="69AF53DE"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w:t>
            </w:r>
          </w:p>
        </w:tc>
        <w:tc>
          <w:tcPr>
            <w:tcW w:w="1372" w:type="dxa"/>
            <w:noWrap/>
            <w:hideMark/>
          </w:tcPr>
          <w:p w14:paraId="06314B09"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w:t>
            </w:r>
          </w:p>
        </w:tc>
        <w:tc>
          <w:tcPr>
            <w:tcW w:w="1372" w:type="dxa"/>
            <w:noWrap/>
            <w:hideMark/>
          </w:tcPr>
          <w:p w14:paraId="2C185483"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w:t>
            </w:r>
          </w:p>
        </w:tc>
        <w:tc>
          <w:tcPr>
            <w:tcW w:w="1372" w:type="dxa"/>
            <w:noWrap/>
            <w:hideMark/>
          </w:tcPr>
          <w:p w14:paraId="3C6F00EE" w14:textId="77777777" w:rsidR="00515486" w:rsidRPr="00E97A33" w:rsidRDefault="00515486" w:rsidP="0074712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w:t>
            </w:r>
          </w:p>
        </w:tc>
      </w:tr>
    </w:tbl>
    <w:p w14:paraId="1221960F" w14:textId="77777777" w:rsidR="00515486" w:rsidRPr="00D8799B" w:rsidRDefault="00515486" w:rsidP="00515486">
      <w:pPr>
        <w:pStyle w:val="TableSource"/>
      </w:pPr>
      <w:r>
        <w:t xml:space="preserve">Source: Employer Skills Survey 2013 </w:t>
      </w:r>
    </w:p>
    <w:p w14:paraId="2D866CCE" w14:textId="77777777" w:rsidR="00515486" w:rsidRPr="00E24FCE" w:rsidRDefault="00F70FD0" w:rsidP="00515486">
      <w:pPr>
        <w:jc w:val="both"/>
      </w:pPr>
      <w:r>
        <w:fldChar w:fldCharType="begin"/>
      </w:r>
      <w:r w:rsidR="00515486">
        <w:instrText xml:space="preserve"> REF _Ref393464504 \h </w:instrText>
      </w:r>
      <w:r>
        <w:fldChar w:fldCharType="separate"/>
      </w:r>
      <w:r w:rsidR="00515486">
        <w:t xml:space="preserve">Figure </w:t>
      </w:r>
      <w:r w:rsidR="00515486">
        <w:rPr>
          <w:noProof/>
        </w:rPr>
        <w:t>4</w:t>
      </w:r>
      <w:r w:rsidR="00515486">
        <w:t>-</w:t>
      </w:r>
      <w:r w:rsidR="00515486">
        <w:rPr>
          <w:noProof/>
        </w:rPr>
        <w:t>2</w:t>
      </w:r>
      <w:r>
        <w:fldChar w:fldCharType="end"/>
      </w:r>
      <w:r w:rsidR="00515486">
        <w:t xml:space="preserve"> and </w:t>
      </w:r>
      <w:r>
        <w:fldChar w:fldCharType="begin"/>
      </w:r>
      <w:r w:rsidR="00515486">
        <w:instrText xml:space="preserve"> REF _Ref393464747 \h </w:instrText>
      </w:r>
      <w:r>
        <w:fldChar w:fldCharType="separate"/>
      </w:r>
      <w:r w:rsidR="00515486">
        <w:t xml:space="preserve">Figure </w:t>
      </w:r>
      <w:r w:rsidR="00515486">
        <w:rPr>
          <w:noProof/>
        </w:rPr>
        <w:t>4</w:t>
      </w:r>
      <w:r w:rsidR="00515486">
        <w:t>-</w:t>
      </w:r>
      <w:r w:rsidR="00515486">
        <w:rPr>
          <w:noProof/>
        </w:rPr>
        <w:t>3</w:t>
      </w:r>
      <w:r>
        <w:fldChar w:fldCharType="end"/>
      </w:r>
      <w:r w:rsidR="00515486">
        <w:t xml:space="preserve"> </w:t>
      </w:r>
      <w:r w:rsidR="00747120">
        <w:t xml:space="preserve">depict trends in </w:t>
      </w:r>
      <w:r w:rsidR="00515486">
        <w:t xml:space="preserve">business </w:t>
      </w:r>
      <w:r w:rsidR="00747120">
        <w:t>‘</w:t>
      </w:r>
      <w:r w:rsidR="00515486">
        <w:t>births</w:t>
      </w:r>
      <w:r w:rsidR="00747120">
        <w:t>’</w:t>
      </w:r>
      <w:r w:rsidR="00515486">
        <w:t xml:space="preserve"> and </w:t>
      </w:r>
      <w:r w:rsidR="00747120">
        <w:t>‘</w:t>
      </w:r>
      <w:r w:rsidR="00515486">
        <w:t>deaths</w:t>
      </w:r>
      <w:r w:rsidR="00747120">
        <w:t>’</w:t>
      </w:r>
      <w:r w:rsidR="00515486">
        <w:t xml:space="preserve"> in North East Lincolnshire</w:t>
      </w:r>
      <w:r w:rsidR="00747120">
        <w:t xml:space="preserve"> compared to surrounding areas and the national average</w:t>
      </w:r>
      <w:r w:rsidR="00515486">
        <w:t xml:space="preserve"> between 2006 and 2011.</w:t>
      </w:r>
      <w:r w:rsidR="00747120">
        <w:t xml:space="preserve">  These charts clearly reflect the effect of the economic recession.  However, of particular importance is the fact that business births in North East Lincolnshire has been notably higher than surrounding areas and the England average.  However, this is also the case for business deaths.  These trends, to a degree, contradict the evidence presented above which showed that the area is under-represented in terms of its base of micro-sized businesses.  </w:t>
      </w:r>
      <w:r w:rsidR="00515486">
        <w:t xml:space="preserve"> </w:t>
      </w:r>
      <w:r w:rsidR="00747120">
        <w:t>Nevertheless, the impl</w:t>
      </w:r>
      <w:r w:rsidR="00D22B43">
        <w:t xml:space="preserve">ication is that the clustering of key sectors is providing spin-off benefits in terms of new business formation taken place as a result of ongoing investment in renewable energy, food manufacturing, logistics and other industrial projects.  This  enterprise activity is taking place both directly in core sector operations and along the supply chain. </w:t>
      </w:r>
    </w:p>
    <w:p w14:paraId="1908ECE3" w14:textId="77777777" w:rsidR="00515486" w:rsidRDefault="00515486" w:rsidP="00515486">
      <w:pPr>
        <w:pStyle w:val="Caption"/>
      </w:pPr>
      <w:bookmarkStart w:id="43" w:name="_Ref393464504"/>
      <w:r>
        <w:t xml:space="preserve">Figure </w:t>
      </w:r>
      <w:fldSimple w:instr=" STYLEREF 1 \s  \* MERGEFORMAT ">
        <w:r>
          <w:rPr>
            <w:noProof/>
          </w:rPr>
          <w:t>4</w:t>
        </w:r>
      </w:fldSimple>
      <w:r>
        <w:t>-</w:t>
      </w:r>
      <w:fldSimple w:instr=" SEQ Figure \* ARABIC \s 1  \* MERGEFORMAT ">
        <w:r>
          <w:rPr>
            <w:noProof/>
          </w:rPr>
          <w:t>2</w:t>
        </w:r>
      </w:fldSimple>
      <w:bookmarkEnd w:id="43"/>
      <w:r>
        <w:tab/>
        <w:t>Business births as a proportion of active businesses (2004-2012)</w:t>
      </w:r>
      <w:r w:rsidRPr="005656B2">
        <w:rPr>
          <w:noProof/>
          <w:lang w:eastAsia="en-GB"/>
        </w:rPr>
        <w:drawing>
          <wp:inline distT="0" distB="0" distL="0" distR="0" wp14:anchorId="17841BF1" wp14:editId="4230B289">
            <wp:extent cx="5949537" cy="3218213"/>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746FF9" w14:textId="77777777" w:rsidR="00515486" w:rsidRDefault="00515486" w:rsidP="00515486">
      <w:pPr>
        <w:pStyle w:val="TableSource"/>
      </w:pPr>
      <w:r>
        <w:t xml:space="preserve">Source: ONS Business Demography 2012. </w:t>
      </w:r>
    </w:p>
    <w:p w14:paraId="3BF85D14" w14:textId="77777777" w:rsidR="00515486" w:rsidRDefault="00515486" w:rsidP="00515486">
      <w:pPr>
        <w:pStyle w:val="Caption"/>
      </w:pPr>
      <w:bookmarkStart w:id="44" w:name="_Ref393464747"/>
      <w:r>
        <w:t xml:space="preserve">Figure </w:t>
      </w:r>
      <w:fldSimple w:instr=" STYLEREF 1 \s  \* MERGEFORMAT ">
        <w:r>
          <w:rPr>
            <w:noProof/>
          </w:rPr>
          <w:t>4</w:t>
        </w:r>
      </w:fldSimple>
      <w:r>
        <w:t>-</w:t>
      </w:r>
      <w:fldSimple w:instr=" SEQ Figure \* ARABIC \s 1  \* MERGEFORMAT ">
        <w:r>
          <w:rPr>
            <w:noProof/>
          </w:rPr>
          <w:t>3</w:t>
        </w:r>
      </w:fldSimple>
      <w:bookmarkEnd w:id="44"/>
      <w:r>
        <w:tab/>
        <w:t>Business deaths as a proportion of active businesses (2004-2012)</w:t>
      </w:r>
      <w:r w:rsidRPr="005656B2">
        <w:rPr>
          <w:noProof/>
          <w:lang w:eastAsia="en-GB"/>
        </w:rPr>
        <w:drawing>
          <wp:inline distT="0" distB="0" distL="0" distR="0" wp14:anchorId="613DFE45" wp14:editId="2250885E">
            <wp:extent cx="5949537" cy="3146961"/>
            <wp:effectExtent l="0" t="0" r="0" b="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1795E4" w14:textId="77777777" w:rsidR="00515486" w:rsidRDefault="00515486" w:rsidP="00515486">
      <w:pPr>
        <w:pStyle w:val="TableSource"/>
      </w:pPr>
      <w:r>
        <w:t xml:space="preserve">Source: ONS Business Demography 2012 </w:t>
      </w:r>
    </w:p>
    <w:p w14:paraId="1DDE2C90" w14:textId="77777777" w:rsidR="00515486" w:rsidRDefault="00D22B43" w:rsidP="00515486">
      <w:pPr>
        <w:jc w:val="both"/>
      </w:pPr>
      <w:r>
        <w:t>Despite the relatively high rate of new business births</w:t>
      </w:r>
      <w:r w:rsidR="00515486">
        <w:t>, the death rate in the area has been consistently higher than neighbouring areas and the national levels over the past ten years</w:t>
      </w:r>
      <w:r>
        <w:t>.  This reflects the challenges</w:t>
      </w:r>
      <w:r w:rsidR="00515486">
        <w:t xml:space="preserve"> businesses </w:t>
      </w:r>
      <w:r>
        <w:t xml:space="preserve">must face </w:t>
      </w:r>
      <w:r w:rsidR="00515486">
        <w:t xml:space="preserve">to survive in </w:t>
      </w:r>
      <w:r>
        <w:t xml:space="preserve">North East Lincolnshire.  </w:t>
      </w:r>
      <w:r w:rsidR="00515486">
        <w:t xml:space="preserve">This gap in death rates has been more pronounced since the </w:t>
      </w:r>
      <w:r>
        <w:t>recession</w:t>
      </w:r>
      <w:r w:rsidR="00515486">
        <w:t xml:space="preserve"> </w:t>
      </w:r>
      <w:r>
        <w:t>al</w:t>
      </w:r>
      <w:r w:rsidR="00515486">
        <w:t xml:space="preserve">though is partly offset by higher </w:t>
      </w:r>
      <w:r>
        <w:t>birth rates compared to other areas</w:t>
      </w:r>
      <w:r w:rsidR="00515486">
        <w:t>. Nonetheless, business survival rates based on the most recent data demonstrate that businesses operating in North East Lincolnshire are currently at a significant disadvantage (</w:t>
      </w:r>
      <w:r w:rsidR="00F70FD0">
        <w:fldChar w:fldCharType="begin"/>
      </w:r>
      <w:r w:rsidR="00515486">
        <w:instrText xml:space="preserve"> REF _Ref393464899 \h </w:instrText>
      </w:r>
      <w:r w:rsidR="00F70FD0">
        <w:fldChar w:fldCharType="separate"/>
      </w:r>
      <w:r w:rsidR="00515486">
        <w:t xml:space="preserve">Table </w:t>
      </w:r>
      <w:r w:rsidR="00515486">
        <w:rPr>
          <w:noProof/>
        </w:rPr>
        <w:t>4</w:t>
      </w:r>
      <w:r w:rsidR="00515486">
        <w:t>-</w:t>
      </w:r>
      <w:r w:rsidR="00515486">
        <w:rPr>
          <w:noProof/>
        </w:rPr>
        <w:t>3</w:t>
      </w:r>
      <w:r w:rsidR="00F70FD0">
        <w:fldChar w:fldCharType="end"/>
      </w:r>
      <w:r w:rsidR="00515486">
        <w:t xml:space="preserve">). </w:t>
      </w:r>
    </w:p>
    <w:p w14:paraId="6F6056E4" w14:textId="77777777" w:rsidR="00515486" w:rsidRDefault="00515486" w:rsidP="00515486">
      <w:pPr>
        <w:jc w:val="both"/>
      </w:pPr>
    </w:p>
    <w:p w14:paraId="5DF26D13" w14:textId="77777777" w:rsidR="009A53F2" w:rsidRDefault="009A53F2">
      <w:pPr>
        <w:spacing w:after="200" w:line="276" w:lineRule="auto"/>
        <w:rPr>
          <w:b/>
          <w:bCs/>
          <w:szCs w:val="18"/>
        </w:rPr>
      </w:pPr>
      <w:bookmarkStart w:id="45" w:name="_Ref393464899"/>
      <w:r>
        <w:br w:type="page"/>
      </w:r>
    </w:p>
    <w:p w14:paraId="384F62AC" w14:textId="77777777" w:rsidR="00515486" w:rsidRDefault="00515486" w:rsidP="00515486">
      <w:pPr>
        <w:pStyle w:val="Caption"/>
      </w:pPr>
      <w:r>
        <w:t xml:space="preserve">Table </w:t>
      </w:r>
      <w:fldSimple w:instr=" STYLEREF 1 \s  \* MERGEFORMAT ">
        <w:r>
          <w:rPr>
            <w:noProof/>
          </w:rPr>
          <w:t>4</w:t>
        </w:r>
      </w:fldSimple>
      <w:r>
        <w:t>-</w:t>
      </w:r>
      <w:fldSimple w:instr=" SEQ Table \* ARABIC \s 1  \* MERGEFORMAT ">
        <w:r>
          <w:rPr>
            <w:noProof/>
          </w:rPr>
          <w:t>3</w:t>
        </w:r>
      </w:fldSimple>
      <w:bookmarkEnd w:id="45"/>
      <w:r>
        <w:tab/>
        <w:t>Survival rates of businesses born in 2007 - 2009 (%)</w:t>
      </w:r>
    </w:p>
    <w:tbl>
      <w:tblPr>
        <w:tblStyle w:val="Atkins14pt"/>
        <w:tblW w:w="9719" w:type="dxa"/>
        <w:tblLook w:val="04A0" w:firstRow="1" w:lastRow="0" w:firstColumn="1" w:lastColumn="0" w:noHBand="0" w:noVBand="1"/>
      </w:tblPr>
      <w:tblGrid>
        <w:gridCol w:w="3119"/>
        <w:gridCol w:w="1100"/>
        <w:gridCol w:w="1100"/>
        <w:gridCol w:w="1100"/>
        <w:gridCol w:w="1100"/>
        <w:gridCol w:w="1100"/>
        <w:gridCol w:w="1100"/>
      </w:tblGrid>
      <w:tr w:rsidR="00515486" w:rsidRPr="00D8799B" w14:paraId="7DC49545" w14:textId="77777777" w:rsidTr="004D5D22">
        <w:trPr>
          <w:cnfStyle w:val="100000000000" w:firstRow="1" w:lastRow="0" w:firstColumn="0" w:lastColumn="0" w:oddVBand="0" w:evenVBand="0" w:oddHBand="0" w:evenHBand="0" w:firstRowFirstColumn="0" w:firstRowLastColumn="0" w:lastRowFirstColumn="0" w:lastRowLastColumn="0"/>
          <w:trHeight w:val="200"/>
        </w:trPr>
        <w:tc>
          <w:tcPr>
            <w:cnfStyle w:val="001000000100" w:firstRow="0" w:lastRow="0" w:firstColumn="1" w:lastColumn="0" w:oddVBand="0" w:evenVBand="0" w:oddHBand="0" w:evenHBand="0" w:firstRowFirstColumn="1" w:firstRowLastColumn="0" w:lastRowFirstColumn="0" w:lastRowLastColumn="0"/>
            <w:tcW w:w="3119" w:type="dxa"/>
            <w:vMerge w:val="restart"/>
            <w:noWrap/>
            <w:hideMark/>
          </w:tcPr>
          <w:p w14:paraId="5889221F" w14:textId="77777777" w:rsidR="00515486" w:rsidRPr="00E97A33" w:rsidRDefault="00515486" w:rsidP="004D5D22">
            <w:pPr>
              <w:pStyle w:val="TableHeading"/>
              <w:jc w:val="both"/>
              <w:rPr>
                <w:color w:val="auto"/>
              </w:rPr>
            </w:pPr>
          </w:p>
        </w:tc>
        <w:tc>
          <w:tcPr>
            <w:tcW w:w="2200" w:type="dxa"/>
            <w:gridSpan w:val="2"/>
            <w:noWrap/>
            <w:hideMark/>
          </w:tcPr>
          <w:p w14:paraId="1FEEDD99" w14:textId="77777777" w:rsidR="00515486" w:rsidRPr="00E97A33" w:rsidRDefault="00515486" w:rsidP="009A53F2">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2007</w:t>
            </w:r>
          </w:p>
        </w:tc>
        <w:tc>
          <w:tcPr>
            <w:tcW w:w="2200" w:type="dxa"/>
            <w:gridSpan w:val="2"/>
            <w:noWrap/>
            <w:hideMark/>
          </w:tcPr>
          <w:p w14:paraId="29B8045C" w14:textId="77777777" w:rsidR="00515486" w:rsidRPr="00E97A33" w:rsidRDefault="00515486" w:rsidP="009A53F2">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2008</w:t>
            </w:r>
          </w:p>
        </w:tc>
        <w:tc>
          <w:tcPr>
            <w:tcW w:w="2200" w:type="dxa"/>
            <w:gridSpan w:val="2"/>
            <w:noWrap/>
            <w:hideMark/>
          </w:tcPr>
          <w:p w14:paraId="138C05BB" w14:textId="77777777" w:rsidR="00515486" w:rsidRPr="00E97A33" w:rsidRDefault="00515486" w:rsidP="009A53F2">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E97A33">
              <w:rPr>
                <w:color w:val="auto"/>
              </w:rPr>
              <w:t>2009</w:t>
            </w:r>
          </w:p>
        </w:tc>
      </w:tr>
      <w:tr w:rsidR="00515486" w:rsidRPr="00D8799B" w14:paraId="47A96B93" w14:textId="77777777" w:rsidTr="004D5D22">
        <w:trPr>
          <w:trHeight w:val="200"/>
        </w:trPr>
        <w:tc>
          <w:tcPr>
            <w:cnfStyle w:val="001000000000" w:firstRow="0" w:lastRow="0" w:firstColumn="1" w:lastColumn="0" w:oddVBand="0" w:evenVBand="0" w:oddHBand="0" w:evenHBand="0" w:firstRowFirstColumn="0" w:firstRowLastColumn="0" w:lastRowFirstColumn="0" w:lastRowLastColumn="0"/>
            <w:tcW w:w="3119" w:type="dxa"/>
            <w:vMerge/>
            <w:noWrap/>
            <w:hideMark/>
          </w:tcPr>
          <w:p w14:paraId="799F7D10" w14:textId="77777777" w:rsidR="00515486" w:rsidRPr="00E97A33" w:rsidRDefault="00515486" w:rsidP="004D5D22">
            <w:pPr>
              <w:pStyle w:val="TableText"/>
              <w:jc w:val="both"/>
              <w:rPr>
                <w:color w:val="auto"/>
              </w:rPr>
            </w:pPr>
          </w:p>
        </w:tc>
        <w:tc>
          <w:tcPr>
            <w:tcW w:w="1100" w:type="dxa"/>
            <w:noWrap/>
            <w:hideMark/>
          </w:tcPr>
          <w:p w14:paraId="768DB889"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 year</w:t>
            </w:r>
          </w:p>
        </w:tc>
        <w:tc>
          <w:tcPr>
            <w:tcW w:w="1100" w:type="dxa"/>
            <w:noWrap/>
            <w:hideMark/>
          </w:tcPr>
          <w:p w14:paraId="35ED4500"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3 year</w:t>
            </w:r>
          </w:p>
        </w:tc>
        <w:tc>
          <w:tcPr>
            <w:tcW w:w="1100" w:type="dxa"/>
            <w:noWrap/>
            <w:hideMark/>
          </w:tcPr>
          <w:p w14:paraId="6A7CD3C2"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 year</w:t>
            </w:r>
          </w:p>
        </w:tc>
        <w:tc>
          <w:tcPr>
            <w:tcW w:w="1100" w:type="dxa"/>
            <w:noWrap/>
            <w:hideMark/>
          </w:tcPr>
          <w:p w14:paraId="51D4B39C"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3 year</w:t>
            </w:r>
          </w:p>
        </w:tc>
        <w:tc>
          <w:tcPr>
            <w:tcW w:w="1100" w:type="dxa"/>
            <w:noWrap/>
            <w:hideMark/>
          </w:tcPr>
          <w:p w14:paraId="67FB445B"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1 year</w:t>
            </w:r>
          </w:p>
        </w:tc>
        <w:tc>
          <w:tcPr>
            <w:tcW w:w="1100" w:type="dxa"/>
            <w:noWrap/>
            <w:hideMark/>
          </w:tcPr>
          <w:p w14:paraId="2D7A4B59"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3 year</w:t>
            </w:r>
          </w:p>
        </w:tc>
      </w:tr>
      <w:tr w:rsidR="00515486" w:rsidRPr="00D8799B" w14:paraId="5E47B8CD" w14:textId="77777777" w:rsidTr="004D5D22">
        <w:trPr>
          <w:trHeight w:val="2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990C2DD" w14:textId="77777777" w:rsidR="00515486" w:rsidRPr="00E97A33" w:rsidRDefault="00515486" w:rsidP="004D5D22">
            <w:pPr>
              <w:pStyle w:val="TableText"/>
              <w:jc w:val="both"/>
              <w:rPr>
                <w:color w:val="auto"/>
              </w:rPr>
            </w:pPr>
            <w:r w:rsidRPr="00E97A33">
              <w:rPr>
                <w:color w:val="auto"/>
              </w:rPr>
              <w:t>North East Lincolnshire</w:t>
            </w:r>
          </w:p>
        </w:tc>
        <w:tc>
          <w:tcPr>
            <w:tcW w:w="1100" w:type="dxa"/>
            <w:noWrap/>
            <w:hideMark/>
          </w:tcPr>
          <w:p w14:paraId="519077AB"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76.0</w:t>
            </w:r>
          </w:p>
        </w:tc>
        <w:tc>
          <w:tcPr>
            <w:tcW w:w="1100" w:type="dxa"/>
            <w:noWrap/>
            <w:hideMark/>
          </w:tcPr>
          <w:p w14:paraId="2E4BBDBA"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48.6</w:t>
            </w:r>
          </w:p>
        </w:tc>
        <w:tc>
          <w:tcPr>
            <w:tcW w:w="1100" w:type="dxa"/>
            <w:noWrap/>
            <w:hideMark/>
          </w:tcPr>
          <w:p w14:paraId="2ABA63E9"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46.4</w:t>
            </w:r>
          </w:p>
        </w:tc>
        <w:tc>
          <w:tcPr>
            <w:tcW w:w="1100" w:type="dxa"/>
            <w:noWrap/>
            <w:hideMark/>
          </w:tcPr>
          <w:p w14:paraId="4B97A53B"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29.3</w:t>
            </w:r>
          </w:p>
        </w:tc>
        <w:tc>
          <w:tcPr>
            <w:tcW w:w="1100" w:type="dxa"/>
            <w:noWrap/>
            <w:hideMark/>
          </w:tcPr>
          <w:p w14:paraId="13AA9C22"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44.8</w:t>
            </w:r>
          </w:p>
        </w:tc>
        <w:tc>
          <w:tcPr>
            <w:tcW w:w="1100" w:type="dxa"/>
            <w:noWrap/>
            <w:hideMark/>
          </w:tcPr>
          <w:p w14:paraId="133473B6"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29.5</w:t>
            </w:r>
          </w:p>
        </w:tc>
      </w:tr>
      <w:tr w:rsidR="00515486" w:rsidRPr="00D8799B" w14:paraId="75DFF43B" w14:textId="77777777" w:rsidTr="004D5D22">
        <w:trPr>
          <w:trHeight w:val="2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0896658" w14:textId="77777777" w:rsidR="00515486" w:rsidRPr="00E97A33" w:rsidRDefault="00515486" w:rsidP="004D5D22">
            <w:pPr>
              <w:pStyle w:val="TableText"/>
              <w:jc w:val="both"/>
              <w:rPr>
                <w:color w:val="auto"/>
              </w:rPr>
            </w:pPr>
            <w:r w:rsidRPr="00E97A33">
              <w:rPr>
                <w:color w:val="auto"/>
              </w:rPr>
              <w:t>East Riding of Yorkshire</w:t>
            </w:r>
          </w:p>
        </w:tc>
        <w:tc>
          <w:tcPr>
            <w:tcW w:w="1100" w:type="dxa"/>
            <w:noWrap/>
            <w:hideMark/>
          </w:tcPr>
          <w:p w14:paraId="3227F797"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93.4</w:t>
            </w:r>
          </w:p>
        </w:tc>
        <w:tc>
          <w:tcPr>
            <w:tcW w:w="1100" w:type="dxa"/>
            <w:noWrap/>
            <w:hideMark/>
          </w:tcPr>
          <w:p w14:paraId="4252297C"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62.8</w:t>
            </w:r>
          </w:p>
        </w:tc>
        <w:tc>
          <w:tcPr>
            <w:tcW w:w="1100" w:type="dxa"/>
            <w:noWrap/>
            <w:hideMark/>
          </w:tcPr>
          <w:p w14:paraId="650E3FEA"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94.8</w:t>
            </w:r>
          </w:p>
        </w:tc>
        <w:tc>
          <w:tcPr>
            <w:tcW w:w="1100" w:type="dxa"/>
            <w:noWrap/>
            <w:hideMark/>
          </w:tcPr>
          <w:p w14:paraId="6EB6EFA3"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60.4</w:t>
            </w:r>
          </w:p>
        </w:tc>
        <w:tc>
          <w:tcPr>
            <w:tcW w:w="1100" w:type="dxa"/>
            <w:noWrap/>
            <w:hideMark/>
          </w:tcPr>
          <w:p w14:paraId="7B14352D"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91.9</w:t>
            </w:r>
          </w:p>
        </w:tc>
        <w:tc>
          <w:tcPr>
            <w:tcW w:w="1100" w:type="dxa"/>
            <w:noWrap/>
            <w:hideMark/>
          </w:tcPr>
          <w:p w14:paraId="5148EE04"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62.8</w:t>
            </w:r>
          </w:p>
        </w:tc>
      </w:tr>
      <w:tr w:rsidR="00515486" w:rsidRPr="00D8799B" w14:paraId="11C1D314" w14:textId="77777777" w:rsidTr="004D5D22">
        <w:trPr>
          <w:trHeight w:val="2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BA9610A" w14:textId="77777777" w:rsidR="00515486" w:rsidRPr="00E97A33" w:rsidRDefault="00515486" w:rsidP="004D5D22">
            <w:pPr>
              <w:pStyle w:val="TableText"/>
              <w:jc w:val="both"/>
              <w:rPr>
                <w:color w:val="auto"/>
              </w:rPr>
            </w:pPr>
            <w:r w:rsidRPr="00E97A33">
              <w:rPr>
                <w:color w:val="auto"/>
              </w:rPr>
              <w:t>Kingston upon Hull</w:t>
            </w:r>
          </w:p>
        </w:tc>
        <w:tc>
          <w:tcPr>
            <w:tcW w:w="1100" w:type="dxa"/>
            <w:noWrap/>
            <w:hideMark/>
          </w:tcPr>
          <w:p w14:paraId="1BFC7BCD"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93.7</w:t>
            </w:r>
          </w:p>
        </w:tc>
        <w:tc>
          <w:tcPr>
            <w:tcW w:w="1100" w:type="dxa"/>
            <w:noWrap/>
            <w:hideMark/>
          </w:tcPr>
          <w:p w14:paraId="40261FAB"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57.2</w:t>
            </w:r>
          </w:p>
        </w:tc>
        <w:tc>
          <w:tcPr>
            <w:tcW w:w="1100" w:type="dxa"/>
            <w:noWrap/>
            <w:hideMark/>
          </w:tcPr>
          <w:p w14:paraId="1199C5CE"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93.5</w:t>
            </w:r>
          </w:p>
        </w:tc>
        <w:tc>
          <w:tcPr>
            <w:tcW w:w="1100" w:type="dxa"/>
            <w:noWrap/>
            <w:hideMark/>
          </w:tcPr>
          <w:p w14:paraId="53462BC7"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53.2</w:t>
            </w:r>
          </w:p>
        </w:tc>
        <w:tc>
          <w:tcPr>
            <w:tcW w:w="1100" w:type="dxa"/>
            <w:noWrap/>
            <w:hideMark/>
          </w:tcPr>
          <w:p w14:paraId="460A571F"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92.6</w:t>
            </w:r>
          </w:p>
        </w:tc>
        <w:tc>
          <w:tcPr>
            <w:tcW w:w="1100" w:type="dxa"/>
            <w:noWrap/>
            <w:hideMark/>
          </w:tcPr>
          <w:p w14:paraId="15BD1456"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57.4</w:t>
            </w:r>
          </w:p>
        </w:tc>
      </w:tr>
      <w:tr w:rsidR="00515486" w:rsidRPr="00D8799B" w14:paraId="467502C4" w14:textId="77777777" w:rsidTr="004D5D22">
        <w:trPr>
          <w:trHeight w:val="2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3CB63B5" w14:textId="77777777" w:rsidR="00515486" w:rsidRPr="00E97A33" w:rsidRDefault="00515486" w:rsidP="004D5D22">
            <w:pPr>
              <w:pStyle w:val="TableText"/>
              <w:jc w:val="both"/>
              <w:rPr>
                <w:color w:val="auto"/>
              </w:rPr>
            </w:pPr>
            <w:r w:rsidRPr="00E97A33">
              <w:rPr>
                <w:color w:val="auto"/>
              </w:rPr>
              <w:t>North Lincolnshire</w:t>
            </w:r>
          </w:p>
        </w:tc>
        <w:tc>
          <w:tcPr>
            <w:tcW w:w="1100" w:type="dxa"/>
            <w:noWrap/>
            <w:hideMark/>
          </w:tcPr>
          <w:p w14:paraId="3CBCEE7F"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94.6</w:t>
            </w:r>
          </w:p>
        </w:tc>
        <w:tc>
          <w:tcPr>
            <w:tcW w:w="1100" w:type="dxa"/>
            <w:noWrap/>
            <w:hideMark/>
          </w:tcPr>
          <w:p w14:paraId="37164C83"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59.7</w:t>
            </w:r>
          </w:p>
        </w:tc>
        <w:tc>
          <w:tcPr>
            <w:tcW w:w="1100" w:type="dxa"/>
            <w:noWrap/>
            <w:hideMark/>
          </w:tcPr>
          <w:p w14:paraId="6D821747"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93.6</w:t>
            </w:r>
          </w:p>
        </w:tc>
        <w:tc>
          <w:tcPr>
            <w:tcW w:w="1100" w:type="dxa"/>
            <w:noWrap/>
            <w:hideMark/>
          </w:tcPr>
          <w:p w14:paraId="32C3E8E4"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57.3</w:t>
            </w:r>
          </w:p>
        </w:tc>
        <w:tc>
          <w:tcPr>
            <w:tcW w:w="1100" w:type="dxa"/>
            <w:noWrap/>
            <w:hideMark/>
          </w:tcPr>
          <w:p w14:paraId="20CA5476"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92.1</w:t>
            </w:r>
          </w:p>
        </w:tc>
        <w:tc>
          <w:tcPr>
            <w:tcW w:w="1100" w:type="dxa"/>
            <w:noWrap/>
            <w:hideMark/>
          </w:tcPr>
          <w:p w14:paraId="0D170059" w14:textId="77777777" w:rsidR="00515486" w:rsidRPr="00E97A33" w:rsidRDefault="00515486" w:rsidP="009A53F2">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E97A33">
              <w:rPr>
                <w:color w:val="auto"/>
              </w:rPr>
              <w:t>58.4</w:t>
            </w:r>
          </w:p>
        </w:tc>
      </w:tr>
    </w:tbl>
    <w:p w14:paraId="11F7E808" w14:textId="77777777" w:rsidR="00515486" w:rsidRPr="00B739D7" w:rsidRDefault="00515486" w:rsidP="00515486">
      <w:pPr>
        <w:pStyle w:val="TableSource"/>
        <w:jc w:val="both"/>
      </w:pPr>
      <w:r>
        <w:t>Source: ONS Business Demography 2012</w:t>
      </w:r>
    </w:p>
    <w:p w14:paraId="6E8D31AD" w14:textId="77777777" w:rsidR="00515486" w:rsidRDefault="00515486" w:rsidP="00515486">
      <w:pPr>
        <w:pStyle w:val="Heading2"/>
        <w:numPr>
          <w:ilvl w:val="1"/>
          <w:numId w:val="4"/>
        </w:numPr>
      </w:pPr>
      <w:bookmarkStart w:id="46" w:name="_Toc394327693"/>
      <w:r>
        <w:t>Employment</w:t>
      </w:r>
      <w:bookmarkEnd w:id="46"/>
    </w:p>
    <w:bookmarkStart w:id="47" w:name="_Ref393702143"/>
    <w:p w14:paraId="39B7B195" w14:textId="77777777" w:rsidR="00515486" w:rsidRDefault="00F70FD0" w:rsidP="00515486">
      <w:pPr>
        <w:jc w:val="both"/>
      </w:pPr>
      <w:r>
        <w:fldChar w:fldCharType="begin"/>
      </w:r>
      <w:r w:rsidR="00515486">
        <w:instrText xml:space="preserve"> REF _Ref393873775 \h </w:instrText>
      </w:r>
      <w:r>
        <w:fldChar w:fldCharType="separate"/>
      </w:r>
      <w:r w:rsidR="00515486">
        <w:t xml:space="preserve">Table </w:t>
      </w:r>
      <w:r w:rsidR="00515486">
        <w:rPr>
          <w:noProof/>
        </w:rPr>
        <w:t>4</w:t>
      </w:r>
      <w:r w:rsidR="00515486">
        <w:t>-</w:t>
      </w:r>
      <w:r w:rsidR="00515486">
        <w:rPr>
          <w:noProof/>
        </w:rPr>
        <w:t>4</w:t>
      </w:r>
      <w:r>
        <w:fldChar w:fldCharType="end"/>
      </w:r>
      <w:r w:rsidR="00515486">
        <w:t xml:space="preserve"> </w:t>
      </w:r>
      <w:r w:rsidR="009A53F2">
        <w:t xml:space="preserve">sets out the structure of employment in North East Lincolnshire by broad sector compared to surrounding areas and the national average.    </w:t>
      </w:r>
      <w:r w:rsidR="00515486">
        <w:t xml:space="preserve">Manufacturing, retail, health and education are all significant employment sectors. Compared to the national </w:t>
      </w:r>
      <w:r w:rsidR="009A53F2">
        <w:t>picture</w:t>
      </w:r>
      <w:r w:rsidR="00515486">
        <w:t xml:space="preserve">, North East Lincolnshire has a relatively high concentration of employment in the manufacturing, motor trades, retail, transport and storage and health sectors. This in part reflects the significant role of manufacturing across the region, as well as the area’s particular strengths, for example in raw food product handling, transport and storage. </w:t>
      </w:r>
    </w:p>
    <w:p w14:paraId="57248528" w14:textId="77777777" w:rsidR="00515486" w:rsidRDefault="00515486" w:rsidP="00515486">
      <w:pPr>
        <w:pStyle w:val="Caption"/>
      </w:pPr>
      <w:bookmarkStart w:id="48" w:name="_Ref393873775"/>
      <w:r>
        <w:t xml:space="preserve">Table </w:t>
      </w:r>
      <w:fldSimple w:instr=" STYLEREF 1 \s  \* MERGEFORMAT ">
        <w:r>
          <w:rPr>
            <w:noProof/>
          </w:rPr>
          <w:t>4</w:t>
        </w:r>
      </w:fldSimple>
      <w:r>
        <w:t>-</w:t>
      </w:r>
      <w:fldSimple w:instr=" SEQ Table \* ARABIC \s 1  \* MERGEFORMAT ">
        <w:r>
          <w:rPr>
            <w:noProof/>
          </w:rPr>
          <w:t>4</w:t>
        </w:r>
      </w:fldSimple>
      <w:bookmarkEnd w:id="47"/>
      <w:bookmarkEnd w:id="48"/>
      <w:r>
        <w:tab/>
        <w:t>Employment by sector (2011)</w:t>
      </w:r>
    </w:p>
    <w:tbl>
      <w:tblPr>
        <w:tblStyle w:val="Atkins14pt"/>
        <w:tblW w:w="9641" w:type="dxa"/>
        <w:tblLayout w:type="fixed"/>
        <w:tblLook w:val="04A0" w:firstRow="1" w:lastRow="0" w:firstColumn="1" w:lastColumn="0" w:noHBand="0" w:noVBand="1"/>
      </w:tblPr>
      <w:tblGrid>
        <w:gridCol w:w="4820"/>
        <w:gridCol w:w="1205"/>
        <w:gridCol w:w="1205"/>
        <w:gridCol w:w="1205"/>
        <w:gridCol w:w="1206"/>
      </w:tblGrid>
      <w:tr w:rsidR="00515486" w:rsidRPr="00831E85" w14:paraId="5634A94A" w14:textId="77777777" w:rsidTr="004D5D22">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4820" w:type="dxa"/>
            <w:hideMark/>
          </w:tcPr>
          <w:p w14:paraId="2F153C2E" w14:textId="77777777" w:rsidR="00515486" w:rsidRDefault="00515486" w:rsidP="004D5D22">
            <w:pPr>
              <w:spacing w:after="0"/>
              <w:rPr>
                <w:rFonts w:eastAsia="Times New Roman"/>
                <w:bCs/>
                <w:color w:val="auto"/>
              </w:rPr>
            </w:pPr>
            <w:r w:rsidRPr="00831E85">
              <w:rPr>
                <w:rFonts w:eastAsia="Times New Roman"/>
                <w:bCs/>
                <w:color w:val="auto"/>
              </w:rPr>
              <w:t>Industry</w:t>
            </w:r>
          </w:p>
          <w:p w14:paraId="5CB272B9" w14:textId="77777777" w:rsidR="00515486" w:rsidRPr="00831E85" w:rsidRDefault="00515486" w:rsidP="004D5D22">
            <w:pPr>
              <w:spacing w:after="0"/>
              <w:rPr>
                <w:rFonts w:eastAsia="Times New Roman"/>
                <w:b w:val="0"/>
                <w:bCs/>
                <w:color w:val="auto"/>
              </w:rPr>
            </w:pPr>
          </w:p>
        </w:tc>
        <w:tc>
          <w:tcPr>
            <w:tcW w:w="1205" w:type="dxa"/>
            <w:hideMark/>
          </w:tcPr>
          <w:p w14:paraId="44E7FE05" w14:textId="77777777" w:rsidR="00515486" w:rsidRPr="00831E85" w:rsidRDefault="00515486" w:rsidP="009A53F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auto"/>
              </w:rPr>
            </w:pPr>
            <w:r w:rsidRPr="00831E85">
              <w:rPr>
                <w:rFonts w:eastAsia="Times New Roman"/>
                <w:bCs/>
                <w:color w:val="auto"/>
              </w:rPr>
              <w:t>North East Linc</w:t>
            </w:r>
            <w:r>
              <w:rPr>
                <w:rFonts w:eastAsia="Times New Roman"/>
                <w:bCs/>
                <w:color w:val="auto"/>
              </w:rPr>
              <w:t>s.</w:t>
            </w:r>
          </w:p>
        </w:tc>
        <w:tc>
          <w:tcPr>
            <w:tcW w:w="1205" w:type="dxa"/>
          </w:tcPr>
          <w:p w14:paraId="1308E55A" w14:textId="77777777" w:rsidR="00515486" w:rsidRPr="00831E85" w:rsidRDefault="00515486" w:rsidP="009A53F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auto"/>
              </w:rPr>
            </w:pPr>
            <w:r w:rsidRPr="00831E85">
              <w:rPr>
                <w:rFonts w:eastAsia="Times New Roman"/>
                <w:bCs/>
                <w:color w:val="auto"/>
              </w:rPr>
              <w:t>Kingston upon Hull, City of</w:t>
            </w:r>
          </w:p>
        </w:tc>
        <w:tc>
          <w:tcPr>
            <w:tcW w:w="1205" w:type="dxa"/>
            <w:hideMark/>
          </w:tcPr>
          <w:p w14:paraId="575377E0" w14:textId="77777777" w:rsidR="00515486" w:rsidRPr="00831E85" w:rsidRDefault="00515486" w:rsidP="009A53F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auto"/>
              </w:rPr>
            </w:pPr>
            <w:r>
              <w:rPr>
                <w:rFonts w:eastAsia="Times New Roman"/>
                <w:bCs/>
                <w:color w:val="auto"/>
              </w:rPr>
              <w:t>North Lincs.</w:t>
            </w:r>
          </w:p>
        </w:tc>
        <w:tc>
          <w:tcPr>
            <w:tcW w:w="1206" w:type="dxa"/>
            <w:hideMark/>
          </w:tcPr>
          <w:p w14:paraId="382A9F79" w14:textId="77777777" w:rsidR="00515486" w:rsidRPr="00831E85" w:rsidRDefault="00515486" w:rsidP="009A53F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auto"/>
              </w:rPr>
            </w:pPr>
            <w:r w:rsidRPr="00831E85">
              <w:rPr>
                <w:rFonts w:eastAsia="Times New Roman"/>
                <w:bCs/>
                <w:color w:val="auto"/>
              </w:rPr>
              <w:t>England</w:t>
            </w:r>
          </w:p>
        </w:tc>
      </w:tr>
      <w:tr w:rsidR="00515486" w:rsidRPr="00831E85" w14:paraId="25B7FDD7"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D4F6EE6" w14:textId="77777777" w:rsidR="00515486" w:rsidRPr="00831E85" w:rsidRDefault="00515486" w:rsidP="004D5D22">
            <w:pPr>
              <w:spacing w:after="0"/>
              <w:rPr>
                <w:rFonts w:eastAsia="Times New Roman"/>
                <w:color w:val="auto"/>
              </w:rPr>
            </w:pPr>
            <w:r w:rsidRPr="00831E85">
              <w:rPr>
                <w:rFonts w:eastAsia="Times New Roman"/>
                <w:color w:val="auto"/>
              </w:rPr>
              <w:t>1 : Agriculture, forestry &amp; fishing (A)</w:t>
            </w:r>
          </w:p>
        </w:tc>
        <w:tc>
          <w:tcPr>
            <w:tcW w:w="1205" w:type="dxa"/>
            <w:noWrap/>
            <w:hideMark/>
          </w:tcPr>
          <w:p w14:paraId="2B5E406D"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0.1%</w:t>
            </w:r>
          </w:p>
        </w:tc>
        <w:tc>
          <w:tcPr>
            <w:tcW w:w="1205" w:type="dxa"/>
          </w:tcPr>
          <w:p w14:paraId="59DA6B64"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0.0%</w:t>
            </w:r>
          </w:p>
        </w:tc>
        <w:tc>
          <w:tcPr>
            <w:tcW w:w="1205" w:type="dxa"/>
            <w:noWrap/>
            <w:hideMark/>
          </w:tcPr>
          <w:p w14:paraId="2B56B458"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0.3%</w:t>
            </w:r>
          </w:p>
        </w:tc>
        <w:tc>
          <w:tcPr>
            <w:tcW w:w="1206" w:type="dxa"/>
            <w:noWrap/>
            <w:hideMark/>
          </w:tcPr>
          <w:p w14:paraId="385165B7"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1.4%</w:t>
            </w:r>
          </w:p>
        </w:tc>
      </w:tr>
      <w:tr w:rsidR="00515486" w:rsidRPr="00831E85" w14:paraId="7D641CC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E91EB36" w14:textId="77777777" w:rsidR="00515486" w:rsidRPr="00831E85" w:rsidRDefault="00515486" w:rsidP="004D5D22">
            <w:pPr>
              <w:spacing w:after="0"/>
              <w:rPr>
                <w:rFonts w:eastAsia="Times New Roman"/>
                <w:color w:val="auto"/>
              </w:rPr>
            </w:pPr>
            <w:r w:rsidRPr="00831E85">
              <w:rPr>
                <w:rFonts w:eastAsia="Times New Roman"/>
                <w:color w:val="auto"/>
              </w:rPr>
              <w:t>2 : Mining, quarrying &amp; utilities (B,D and E)</w:t>
            </w:r>
          </w:p>
        </w:tc>
        <w:tc>
          <w:tcPr>
            <w:tcW w:w="1205" w:type="dxa"/>
            <w:noWrap/>
            <w:hideMark/>
          </w:tcPr>
          <w:p w14:paraId="5EF942BE"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1.2%</w:t>
            </w:r>
          </w:p>
        </w:tc>
        <w:tc>
          <w:tcPr>
            <w:tcW w:w="1205" w:type="dxa"/>
          </w:tcPr>
          <w:p w14:paraId="1B8261D8"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0.9%</w:t>
            </w:r>
          </w:p>
        </w:tc>
        <w:tc>
          <w:tcPr>
            <w:tcW w:w="1205" w:type="dxa"/>
            <w:noWrap/>
            <w:hideMark/>
          </w:tcPr>
          <w:p w14:paraId="73F067BE"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2.1%</w:t>
            </w:r>
          </w:p>
        </w:tc>
        <w:tc>
          <w:tcPr>
            <w:tcW w:w="1206" w:type="dxa"/>
            <w:noWrap/>
            <w:hideMark/>
          </w:tcPr>
          <w:p w14:paraId="68C8E0C7"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1.1%</w:t>
            </w:r>
          </w:p>
        </w:tc>
      </w:tr>
      <w:tr w:rsidR="00515486" w:rsidRPr="00831E85" w14:paraId="32A94DA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4B06951" w14:textId="77777777" w:rsidR="00515486" w:rsidRPr="00E6771F" w:rsidRDefault="00515486" w:rsidP="004D5D22">
            <w:pPr>
              <w:spacing w:after="0"/>
              <w:rPr>
                <w:rFonts w:eastAsia="Times New Roman"/>
                <w:color w:val="auto"/>
              </w:rPr>
            </w:pPr>
            <w:r w:rsidRPr="00E6771F">
              <w:rPr>
                <w:rFonts w:eastAsia="Times New Roman"/>
                <w:color w:val="auto"/>
              </w:rPr>
              <w:t>3 : Manufacturing (C)</w:t>
            </w:r>
          </w:p>
        </w:tc>
        <w:tc>
          <w:tcPr>
            <w:tcW w:w="1205" w:type="dxa"/>
            <w:noWrap/>
            <w:hideMark/>
          </w:tcPr>
          <w:p w14:paraId="7EC5014B"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14.6%</w:t>
            </w:r>
          </w:p>
        </w:tc>
        <w:tc>
          <w:tcPr>
            <w:tcW w:w="1205" w:type="dxa"/>
          </w:tcPr>
          <w:p w14:paraId="66CF9547"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16.2%</w:t>
            </w:r>
          </w:p>
        </w:tc>
        <w:tc>
          <w:tcPr>
            <w:tcW w:w="1205" w:type="dxa"/>
            <w:noWrap/>
            <w:hideMark/>
          </w:tcPr>
          <w:p w14:paraId="449EA886"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20.2%</w:t>
            </w:r>
          </w:p>
        </w:tc>
        <w:tc>
          <w:tcPr>
            <w:tcW w:w="1206" w:type="dxa"/>
            <w:noWrap/>
            <w:hideMark/>
          </w:tcPr>
          <w:p w14:paraId="15B3ED75"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8.4%</w:t>
            </w:r>
          </w:p>
        </w:tc>
      </w:tr>
      <w:tr w:rsidR="00515486" w:rsidRPr="00831E85" w14:paraId="3FDDB59F"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4143F88" w14:textId="77777777" w:rsidR="00515486" w:rsidRPr="00E6771F" w:rsidRDefault="00515486" w:rsidP="004D5D22">
            <w:pPr>
              <w:spacing w:after="0"/>
              <w:rPr>
                <w:rFonts w:eastAsia="Times New Roman"/>
                <w:color w:val="auto"/>
              </w:rPr>
            </w:pPr>
            <w:r w:rsidRPr="00E6771F">
              <w:rPr>
                <w:rFonts w:eastAsia="Times New Roman"/>
                <w:color w:val="auto"/>
              </w:rPr>
              <w:t>4 : Construction (F)</w:t>
            </w:r>
          </w:p>
        </w:tc>
        <w:tc>
          <w:tcPr>
            <w:tcW w:w="1205" w:type="dxa"/>
            <w:noWrap/>
            <w:hideMark/>
          </w:tcPr>
          <w:p w14:paraId="37D60BA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4.2%</w:t>
            </w:r>
          </w:p>
        </w:tc>
        <w:tc>
          <w:tcPr>
            <w:tcW w:w="1205" w:type="dxa"/>
          </w:tcPr>
          <w:p w14:paraId="298A48A2"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5.1%</w:t>
            </w:r>
          </w:p>
        </w:tc>
        <w:tc>
          <w:tcPr>
            <w:tcW w:w="1205" w:type="dxa"/>
            <w:noWrap/>
            <w:hideMark/>
          </w:tcPr>
          <w:p w14:paraId="39113A74"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7.2%</w:t>
            </w:r>
          </w:p>
        </w:tc>
        <w:tc>
          <w:tcPr>
            <w:tcW w:w="1206" w:type="dxa"/>
            <w:noWrap/>
            <w:hideMark/>
          </w:tcPr>
          <w:p w14:paraId="64FC588B"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4.6%</w:t>
            </w:r>
          </w:p>
        </w:tc>
      </w:tr>
      <w:tr w:rsidR="00515486" w:rsidRPr="00831E85" w14:paraId="06D5519F"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78D6888" w14:textId="77777777" w:rsidR="00515486" w:rsidRPr="00E6771F" w:rsidRDefault="00515486" w:rsidP="004D5D22">
            <w:pPr>
              <w:spacing w:after="0"/>
              <w:rPr>
                <w:rFonts w:eastAsia="Times New Roman"/>
                <w:color w:val="auto"/>
              </w:rPr>
            </w:pPr>
            <w:r w:rsidRPr="00E6771F">
              <w:rPr>
                <w:rFonts w:eastAsia="Times New Roman"/>
                <w:color w:val="auto"/>
              </w:rPr>
              <w:t>5 : Motor trades (Part G)</w:t>
            </w:r>
          </w:p>
        </w:tc>
        <w:tc>
          <w:tcPr>
            <w:tcW w:w="1205" w:type="dxa"/>
            <w:noWrap/>
            <w:hideMark/>
          </w:tcPr>
          <w:p w14:paraId="46F00618"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2.2%</w:t>
            </w:r>
          </w:p>
        </w:tc>
        <w:tc>
          <w:tcPr>
            <w:tcW w:w="1205" w:type="dxa"/>
          </w:tcPr>
          <w:p w14:paraId="012694A6"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1.7%</w:t>
            </w:r>
          </w:p>
        </w:tc>
        <w:tc>
          <w:tcPr>
            <w:tcW w:w="1205" w:type="dxa"/>
            <w:noWrap/>
            <w:hideMark/>
          </w:tcPr>
          <w:p w14:paraId="4021542F"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2.2%</w:t>
            </w:r>
          </w:p>
        </w:tc>
        <w:tc>
          <w:tcPr>
            <w:tcW w:w="1206" w:type="dxa"/>
            <w:noWrap/>
            <w:hideMark/>
          </w:tcPr>
          <w:p w14:paraId="59A76B89"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1.8%</w:t>
            </w:r>
          </w:p>
        </w:tc>
      </w:tr>
      <w:tr w:rsidR="00515486" w:rsidRPr="00831E85" w14:paraId="1F977A8B"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0A8F4FD" w14:textId="77777777" w:rsidR="00515486" w:rsidRPr="00E6771F" w:rsidRDefault="00515486" w:rsidP="004D5D22">
            <w:pPr>
              <w:spacing w:after="0"/>
              <w:rPr>
                <w:rFonts w:eastAsia="Times New Roman"/>
                <w:color w:val="auto"/>
              </w:rPr>
            </w:pPr>
            <w:r w:rsidRPr="00E6771F">
              <w:rPr>
                <w:rFonts w:eastAsia="Times New Roman"/>
                <w:color w:val="auto"/>
              </w:rPr>
              <w:t>6 : Wholesale (Part G)</w:t>
            </w:r>
          </w:p>
        </w:tc>
        <w:tc>
          <w:tcPr>
            <w:tcW w:w="1205" w:type="dxa"/>
            <w:noWrap/>
            <w:hideMark/>
          </w:tcPr>
          <w:p w14:paraId="2CCB588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3.2%</w:t>
            </w:r>
          </w:p>
        </w:tc>
        <w:tc>
          <w:tcPr>
            <w:tcW w:w="1205" w:type="dxa"/>
          </w:tcPr>
          <w:p w14:paraId="10107CAE"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4.0%</w:t>
            </w:r>
          </w:p>
        </w:tc>
        <w:tc>
          <w:tcPr>
            <w:tcW w:w="1205" w:type="dxa"/>
            <w:noWrap/>
            <w:hideMark/>
          </w:tcPr>
          <w:p w14:paraId="638BCAD1"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3.7%</w:t>
            </w:r>
          </w:p>
        </w:tc>
        <w:tc>
          <w:tcPr>
            <w:tcW w:w="1206" w:type="dxa"/>
            <w:noWrap/>
            <w:hideMark/>
          </w:tcPr>
          <w:p w14:paraId="04F0A931"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4.2%</w:t>
            </w:r>
          </w:p>
        </w:tc>
      </w:tr>
      <w:tr w:rsidR="00515486" w:rsidRPr="00831E85" w14:paraId="13D48458"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144F3C0" w14:textId="77777777" w:rsidR="00515486" w:rsidRPr="00E6771F" w:rsidRDefault="00515486" w:rsidP="004D5D22">
            <w:pPr>
              <w:spacing w:after="0"/>
              <w:rPr>
                <w:rFonts w:eastAsia="Times New Roman"/>
                <w:color w:val="auto"/>
              </w:rPr>
            </w:pPr>
            <w:r w:rsidRPr="00E6771F">
              <w:rPr>
                <w:rFonts w:eastAsia="Times New Roman"/>
                <w:color w:val="auto"/>
              </w:rPr>
              <w:t>7 : Retail (Part G)</w:t>
            </w:r>
          </w:p>
        </w:tc>
        <w:tc>
          <w:tcPr>
            <w:tcW w:w="1205" w:type="dxa"/>
            <w:noWrap/>
            <w:hideMark/>
          </w:tcPr>
          <w:p w14:paraId="1D47CAA5"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11.6%</w:t>
            </w:r>
          </w:p>
        </w:tc>
        <w:tc>
          <w:tcPr>
            <w:tcW w:w="1205" w:type="dxa"/>
          </w:tcPr>
          <w:p w14:paraId="6635D0C4"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11.1%</w:t>
            </w:r>
          </w:p>
        </w:tc>
        <w:tc>
          <w:tcPr>
            <w:tcW w:w="1205" w:type="dxa"/>
            <w:noWrap/>
            <w:hideMark/>
          </w:tcPr>
          <w:p w14:paraId="3996CB37"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9.7%</w:t>
            </w:r>
          </w:p>
        </w:tc>
        <w:tc>
          <w:tcPr>
            <w:tcW w:w="1206" w:type="dxa"/>
            <w:noWrap/>
            <w:hideMark/>
          </w:tcPr>
          <w:p w14:paraId="68FED8E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10.2%</w:t>
            </w:r>
          </w:p>
        </w:tc>
      </w:tr>
      <w:tr w:rsidR="00515486" w:rsidRPr="00831E85" w14:paraId="5BD9848E"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5AE5D6B2" w14:textId="77777777" w:rsidR="00515486" w:rsidRPr="00E6771F" w:rsidRDefault="00515486" w:rsidP="004D5D22">
            <w:pPr>
              <w:spacing w:after="0"/>
              <w:rPr>
                <w:rFonts w:eastAsia="Times New Roman"/>
                <w:color w:val="auto"/>
              </w:rPr>
            </w:pPr>
            <w:r w:rsidRPr="00E6771F">
              <w:rPr>
                <w:rFonts w:eastAsia="Times New Roman"/>
                <w:color w:val="auto"/>
              </w:rPr>
              <w:t>8 : Transport &amp; storage (inc postal) (H)</w:t>
            </w:r>
          </w:p>
        </w:tc>
        <w:tc>
          <w:tcPr>
            <w:tcW w:w="1205" w:type="dxa"/>
            <w:noWrap/>
            <w:hideMark/>
          </w:tcPr>
          <w:p w14:paraId="3E6A4361"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8.8%</w:t>
            </w:r>
          </w:p>
        </w:tc>
        <w:tc>
          <w:tcPr>
            <w:tcW w:w="1205" w:type="dxa"/>
          </w:tcPr>
          <w:p w14:paraId="0DA7BC7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4.1%</w:t>
            </w:r>
          </w:p>
        </w:tc>
        <w:tc>
          <w:tcPr>
            <w:tcW w:w="1205" w:type="dxa"/>
            <w:noWrap/>
            <w:hideMark/>
          </w:tcPr>
          <w:p w14:paraId="76F65ECC"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8.3%</w:t>
            </w:r>
          </w:p>
        </w:tc>
        <w:tc>
          <w:tcPr>
            <w:tcW w:w="1206" w:type="dxa"/>
            <w:noWrap/>
            <w:hideMark/>
          </w:tcPr>
          <w:p w14:paraId="649FA714"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4.6%</w:t>
            </w:r>
          </w:p>
        </w:tc>
      </w:tr>
      <w:tr w:rsidR="00515486" w:rsidRPr="00831E85" w14:paraId="67EA5FCF"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2BF10B4" w14:textId="77777777" w:rsidR="00515486" w:rsidRPr="00E6771F" w:rsidRDefault="00515486" w:rsidP="004D5D22">
            <w:pPr>
              <w:spacing w:after="0"/>
              <w:rPr>
                <w:rFonts w:eastAsia="Times New Roman"/>
                <w:color w:val="auto"/>
              </w:rPr>
            </w:pPr>
            <w:r w:rsidRPr="00E6771F">
              <w:rPr>
                <w:rFonts w:eastAsia="Times New Roman"/>
                <w:color w:val="auto"/>
              </w:rPr>
              <w:t>9 : Accommodation &amp; food services (I)</w:t>
            </w:r>
          </w:p>
        </w:tc>
        <w:tc>
          <w:tcPr>
            <w:tcW w:w="1205" w:type="dxa"/>
            <w:noWrap/>
            <w:hideMark/>
          </w:tcPr>
          <w:p w14:paraId="36F0B06B"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5.6%</w:t>
            </w:r>
          </w:p>
        </w:tc>
        <w:tc>
          <w:tcPr>
            <w:tcW w:w="1205" w:type="dxa"/>
          </w:tcPr>
          <w:p w14:paraId="4AACC958"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4.1%</w:t>
            </w:r>
          </w:p>
        </w:tc>
        <w:tc>
          <w:tcPr>
            <w:tcW w:w="1205" w:type="dxa"/>
            <w:noWrap/>
            <w:hideMark/>
          </w:tcPr>
          <w:p w14:paraId="61B511F4"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5.3%</w:t>
            </w:r>
          </w:p>
        </w:tc>
        <w:tc>
          <w:tcPr>
            <w:tcW w:w="1206" w:type="dxa"/>
            <w:noWrap/>
            <w:hideMark/>
          </w:tcPr>
          <w:p w14:paraId="7A7EA770"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6.8%</w:t>
            </w:r>
          </w:p>
        </w:tc>
      </w:tr>
      <w:tr w:rsidR="00515486" w:rsidRPr="00831E85" w14:paraId="12491CEB"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56A663C" w14:textId="77777777" w:rsidR="00515486" w:rsidRPr="00E6771F" w:rsidRDefault="00515486" w:rsidP="004D5D22">
            <w:pPr>
              <w:spacing w:after="0"/>
              <w:rPr>
                <w:rFonts w:eastAsia="Times New Roman"/>
                <w:color w:val="auto"/>
              </w:rPr>
            </w:pPr>
            <w:r w:rsidRPr="00E6771F">
              <w:rPr>
                <w:rFonts w:eastAsia="Times New Roman"/>
                <w:color w:val="auto"/>
              </w:rPr>
              <w:t>10 : Information &amp; communication (J)</w:t>
            </w:r>
          </w:p>
        </w:tc>
        <w:tc>
          <w:tcPr>
            <w:tcW w:w="1205" w:type="dxa"/>
            <w:noWrap/>
            <w:hideMark/>
          </w:tcPr>
          <w:p w14:paraId="7DE0E40F"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1.1%</w:t>
            </w:r>
          </w:p>
        </w:tc>
        <w:tc>
          <w:tcPr>
            <w:tcW w:w="1205" w:type="dxa"/>
          </w:tcPr>
          <w:p w14:paraId="379A129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1.7%</w:t>
            </w:r>
          </w:p>
        </w:tc>
        <w:tc>
          <w:tcPr>
            <w:tcW w:w="1205" w:type="dxa"/>
            <w:noWrap/>
            <w:hideMark/>
          </w:tcPr>
          <w:p w14:paraId="2CC8813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0.7%</w:t>
            </w:r>
          </w:p>
        </w:tc>
        <w:tc>
          <w:tcPr>
            <w:tcW w:w="1206" w:type="dxa"/>
            <w:noWrap/>
            <w:hideMark/>
          </w:tcPr>
          <w:p w14:paraId="23125B66"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4.0%</w:t>
            </w:r>
          </w:p>
        </w:tc>
      </w:tr>
      <w:tr w:rsidR="00515486" w:rsidRPr="00831E85" w14:paraId="36C9CC5D"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19E71414" w14:textId="77777777" w:rsidR="00515486" w:rsidRPr="00E6771F" w:rsidRDefault="00515486" w:rsidP="004D5D22">
            <w:pPr>
              <w:spacing w:after="0"/>
              <w:rPr>
                <w:rFonts w:eastAsia="Times New Roman"/>
                <w:color w:val="auto"/>
              </w:rPr>
            </w:pPr>
            <w:r w:rsidRPr="00E6771F">
              <w:rPr>
                <w:rFonts w:eastAsia="Times New Roman"/>
                <w:color w:val="auto"/>
              </w:rPr>
              <w:t>11 : Financial &amp; insurance (K)</w:t>
            </w:r>
          </w:p>
        </w:tc>
        <w:tc>
          <w:tcPr>
            <w:tcW w:w="1205" w:type="dxa"/>
            <w:noWrap/>
            <w:hideMark/>
          </w:tcPr>
          <w:p w14:paraId="50F9F94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1.1%</w:t>
            </w:r>
          </w:p>
        </w:tc>
        <w:tc>
          <w:tcPr>
            <w:tcW w:w="1205" w:type="dxa"/>
          </w:tcPr>
          <w:p w14:paraId="20DD644D"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0.9%</w:t>
            </w:r>
          </w:p>
        </w:tc>
        <w:tc>
          <w:tcPr>
            <w:tcW w:w="1205" w:type="dxa"/>
            <w:noWrap/>
            <w:hideMark/>
          </w:tcPr>
          <w:p w14:paraId="685D9E55"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1.1%</w:t>
            </w:r>
          </w:p>
        </w:tc>
        <w:tc>
          <w:tcPr>
            <w:tcW w:w="1206" w:type="dxa"/>
            <w:noWrap/>
            <w:hideMark/>
          </w:tcPr>
          <w:p w14:paraId="6A902434"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3.8%</w:t>
            </w:r>
          </w:p>
        </w:tc>
      </w:tr>
      <w:tr w:rsidR="00515486" w:rsidRPr="00831E85" w14:paraId="634DFB2D"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6B1CDB8" w14:textId="77777777" w:rsidR="00515486" w:rsidRPr="00E6771F" w:rsidRDefault="00515486" w:rsidP="004D5D22">
            <w:pPr>
              <w:spacing w:after="0"/>
              <w:rPr>
                <w:rFonts w:eastAsia="Times New Roman"/>
                <w:color w:val="auto"/>
              </w:rPr>
            </w:pPr>
            <w:r w:rsidRPr="00E6771F">
              <w:rPr>
                <w:rFonts w:eastAsia="Times New Roman"/>
                <w:color w:val="auto"/>
              </w:rPr>
              <w:t>12 : Property (L)</w:t>
            </w:r>
          </w:p>
        </w:tc>
        <w:tc>
          <w:tcPr>
            <w:tcW w:w="1205" w:type="dxa"/>
            <w:noWrap/>
            <w:hideMark/>
          </w:tcPr>
          <w:p w14:paraId="1E2E060E"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1.0%</w:t>
            </w:r>
          </w:p>
        </w:tc>
        <w:tc>
          <w:tcPr>
            <w:tcW w:w="1205" w:type="dxa"/>
          </w:tcPr>
          <w:p w14:paraId="66AB0473"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1.1%</w:t>
            </w:r>
          </w:p>
        </w:tc>
        <w:tc>
          <w:tcPr>
            <w:tcW w:w="1205" w:type="dxa"/>
            <w:noWrap/>
            <w:hideMark/>
          </w:tcPr>
          <w:p w14:paraId="49D6A6E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0.9%</w:t>
            </w:r>
          </w:p>
        </w:tc>
        <w:tc>
          <w:tcPr>
            <w:tcW w:w="1206" w:type="dxa"/>
            <w:noWrap/>
            <w:hideMark/>
          </w:tcPr>
          <w:p w14:paraId="4ACE3181"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1.8%</w:t>
            </w:r>
          </w:p>
        </w:tc>
      </w:tr>
      <w:tr w:rsidR="00515486" w:rsidRPr="00831E85" w14:paraId="11E5A73F"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41A9DAF8" w14:textId="77777777" w:rsidR="00515486" w:rsidRPr="00E6771F" w:rsidRDefault="00515486" w:rsidP="004D5D22">
            <w:pPr>
              <w:spacing w:after="0"/>
              <w:rPr>
                <w:rFonts w:eastAsia="Times New Roman"/>
                <w:color w:val="auto"/>
              </w:rPr>
            </w:pPr>
            <w:r w:rsidRPr="00E6771F">
              <w:rPr>
                <w:rFonts w:eastAsia="Times New Roman"/>
                <w:color w:val="auto"/>
              </w:rPr>
              <w:t>13 : Professional, scientific &amp; technical (M)</w:t>
            </w:r>
          </w:p>
        </w:tc>
        <w:tc>
          <w:tcPr>
            <w:tcW w:w="1205" w:type="dxa"/>
            <w:noWrap/>
            <w:hideMark/>
          </w:tcPr>
          <w:p w14:paraId="2C422BF8"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4.2%</w:t>
            </w:r>
          </w:p>
        </w:tc>
        <w:tc>
          <w:tcPr>
            <w:tcW w:w="1205" w:type="dxa"/>
          </w:tcPr>
          <w:p w14:paraId="019D94B3"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4.0%</w:t>
            </w:r>
          </w:p>
        </w:tc>
        <w:tc>
          <w:tcPr>
            <w:tcW w:w="1205" w:type="dxa"/>
            <w:noWrap/>
            <w:hideMark/>
          </w:tcPr>
          <w:p w14:paraId="155E5512"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3.3%</w:t>
            </w:r>
          </w:p>
        </w:tc>
        <w:tc>
          <w:tcPr>
            <w:tcW w:w="1206" w:type="dxa"/>
            <w:noWrap/>
            <w:hideMark/>
          </w:tcPr>
          <w:p w14:paraId="5EF2564D"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8.0%</w:t>
            </w:r>
          </w:p>
        </w:tc>
      </w:tr>
      <w:tr w:rsidR="00515486" w:rsidRPr="00831E85" w14:paraId="6382F315"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24DE0D2" w14:textId="77777777" w:rsidR="00515486" w:rsidRPr="00E6771F" w:rsidRDefault="00515486" w:rsidP="004D5D22">
            <w:pPr>
              <w:spacing w:after="0"/>
              <w:rPr>
                <w:rFonts w:eastAsia="Times New Roman"/>
                <w:color w:val="auto"/>
              </w:rPr>
            </w:pPr>
            <w:r w:rsidRPr="00E6771F">
              <w:rPr>
                <w:rFonts w:eastAsia="Times New Roman"/>
                <w:color w:val="auto"/>
              </w:rPr>
              <w:t>14 : Business administration &amp; support services (N)</w:t>
            </w:r>
          </w:p>
        </w:tc>
        <w:tc>
          <w:tcPr>
            <w:tcW w:w="1205" w:type="dxa"/>
            <w:noWrap/>
            <w:hideMark/>
          </w:tcPr>
          <w:p w14:paraId="70B6B652"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7.6%</w:t>
            </w:r>
          </w:p>
        </w:tc>
        <w:tc>
          <w:tcPr>
            <w:tcW w:w="1205" w:type="dxa"/>
          </w:tcPr>
          <w:p w14:paraId="2C7D666B"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9.2%</w:t>
            </w:r>
          </w:p>
        </w:tc>
        <w:tc>
          <w:tcPr>
            <w:tcW w:w="1205" w:type="dxa"/>
            <w:noWrap/>
            <w:hideMark/>
          </w:tcPr>
          <w:p w14:paraId="61CEEFCF"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7.4%</w:t>
            </w:r>
          </w:p>
        </w:tc>
        <w:tc>
          <w:tcPr>
            <w:tcW w:w="1206" w:type="dxa"/>
            <w:noWrap/>
            <w:hideMark/>
          </w:tcPr>
          <w:p w14:paraId="5AD2C957"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8.3%</w:t>
            </w:r>
          </w:p>
        </w:tc>
      </w:tr>
      <w:tr w:rsidR="00515486" w:rsidRPr="00831E85" w14:paraId="7DC1C517"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31B45CB9" w14:textId="77777777" w:rsidR="00515486" w:rsidRPr="00E6771F" w:rsidRDefault="00515486" w:rsidP="004D5D22">
            <w:pPr>
              <w:spacing w:after="0"/>
              <w:rPr>
                <w:rFonts w:eastAsia="Times New Roman"/>
                <w:color w:val="auto"/>
              </w:rPr>
            </w:pPr>
            <w:r w:rsidRPr="00E6771F">
              <w:rPr>
                <w:rFonts w:eastAsia="Times New Roman"/>
                <w:color w:val="auto"/>
              </w:rPr>
              <w:t>15 : Public administration &amp; defence (O)</w:t>
            </w:r>
          </w:p>
        </w:tc>
        <w:tc>
          <w:tcPr>
            <w:tcW w:w="1205" w:type="dxa"/>
            <w:noWrap/>
            <w:hideMark/>
          </w:tcPr>
          <w:p w14:paraId="6F55F4D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3.8%</w:t>
            </w:r>
          </w:p>
        </w:tc>
        <w:tc>
          <w:tcPr>
            <w:tcW w:w="1205" w:type="dxa"/>
          </w:tcPr>
          <w:p w14:paraId="4F9F529E"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6.4%</w:t>
            </w:r>
          </w:p>
        </w:tc>
        <w:tc>
          <w:tcPr>
            <w:tcW w:w="1205" w:type="dxa"/>
            <w:noWrap/>
            <w:hideMark/>
          </w:tcPr>
          <w:p w14:paraId="2E316851"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4.0%</w:t>
            </w:r>
          </w:p>
        </w:tc>
        <w:tc>
          <w:tcPr>
            <w:tcW w:w="1206" w:type="dxa"/>
            <w:noWrap/>
            <w:hideMark/>
          </w:tcPr>
          <w:p w14:paraId="387BBB00"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4.6%</w:t>
            </w:r>
          </w:p>
        </w:tc>
      </w:tr>
      <w:tr w:rsidR="00515486" w:rsidRPr="00831E85" w14:paraId="0893CD86"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0DB2F83F" w14:textId="77777777" w:rsidR="00515486" w:rsidRPr="00831E85" w:rsidRDefault="00515486" w:rsidP="004D5D22">
            <w:pPr>
              <w:spacing w:after="0"/>
              <w:rPr>
                <w:rFonts w:eastAsia="Times New Roman"/>
                <w:color w:val="auto"/>
              </w:rPr>
            </w:pPr>
            <w:r w:rsidRPr="00831E85">
              <w:rPr>
                <w:rFonts w:eastAsia="Times New Roman"/>
                <w:color w:val="auto"/>
              </w:rPr>
              <w:t>16 : Education (P)</w:t>
            </w:r>
          </w:p>
        </w:tc>
        <w:tc>
          <w:tcPr>
            <w:tcW w:w="1205" w:type="dxa"/>
            <w:noWrap/>
            <w:hideMark/>
          </w:tcPr>
          <w:p w14:paraId="25EA4A27"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9.6%</w:t>
            </w:r>
          </w:p>
        </w:tc>
        <w:tc>
          <w:tcPr>
            <w:tcW w:w="1205" w:type="dxa"/>
          </w:tcPr>
          <w:p w14:paraId="282B75A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9.4%</w:t>
            </w:r>
          </w:p>
        </w:tc>
        <w:tc>
          <w:tcPr>
            <w:tcW w:w="1205" w:type="dxa"/>
            <w:noWrap/>
            <w:hideMark/>
          </w:tcPr>
          <w:p w14:paraId="264DB6C7"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7.6%</w:t>
            </w:r>
          </w:p>
        </w:tc>
        <w:tc>
          <w:tcPr>
            <w:tcW w:w="1206" w:type="dxa"/>
            <w:noWrap/>
            <w:hideMark/>
          </w:tcPr>
          <w:p w14:paraId="0E69B6BB"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9.2%</w:t>
            </w:r>
          </w:p>
        </w:tc>
      </w:tr>
      <w:tr w:rsidR="00515486" w:rsidRPr="00831E85" w14:paraId="40224D1D"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294039E4" w14:textId="77777777" w:rsidR="00515486" w:rsidRPr="00831E85" w:rsidRDefault="00515486" w:rsidP="004D5D22">
            <w:pPr>
              <w:spacing w:after="0"/>
              <w:rPr>
                <w:rFonts w:eastAsia="Times New Roman"/>
                <w:color w:val="auto"/>
              </w:rPr>
            </w:pPr>
            <w:r w:rsidRPr="00831E85">
              <w:rPr>
                <w:rFonts w:eastAsia="Times New Roman"/>
                <w:color w:val="auto"/>
              </w:rPr>
              <w:t>17 : Health (Q)</w:t>
            </w:r>
          </w:p>
        </w:tc>
        <w:tc>
          <w:tcPr>
            <w:tcW w:w="1205" w:type="dxa"/>
            <w:noWrap/>
            <w:hideMark/>
          </w:tcPr>
          <w:p w14:paraId="1FF999C0"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16.1%</w:t>
            </w:r>
          </w:p>
        </w:tc>
        <w:tc>
          <w:tcPr>
            <w:tcW w:w="1205" w:type="dxa"/>
          </w:tcPr>
          <w:p w14:paraId="458C1DE3"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16.6%</w:t>
            </w:r>
          </w:p>
        </w:tc>
        <w:tc>
          <w:tcPr>
            <w:tcW w:w="1205" w:type="dxa"/>
            <w:noWrap/>
            <w:hideMark/>
          </w:tcPr>
          <w:p w14:paraId="2B635DB7"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12.6%</w:t>
            </w:r>
          </w:p>
        </w:tc>
        <w:tc>
          <w:tcPr>
            <w:tcW w:w="1206" w:type="dxa"/>
            <w:noWrap/>
            <w:hideMark/>
          </w:tcPr>
          <w:p w14:paraId="1E0EFD90"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12.7%</w:t>
            </w:r>
          </w:p>
        </w:tc>
      </w:tr>
      <w:tr w:rsidR="00515486" w:rsidRPr="00831E85" w14:paraId="47AFF6A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820" w:type="dxa"/>
            <w:noWrap/>
            <w:hideMark/>
          </w:tcPr>
          <w:p w14:paraId="7EF5162A" w14:textId="77777777" w:rsidR="00515486" w:rsidRPr="00831E85" w:rsidRDefault="00515486" w:rsidP="004D5D22">
            <w:pPr>
              <w:spacing w:after="0"/>
              <w:rPr>
                <w:rFonts w:eastAsia="Times New Roman"/>
                <w:color w:val="auto"/>
              </w:rPr>
            </w:pPr>
            <w:r w:rsidRPr="00831E85">
              <w:rPr>
                <w:rFonts w:eastAsia="Times New Roman"/>
                <w:color w:val="auto"/>
              </w:rPr>
              <w:t>18 : Arts, entertainment, recreation &amp; other services (R,S,T and U)</w:t>
            </w:r>
          </w:p>
        </w:tc>
        <w:tc>
          <w:tcPr>
            <w:tcW w:w="1205" w:type="dxa"/>
            <w:noWrap/>
            <w:hideMark/>
          </w:tcPr>
          <w:p w14:paraId="1B605826"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4.0%</w:t>
            </w:r>
          </w:p>
        </w:tc>
        <w:tc>
          <w:tcPr>
            <w:tcW w:w="1205" w:type="dxa"/>
          </w:tcPr>
          <w:p w14:paraId="5A226C44"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3.4%</w:t>
            </w:r>
          </w:p>
        </w:tc>
        <w:tc>
          <w:tcPr>
            <w:tcW w:w="1205" w:type="dxa"/>
            <w:noWrap/>
            <w:hideMark/>
          </w:tcPr>
          <w:p w14:paraId="75A04AF6"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3.5%</w:t>
            </w:r>
          </w:p>
        </w:tc>
        <w:tc>
          <w:tcPr>
            <w:tcW w:w="1206" w:type="dxa"/>
            <w:noWrap/>
            <w:hideMark/>
          </w:tcPr>
          <w:p w14:paraId="2168AC8A" w14:textId="77777777" w:rsidR="00515486" w:rsidRPr="00831E85" w:rsidRDefault="00515486" w:rsidP="009A53F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831E85">
              <w:rPr>
                <w:rFonts w:eastAsia="Times New Roman"/>
                <w:color w:val="auto"/>
              </w:rPr>
              <w:t>4.5%</w:t>
            </w:r>
          </w:p>
        </w:tc>
      </w:tr>
    </w:tbl>
    <w:p w14:paraId="44959026" w14:textId="77777777" w:rsidR="00515486" w:rsidRDefault="00515486" w:rsidP="00515486">
      <w:pPr>
        <w:pStyle w:val="TableSource"/>
        <w:rPr>
          <w:b/>
          <w:bCs/>
        </w:rPr>
      </w:pPr>
      <w:r w:rsidRPr="00831E85">
        <w:t>Source BRES</w:t>
      </w:r>
      <w:r>
        <w:t xml:space="preserve"> 2011</w:t>
      </w:r>
    </w:p>
    <w:p w14:paraId="38C7DFD7" w14:textId="77777777" w:rsidR="00515486" w:rsidRPr="002F2F40" w:rsidRDefault="009A53F2" w:rsidP="00515486">
      <w:pPr>
        <w:jc w:val="both"/>
      </w:pPr>
      <w:r>
        <w:t>As was shown earlier in this section for the Borough’s business base, e</w:t>
      </w:r>
      <w:r w:rsidR="00515486">
        <w:t>mployment is relatively low in the information and communication, financial and insurance and business, scientific and technical sectors. The area has a similar distribution of employment by sector to neighbouring North Lincolnshire, though with a greater proportion of people working in education and health and less in manufacturing</w:t>
      </w:r>
      <w:r w:rsidR="00D62F49">
        <w:t>.  However, given the role of Grimsby and Immingham ports, the Borough has a</w:t>
      </w:r>
      <w:r w:rsidR="00515486">
        <w:t xml:space="preserve"> prominent transport and storage sector</w:t>
      </w:r>
      <w:r w:rsidR="00D62F49">
        <w:t xml:space="preserve">.  </w:t>
      </w:r>
      <w:r w:rsidR="00515486">
        <w:t xml:space="preserve">  </w:t>
      </w:r>
    </w:p>
    <w:p w14:paraId="66E3135E" w14:textId="77777777" w:rsidR="00515486" w:rsidRDefault="00515486" w:rsidP="00515486">
      <w:pPr>
        <w:jc w:val="both"/>
      </w:pPr>
      <w:r>
        <w:t>Analysis of employment</w:t>
      </w:r>
      <w:r w:rsidR="00D62F49">
        <w:t xml:space="preserve"> change</w:t>
      </w:r>
      <w:r>
        <w:t xml:space="preserve"> by sector, as presented in </w:t>
      </w:r>
      <w:r w:rsidR="00AA08C5">
        <w:fldChar w:fldCharType="begin"/>
      </w:r>
      <w:r w:rsidR="00AA08C5">
        <w:instrText xml:space="preserve"> REF _Ref393701184 \h  \* MERGEFORMAT </w:instrText>
      </w:r>
      <w:r w:rsidR="00AA08C5">
        <w:fldChar w:fldCharType="separate"/>
      </w:r>
      <w:r>
        <w:rPr>
          <w:noProof/>
          <w:lang w:eastAsia="en-GB"/>
        </w:rPr>
        <w:t>Figure 4-4</w:t>
      </w:r>
      <w:r w:rsidR="00AA08C5">
        <w:fldChar w:fldCharType="end"/>
      </w:r>
      <w:r>
        <w:t xml:space="preserve">, indicates several key </w:t>
      </w:r>
      <w:r w:rsidR="00D62F49">
        <w:t>issues</w:t>
      </w:r>
      <w:r>
        <w:t xml:space="preserve">: </w:t>
      </w:r>
    </w:p>
    <w:p w14:paraId="306AFC4E" w14:textId="77777777" w:rsidR="00515486" w:rsidRDefault="00515486" w:rsidP="00515486">
      <w:pPr>
        <w:pStyle w:val="ListParagraph"/>
        <w:numPr>
          <w:ilvl w:val="0"/>
          <w:numId w:val="15"/>
        </w:numPr>
        <w:jc w:val="both"/>
      </w:pPr>
      <w:r>
        <w:t xml:space="preserve">The greatest increase in employment over the period 2009-2012 has been in the mining, quarrying and utilities sector, which has </w:t>
      </w:r>
      <w:r w:rsidR="00D62F49">
        <w:t>grown by around 40%. This most</w:t>
      </w:r>
      <w:r>
        <w:t xml:space="preserve"> likely reflects the expansion of the renewable energy sector in the area and elsewhere in the Humber estuary. </w:t>
      </w:r>
    </w:p>
    <w:p w14:paraId="135DF92E" w14:textId="77777777" w:rsidR="00515486" w:rsidRDefault="00515486" w:rsidP="00515486">
      <w:pPr>
        <w:pStyle w:val="ListParagraph"/>
        <w:numPr>
          <w:ilvl w:val="0"/>
          <w:numId w:val="15"/>
        </w:numPr>
        <w:jc w:val="both"/>
      </w:pPr>
      <w:r>
        <w:t xml:space="preserve">Expansion in this sector </w:t>
      </w:r>
      <w:r w:rsidR="00D62F49">
        <w:t>will</w:t>
      </w:r>
      <w:r>
        <w:t xml:space="preserve"> have stimulated expansion in the transport, manufacturing, professional, scientific and technical and business administration and support sectors through supply chain activities and other linkages. </w:t>
      </w:r>
    </w:p>
    <w:p w14:paraId="172D2012" w14:textId="77777777" w:rsidR="00515486" w:rsidRDefault="00515486" w:rsidP="00515486">
      <w:pPr>
        <w:pStyle w:val="ListParagraph"/>
        <w:numPr>
          <w:ilvl w:val="0"/>
          <w:numId w:val="15"/>
        </w:numPr>
        <w:jc w:val="both"/>
      </w:pPr>
      <w:r>
        <w:t xml:space="preserve">Sectors vulnerable to </w:t>
      </w:r>
      <w:r w:rsidR="00D62F49">
        <w:t>change in the macro-economic climate</w:t>
      </w:r>
      <w:r>
        <w:t xml:space="preserve"> have experienced reduced employment. Contraction in the motor trade, property, accommodation and food and construction sectors reflects both reduced business confidence in these sectors and consumer willingness to spend on these goods and services. Additionally, reduced employment in public administration and defence, education and health </w:t>
      </w:r>
      <w:r w:rsidR="00D62F49">
        <w:t>reflects</w:t>
      </w:r>
      <w:r>
        <w:t xml:space="preserve"> the</w:t>
      </w:r>
      <w:r w:rsidR="00D62F49">
        <w:t xml:space="preserve"> effect </w:t>
      </w:r>
      <w:r>
        <w:t>of</w:t>
      </w:r>
      <w:r w:rsidR="00D62F49">
        <w:t xml:space="preserve"> on-going</w:t>
      </w:r>
      <w:r>
        <w:t xml:space="preserve"> cuts in public sector spending. </w:t>
      </w:r>
    </w:p>
    <w:p w14:paraId="39341B85" w14:textId="77777777" w:rsidR="00515486" w:rsidRDefault="00515486" w:rsidP="00D62F49">
      <w:pPr>
        <w:pStyle w:val="Caption"/>
        <w:jc w:val="center"/>
      </w:pPr>
      <w:bookmarkStart w:id="49" w:name="_Ref393701184"/>
      <w:r>
        <w:rPr>
          <w:noProof/>
          <w:lang w:eastAsia="en-GB"/>
        </w:rPr>
        <w:t xml:space="preserve">Figure </w:t>
      </w:r>
      <w:fldSimple w:instr=" STYLEREF 1 \s  \* MERGEFORMAT ">
        <w:r>
          <w:rPr>
            <w:noProof/>
            <w:lang w:eastAsia="en-GB"/>
          </w:rPr>
          <w:t>4</w:t>
        </w:r>
      </w:fldSimple>
      <w:r>
        <w:rPr>
          <w:noProof/>
          <w:lang w:eastAsia="en-GB"/>
        </w:rPr>
        <w:t>-</w:t>
      </w:r>
      <w:fldSimple w:instr=" SEQ Figure \* ARABIC \s 1  \* MERGEFORMAT ">
        <w:r>
          <w:rPr>
            <w:noProof/>
            <w:lang w:eastAsia="en-GB"/>
          </w:rPr>
          <w:t>4</w:t>
        </w:r>
      </w:fldSimple>
      <w:bookmarkEnd w:id="49"/>
      <w:r>
        <w:rPr>
          <w:noProof/>
          <w:lang w:eastAsia="en-GB"/>
        </w:rPr>
        <w:tab/>
        <w:t>Change in employment by sector (2009-2012)</w:t>
      </w:r>
      <w:r>
        <w:rPr>
          <w:noProof/>
          <w:lang w:eastAsia="en-GB"/>
        </w:rPr>
        <w:drawing>
          <wp:inline distT="0" distB="0" distL="0" distR="0" wp14:anchorId="068C35D3" wp14:editId="4BF9918E">
            <wp:extent cx="6282047" cy="4595750"/>
            <wp:effectExtent l="0" t="0" r="0" b="0"/>
            <wp:docPr id="3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109403" w14:textId="77777777" w:rsidR="00515486" w:rsidRDefault="00515486" w:rsidP="00515486">
      <w:pPr>
        <w:pStyle w:val="TableSource"/>
      </w:pPr>
      <w:r>
        <w:t xml:space="preserve">Source: Business Register and Employment Survey 2012. All figures rounded to nearest 100 for data licensing purposes. </w:t>
      </w:r>
    </w:p>
    <w:p w14:paraId="5A0AF0A2" w14:textId="77777777" w:rsidR="00515486" w:rsidRDefault="00F70FD0" w:rsidP="00515486">
      <w:pPr>
        <w:jc w:val="both"/>
      </w:pPr>
      <w:r>
        <w:fldChar w:fldCharType="begin"/>
      </w:r>
      <w:r w:rsidR="00515486">
        <w:instrText xml:space="preserve"> REF _Ref393784841 \h </w:instrText>
      </w:r>
      <w:r>
        <w:fldChar w:fldCharType="separate"/>
      </w:r>
      <w:r w:rsidR="00515486">
        <w:t xml:space="preserve">Table </w:t>
      </w:r>
      <w:r w:rsidR="00515486">
        <w:rPr>
          <w:noProof/>
        </w:rPr>
        <w:t>4</w:t>
      </w:r>
      <w:r w:rsidR="00515486">
        <w:t>-</w:t>
      </w:r>
      <w:r w:rsidR="00515486">
        <w:rPr>
          <w:noProof/>
        </w:rPr>
        <w:t>5</w:t>
      </w:r>
      <w:r>
        <w:fldChar w:fldCharType="end"/>
      </w:r>
      <w:r w:rsidR="00515486">
        <w:t xml:space="preserve"> indicates that the sectors with the greatest proportion of job vacancies in North East Lincolnshire </w:t>
      </w:r>
      <w:r w:rsidR="007439E7">
        <w:t>include</w:t>
      </w:r>
      <w:r w:rsidR="00515486">
        <w:t xml:space="preserve"> banking, finance and insurance, distribution, hotels and restaurants and public administration, education and health. This pattern has remained largely consistent over time, though vacancies in the public sector have declined, reflecting </w:t>
      </w:r>
      <w:r w:rsidR="007439E7">
        <w:t>austerity measures</w:t>
      </w:r>
      <w:r w:rsidR="00515486">
        <w:t>. It is notable that banking, finance and insurance dominates available vacancies yet the financial and insurance sector only represented 1.1% of employment in 2011 (</w:t>
      </w:r>
      <w:r>
        <w:fldChar w:fldCharType="begin"/>
      </w:r>
      <w:r w:rsidR="00515486">
        <w:instrText xml:space="preserve"> REF _Ref393784841 \h </w:instrText>
      </w:r>
      <w:r>
        <w:fldChar w:fldCharType="separate"/>
      </w:r>
      <w:r w:rsidR="00515486">
        <w:t xml:space="preserve">Table </w:t>
      </w:r>
      <w:r w:rsidR="00515486">
        <w:rPr>
          <w:noProof/>
        </w:rPr>
        <w:t>4</w:t>
      </w:r>
      <w:r w:rsidR="00515486">
        <w:t>-</w:t>
      </w:r>
      <w:r w:rsidR="00515486">
        <w:rPr>
          <w:noProof/>
        </w:rPr>
        <w:t>5</w:t>
      </w:r>
      <w:r>
        <w:fldChar w:fldCharType="end"/>
      </w:r>
      <w:r w:rsidR="00515486">
        <w:t xml:space="preserve">). The large number of vacancies in this sector </w:t>
      </w:r>
      <w:r w:rsidR="007439E7">
        <w:t>is likely to</w:t>
      </w:r>
      <w:r w:rsidR="00515486">
        <w:t xml:space="preserve"> be due to difficulties in finding appropriately skilled employees locally. </w:t>
      </w:r>
    </w:p>
    <w:p w14:paraId="70BE63DF" w14:textId="77777777" w:rsidR="007439E7" w:rsidRDefault="007439E7">
      <w:pPr>
        <w:spacing w:after="200" w:line="276" w:lineRule="auto"/>
        <w:rPr>
          <w:b/>
          <w:bCs/>
          <w:szCs w:val="18"/>
        </w:rPr>
      </w:pPr>
      <w:r>
        <w:br w:type="page"/>
      </w:r>
    </w:p>
    <w:p w14:paraId="530A46DD" w14:textId="77777777" w:rsidR="007439E7" w:rsidRDefault="007439E7" w:rsidP="007439E7">
      <w:pPr>
        <w:pStyle w:val="Caption"/>
      </w:pPr>
      <w:r>
        <w:t xml:space="preserve">Table </w:t>
      </w:r>
      <w:fldSimple w:instr=" STYLEREF 1 \s  \* MERGEFORMAT ">
        <w:r>
          <w:rPr>
            <w:noProof/>
          </w:rPr>
          <w:t>4</w:t>
        </w:r>
      </w:fldSimple>
      <w:r>
        <w:t>-</w:t>
      </w:r>
      <w:fldSimple w:instr=" SEQ Table \* ARABIC \s 1  \* MERGEFORMAT ">
        <w:r>
          <w:rPr>
            <w:noProof/>
          </w:rPr>
          <w:t>5</w:t>
        </w:r>
      </w:fldSimple>
      <w:r>
        <w:tab/>
        <w:t>Distribution of notified vacancies by sector for North East Lincolnshire (%, 2006-2012)</w:t>
      </w:r>
    </w:p>
    <w:tbl>
      <w:tblPr>
        <w:tblStyle w:val="Atkins14pt"/>
        <w:tblW w:w="9845" w:type="dxa"/>
        <w:tblLook w:val="04A0" w:firstRow="1" w:lastRow="0" w:firstColumn="1" w:lastColumn="0" w:noHBand="0" w:noVBand="1"/>
      </w:tblPr>
      <w:tblGrid>
        <w:gridCol w:w="4111"/>
        <w:gridCol w:w="862"/>
        <w:gridCol w:w="862"/>
        <w:gridCol w:w="802"/>
        <w:gridCol w:w="802"/>
        <w:gridCol w:w="802"/>
        <w:gridCol w:w="802"/>
        <w:gridCol w:w="802"/>
      </w:tblGrid>
      <w:tr w:rsidR="007439E7" w:rsidRPr="004A04EC" w14:paraId="1575339B" w14:textId="77777777" w:rsidTr="007439E7">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4111" w:type="dxa"/>
            <w:hideMark/>
          </w:tcPr>
          <w:p w14:paraId="4C4D7901" w14:textId="77777777" w:rsidR="007439E7" w:rsidRPr="00951448" w:rsidRDefault="007439E7" w:rsidP="007439E7">
            <w:pPr>
              <w:pStyle w:val="TableHeading"/>
              <w:jc w:val="both"/>
              <w:rPr>
                <w:color w:val="auto"/>
              </w:rPr>
            </w:pPr>
            <w:r w:rsidRPr="00951448">
              <w:rPr>
                <w:color w:val="auto"/>
              </w:rPr>
              <w:t>Sector</w:t>
            </w:r>
          </w:p>
        </w:tc>
        <w:tc>
          <w:tcPr>
            <w:tcW w:w="862" w:type="dxa"/>
            <w:noWrap/>
            <w:hideMark/>
          </w:tcPr>
          <w:p w14:paraId="53280AB5" w14:textId="77777777" w:rsidR="007439E7" w:rsidRPr="00951448" w:rsidRDefault="007439E7" w:rsidP="007439E7">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951448">
              <w:rPr>
                <w:color w:val="auto"/>
              </w:rPr>
              <w:t>2006</w:t>
            </w:r>
          </w:p>
        </w:tc>
        <w:tc>
          <w:tcPr>
            <w:tcW w:w="862" w:type="dxa"/>
            <w:noWrap/>
            <w:hideMark/>
          </w:tcPr>
          <w:p w14:paraId="422F9872" w14:textId="77777777" w:rsidR="007439E7" w:rsidRPr="00951448" w:rsidRDefault="007439E7" w:rsidP="007439E7">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951448">
              <w:rPr>
                <w:color w:val="auto"/>
              </w:rPr>
              <w:t>2007</w:t>
            </w:r>
          </w:p>
        </w:tc>
        <w:tc>
          <w:tcPr>
            <w:tcW w:w="802" w:type="dxa"/>
            <w:noWrap/>
            <w:hideMark/>
          </w:tcPr>
          <w:p w14:paraId="36F82D53" w14:textId="77777777" w:rsidR="007439E7" w:rsidRPr="00951448" w:rsidRDefault="007439E7" w:rsidP="007439E7">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951448">
              <w:rPr>
                <w:color w:val="auto"/>
              </w:rPr>
              <w:t>2008</w:t>
            </w:r>
          </w:p>
        </w:tc>
        <w:tc>
          <w:tcPr>
            <w:tcW w:w="802" w:type="dxa"/>
            <w:noWrap/>
            <w:hideMark/>
          </w:tcPr>
          <w:p w14:paraId="69EF8FCF" w14:textId="77777777" w:rsidR="007439E7" w:rsidRPr="00951448" w:rsidRDefault="007439E7" w:rsidP="007439E7">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951448">
              <w:rPr>
                <w:color w:val="auto"/>
              </w:rPr>
              <w:t>2009</w:t>
            </w:r>
          </w:p>
        </w:tc>
        <w:tc>
          <w:tcPr>
            <w:tcW w:w="802" w:type="dxa"/>
            <w:noWrap/>
            <w:hideMark/>
          </w:tcPr>
          <w:p w14:paraId="266CDD0E" w14:textId="77777777" w:rsidR="007439E7" w:rsidRPr="00951448" w:rsidRDefault="007439E7" w:rsidP="007439E7">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951448">
              <w:rPr>
                <w:color w:val="auto"/>
              </w:rPr>
              <w:t>2010</w:t>
            </w:r>
          </w:p>
        </w:tc>
        <w:tc>
          <w:tcPr>
            <w:tcW w:w="802" w:type="dxa"/>
            <w:noWrap/>
            <w:hideMark/>
          </w:tcPr>
          <w:p w14:paraId="3969284B" w14:textId="77777777" w:rsidR="007439E7" w:rsidRPr="00951448" w:rsidRDefault="007439E7" w:rsidP="007439E7">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951448">
              <w:rPr>
                <w:color w:val="auto"/>
              </w:rPr>
              <w:t>2011</w:t>
            </w:r>
          </w:p>
        </w:tc>
        <w:tc>
          <w:tcPr>
            <w:tcW w:w="802" w:type="dxa"/>
            <w:noWrap/>
            <w:hideMark/>
          </w:tcPr>
          <w:p w14:paraId="123BA6A8" w14:textId="77777777" w:rsidR="007439E7" w:rsidRPr="00951448" w:rsidRDefault="007439E7" w:rsidP="007439E7">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951448">
              <w:rPr>
                <w:color w:val="auto"/>
              </w:rPr>
              <w:t>2012</w:t>
            </w:r>
          </w:p>
        </w:tc>
      </w:tr>
      <w:tr w:rsidR="007439E7" w:rsidRPr="004A04EC" w14:paraId="156B8A7C"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C497A1B" w14:textId="77777777" w:rsidR="007439E7" w:rsidRPr="00951448" w:rsidRDefault="007439E7" w:rsidP="007439E7">
            <w:pPr>
              <w:pStyle w:val="TableText"/>
              <w:jc w:val="both"/>
              <w:rPr>
                <w:color w:val="auto"/>
              </w:rPr>
            </w:pPr>
            <w:r w:rsidRPr="00951448">
              <w:rPr>
                <w:color w:val="auto"/>
              </w:rPr>
              <w:t xml:space="preserve">Agriculture and fishing </w:t>
            </w:r>
          </w:p>
        </w:tc>
        <w:tc>
          <w:tcPr>
            <w:tcW w:w="862" w:type="dxa"/>
            <w:noWrap/>
            <w:hideMark/>
          </w:tcPr>
          <w:p w14:paraId="39DE2B83"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0.1</w:t>
            </w:r>
          </w:p>
        </w:tc>
        <w:tc>
          <w:tcPr>
            <w:tcW w:w="862" w:type="dxa"/>
            <w:noWrap/>
            <w:hideMark/>
          </w:tcPr>
          <w:p w14:paraId="1B3801EE"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0.8</w:t>
            </w:r>
          </w:p>
        </w:tc>
        <w:tc>
          <w:tcPr>
            <w:tcW w:w="802" w:type="dxa"/>
            <w:noWrap/>
            <w:hideMark/>
          </w:tcPr>
          <w:p w14:paraId="4EAEC9EC"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0.1</w:t>
            </w:r>
          </w:p>
        </w:tc>
        <w:tc>
          <w:tcPr>
            <w:tcW w:w="802" w:type="dxa"/>
            <w:noWrap/>
            <w:hideMark/>
          </w:tcPr>
          <w:p w14:paraId="228540FF"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0.2</w:t>
            </w:r>
          </w:p>
        </w:tc>
        <w:tc>
          <w:tcPr>
            <w:tcW w:w="802" w:type="dxa"/>
            <w:noWrap/>
            <w:hideMark/>
          </w:tcPr>
          <w:p w14:paraId="6D1B3D71"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0.1</w:t>
            </w:r>
          </w:p>
        </w:tc>
        <w:tc>
          <w:tcPr>
            <w:tcW w:w="802" w:type="dxa"/>
            <w:noWrap/>
            <w:hideMark/>
          </w:tcPr>
          <w:p w14:paraId="49110AD7"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0.0</w:t>
            </w:r>
          </w:p>
        </w:tc>
        <w:tc>
          <w:tcPr>
            <w:tcW w:w="802" w:type="dxa"/>
            <w:noWrap/>
            <w:hideMark/>
          </w:tcPr>
          <w:p w14:paraId="2DD9BE70"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0.2</w:t>
            </w:r>
          </w:p>
        </w:tc>
      </w:tr>
      <w:tr w:rsidR="007439E7" w:rsidRPr="004A04EC" w14:paraId="23C32AB2"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9AC6893" w14:textId="77777777" w:rsidR="007439E7" w:rsidRPr="00951448" w:rsidRDefault="007439E7" w:rsidP="007439E7">
            <w:pPr>
              <w:pStyle w:val="TableText"/>
              <w:jc w:val="both"/>
              <w:rPr>
                <w:color w:val="auto"/>
              </w:rPr>
            </w:pPr>
            <w:r w:rsidRPr="00951448">
              <w:rPr>
                <w:color w:val="auto"/>
              </w:rPr>
              <w:t>Energy and water</w:t>
            </w:r>
          </w:p>
        </w:tc>
        <w:tc>
          <w:tcPr>
            <w:tcW w:w="862" w:type="dxa"/>
            <w:noWrap/>
            <w:hideMark/>
          </w:tcPr>
          <w:p w14:paraId="4634ABB7"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0.1</w:t>
            </w:r>
          </w:p>
        </w:tc>
        <w:tc>
          <w:tcPr>
            <w:tcW w:w="862" w:type="dxa"/>
            <w:noWrap/>
            <w:hideMark/>
          </w:tcPr>
          <w:p w14:paraId="6DAC5CED"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0.0</w:t>
            </w:r>
          </w:p>
        </w:tc>
        <w:tc>
          <w:tcPr>
            <w:tcW w:w="802" w:type="dxa"/>
            <w:noWrap/>
            <w:hideMark/>
          </w:tcPr>
          <w:p w14:paraId="0875DAF3"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0.1</w:t>
            </w:r>
          </w:p>
        </w:tc>
        <w:tc>
          <w:tcPr>
            <w:tcW w:w="802" w:type="dxa"/>
            <w:noWrap/>
            <w:hideMark/>
          </w:tcPr>
          <w:p w14:paraId="2C5D50A7"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1.6</w:t>
            </w:r>
          </w:p>
        </w:tc>
        <w:tc>
          <w:tcPr>
            <w:tcW w:w="802" w:type="dxa"/>
            <w:noWrap/>
            <w:hideMark/>
          </w:tcPr>
          <w:p w14:paraId="12EBEF3C"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0.1</w:t>
            </w:r>
          </w:p>
        </w:tc>
        <w:tc>
          <w:tcPr>
            <w:tcW w:w="802" w:type="dxa"/>
            <w:noWrap/>
            <w:hideMark/>
          </w:tcPr>
          <w:p w14:paraId="00459F1A"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0.0</w:t>
            </w:r>
          </w:p>
        </w:tc>
        <w:tc>
          <w:tcPr>
            <w:tcW w:w="802" w:type="dxa"/>
            <w:noWrap/>
            <w:hideMark/>
          </w:tcPr>
          <w:p w14:paraId="09F554CE"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0.0</w:t>
            </w:r>
          </w:p>
        </w:tc>
      </w:tr>
      <w:tr w:rsidR="007439E7" w:rsidRPr="004A04EC" w14:paraId="54CECE93"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149B7F0" w14:textId="77777777" w:rsidR="007439E7" w:rsidRPr="00951448" w:rsidRDefault="007439E7" w:rsidP="007439E7">
            <w:pPr>
              <w:pStyle w:val="TableText"/>
              <w:jc w:val="both"/>
              <w:rPr>
                <w:color w:val="auto"/>
              </w:rPr>
            </w:pPr>
            <w:r w:rsidRPr="00951448">
              <w:rPr>
                <w:color w:val="auto"/>
              </w:rPr>
              <w:t xml:space="preserve">Manufacturing </w:t>
            </w:r>
          </w:p>
        </w:tc>
        <w:tc>
          <w:tcPr>
            <w:tcW w:w="862" w:type="dxa"/>
            <w:noWrap/>
            <w:hideMark/>
          </w:tcPr>
          <w:p w14:paraId="54222F24"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3.1</w:t>
            </w:r>
          </w:p>
        </w:tc>
        <w:tc>
          <w:tcPr>
            <w:tcW w:w="862" w:type="dxa"/>
            <w:noWrap/>
            <w:hideMark/>
          </w:tcPr>
          <w:p w14:paraId="3E775C12"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5.4</w:t>
            </w:r>
          </w:p>
        </w:tc>
        <w:tc>
          <w:tcPr>
            <w:tcW w:w="802" w:type="dxa"/>
            <w:noWrap/>
            <w:hideMark/>
          </w:tcPr>
          <w:p w14:paraId="0413F490"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3.3</w:t>
            </w:r>
          </w:p>
        </w:tc>
        <w:tc>
          <w:tcPr>
            <w:tcW w:w="802" w:type="dxa"/>
            <w:noWrap/>
            <w:hideMark/>
          </w:tcPr>
          <w:p w14:paraId="0C99D982"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5.7</w:t>
            </w:r>
          </w:p>
        </w:tc>
        <w:tc>
          <w:tcPr>
            <w:tcW w:w="802" w:type="dxa"/>
            <w:noWrap/>
            <w:hideMark/>
          </w:tcPr>
          <w:p w14:paraId="053A159D"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1.5</w:t>
            </w:r>
          </w:p>
        </w:tc>
        <w:tc>
          <w:tcPr>
            <w:tcW w:w="802" w:type="dxa"/>
            <w:noWrap/>
            <w:hideMark/>
          </w:tcPr>
          <w:p w14:paraId="205BE328"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3.3</w:t>
            </w:r>
          </w:p>
        </w:tc>
        <w:tc>
          <w:tcPr>
            <w:tcW w:w="802" w:type="dxa"/>
            <w:noWrap/>
            <w:hideMark/>
          </w:tcPr>
          <w:p w14:paraId="00263513"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2.3</w:t>
            </w:r>
          </w:p>
        </w:tc>
      </w:tr>
      <w:tr w:rsidR="007439E7" w:rsidRPr="004A04EC" w14:paraId="4DBA17C6"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CD7D1D8" w14:textId="77777777" w:rsidR="007439E7" w:rsidRPr="00951448" w:rsidRDefault="007439E7" w:rsidP="007439E7">
            <w:pPr>
              <w:pStyle w:val="TableText"/>
              <w:jc w:val="both"/>
              <w:rPr>
                <w:color w:val="auto"/>
              </w:rPr>
            </w:pPr>
            <w:r w:rsidRPr="00951448">
              <w:rPr>
                <w:color w:val="auto"/>
              </w:rPr>
              <w:t>Construction</w:t>
            </w:r>
          </w:p>
        </w:tc>
        <w:tc>
          <w:tcPr>
            <w:tcW w:w="862" w:type="dxa"/>
            <w:noWrap/>
            <w:hideMark/>
          </w:tcPr>
          <w:p w14:paraId="1E9A17AC"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1.3</w:t>
            </w:r>
          </w:p>
        </w:tc>
        <w:tc>
          <w:tcPr>
            <w:tcW w:w="862" w:type="dxa"/>
            <w:noWrap/>
            <w:hideMark/>
          </w:tcPr>
          <w:p w14:paraId="188AF0E9"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2.5</w:t>
            </w:r>
          </w:p>
        </w:tc>
        <w:tc>
          <w:tcPr>
            <w:tcW w:w="802" w:type="dxa"/>
            <w:noWrap/>
            <w:hideMark/>
          </w:tcPr>
          <w:p w14:paraId="2548E2CD"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w:t>
            </w:r>
          </w:p>
        </w:tc>
        <w:tc>
          <w:tcPr>
            <w:tcW w:w="802" w:type="dxa"/>
            <w:noWrap/>
            <w:hideMark/>
          </w:tcPr>
          <w:p w14:paraId="7831A93D"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1.6</w:t>
            </w:r>
          </w:p>
        </w:tc>
        <w:tc>
          <w:tcPr>
            <w:tcW w:w="802" w:type="dxa"/>
            <w:noWrap/>
            <w:hideMark/>
          </w:tcPr>
          <w:p w14:paraId="2436700A"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4.6</w:t>
            </w:r>
          </w:p>
        </w:tc>
        <w:tc>
          <w:tcPr>
            <w:tcW w:w="802" w:type="dxa"/>
            <w:noWrap/>
            <w:hideMark/>
          </w:tcPr>
          <w:p w14:paraId="5774F23E"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5.3</w:t>
            </w:r>
          </w:p>
        </w:tc>
        <w:tc>
          <w:tcPr>
            <w:tcW w:w="802" w:type="dxa"/>
            <w:noWrap/>
            <w:hideMark/>
          </w:tcPr>
          <w:p w14:paraId="3C7E20B8"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5.3</w:t>
            </w:r>
          </w:p>
        </w:tc>
      </w:tr>
      <w:tr w:rsidR="007439E7" w:rsidRPr="004A04EC" w14:paraId="556A64A4"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72ED41A" w14:textId="77777777" w:rsidR="007439E7" w:rsidRPr="00951448" w:rsidRDefault="007439E7" w:rsidP="007439E7">
            <w:pPr>
              <w:pStyle w:val="TableText"/>
              <w:rPr>
                <w:color w:val="auto"/>
              </w:rPr>
            </w:pPr>
            <w:r w:rsidRPr="00951448">
              <w:rPr>
                <w:color w:val="auto"/>
              </w:rPr>
              <w:t>Distribution, hotels and restaurants</w:t>
            </w:r>
          </w:p>
        </w:tc>
        <w:tc>
          <w:tcPr>
            <w:tcW w:w="862" w:type="dxa"/>
            <w:noWrap/>
            <w:hideMark/>
          </w:tcPr>
          <w:p w14:paraId="5A8BED18"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14.9</w:t>
            </w:r>
          </w:p>
        </w:tc>
        <w:tc>
          <w:tcPr>
            <w:tcW w:w="862" w:type="dxa"/>
            <w:noWrap/>
            <w:hideMark/>
          </w:tcPr>
          <w:p w14:paraId="4513911A"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17.5</w:t>
            </w:r>
          </w:p>
        </w:tc>
        <w:tc>
          <w:tcPr>
            <w:tcW w:w="802" w:type="dxa"/>
            <w:noWrap/>
            <w:hideMark/>
          </w:tcPr>
          <w:p w14:paraId="1AB2750E"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11.6</w:t>
            </w:r>
          </w:p>
        </w:tc>
        <w:tc>
          <w:tcPr>
            <w:tcW w:w="802" w:type="dxa"/>
            <w:noWrap/>
            <w:hideMark/>
          </w:tcPr>
          <w:p w14:paraId="4B414F0F"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13.0</w:t>
            </w:r>
          </w:p>
        </w:tc>
        <w:tc>
          <w:tcPr>
            <w:tcW w:w="802" w:type="dxa"/>
            <w:noWrap/>
            <w:hideMark/>
          </w:tcPr>
          <w:p w14:paraId="2382DC66"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14.3</w:t>
            </w:r>
          </w:p>
        </w:tc>
        <w:tc>
          <w:tcPr>
            <w:tcW w:w="802" w:type="dxa"/>
            <w:noWrap/>
            <w:hideMark/>
          </w:tcPr>
          <w:p w14:paraId="6E4E08BF"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6.6</w:t>
            </w:r>
          </w:p>
        </w:tc>
        <w:tc>
          <w:tcPr>
            <w:tcW w:w="802" w:type="dxa"/>
            <w:noWrap/>
            <w:hideMark/>
          </w:tcPr>
          <w:p w14:paraId="42B28378"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16.1</w:t>
            </w:r>
          </w:p>
        </w:tc>
      </w:tr>
      <w:tr w:rsidR="007439E7" w:rsidRPr="004A04EC" w14:paraId="0CD2B15F"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DA3BD72" w14:textId="77777777" w:rsidR="007439E7" w:rsidRPr="00951448" w:rsidRDefault="007439E7" w:rsidP="007439E7">
            <w:pPr>
              <w:pStyle w:val="TableText"/>
              <w:jc w:val="both"/>
              <w:rPr>
                <w:color w:val="auto"/>
              </w:rPr>
            </w:pPr>
            <w:r w:rsidRPr="00951448">
              <w:rPr>
                <w:color w:val="auto"/>
              </w:rPr>
              <w:t>Transport and communications</w:t>
            </w:r>
          </w:p>
        </w:tc>
        <w:tc>
          <w:tcPr>
            <w:tcW w:w="862" w:type="dxa"/>
            <w:noWrap/>
            <w:hideMark/>
          </w:tcPr>
          <w:p w14:paraId="3DA79E66"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2.7</w:t>
            </w:r>
          </w:p>
        </w:tc>
        <w:tc>
          <w:tcPr>
            <w:tcW w:w="862" w:type="dxa"/>
            <w:noWrap/>
            <w:hideMark/>
          </w:tcPr>
          <w:p w14:paraId="62747CC1"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1.4</w:t>
            </w:r>
          </w:p>
        </w:tc>
        <w:tc>
          <w:tcPr>
            <w:tcW w:w="802" w:type="dxa"/>
            <w:noWrap/>
            <w:hideMark/>
          </w:tcPr>
          <w:p w14:paraId="29E2DFD1"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2.9</w:t>
            </w:r>
          </w:p>
        </w:tc>
        <w:tc>
          <w:tcPr>
            <w:tcW w:w="802" w:type="dxa"/>
            <w:noWrap/>
            <w:hideMark/>
          </w:tcPr>
          <w:p w14:paraId="7FB11762"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1.8</w:t>
            </w:r>
          </w:p>
        </w:tc>
        <w:tc>
          <w:tcPr>
            <w:tcW w:w="802" w:type="dxa"/>
            <w:noWrap/>
            <w:hideMark/>
          </w:tcPr>
          <w:p w14:paraId="47DB0F39"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1.1</w:t>
            </w:r>
          </w:p>
        </w:tc>
        <w:tc>
          <w:tcPr>
            <w:tcW w:w="802" w:type="dxa"/>
            <w:noWrap/>
            <w:hideMark/>
          </w:tcPr>
          <w:p w14:paraId="39E3EB07"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0.6</w:t>
            </w:r>
          </w:p>
        </w:tc>
        <w:tc>
          <w:tcPr>
            <w:tcW w:w="802" w:type="dxa"/>
            <w:noWrap/>
            <w:hideMark/>
          </w:tcPr>
          <w:p w14:paraId="77BC45E7"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3.8</w:t>
            </w:r>
          </w:p>
        </w:tc>
      </w:tr>
      <w:tr w:rsidR="007439E7" w:rsidRPr="004A04EC" w14:paraId="5822D70C"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9EB4622" w14:textId="77777777" w:rsidR="007439E7" w:rsidRPr="00951448" w:rsidRDefault="007439E7" w:rsidP="007439E7">
            <w:pPr>
              <w:pStyle w:val="TableText"/>
              <w:jc w:val="both"/>
              <w:rPr>
                <w:color w:val="auto"/>
              </w:rPr>
            </w:pPr>
            <w:r w:rsidRPr="00951448">
              <w:rPr>
                <w:color w:val="auto"/>
              </w:rPr>
              <w:t>Banking, finance and insurance</w:t>
            </w:r>
          </w:p>
        </w:tc>
        <w:tc>
          <w:tcPr>
            <w:tcW w:w="862" w:type="dxa"/>
            <w:noWrap/>
            <w:hideMark/>
          </w:tcPr>
          <w:p w14:paraId="21EE37CE"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36.2</w:t>
            </w:r>
          </w:p>
        </w:tc>
        <w:tc>
          <w:tcPr>
            <w:tcW w:w="862" w:type="dxa"/>
            <w:noWrap/>
            <w:hideMark/>
          </w:tcPr>
          <w:p w14:paraId="4ADFAF2E"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42.0</w:t>
            </w:r>
          </w:p>
        </w:tc>
        <w:tc>
          <w:tcPr>
            <w:tcW w:w="802" w:type="dxa"/>
            <w:noWrap/>
            <w:hideMark/>
          </w:tcPr>
          <w:p w14:paraId="02504D48"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52.7</w:t>
            </w:r>
          </w:p>
        </w:tc>
        <w:tc>
          <w:tcPr>
            <w:tcW w:w="802" w:type="dxa"/>
            <w:noWrap/>
            <w:hideMark/>
          </w:tcPr>
          <w:p w14:paraId="5DB18744"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51.0</w:t>
            </w:r>
          </w:p>
        </w:tc>
        <w:tc>
          <w:tcPr>
            <w:tcW w:w="802" w:type="dxa"/>
            <w:noWrap/>
            <w:hideMark/>
          </w:tcPr>
          <w:p w14:paraId="7E9F19D0"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49.2</w:t>
            </w:r>
          </w:p>
        </w:tc>
        <w:tc>
          <w:tcPr>
            <w:tcW w:w="802" w:type="dxa"/>
            <w:noWrap/>
            <w:hideMark/>
          </w:tcPr>
          <w:p w14:paraId="38AE36CD"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76.6</w:t>
            </w:r>
          </w:p>
        </w:tc>
        <w:tc>
          <w:tcPr>
            <w:tcW w:w="802" w:type="dxa"/>
            <w:noWrap/>
            <w:hideMark/>
          </w:tcPr>
          <w:p w14:paraId="0E79223A"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60.9</w:t>
            </w:r>
          </w:p>
        </w:tc>
      </w:tr>
      <w:tr w:rsidR="007439E7" w:rsidRPr="004A04EC" w14:paraId="36D769B3"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BA0C83E" w14:textId="77777777" w:rsidR="007439E7" w:rsidRPr="00951448" w:rsidRDefault="007439E7" w:rsidP="007439E7">
            <w:pPr>
              <w:pStyle w:val="TableText"/>
              <w:jc w:val="both"/>
              <w:rPr>
                <w:color w:val="auto"/>
              </w:rPr>
            </w:pPr>
            <w:r w:rsidRPr="00951448">
              <w:rPr>
                <w:color w:val="auto"/>
              </w:rPr>
              <w:t>Public administration, education &amp; health</w:t>
            </w:r>
          </w:p>
        </w:tc>
        <w:tc>
          <w:tcPr>
            <w:tcW w:w="862" w:type="dxa"/>
            <w:noWrap/>
            <w:hideMark/>
          </w:tcPr>
          <w:p w14:paraId="722EC70A"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38.3</w:t>
            </w:r>
          </w:p>
        </w:tc>
        <w:tc>
          <w:tcPr>
            <w:tcW w:w="862" w:type="dxa"/>
            <w:noWrap/>
            <w:hideMark/>
          </w:tcPr>
          <w:p w14:paraId="0796C6A5"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25.9</w:t>
            </w:r>
          </w:p>
        </w:tc>
        <w:tc>
          <w:tcPr>
            <w:tcW w:w="802" w:type="dxa"/>
            <w:noWrap/>
            <w:hideMark/>
          </w:tcPr>
          <w:p w14:paraId="3E4F4CBB"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25.2</w:t>
            </w:r>
          </w:p>
        </w:tc>
        <w:tc>
          <w:tcPr>
            <w:tcW w:w="802" w:type="dxa"/>
            <w:noWrap/>
            <w:hideMark/>
          </w:tcPr>
          <w:p w14:paraId="033F82E5"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21.9</w:t>
            </w:r>
          </w:p>
        </w:tc>
        <w:tc>
          <w:tcPr>
            <w:tcW w:w="802" w:type="dxa"/>
            <w:noWrap/>
            <w:hideMark/>
          </w:tcPr>
          <w:p w14:paraId="368D4051"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26.4</w:t>
            </w:r>
          </w:p>
        </w:tc>
        <w:tc>
          <w:tcPr>
            <w:tcW w:w="802" w:type="dxa"/>
            <w:noWrap/>
            <w:hideMark/>
          </w:tcPr>
          <w:p w14:paraId="63E934F3"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6.9</w:t>
            </w:r>
          </w:p>
        </w:tc>
        <w:tc>
          <w:tcPr>
            <w:tcW w:w="802" w:type="dxa"/>
            <w:noWrap/>
            <w:hideMark/>
          </w:tcPr>
          <w:p w14:paraId="04A130BD"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10.1</w:t>
            </w:r>
          </w:p>
        </w:tc>
      </w:tr>
      <w:tr w:rsidR="007439E7" w:rsidRPr="004A04EC" w14:paraId="60D31167" w14:textId="77777777" w:rsidTr="007439E7">
        <w:trPr>
          <w:trHeight w:val="24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0FEC3DC" w14:textId="77777777" w:rsidR="007439E7" w:rsidRPr="00951448" w:rsidRDefault="007439E7" w:rsidP="007439E7">
            <w:pPr>
              <w:pStyle w:val="TableText"/>
              <w:jc w:val="both"/>
              <w:rPr>
                <w:color w:val="auto"/>
              </w:rPr>
            </w:pPr>
            <w:r w:rsidRPr="00951448">
              <w:rPr>
                <w:color w:val="auto"/>
              </w:rPr>
              <w:t>Other services</w:t>
            </w:r>
          </w:p>
        </w:tc>
        <w:tc>
          <w:tcPr>
            <w:tcW w:w="862" w:type="dxa"/>
            <w:noWrap/>
            <w:hideMark/>
          </w:tcPr>
          <w:p w14:paraId="48AC7B81"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3.3</w:t>
            </w:r>
          </w:p>
        </w:tc>
        <w:tc>
          <w:tcPr>
            <w:tcW w:w="862" w:type="dxa"/>
            <w:noWrap/>
            <w:hideMark/>
          </w:tcPr>
          <w:p w14:paraId="1C0AE0A1"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4.4</w:t>
            </w:r>
          </w:p>
        </w:tc>
        <w:tc>
          <w:tcPr>
            <w:tcW w:w="802" w:type="dxa"/>
            <w:noWrap/>
            <w:hideMark/>
          </w:tcPr>
          <w:p w14:paraId="68583A7B"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3.0</w:t>
            </w:r>
          </w:p>
        </w:tc>
        <w:tc>
          <w:tcPr>
            <w:tcW w:w="802" w:type="dxa"/>
            <w:noWrap/>
            <w:hideMark/>
          </w:tcPr>
          <w:p w14:paraId="1BC87127"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3.2</w:t>
            </w:r>
          </w:p>
        </w:tc>
        <w:tc>
          <w:tcPr>
            <w:tcW w:w="802" w:type="dxa"/>
            <w:noWrap/>
            <w:hideMark/>
          </w:tcPr>
          <w:p w14:paraId="73A9B14B"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2.5</w:t>
            </w:r>
          </w:p>
        </w:tc>
        <w:tc>
          <w:tcPr>
            <w:tcW w:w="802" w:type="dxa"/>
            <w:noWrap/>
            <w:hideMark/>
          </w:tcPr>
          <w:p w14:paraId="50037910"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0.6</w:t>
            </w:r>
          </w:p>
        </w:tc>
        <w:tc>
          <w:tcPr>
            <w:tcW w:w="802" w:type="dxa"/>
            <w:noWrap/>
            <w:hideMark/>
          </w:tcPr>
          <w:p w14:paraId="30484D87" w14:textId="77777777" w:rsidR="007439E7" w:rsidRPr="00951448" w:rsidRDefault="007439E7" w:rsidP="007439E7">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1.2</w:t>
            </w:r>
          </w:p>
        </w:tc>
      </w:tr>
    </w:tbl>
    <w:p w14:paraId="1C4F82B3" w14:textId="77777777" w:rsidR="007439E7" w:rsidRDefault="007439E7" w:rsidP="007439E7">
      <w:pPr>
        <w:pStyle w:val="TableSource"/>
        <w:jc w:val="both"/>
      </w:pPr>
      <w:r>
        <w:t>Source: Jobcentre Plus Vacancy Statistics 2013</w:t>
      </w:r>
    </w:p>
    <w:p w14:paraId="3155BE2E" w14:textId="77777777" w:rsidR="007439E7" w:rsidRDefault="007439E7" w:rsidP="00515486">
      <w:pPr>
        <w:jc w:val="both"/>
      </w:pPr>
    </w:p>
    <w:p w14:paraId="416DCA8B" w14:textId="77777777" w:rsidR="00515486" w:rsidRDefault="00515486" w:rsidP="00515486">
      <w:pPr>
        <w:pStyle w:val="Caption"/>
      </w:pPr>
      <w:bookmarkStart w:id="50" w:name="_Ref393970986"/>
      <w:r>
        <w:t xml:space="preserve">Figure </w:t>
      </w:r>
      <w:fldSimple w:instr=" STYLEREF 1 \s  \* MERGEFORMAT ">
        <w:r>
          <w:rPr>
            <w:noProof/>
          </w:rPr>
          <w:t>4</w:t>
        </w:r>
      </w:fldSimple>
      <w:r>
        <w:t>-</w:t>
      </w:r>
      <w:fldSimple w:instr=" SEQ Figure \* ARABIC \s 1  \* MERGEFORMAT ">
        <w:r>
          <w:rPr>
            <w:noProof/>
          </w:rPr>
          <w:t>5</w:t>
        </w:r>
      </w:fldSimple>
      <w:bookmarkEnd w:id="50"/>
      <w:r>
        <w:tab/>
        <w:t>Employment in North East Lincolnshire and regional growth (2004-2013)</w:t>
      </w:r>
      <w:r>
        <w:rPr>
          <w:noProof/>
          <w:lang w:eastAsia="en-GB"/>
        </w:rPr>
        <w:drawing>
          <wp:inline distT="0" distB="0" distL="0" distR="0" wp14:anchorId="4051CD60" wp14:editId="1D40BF15">
            <wp:extent cx="6391275" cy="3400425"/>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001C8D" w14:textId="77777777" w:rsidR="00515486" w:rsidRDefault="00515486" w:rsidP="00515486">
      <w:pPr>
        <w:pStyle w:val="TableSource"/>
      </w:pPr>
      <w:r>
        <w:t>Source: Annual Population Survey 2013</w:t>
      </w:r>
    </w:p>
    <w:p w14:paraId="1B540FD6" w14:textId="77777777" w:rsidR="00515486" w:rsidRDefault="00AA08C5" w:rsidP="00515486">
      <w:pPr>
        <w:jc w:val="both"/>
      </w:pPr>
      <w:r>
        <w:fldChar w:fldCharType="begin"/>
      </w:r>
      <w:r>
        <w:instrText xml:space="preserve"> REF _Ref393970986 \h  \* MERGEFORMAT </w:instrText>
      </w:r>
      <w:r>
        <w:fldChar w:fldCharType="separate"/>
      </w:r>
      <w:r w:rsidR="00515486">
        <w:t xml:space="preserve">Figure </w:t>
      </w:r>
      <w:r w:rsidR="00515486">
        <w:rPr>
          <w:noProof/>
        </w:rPr>
        <w:t>4-5</w:t>
      </w:r>
      <w:r>
        <w:fldChar w:fldCharType="end"/>
      </w:r>
      <w:r w:rsidR="00515486">
        <w:t xml:space="preserve"> presents information on employment by sector in North East Lincolnshire</w:t>
      </w:r>
      <w:r w:rsidR="007439E7">
        <w:t xml:space="preserve"> relative to regional patterns of change (</w:t>
      </w:r>
      <w:r w:rsidR="00515486">
        <w:t>Yorkshire &amp; the Humber</w:t>
      </w:r>
      <w:r w:rsidR="007439E7">
        <w:t>)</w:t>
      </w:r>
      <w:r w:rsidR="00515486">
        <w:t xml:space="preserve">. The horizontal axis marks average annual employment growth between 2004 and 2013 in Yorkshire &amp; the Humber. The vertical axis marks the strength or concentration of a sector in North East Lincolnshire in relation to Yorkshire &amp; Humber by location quotient (LQ). Where this equals 1, the proportion of employment in the sector is the same across the areas; when it is greater than 1 this represents a greater concentration of employment in this sector in North East Lincolnshire, and vice versa when it is less than 1. The </w:t>
      </w:r>
      <w:r w:rsidR="002B4FF4">
        <w:t>area</w:t>
      </w:r>
      <w:r w:rsidR="00515486">
        <w:t xml:space="preserve"> of the </w:t>
      </w:r>
      <w:r w:rsidR="002B4FF4">
        <w:t>circles</w:t>
      </w:r>
      <w:r w:rsidR="00515486">
        <w:t xml:space="preserve"> reflects that sector’s current </w:t>
      </w:r>
      <w:r w:rsidR="002B4FF4">
        <w:t>share</w:t>
      </w:r>
      <w:r w:rsidR="00515486">
        <w:t xml:space="preserve"> of employment in North East Lincolnshire.</w:t>
      </w:r>
      <w:r w:rsidR="002B4FF4">
        <w:t xml:space="preserve"> For example, manufacturing employs more people than construction.</w:t>
      </w:r>
      <w:r w:rsidR="00515486">
        <w:t xml:space="preserve"> This allows for assessment of sectors by regional growth trends and significance in North East Lincolnshire. </w:t>
      </w:r>
    </w:p>
    <w:p w14:paraId="02F04A94" w14:textId="77777777" w:rsidR="00515486" w:rsidRDefault="00D70913" w:rsidP="00515486">
      <w:pPr>
        <w:jc w:val="both"/>
      </w:pPr>
      <w:r>
        <w:t>North East Lincolnshire</w:t>
      </w:r>
      <w:r w:rsidR="00515486">
        <w:t xml:space="preserve"> has concentrations of employment in distribution, hotels and restaurants and transport and communications, both of which have seen low but positive growth. Manufacturing, North East Lincolnshire’s </w:t>
      </w:r>
      <w:r w:rsidR="00A54DAE">
        <w:t>most notable</w:t>
      </w:r>
      <w:r w:rsidR="00515486">
        <w:t xml:space="preserve"> specialisation, has experienced clear contraction regionally. North East Lincolnshire currently has a lower proportion of employment in sectors </w:t>
      </w:r>
      <w:r w:rsidR="00515486" w:rsidRPr="00C87FC1">
        <w:t>such as banking, finance and insurance and energy and water which have seen high rates of growth. In general, we would hope to see</w:t>
      </w:r>
      <w:r w:rsidR="00C87FC1" w:rsidRPr="00C87FC1">
        <w:t xml:space="preserve"> low concentrations of employment</w:t>
      </w:r>
      <w:r w:rsidR="00515486" w:rsidRPr="00C87FC1">
        <w:t xml:space="preserve"> in sectors exhibiting contraction, and high</w:t>
      </w:r>
      <w:r w:rsidR="00C87FC1" w:rsidRPr="00C87FC1">
        <w:t xml:space="preserve"> concentration</w:t>
      </w:r>
      <w:r w:rsidR="00515486" w:rsidRPr="00C87FC1">
        <w:t xml:space="preserve"> in sectors exhibiting growth. However, </w:t>
      </w:r>
      <w:r w:rsidR="00C87FC1" w:rsidRPr="00C87FC1">
        <w:t>to some extent</w:t>
      </w:r>
      <w:r w:rsidR="00515486" w:rsidRPr="00C87FC1">
        <w:t xml:space="preserve"> the opposite can be observed for North East Lincolnshire.</w:t>
      </w:r>
      <w:r w:rsidR="00515486">
        <w:t xml:space="preserve"> </w:t>
      </w:r>
    </w:p>
    <w:p w14:paraId="5769CE54" w14:textId="77777777" w:rsidR="00515486" w:rsidRDefault="00515486" w:rsidP="00515486">
      <w:pPr>
        <w:pStyle w:val="Heading2"/>
        <w:numPr>
          <w:ilvl w:val="1"/>
          <w:numId w:val="4"/>
        </w:numPr>
      </w:pPr>
      <w:bookmarkStart w:id="51" w:name="_Toc394327694"/>
      <w:r>
        <w:t>Occupational Profile</w:t>
      </w:r>
      <w:bookmarkEnd w:id="51"/>
    </w:p>
    <w:p w14:paraId="111D6010" w14:textId="77777777" w:rsidR="00515486" w:rsidRPr="007C1081" w:rsidRDefault="00515486" w:rsidP="00515486">
      <w:pPr>
        <w:pStyle w:val="Caption"/>
        <w:jc w:val="both"/>
        <w:rPr>
          <w:b w:val="0"/>
          <w:bCs w:val="0"/>
          <w:szCs w:val="22"/>
        </w:rPr>
      </w:pPr>
      <w:r w:rsidRPr="007C1081">
        <w:rPr>
          <w:b w:val="0"/>
          <w:bCs w:val="0"/>
          <w:szCs w:val="22"/>
        </w:rPr>
        <w:t>The occupational profile</w:t>
      </w:r>
      <w:r w:rsidR="00D70913">
        <w:rPr>
          <w:b w:val="0"/>
          <w:bCs w:val="0"/>
          <w:szCs w:val="22"/>
        </w:rPr>
        <w:t xml:space="preserve"> to a large extent</w:t>
      </w:r>
      <w:r w:rsidRPr="007C1081">
        <w:rPr>
          <w:b w:val="0"/>
          <w:bCs w:val="0"/>
          <w:szCs w:val="22"/>
        </w:rPr>
        <w:t xml:space="preserve"> reflects the economic composition of the local economy. </w:t>
      </w:r>
      <w:r>
        <w:rPr>
          <w:b w:val="0"/>
          <w:bCs w:val="0"/>
          <w:szCs w:val="22"/>
        </w:rPr>
        <w:t xml:space="preserve">For example, </w:t>
      </w:r>
      <w:r w:rsidRPr="007C1081">
        <w:rPr>
          <w:b w:val="0"/>
          <w:bCs w:val="0"/>
          <w:szCs w:val="22"/>
        </w:rPr>
        <w:t xml:space="preserve">a larger share of manufacturing and retail in the economy </w:t>
      </w:r>
      <w:r>
        <w:rPr>
          <w:b w:val="0"/>
          <w:bCs w:val="0"/>
          <w:szCs w:val="22"/>
        </w:rPr>
        <w:t xml:space="preserve">is likely to be reflected in larger proportions of operatives and sales occupations. </w:t>
      </w:r>
    </w:p>
    <w:p w14:paraId="2EFAED60" w14:textId="77777777" w:rsidR="00515486" w:rsidRPr="005E2145" w:rsidRDefault="00515486" w:rsidP="00515486">
      <w:pPr>
        <w:jc w:val="both"/>
      </w:pPr>
      <w:r>
        <w:t xml:space="preserve">In 2013 just over 25% of North East Lincolnshire’s residents were employed in three upper tier occupational groups </w:t>
      </w:r>
      <w:r w:rsidR="00D70913">
        <w:t>including</w:t>
      </w:r>
      <w:r>
        <w:t xml:space="preserve"> managers, professionals and associate professional (</w:t>
      </w:r>
      <w:r w:rsidR="00AA08C5">
        <w:fldChar w:fldCharType="begin"/>
      </w:r>
      <w:r w:rsidR="00AA08C5">
        <w:instrText xml:space="preserve"> REF _Ref393793754 \h  \* MERGEFORMAT </w:instrText>
      </w:r>
      <w:r w:rsidR="00AA08C5">
        <w:fldChar w:fldCharType="separate"/>
      </w:r>
      <w:r w:rsidRPr="00BC6746">
        <w:t xml:space="preserve">Table </w:t>
      </w:r>
      <w:r>
        <w:rPr>
          <w:noProof/>
        </w:rPr>
        <w:t>4</w:t>
      </w:r>
      <w:r w:rsidRPr="00BC6746">
        <w:rPr>
          <w:noProof/>
        </w:rPr>
        <w:noBreakHyphen/>
      </w:r>
      <w:r>
        <w:rPr>
          <w:noProof/>
        </w:rPr>
        <w:t>6</w:t>
      </w:r>
      <w:r w:rsidR="00AA08C5">
        <w:fldChar w:fldCharType="end"/>
      </w:r>
      <w:r>
        <w:t xml:space="preserve">). This is lower than North Lincolnshire (33.4%) and Hull (30.9%) and </w:t>
      </w:r>
      <w:r w:rsidR="00D70913">
        <w:t>significantly less</w:t>
      </w:r>
      <w:r>
        <w:t xml:space="preserve"> </w:t>
      </w:r>
      <w:r w:rsidR="00D70913">
        <w:t>compared to the national average</w:t>
      </w:r>
      <w:r>
        <w:t xml:space="preserve"> (44.7%). </w:t>
      </w:r>
    </w:p>
    <w:p w14:paraId="6B71521D" w14:textId="77777777" w:rsidR="00515486" w:rsidRDefault="00515486" w:rsidP="00515486">
      <w:pPr>
        <w:pStyle w:val="Caption"/>
      </w:pPr>
      <w:bookmarkStart w:id="52" w:name="_Ref393793754"/>
      <w:r w:rsidRPr="00BC6746">
        <w:t xml:space="preserve">Table </w:t>
      </w:r>
      <w:r w:rsidR="00F70FD0">
        <w:fldChar w:fldCharType="begin"/>
      </w:r>
      <w:r w:rsidR="00F810E1">
        <w:instrText xml:space="preserve"> STYLEREF 1 \s </w:instrText>
      </w:r>
      <w:r w:rsidR="00F70FD0">
        <w:fldChar w:fldCharType="separate"/>
      </w:r>
      <w:r>
        <w:rPr>
          <w:noProof/>
        </w:rPr>
        <w:t>4</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6</w:t>
      </w:r>
      <w:r w:rsidR="00F70FD0">
        <w:rPr>
          <w:noProof/>
        </w:rPr>
        <w:fldChar w:fldCharType="end"/>
      </w:r>
      <w:bookmarkEnd w:id="52"/>
      <w:r w:rsidRPr="00BC6746">
        <w:tab/>
      </w:r>
      <w:r>
        <w:t>Employment by Occupation (2013)</w:t>
      </w:r>
    </w:p>
    <w:tbl>
      <w:tblPr>
        <w:tblStyle w:val="Atkins14pt"/>
        <w:tblW w:w="9235" w:type="dxa"/>
        <w:tblLayout w:type="fixed"/>
        <w:tblLook w:val="04A0" w:firstRow="1" w:lastRow="0" w:firstColumn="1" w:lastColumn="0" w:noHBand="0" w:noVBand="1"/>
      </w:tblPr>
      <w:tblGrid>
        <w:gridCol w:w="4678"/>
        <w:gridCol w:w="1139"/>
        <w:gridCol w:w="1139"/>
        <w:gridCol w:w="1139"/>
        <w:gridCol w:w="1140"/>
      </w:tblGrid>
      <w:tr w:rsidR="00515486" w:rsidRPr="005E2145" w14:paraId="18460EA5" w14:textId="77777777" w:rsidTr="004D5D22">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4678" w:type="dxa"/>
            <w:noWrap/>
            <w:hideMark/>
          </w:tcPr>
          <w:p w14:paraId="7568255B" w14:textId="77777777" w:rsidR="00515486" w:rsidRPr="005E2145" w:rsidRDefault="00515486" w:rsidP="004D5D22">
            <w:pPr>
              <w:spacing w:after="0"/>
              <w:rPr>
                <w:rFonts w:eastAsia="Times New Roman"/>
                <w:color w:val="auto"/>
              </w:rPr>
            </w:pPr>
            <w:r>
              <w:rPr>
                <w:rFonts w:eastAsia="Times New Roman"/>
                <w:color w:val="auto"/>
              </w:rPr>
              <w:t>Occupations</w:t>
            </w:r>
          </w:p>
        </w:tc>
        <w:tc>
          <w:tcPr>
            <w:tcW w:w="1139" w:type="dxa"/>
            <w:hideMark/>
          </w:tcPr>
          <w:p w14:paraId="376E19F5" w14:textId="77777777" w:rsidR="00515486" w:rsidRPr="007C1081"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7C1081">
              <w:rPr>
                <w:rFonts w:eastAsia="Times New Roman"/>
                <w:bCs/>
                <w:color w:val="auto"/>
                <w:sz w:val="18"/>
              </w:rPr>
              <w:t>North East Lincolnshire</w:t>
            </w:r>
          </w:p>
        </w:tc>
        <w:tc>
          <w:tcPr>
            <w:tcW w:w="1139" w:type="dxa"/>
          </w:tcPr>
          <w:p w14:paraId="15E69643" w14:textId="77777777" w:rsidR="00515486" w:rsidRPr="007C1081"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7C1081">
              <w:rPr>
                <w:rFonts w:eastAsia="Times New Roman"/>
                <w:bCs/>
                <w:color w:val="auto"/>
                <w:sz w:val="18"/>
              </w:rPr>
              <w:t>North Lincolnshire</w:t>
            </w:r>
          </w:p>
        </w:tc>
        <w:tc>
          <w:tcPr>
            <w:tcW w:w="1139" w:type="dxa"/>
          </w:tcPr>
          <w:p w14:paraId="4A1F3C0A" w14:textId="77777777" w:rsidR="00515486" w:rsidRPr="007C1081"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7C1081">
              <w:rPr>
                <w:rFonts w:eastAsia="Times New Roman"/>
                <w:bCs/>
                <w:color w:val="auto"/>
                <w:sz w:val="18"/>
              </w:rPr>
              <w:t>Kingston upon Hull</w:t>
            </w:r>
          </w:p>
        </w:tc>
        <w:tc>
          <w:tcPr>
            <w:tcW w:w="1140" w:type="dxa"/>
          </w:tcPr>
          <w:p w14:paraId="2B4F3236" w14:textId="77777777" w:rsidR="00515486" w:rsidRPr="007C1081"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7C1081">
              <w:rPr>
                <w:rFonts w:eastAsia="Times New Roman"/>
                <w:bCs/>
                <w:color w:val="auto"/>
                <w:sz w:val="18"/>
              </w:rPr>
              <w:t>England</w:t>
            </w:r>
          </w:p>
        </w:tc>
      </w:tr>
      <w:tr w:rsidR="00515486" w:rsidRPr="005E2145" w14:paraId="49E76C4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2AC9F4A" w14:textId="77777777" w:rsidR="00515486" w:rsidRPr="005E2145" w:rsidRDefault="00515486" w:rsidP="004D5D22">
            <w:pPr>
              <w:spacing w:after="0"/>
              <w:rPr>
                <w:rFonts w:eastAsia="Times New Roman"/>
                <w:color w:val="auto"/>
              </w:rPr>
            </w:pPr>
            <w:r>
              <w:rPr>
                <w:rFonts w:eastAsia="Times New Roman"/>
                <w:color w:val="auto"/>
              </w:rPr>
              <w:t>1: M</w:t>
            </w:r>
            <w:r w:rsidRPr="005E2145">
              <w:rPr>
                <w:rFonts w:eastAsia="Times New Roman"/>
                <w:color w:val="auto"/>
              </w:rPr>
              <w:t xml:space="preserve">anagers, directors and senior officials </w:t>
            </w:r>
          </w:p>
        </w:tc>
        <w:tc>
          <w:tcPr>
            <w:tcW w:w="1139" w:type="dxa"/>
            <w:noWrap/>
            <w:hideMark/>
          </w:tcPr>
          <w:p w14:paraId="4367C16F"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7.7</w:t>
            </w:r>
          </w:p>
        </w:tc>
        <w:tc>
          <w:tcPr>
            <w:tcW w:w="1139" w:type="dxa"/>
          </w:tcPr>
          <w:p w14:paraId="7E749A35"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10.4</w:t>
            </w:r>
          </w:p>
        </w:tc>
        <w:tc>
          <w:tcPr>
            <w:tcW w:w="1139" w:type="dxa"/>
          </w:tcPr>
          <w:p w14:paraId="5A4CF01E"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6.7</w:t>
            </w:r>
          </w:p>
        </w:tc>
        <w:tc>
          <w:tcPr>
            <w:tcW w:w="1140" w:type="dxa"/>
          </w:tcPr>
          <w:p w14:paraId="54A49B52"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10.5</w:t>
            </w:r>
          </w:p>
        </w:tc>
      </w:tr>
      <w:tr w:rsidR="00515486" w:rsidRPr="005E2145" w14:paraId="6C513CD6"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E310727" w14:textId="77777777" w:rsidR="00515486" w:rsidRPr="005E2145" w:rsidRDefault="00515486" w:rsidP="004D5D22">
            <w:pPr>
              <w:spacing w:after="0"/>
              <w:rPr>
                <w:rFonts w:eastAsia="Times New Roman"/>
                <w:color w:val="auto"/>
              </w:rPr>
            </w:pPr>
            <w:r>
              <w:rPr>
                <w:rFonts w:eastAsia="Times New Roman"/>
                <w:color w:val="auto"/>
              </w:rPr>
              <w:t>2: P</w:t>
            </w:r>
            <w:r w:rsidRPr="005E2145">
              <w:rPr>
                <w:rFonts w:eastAsia="Times New Roman"/>
                <w:color w:val="auto"/>
              </w:rPr>
              <w:t xml:space="preserve">rofessional occupations </w:t>
            </w:r>
          </w:p>
        </w:tc>
        <w:tc>
          <w:tcPr>
            <w:tcW w:w="1139" w:type="dxa"/>
            <w:noWrap/>
            <w:hideMark/>
          </w:tcPr>
          <w:p w14:paraId="49EC4194"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10.5</w:t>
            </w:r>
          </w:p>
        </w:tc>
        <w:tc>
          <w:tcPr>
            <w:tcW w:w="1139" w:type="dxa"/>
          </w:tcPr>
          <w:p w14:paraId="079C9F83"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13.2</w:t>
            </w:r>
          </w:p>
        </w:tc>
        <w:tc>
          <w:tcPr>
            <w:tcW w:w="1139" w:type="dxa"/>
          </w:tcPr>
          <w:p w14:paraId="1EA028C7"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14.0</w:t>
            </w:r>
          </w:p>
        </w:tc>
        <w:tc>
          <w:tcPr>
            <w:tcW w:w="1140" w:type="dxa"/>
          </w:tcPr>
          <w:p w14:paraId="01491903"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19.9</w:t>
            </w:r>
          </w:p>
        </w:tc>
      </w:tr>
      <w:tr w:rsidR="00515486" w:rsidRPr="005E2145" w14:paraId="6E3FD239"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397D927" w14:textId="77777777" w:rsidR="00515486" w:rsidRPr="005E2145" w:rsidRDefault="00515486" w:rsidP="004D5D22">
            <w:pPr>
              <w:spacing w:after="0"/>
              <w:rPr>
                <w:rFonts w:eastAsia="Times New Roman"/>
                <w:color w:val="auto"/>
              </w:rPr>
            </w:pPr>
            <w:r>
              <w:rPr>
                <w:rFonts w:eastAsia="Times New Roman"/>
                <w:color w:val="auto"/>
              </w:rPr>
              <w:t>3: A</w:t>
            </w:r>
            <w:r w:rsidRPr="005E2145">
              <w:rPr>
                <w:rFonts w:eastAsia="Times New Roman"/>
                <w:color w:val="auto"/>
              </w:rPr>
              <w:t xml:space="preserve">ssociate prof &amp; tech occupations </w:t>
            </w:r>
          </w:p>
        </w:tc>
        <w:tc>
          <w:tcPr>
            <w:tcW w:w="1139" w:type="dxa"/>
            <w:noWrap/>
            <w:hideMark/>
          </w:tcPr>
          <w:p w14:paraId="73727279"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8.0</w:t>
            </w:r>
          </w:p>
        </w:tc>
        <w:tc>
          <w:tcPr>
            <w:tcW w:w="1139" w:type="dxa"/>
          </w:tcPr>
          <w:p w14:paraId="089E8CD6"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9.8</w:t>
            </w:r>
          </w:p>
        </w:tc>
        <w:tc>
          <w:tcPr>
            <w:tcW w:w="1139" w:type="dxa"/>
          </w:tcPr>
          <w:p w14:paraId="458DB167"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10.2</w:t>
            </w:r>
          </w:p>
        </w:tc>
        <w:tc>
          <w:tcPr>
            <w:tcW w:w="1140" w:type="dxa"/>
          </w:tcPr>
          <w:p w14:paraId="67DB9714"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14.3</w:t>
            </w:r>
          </w:p>
        </w:tc>
      </w:tr>
      <w:tr w:rsidR="00515486" w:rsidRPr="005E2145" w14:paraId="6B8B20C1"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170CD7E" w14:textId="77777777" w:rsidR="00515486" w:rsidRPr="005E2145" w:rsidRDefault="00515486" w:rsidP="004D5D22">
            <w:pPr>
              <w:spacing w:after="0"/>
              <w:rPr>
                <w:rFonts w:eastAsia="Times New Roman"/>
                <w:color w:val="auto"/>
              </w:rPr>
            </w:pPr>
            <w:r>
              <w:rPr>
                <w:rFonts w:eastAsia="Times New Roman"/>
                <w:color w:val="auto"/>
              </w:rPr>
              <w:t>4: A</w:t>
            </w:r>
            <w:r w:rsidRPr="005E2145">
              <w:rPr>
                <w:rFonts w:eastAsia="Times New Roman"/>
                <w:color w:val="auto"/>
              </w:rPr>
              <w:t xml:space="preserve">dministrative and secretarial occupations </w:t>
            </w:r>
          </w:p>
        </w:tc>
        <w:tc>
          <w:tcPr>
            <w:tcW w:w="1139" w:type="dxa"/>
            <w:noWrap/>
            <w:hideMark/>
          </w:tcPr>
          <w:p w14:paraId="7F882D1E"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10.8</w:t>
            </w:r>
          </w:p>
        </w:tc>
        <w:tc>
          <w:tcPr>
            <w:tcW w:w="1139" w:type="dxa"/>
          </w:tcPr>
          <w:p w14:paraId="2637C9A4"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10.4</w:t>
            </w:r>
          </w:p>
        </w:tc>
        <w:tc>
          <w:tcPr>
            <w:tcW w:w="1139" w:type="dxa"/>
          </w:tcPr>
          <w:p w14:paraId="453F683A"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8.9</w:t>
            </w:r>
          </w:p>
        </w:tc>
        <w:tc>
          <w:tcPr>
            <w:tcW w:w="1140" w:type="dxa"/>
          </w:tcPr>
          <w:p w14:paraId="2C8E5622"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10.7</w:t>
            </w:r>
          </w:p>
        </w:tc>
      </w:tr>
      <w:tr w:rsidR="00515486" w:rsidRPr="005E2145" w14:paraId="4E54ED36"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374741D" w14:textId="77777777" w:rsidR="00515486" w:rsidRPr="005E2145" w:rsidRDefault="00515486" w:rsidP="004D5D22">
            <w:pPr>
              <w:spacing w:after="0"/>
              <w:rPr>
                <w:rFonts w:eastAsia="Times New Roman"/>
                <w:color w:val="auto"/>
              </w:rPr>
            </w:pPr>
            <w:r>
              <w:rPr>
                <w:rFonts w:eastAsia="Times New Roman"/>
                <w:color w:val="auto"/>
              </w:rPr>
              <w:t>5: S</w:t>
            </w:r>
            <w:r w:rsidRPr="005E2145">
              <w:rPr>
                <w:rFonts w:eastAsia="Times New Roman"/>
                <w:color w:val="auto"/>
              </w:rPr>
              <w:t xml:space="preserve">killed trades occupations </w:t>
            </w:r>
          </w:p>
        </w:tc>
        <w:tc>
          <w:tcPr>
            <w:tcW w:w="1139" w:type="dxa"/>
            <w:noWrap/>
            <w:hideMark/>
          </w:tcPr>
          <w:p w14:paraId="35975ADF"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13.5</w:t>
            </w:r>
          </w:p>
        </w:tc>
        <w:tc>
          <w:tcPr>
            <w:tcW w:w="1139" w:type="dxa"/>
          </w:tcPr>
          <w:p w14:paraId="0A85EACA"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12.9</w:t>
            </w:r>
          </w:p>
        </w:tc>
        <w:tc>
          <w:tcPr>
            <w:tcW w:w="1139" w:type="dxa"/>
          </w:tcPr>
          <w:p w14:paraId="4E8D0FB0"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13.1</w:t>
            </w:r>
          </w:p>
        </w:tc>
        <w:tc>
          <w:tcPr>
            <w:tcW w:w="1140" w:type="dxa"/>
          </w:tcPr>
          <w:p w14:paraId="149FB7A5"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10.4</w:t>
            </w:r>
          </w:p>
        </w:tc>
      </w:tr>
      <w:tr w:rsidR="00515486" w:rsidRPr="005E2145" w14:paraId="17BBB495"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B1D1A45" w14:textId="77777777" w:rsidR="00515486" w:rsidRPr="005E2145" w:rsidRDefault="00515486" w:rsidP="004D5D22">
            <w:pPr>
              <w:spacing w:after="0"/>
              <w:rPr>
                <w:rFonts w:eastAsia="Times New Roman"/>
                <w:color w:val="auto"/>
              </w:rPr>
            </w:pPr>
            <w:r>
              <w:rPr>
                <w:rFonts w:eastAsia="Times New Roman"/>
                <w:color w:val="auto"/>
              </w:rPr>
              <w:t>6: C</w:t>
            </w:r>
            <w:r w:rsidRPr="005E2145">
              <w:rPr>
                <w:rFonts w:eastAsia="Times New Roman"/>
                <w:color w:val="auto"/>
              </w:rPr>
              <w:t xml:space="preserve">aring, leisure and other service occupations </w:t>
            </w:r>
          </w:p>
        </w:tc>
        <w:tc>
          <w:tcPr>
            <w:tcW w:w="1139" w:type="dxa"/>
            <w:noWrap/>
            <w:hideMark/>
          </w:tcPr>
          <w:p w14:paraId="168580E4"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10.9</w:t>
            </w:r>
          </w:p>
        </w:tc>
        <w:tc>
          <w:tcPr>
            <w:tcW w:w="1139" w:type="dxa"/>
          </w:tcPr>
          <w:p w14:paraId="1AAE6AAB"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10.0</w:t>
            </w:r>
          </w:p>
        </w:tc>
        <w:tc>
          <w:tcPr>
            <w:tcW w:w="1139" w:type="dxa"/>
          </w:tcPr>
          <w:p w14:paraId="303EF2AC"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9.8</w:t>
            </w:r>
          </w:p>
        </w:tc>
        <w:tc>
          <w:tcPr>
            <w:tcW w:w="1140" w:type="dxa"/>
          </w:tcPr>
          <w:p w14:paraId="79F06E12"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9.0</w:t>
            </w:r>
          </w:p>
        </w:tc>
      </w:tr>
      <w:tr w:rsidR="00515486" w:rsidRPr="005E2145" w14:paraId="482BBE1C"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70B7E57" w14:textId="77777777" w:rsidR="00515486" w:rsidRPr="005E2145" w:rsidRDefault="00515486" w:rsidP="004D5D22">
            <w:pPr>
              <w:spacing w:after="0"/>
              <w:rPr>
                <w:rFonts w:eastAsia="Times New Roman"/>
                <w:color w:val="auto"/>
              </w:rPr>
            </w:pPr>
            <w:r>
              <w:rPr>
                <w:rFonts w:eastAsia="Times New Roman"/>
                <w:color w:val="auto"/>
              </w:rPr>
              <w:t>7: S</w:t>
            </w:r>
            <w:r w:rsidRPr="005E2145">
              <w:rPr>
                <w:rFonts w:eastAsia="Times New Roman"/>
                <w:color w:val="auto"/>
              </w:rPr>
              <w:t xml:space="preserve">ales and customer service occupations </w:t>
            </w:r>
          </w:p>
        </w:tc>
        <w:tc>
          <w:tcPr>
            <w:tcW w:w="1139" w:type="dxa"/>
            <w:noWrap/>
            <w:hideMark/>
          </w:tcPr>
          <w:p w14:paraId="2EFA8AA6"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8.9</w:t>
            </w:r>
          </w:p>
        </w:tc>
        <w:tc>
          <w:tcPr>
            <w:tcW w:w="1139" w:type="dxa"/>
          </w:tcPr>
          <w:p w14:paraId="5CA5E13D"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6.3</w:t>
            </w:r>
          </w:p>
        </w:tc>
        <w:tc>
          <w:tcPr>
            <w:tcW w:w="1139" w:type="dxa"/>
          </w:tcPr>
          <w:p w14:paraId="62BEC051"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11.2</w:t>
            </w:r>
          </w:p>
        </w:tc>
        <w:tc>
          <w:tcPr>
            <w:tcW w:w="1140" w:type="dxa"/>
          </w:tcPr>
          <w:p w14:paraId="4AE4D77D"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7.8</w:t>
            </w:r>
          </w:p>
        </w:tc>
      </w:tr>
      <w:tr w:rsidR="00515486" w:rsidRPr="005E2145" w14:paraId="3A8A1B1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12920FF" w14:textId="77777777" w:rsidR="00515486" w:rsidRPr="005E2145" w:rsidRDefault="00515486" w:rsidP="004D5D22">
            <w:pPr>
              <w:spacing w:after="0"/>
              <w:rPr>
                <w:rFonts w:eastAsia="Times New Roman"/>
                <w:color w:val="auto"/>
              </w:rPr>
            </w:pPr>
            <w:r>
              <w:rPr>
                <w:rFonts w:eastAsia="Times New Roman"/>
                <w:color w:val="auto"/>
              </w:rPr>
              <w:t>8: P</w:t>
            </w:r>
            <w:r w:rsidRPr="005E2145">
              <w:rPr>
                <w:rFonts w:eastAsia="Times New Roman"/>
                <w:color w:val="auto"/>
              </w:rPr>
              <w:t xml:space="preserve">rocess, plant and machine operatives </w:t>
            </w:r>
          </w:p>
        </w:tc>
        <w:tc>
          <w:tcPr>
            <w:tcW w:w="1139" w:type="dxa"/>
            <w:noWrap/>
            <w:hideMark/>
          </w:tcPr>
          <w:p w14:paraId="31E3B4E6"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13.9</w:t>
            </w:r>
          </w:p>
        </w:tc>
        <w:tc>
          <w:tcPr>
            <w:tcW w:w="1139" w:type="dxa"/>
          </w:tcPr>
          <w:p w14:paraId="079FA25E"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12.9</w:t>
            </w:r>
          </w:p>
        </w:tc>
        <w:tc>
          <w:tcPr>
            <w:tcW w:w="1139" w:type="dxa"/>
          </w:tcPr>
          <w:p w14:paraId="12249637"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10.9</w:t>
            </w:r>
          </w:p>
        </w:tc>
        <w:tc>
          <w:tcPr>
            <w:tcW w:w="1140" w:type="dxa"/>
          </w:tcPr>
          <w:p w14:paraId="20A379F3"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6.2</w:t>
            </w:r>
          </w:p>
        </w:tc>
      </w:tr>
      <w:tr w:rsidR="00515486" w:rsidRPr="005E2145" w14:paraId="7ACFFE3C"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F3D596E" w14:textId="77777777" w:rsidR="00515486" w:rsidRPr="005E2145" w:rsidRDefault="00515486" w:rsidP="004D5D22">
            <w:pPr>
              <w:spacing w:after="0"/>
              <w:rPr>
                <w:rFonts w:eastAsia="Times New Roman"/>
                <w:color w:val="auto"/>
              </w:rPr>
            </w:pPr>
            <w:r w:rsidRPr="005E2145">
              <w:rPr>
                <w:rFonts w:eastAsia="Times New Roman"/>
                <w:color w:val="auto"/>
              </w:rPr>
              <w:t>9:</w:t>
            </w:r>
            <w:r>
              <w:rPr>
                <w:rFonts w:eastAsia="Times New Roman"/>
                <w:color w:val="auto"/>
              </w:rPr>
              <w:t xml:space="preserve"> El</w:t>
            </w:r>
            <w:r w:rsidRPr="005E2145">
              <w:rPr>
                <w:rFonts w:eastAsia="Times New Roman"/>
                <w:color w:val="auto"/>
              </w:rPr>
              <w:t xml:space="preserve">ementary occupations </w:t>
            </w:r>
          </w:p>
        </w:tc>
        <w:tc>
          <w:tcPr>
            <w:tcW w:w="1139" w:type="dxa"/>
            <w:noWrap/>
            <w:hideMark/>
          </w:tcPr>
          <w:p w14:paraId="4F9CAD46" w14:textId="77777777" w:rsidR="00515486" w:rsidRPr="005E2145"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5E2145">
              <w:rPr>
                <w:rFonts w:eastAsia="Times New Roman"/>
                <w:color w:val="auto"/>
              </w:rPr>
              <w:t>14.5</w:t>
            </w:r>
          </w:p>
        </w:tc>
        <w:tc>
          <w:tcPr>
            <w:tcW w:w="1139" w:type="dxa"/>
          </w:tcPr>
          <w:p w14:paraId="48B027E0"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13.7</w:t>
            </w:r>
          </w:p>
        </w:tc>
        <w:tc>
          <w:tcPr>
            <w:tcW w:w="1139" w:type="dxa"/>
          </w:tcPr>
          <w:p w14:paraId="28F6A739"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14.5</w:t>
            </w:r>
          </w:p>
        </w:tc>
        <w:tc>
          <w:tcPr>
            <w:tcW w:w="1140" w:type="dxa"/>
          </w:tcPr>
          <w:p w14:paraId="197A104C" w14:textId="77777777" w:rsidR="00515486" w:rsidRPr="00951448"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10.6</w:t>
            </w:r>
          </w:p>
        </w:tc>
      </w:tr>
    </w:tbl>
    <w:p w14:paraId="185940B5" w14:textId="77777777" w:rsidR="00515486" w:rsidRDefault="00515486" w:rsidP="00515486">
      <w:pPr>
        <w:pStyle w:val="TableSource"/>
      </w:pPr>
      <w:r>
        <w:t>Source: ONS Annual Population Survey (2014)</w:t>
      </w:r>
    </w:p>
    <w:p w14:paraId="33140B70" w14:textId="77777777" w:rsidR="00515486" w:rsidRPr="007C1081" w:rsidRDefault="00515486" w:rsidP="00515486">
      <w:pPr>
        <w:jc w:val="both"/>
      </w:pPr>
      <w:r>
        <w:t>Since 2009 (</w:t>
      </w:r>
      <w:r w:rsidR="00F70FD0">
        <w:fldChar w:fldCharType="begin"/>
      </w:r>
      <w:r>
        <w:instrText xml:space="preserve"> REF _Ref393793768 \h </w:instrText>
      </w:r>
      <w:r w:rsidR="00F70FD0">
        <w:fldChar w:fldCharType="separate"/>
      </w:r>
      <w:r>
        <w:t xml:space="preserve">Table </w:t>
      </w:r>
      <w:r>
        <w:rPr>
          <w:noProof/>
        </w:rPr>
        <w:t>4</w:t>
      </w:r>
      <w:r>
        <w:t>-</w:t>
      </w:r>
      <w:r>
        <w:rPr>
          <w:noProof/>
        </w:rPr>
        <w:t>7</w:t>
      </w:r>
      <w:r w:rsidR="00F70FD0">
        <w:fldChar w:fldCharType="end"/>
      </w:r>
      <w:r>
        <w:t xml:space="preserve">), the North East Lincolnshire labour market has seen a decline in </w:t>
      </w:r>
      <w:r w:rsidRPr="007C1081">
        <w:t>associate prof</w:t>
      </w:r>
      <w:r>
        <w:t>essional</w:t>
      </w:r>
      <w:r w:rsidRPr="007C1081">
        <w:t xml:space="preserve"> &amp; tech occupations</w:t>
      </w:r>
      <w:r>
        <w:t xml:space="preserve"> (-3.2%). Declines were also observed in North Lincolnshire (-2.4%) and Hull (-0.4%). However</w:t>
      </w:r>
      <w:r w:rsidR="00D70913">
        <w:t>, this contrasts with</w:t>
      </w:r>
      <w:r>
        <w:t xml:space="preserve"> national </w:t>
      </w:r>
      <w:r w:rsidR="00D70913">
        <w:t>trends where</w:t>
      </w:r>
      <w:r>
        <w:t xml:space="preserve"> the proportion</w:t>
      </w:r>
      <w:r w:rsidR="00D70913">
        <w:t xml:space="preserve"> has</w:t>
      </w:r>
      <w:r>
        <w:t xml:space="preserve"> increased. This represents a challenge for the local economy in understanding what is driving this decline and why this has occurred at a greater level in North East Lincolnshire compared to other areas.</w:t>
      </w:r>
    </w:p>
    <w:p w14:paraId="23079D8F" w14:textId="77777777" w:rsidR="00515486" w:rsidRDefault="00515486" w:rsidP="00515486">
      <w:pPr>
        <w:pStyle w:val="Caption"/>
      </w:pPr>
      <w:bookmarkStart w:id="53" w:name="_Ref393793768"/>
      <w:r>
        <w:t xml:space="preserve">Table </w:t>
      </w:r>
      <w:fldSimple w:instr=" STYLEREF 1 \s  \* MERGEFORMAT ">
        <w:r>
          <w:rPr>
            <w:noProof/>
          </w:rPr>
          <w:t>4</w:t>
        </w:r>
      </w:fldSimple>
      <w:r>
        <w:t>-</w:t>
      </w:r>
      <w:fldSimple w:instr=" SEQ Table \* ARABIC \s 1  \* MERGEFORMAT ">
        <w:r>
          <w:rPr>
            <w:noProof/>
          </w:rPr>
          <w:t>7</w:t>
        </w:r>
      </w:fldSimple>
      <w:bookmarkEnd w:id="53"/>
      <w:r>
        <w:tab/>
        <w:t>Change in occupation profile (2009-2013)</w:t>
      </w:r>
    </w:p>
    <w:tbl>
      <w:tblPr>
        <w:tblStyle w:val="Atkins14pt"/>
        <w:tblW w:w="9235" w:type="dxa"/>
        <w:tblLayout w:type="fixed"/>
        <w:tblLook w:val="04A0" w:firstRow="1" w:lastRow="0" w:firstColumn="1" w:lastColumn="0" w:noHBand="0" w:noVBand="1"/>
      </w:tblPr>
      <w:tblGrid>
        <w:gridCol w:w="4678"/>
        <w:gridCol w:w="1139"/>
        <w:gridCol w:w="1139"/>
        <w:gridCol w:w="1139"/>
        <w:gridCol w:w="1140"/>
      </w:tblGrid>
      <w:tr w:rsidR="00515486" w:rsidRPr="005E2145" w14:paraId="4EA6B63E" w14:textId="77777777" w:rsidTr="004D5D22">
        <w:trPr>
          <w:cnfStyle w:val="100000000000" w:firstRow="1" w:lastRow="0" w:firstColumn="0" w:lastColumn="0" w:oddVBand="0" w:evenVBand="0" w:oddHBand="0" w:evenHBand="0" w:firstRowFirstColumn="0" w:firstRowLastColumn="0" w:lastRowFirstColumn="0" w:lastRowLastColumn="0"/>
          <w:trHeight w:val="765"/>
        </w:trPr>
        <w:tc>
          <w:tcPr>
            <w:cnfStyle w:val="001000000100" w:firstRow="0" w:lastRow="0" w:firstColumn="1" w:lastColumn="0" w:oddVBand="0" w:evenVBand="0" w:oddHBand="0" w:evenHBand="0" w:firstRowFirstColumn="1" w:firstRowLastColumn="0" w:lastRowFirstColumn="0" w:lastRowLastColumn="0"/>
            <w:tcW w:w="4678" w:type="dxa"/>
            <w:noWrap/>
            <w:hideMark/>
          </w:tcPr>
          <w:p w14:paraId="76343091" w14:textId="77777777" w:rsidR="00515486" w:rsidRPr="005E2145" w:rsidRDefault="00515486" w:rsidP="004D5D22">
            <w:pPr>
              <w:spacing w:after="0"/>
              <w:rPr>
                <w:rFonts w:eastAsia="Times New Roman"/>
                <w:color w:val="auto"/>
              </w:rPr>
            </w:pPr>
            <w:r>
              <w:rPr>
                <w:rFonts w:eastAsia="Times New Roman"/>
                <w:color w:val="auto"/>
              </w:rPr>
              <w:t>Occupations</w:t>
            </w:r>
          </w:p>
        </w:tc>
        <w:tc>
          <w:tcPr>
            <w:tcW w:w="1139" w:type="dxa"/>
            <w:hideMark/>
          </w:tcPr>
          <w:p w14:paraId="4B381EAA" w14:textId="77777777" w:rsidR="00515486" w:rsidRPr="007C1081"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7C1081">
              <w:rPr>
                <w:rFonts w:eastAsia="Times New Roman"/>
                <w:bCs/>
                <w:color w:val="auto"/>
                <w:sz w:val="18"/>
              </w:rPr>
              <w:t>North East Lincolnshire</w:t>
            </w:r>
          </w:p>
        </w:tc>
        <w:tc>
          <w:tcPr>
            <w:tcW w:w="1139" w:type="dxa"/>
          </w:tcPr>
          <w:p w14:paraId="42FD407E" w14:textId="77777777" w:rsidR="00515486" w:rsidRPr="007C1081"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7C1081">
              <w:rPr>
                <w:rFonts w:eastAsia="Times New Roman"/>
                <w:bCs/>
                <w:color w:val="auto"/>
                <w:sz w:val="18"/>
              </w:rPr>
              <w:t>North Lincolnshire</w:t>
            </w:r>
          </w:p>
        </w:tc>
        <w:tc>
          <w:tcPr>
            <w:tcW w:w="1139" w:type="dxa"/>
          </w:tcPr>
          <w:p w14:paraId="089FE85C" w14:textId="77777777" w:rsidR="00515486" w:rsidRPr="007C1081"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7C1081">
              <w:rPr>
                <w:rFonts w:eastAsia="Times New Roman"/>
                <w:bCs/>
                <w:color w:val="auto"/>
                <w:sz w:val="18"/>
              </w:rPr>
              <w:t>Kingston upon Hull</w:t>
            </w:r>
          </w:p>
        </w:tc>
        <w:tc>
          <w:tcPr>
            <w:tcW w:w="1140" w:type="dxa"/>
          </w:tcPr>
          <w:p w14:paraId="79A1C8F1" w14:textId="77777777" w:rsidR="00515486" w:rsidRPr="007C1081"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7C1081">
              <w:rPr>
                <w:rFonts w:eastAsia="Times New Roman"/>
                <w:bCs/>
                <w:color w:val="auto"/>
                <w:sz w:val="18"/>
              </w:rPr>
              <w:t>England</w:t>
            </w:r>
          </w:p>
        </w:tc>
      </w:tr>
      <w:tr w:rsidR="00515486" w:rsidRPr="005E2145" w14:paraId="64DF6886"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CAA498E" w14:textId="77777777" w:rsidR="00515486" w:rsidRPr="005E2145" w:rsidRDefault="00515486" w:rsidP="004D5D22">
            <w:pPr>
              <w:spacing w:after="0"/>
              <w:rPr>
                <w:rFonts w:eastAsia="Times New Roman"/>
                <w:color w:val="auto"/>
              </w:rPr>
            </w:pPr>
            <w:r>
              <w:rPr>
                <w:rFonts w:eastAsia="Times New Roman"/>
                <w:color w:val="auto"/>
              </w:rPr>
              <w:t>1: M</w:t>
            </w:r>
            <w:r w:rsidRPr="005E2145">
              <w:rPr>
                <w:rFonts w:eastAsia="Times New Roman"/>
                <w:color w:val="auto"/>
              </w:rPr>
              <w:t xml:space="preserve">anagers, directors and senior officials </w:t>
            </w:r>
          </w:p>
        </w:tc>
        <w:tc>
          <w:tcPr>
            <w:tcW w:w="1139" w:type="dxa"/>
            <w:noWrap/>
            <w:hideMark/>
          </w:tcPr>
          <w:p w14:paraId="5BD4AF0A"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0.9</w:t>
            </w:r>
          </w:p>
        </w:tc>
        <w:tc>
          <w:tcPr>
            <w:tcW w:w="1139" w:type="dxa"/>
          </w:tcPr>
          <w:p w14:paraId="094C068D"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0.5</w:t>
            </w:r>
          </w:p>
        </w:tc>
        <w:tc>
          <w:tcPr>
            <w:tcW w:w="1139" w:type="dxa"/>
          </w:tcPr>
          <w:p w14:paraId="44A402A0"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1.5</w:t>
            </w:r>
          </w:p>
        </w:tc>
        <w:tc>
          <w:tcPr>
            <w:tcW w:w="1140" w:type="dxa"/>
          </w:tcPr>
          <w:p w14:paraId="63057ED4"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0.3</w:t>
            </w:r>
          </w:p>
        </w:tc>
      </w:tr>
      <w:tr w:rsidR="00515486" w:rsidRPr="005E2145" w14:paraId="00559934"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9B9D0E4" w14:textId="77777777" w:rsidR="00515486" w:rsidRPr="005E2145" w:rsidRDefault="00515486" w:rsidP="004D5D22">
            <w:pPr>
              <w:spacing w:after="0"/>
              <w:rPr>
                <w:rFonts w:eastAsia="Times New Roman"/>
                <w:color w:val="auto"/>
              </w:rPr>
            </w:pPr>
            <w:r>
              <w:rPr>
                <w:rFonts w:eastAsia="Times New Roman"/>
                <w:color w:val="auto"/>
              </w:rPr>
              <w:t>2: P</w:t>
            </w:r>
            <w:r w:rsidRPr="005E2145">
              <w:rPr>
                <w:rFonts w:eastAsia="Times New Roman"/>
                <w:color w:val="auto"/>
              </w:rPr>
              <w:t xml:space="preserve">rofessional occupations </w:t>
            </w:r>
          </w:p>
        </w:tc>
        <w:tc>
          <w:tcPr>
            <w:tcW w:w="1139" w:type="dxa"/>
            <w:noWrap/>
            <w:hideMark/>
          </w:tcPr>
          <w:p w14:paraId="188FB078"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0.9</w:t>
            </w:r>
          </w:p>
        </w:tc>
        <w:tc>
          <w:tcPr>
            <w:tcW w:w="1139" w:type="dxa"/>
          </w:tcPr>
          <w:p w14:paraId="5B71A5D0"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0.1</w:t>
            </w:r>
          </w:p>
        </w:tc>
        <w:tc>
          <w:tcPr>
            <w:tcW w:w="1139" w:type="dxa"/>
          </w:tcPr>
          <w:p w14:paraId="31F2FB93"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1.4</w:t>
            </w:r>
          </w:p>
        </w:tc>
        <w:tc>
          <w:tcPr>
            <w:tcW w:w="1140" w:type="dxa"/>
          </w:tcPr>
          <w:p w14:paraId="51A9F62A"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1.3</w:t>
            </w:r>
          </w:p>
        </w:tc>
      </w:tr>
      <w:tr w:rsidR="00515486" w:rsidRPr="005E2145" w14:paraId="04D3BA3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EE3219A" w14:textId="77777777" w:rsidR="00515486" w:rsidRPr="005E2145" w:rsidRDefault="00515486" w:rsidP="004D5D22">
            <w:pPr>
              <w:spacing w:after="0"/>
              <w:rPr>
                <w:rFonts w:eastAsia="Times New Roman"/>
                <w:color w:val="auto"/>
              </w:rPr>
            </w:pPr>
            <w:r>
              <w:rPr>
                <w:rFonts w:eastAsia="Times New Roman"/>
                <w:color w:val="auto"/>
              </w:rPr>
              <w:t>3: A</w:t>
            </w:r>
            <w:r w:rsidRPr="005E2145">
              <w:rPr>
                <w:rFonts w:eastAsia="Times New Roman"/>
                <w:color w:val="auto"/>
              </w:rPr>
              <w:t xml:space="preserve">ssociate prof &amp; tech occupations </w:t>
            </w:r>
          </w:p>
        </w:tc>
        <w:tc>
          <w:tcPr>
            <w:tcW w:w="1139" w:type="dxa"/>
            <w:noWrap/>
            <w:hideMark/>
          </w:tcPr>
          <w:p w14:paraId="1A8CF641"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-3.2</w:t>
            </w:r>
          </w:p>
        </w:tc>
        <w:tc>
          <w:tcPr>
            <w:tcW w:w="1139" w:type="dxa"/>
          </w:tcPr>
          <w:p w14:paraId="2CCFCD4B"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-2.4</w:t>
            </w:r>
          </w:p>
        </w:tc>
        <w:tc>
          <w:tcPr>
            <w:tcW w:w="1139" w:type="dxa"/>
          </w:tcPr>
          <w:p w14:paraId="3B037A22"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-0.4</w:t>
            </w:r>
          </w:p>
        </w:tc>
        <w:tc>
          <w:tcPr>
            <w:tcW w:w="1140" w:type="dxa"/>
          </w:tcPr>
          <w:p w14:paraId="0F71338F"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0.4</w:t>
            </w:r>
          </w:p>
        </w:tc>
      </w:tr>
      <w:tr w:rsidR="00515486" w:rsidRPr="005E2145" w14:paraId="6C2DEF7E"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99A709E" w14:textId="77777777" w:rsidR="00515486" w:rsidRPr="005E2145" w:rsidRDefault="00515486" w:rsidP="004D5D22">
            <w:pPr>
              <w:spacing w:after="0"/>
              <w:rPr>
                <w:rFonts w:eastAsia="Times New Roman"/>
                <w:color w:val="auto"/>
              </w:rPr>
            </w:pPr>
            <w:r>
              <w:rPr>
                <w:rFonts w:eastAsia="Times New Roman"/>
                <w:color w:val="auto"/>
              </w:rPr>
              <w:t>4: A</w:t>
            </w:r>
            <w:r w:rsidRPr="005E2145">
              <w:rPr>
                <w:rFonts w:eastAsia="Times New Roman"/>
                <w:color w:val="auto"/>
              </w:rPr>
              <w:t xml:space="preserve">dministrative and secretarial occupations </w:t>
            </w:r>
          </w:p>
        </w:tc>
        <w:tc>
          <w:tcPr>
            <w:tcW w:w="1139" w:type="dxa"/>
            <w:noWrap/>
            <w:hideMark/>
          </w:tcPr>
          <w:p w14:paraId="44DF4B8B"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-0.7</w:t>
            </w:r>
          </w:p>
        </w:tc>
        <w:tc>
          <w:tcPr>
            <w:tcW w:w="1139" w:type="dxa"/>
          </w:tcPr>
          <w:p w14:paraId="4561EDC9"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-0.2</w:t>
            </w:r>
          </w:p>
        </w:tc>
        <w:tc>
          <w:tcPr>
            <w:tcW w:w="1139" w:type="dxa"/>
          </w:tcPr>
          <w:p w14:paraId="58EC0D23"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-1.5</w:t>
            </w:r>
          </w:p>
        </w:tc>
        <w:tc>
          <w:tcPr>
            <w:tcW w:w="1140" w:type="dxa"/>
          </w:tcPr>
          <w:p w14:paraId="72C0DEBD"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-1.1</w:t>
            </w:r>
          </w:p>
        </w:tc>
      </w:tr>
      <w:tr w:rsidR="00515486" w:rsidRPr="005E2145" w14:paraId="7BA06FB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3949B846" w14:textId="77777777" w:rsidR="00515486" w:rsidRPr="005E2145" w:rsidRDefault="00515486" w:rsidP="004D5D22">
            <w:pPr>
              <w:spacing w:after="0"/>
              <w:rPr>
                <w:rFonts w:eastAsia="Times New Roman"/>
                <w:color w:val="auto"/>
              </w:rPr>
            </w:pPr>
            <w:r>
              <w:rPr>
                <w:rFonts w:eastAsia="Times New Roman"/>
                <w:color w:val="auto"/>
              </w:rPr>
              <w:t>5: S</w:t>
            </w:r>
            <w:r w:rsidRPr="005E2145">
              <w:rPr>
                <w:rFonts w:eastAsia="Times New Roman"/>
                <w:color w:val="auto"/>
              </w:rPr>
              <w:t xml:space="preserve">killed trades occupations </w:t>
            </w:r>
          </w:p>
        </w:tc>
        <w:tc>
          <w:tcPr>
            <w:tcW w:w="1139" w:type="dxa"/>
            <w:noWrap/>
            <w:hideMark/>
          </w:tcPr>
          <w:p w14:paraId="5C2F26E0"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0.6</w:t>
            </w:r>
          </w:p>
        </w:tc>
        <w:tc>
          <w:tcPr>
            <w:tcW w:w="1139" w:type="dxa"/>
          </w:tcPr>
          <w:p w14:paraId="17F34A3A"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2.1</w:t>
            </w:r>
          </w:p>
        </w:tc>
        <w:tc>
          <w:tcPr>
            <w:tcW w:w="1139" w:type="dxa"/>
          </w:tcPr>
          <w:p w14:paraId="6B73474B"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-1.7</w:t>
            </w:r>
          </w:p>
        </w:tc>
        <w:tc>
          <w:tcPr>
            <w:tcW w:w="1140" w:type="dxa"/>
          </w:tcPr>
          <w:p w14:paraId="4082F93D"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-0.5</w:t>
            </w:r>
          </w:p>
        </w:tc>
      </w:tr>
      <w:tr w:rsidR="00515486" w:rsidRPr="005E2145" w14:paraId="409EEB3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4EA1E5C" w14:textId="77777777" w:rsidR="00515486" w:rsidRPr="005E2145" w:rsidRDefault="00515486" w:rsidP="004D5D22">
            <w:pPr>
              <w:spacing w:after="0"/>
              <w:rPr>
                <w:rFonts w:eastAsia="Times New Roman"/>
                <w:color w:val="auto"/>
              </w:rPr>
            </w:pPr>
            <w:r>
              <w:rPr>
                <w:rFonts w:eastAsia="Times New Roman"/>
                <w:color w:val="auto"/>
              </w:rPr>
              <w:t>6: C</w:t>
            </w:r>
            <w:r w:rsidRPr="005E2145">
              <w:rPr>
                <w:rFonts w:eastAsia="Times New Roman"/>
                <w:color w:val="auto"/>
              </w:rPr>
              <w:t xml:space="preserve">aring, leisure and other service occupations </w:t>
            </w:r>
          </w:p>
        </w:tc>
        <w:tc>
          <w:tcPr>
            <w:tcW w:w="1139" w:type="dxa"/>
            <w:noWrap/>
            <w:hideMark/>
          </w:tcPr>
          <w:p w14:paraId="349BA4D6"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1.3</w:t>
            </w:r>
          </w:p>
        </w:tc>
        <w:tc>
          <w:tcPr>
            <w:tcW w:w="1139" w:type="dxa"/>
          </w:tcPr>
          <w:p w14:paraId="520F716B"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2.2</w:t>
            </w:r>
          </w:p>
        </w:tc>
        <w:tc>
          <w:tcPr>
            <w:tcW w:w="1139" w:type="dxa"/>
          </w:tcPr>
          <w:p w14:paraId="357F013F"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-0.4</w:t>
            </w:r>
          </w:p>
        </w:tc>
        <w:tc>
          <w:tcPr>
            <w:tcW w:w="1140" w:type="dxa"/>
          </w:tcPr>
          <w:p w14:paraId="645F8C86"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0.3</w:t>
            </w:r>
          </w:p>
        </w:tc>
      </w:tr>
      <w:tr w:rsidR="00515486" w:rsidRPr="005E2145" w14:paraId="5254027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BB1699B" w14:textId="77777777" w:rsidR="00515486" w:rsidRPr="005E2145" w:rsidRDefault="00515486" w:rsidP="004D5D22">
            <w:pPr>
              <w:spacing w:after="0"/>
              <w:rPr>
                <w:rFonts w:eastAsia="Times New Roman"/>
                <w:color w:val="auto"/>
              </w:rPr>
            </w:pPr>
            <w:r>
              <w:rPr>
                <w:rFonts w:eastAsia="Times New Roman"/>
                <w:color w:val="auto"/>
              </w:rPr>
              <w:t>7: S</w:t>
            </w:r>
            <w:r w:rsidRPr="005E2145">
              <w:rPr>
                <w:rFonts w:eastAsia="Times New Roman"/>
                <w:color w:val="auto"/>
              </w:rPr>
              <w:t xml:space="preserve">ales and customer service occupations </w:t>
            </w:r>
          </w:p>
        </w:tc>
        <w:tc>
          <w:tcPr>
            <w:tcW w:w="1139" w:type="dxa"/>
            <w:noWrap/>
            <w:hideMark/>
          </w:tcPr>
          <w:p w14:paraId="502D18A1"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-0.3</w:t>
            </w:r>
          </w:p>
        </w:tc>
        <w:tc>
          <w:tcPr>
            <w:tcW w:w="1139" w:type="dxa"/>
          </w:tcPr>
          <w:p w14:paraId="6D16B09A"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-1.0</w:t>
            </w:r>
          </w:p>
        </w:tc>
        <w:tc>
          <w:tcPr>
            <w:tcW w:w="1139" w:type="dxa"/>
          </w:tcPr>
          <w:p w14:paraId="1A81F52A"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1.6</w:t>
            </w:r>
          </w:p>
        </w:tc>
        <w:tc>
          <w:tcPr>
            <w:tcW w:w="1140" w:type="dxa"/>
          </w:tcPr>
          <w:p w14:paraId="06A7116C"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-0.2</w:t>
            </w:r>
          </w:p>
        </w:tc>
      </w:tr>
      <w:tr w:rsidR="00515486" w:rsidRPr="005E2145" w14:paraId="1B0195C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BEEC1AD" w14:textId="77777777" w:rsidR="00515486" w:rsidRPr="005E2145" w:rsidRDefault="00515486" w:rsidP="004D5D22">
            <w:pPr>
              <w:spacing w:after="0"/>
              <w:rPr>
                <w:rFonts w:eastAsia="Times New Roman"/>
                <w:color w:val="auto"/>
              </w:rPr>
            </w:pPr>
            <w:r>
              <w:rPr>
                <w:rFonts w:eastAsia="Times New Roman"/>
                <w:color w:val="auto"/>
              </w:rPr>
              <w:t>8: P</w:t>
            </w:r>
            <w:r w:rsidRPr="005E2145">
              <w:rPr>
                <w:rFonts w:eastAsia="Times New Roman"/>
                <w:color w:val="auto"/>
              </w:rPr>
              <w:t xml:space="preserve">rocess, plant and machine operatives </w:t>
            </w:r>
          </w:p>
        </w:tc>
        <w:tc>
          <w:tcPr>
            <w:tcW w:w="1139" w:type="dxa"/>
            <w:noWrap/>
            <w:hideMark/>
          </w:tcPr>
          <w:p w14:paraId="11890A21"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-0.2</w:t>
            </w:r>
          </w:p>
        </w:tc>
        <w:tc>
          <w:tcPr>
            <w:tcW w:w="1139" w:type="dxa"/>
          </w:tcPr>
          <w:p w14:paraId="51564644"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-1.3</w:t>
            </w:r>
          </w:p>
        </w:tc>
        <w:tc>
          <w:tcPr>
            <w:tcW w:w="1139" w:type="dxa"/>
          </w:tcPr>
          <w:p w14:paraId="75D273F8"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1.3</w:t>
            </w:r>
          </w:p>
        </w:tc>
        <w:tc>
          <w:tcPr>
            <w:tcW w:w="1140" w:type="dxa"/>
          </w:tcPr>
          <w:p w14:paraId="25B7E60F"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-0.4</w:t>
            </w:r>
          </w:p>
        </w:tc>
      </w:tr>
      <w:tr w:rsidR="00515486" w:rsidRPr="005E2145" w14:paraId="0765BA34"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6DAF1D2" w14:textId="77777777" w:rsidR="00515486" w:rsidRPr="005E2145" w:rsidRDefault="00515486" w:rsidP="004D5D22">
            <w:pPr>
              <w:spacing w:after="0"/>
              <w:rPr>
                <w:rFonts w:eastAsia="Times New Roman"/>
                <w:color w:val="auto"/>
              </w:rPr>
            </w:pPr>
            <w:r w:rsidRPr="005E2145">
              <w:rPr>
                <w:rFonts w:eastAsia="Times New Roman"/>
                <w:color w:val="auto"/>
              </w:rPr>
              <w:t>9:</w:t>
            </w:r>
            <w:r>
              <w:rPr>
                <w:rFonts w:eastAsia="Times New Roman"/>
                <w:color w:val="auto"/>
              </w:rPr>
              <w:t xml:space="preserve"> El</w:t>
            </w:r>
            <w:r w:rsidRPr="005E2145">
              <w:rPr>
                <w:rFonts w:eastAsia="Times New Roman"/>
                <w:color w:val="auto"/>
              </w:rPr>
              <w:t xml:space="preserve">ementary occupations </w:t>
            </w:r>
          </w:p>
        </w:tc>
        <w:tc>
          <w:tcPr>
            <w:tcW w:w="1139" w:type="dxa"/>
            <w:noWrap/>
            <w:hideMark/>
          </w:tcPr>
          <w:p w14:paraId="387BBD90"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-0.2</w:t>
            </w:r>
          </w:p>
        </w:tc>
        <w:tc>
          <w:tcPr>
            <w:tcW w:w="1139" w:type="dxa"/>
          </w:tcPr>
          <w:p w14:paraId="7E240098"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0.1</w:t>
            </w:r>
          </w:p>
        </w:tc>
        <w:tc>
          <w:tcPr>
            <w:tcW w:w="1139" w:type="dxa"/>
          </w:tcPr>
          <w:p w14:paraId="4637CBC4"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-2.4</w:t>
            </w:r>
          </w:p>
        </w:tc>
        <w:tc>
          <w:tcPr>
            <w:tcW w:w="1140" w:type="dxa"/>
          </w:tcPr>
          <w:p w14:paraId="6591047A" w14:textId="77777777" w:rsidR="00515486" w:rsidRPr="007C1081"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C1081">
              <w:rPr>
                <w:rFonts w:eastAsia="Times New Roman"/>
                <w:color w:val="auto"/>
              </w:rPr>
              <w:t>-0.3</w:t>
            </w:r>
          </w:p>
        </w:tc>
      </w:tr>
    </w:tbl>
    <w:p w14:paraId="64A5165C" w14:textId="77777777" w:rsidR="00515486" w:rsidRDefault="00515486" w:rsidP="00515486">
      <w:pPr>
        <w:pStyle w:val="TableSource"/>
      </w:pPr>
      <w:r>
        <w:t>Source: ONS Annual Population Survey (2014)</w:t>
      </w:r>
    </w:p>
    <w:p w14:paraId="2C57AD7A" w14:textId="77777777" w:rsidR="00515486" w:rsidRDefault="00515486" w:rsidP="00515486">
      <w:pPr>
        <w:pStyle w:val="Heading2"/>
        <w:numPr>
          <w:ilvl w:val="1"/>
          <w:numId w:val="4"/>
        </w:numPr>
        <w:rPr>
          <w:rFonts w:eastAsiaTheme="majorEastAsia"/>
        </w:rPr>
      </w:pPr>
      <w:bookmarkStart w:id="54" w:name="_Ref393803794"/>
      <w:bookmarkStart w:id="55" w:name="_Toc394327695"/>
      <w:r>
        <w:rPr>
          <w:rFonts w:eastAsiaTheme="majorEastAsia"/>
        </w:rPr>
        <w:t>Earnings</w:t>
      </w:r>
      <w:bookmarkEnd w:id="54"/>
      <w:bookmarkEnd w:id="55"/>
    </w:p>
    <w:p w14:paraId="3AA6E3EF" w14:textId="77777777" w:rsidR="00515486" w:rsidRPr="00E16FEE" w:rsidRDefault="00F70FD0" w:rsidP="00515486">
      <w:pPr>
        <w:jc w:val="both"/>
      </w:pPr>
      <w:r>
        <w:fldChar w:fldCharType="begin"/>
      </w:r>
      <w:r w:rsidR="00515486">
        <w:instrText xml:space="preserve"> REF _Ref393722987 \h </w:instrText>
      </w:r>
      <w:r>
        <w:fldChar w:fldCharType="separate"/>
      </w:r>
      <w:r w:rsidR="00515486">
        <w:t xml:space="preserve">Table </w:t>
      </w:r>
      <w:r w:rsidR="00515486">
        <w:rPr>
          <w:noProof/>
        </w:rPr>
        <w:t>4</w:t>
      </w:r>
      <w:r w:rsidR="00515486">
        <w:t>-</w:t>
      </w:r>
      <w:r w:rsidR="00515486">
        <w:rPr>
          <w:noProof/>
        </w:rPr>
        <w:t>8</w:t>
      </w:r>
      <w:r>
        <w:fldChar w:fldCharType="end"/>
      </w:r>
      <w:r w:rsidR="00515486">
        <w:t xml:space="preserve"> presents annual gross earnings statistics for residents in North East Lincolnshire and surrounding areas. Though higher than Hull, annual earnings are relatively low in comparison to other local areas and to the national average. This is the case for both median and mean measures. </w:t>
      </w:r>
    </w:p>
    <w:p w14:paraId="2F830DA9" w14:textId="77777777" w:rsidR="00515486" w:rsidRDefault="00515486" w:rsidP="00515486">
      <w:pPr>
        <w:pStyle w:val="Caption"/>
      </w:pPr>
      <w:bookmarkStart w:id="56" w:name="_Ref393722987"/>
      <w:r>
        <w:t xml:space="preserve">Table </w:t>
      </w:r>
      <w:fldSimple w:instr=" STYLEREF 1 \s  \* MERGEFORMAT ">
        <w:r>
          <w:rPr>
            <w:noProof/>
          </w:rPr>
          <w:t>4</w:t>
        </w:r>
      </w:fldSimple>
      <w:r>
        <w:t>-</w:t>
      </w:r>
      <w:fldSimple w:instr=" SEQ Table \* ARABIC \s 1  \* MERGEFORMAT ">
        <w:r>
          <w:rPr>
            <w:noProof/>
          </w:rPr>
          <w:t>8</w:t>
        </w:r>
      </w:fldSimple>
      <w:bookmarkEnd w:id="56"/>
      <w:r>
        <w:tab/>
        <w:t>Annual gross earnings of residents (2013)</w:t>
      </w:r>
    </w:p>
    <w:tbl>
      <w:tblPr>
        <w:tblStyle w:val="Atkins14pt"/>
        <w:tblW w:w="5212" w:type="dxa"/>
        <w:tblLook w:val="04A0" w:firstRow="1" w:lastRow="0" w:firstColumn="1" w:lastColumn="0" w:noHBand="0" w:noVBand="1"/>
      </w:tblPr>
      <w:tblGrid>
        <w:gridCol w:w="3260"/>
        <w:gridCol w:w="976"/>
        <w:gridCol w:w="976"/>
      </w:tblGrid>
      <w:tr w:rsidR="00515486" w:rsidRPr="00E16FEE" w14:paraId="3D6D90F7" w14:textId="77777777" w:rsidTr="004D5D2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3260" w:type="dxa"/>
            <w:noWrap/>
            <w:hideMark/>
          </w:tcPr>
          <w:p w14:paraId="51AFCAF5" w14:textId="77777777" w:rsidR="00515486" w:rsidRPr="00951448" w:rsidRDefault="00515486" w:rsidP="004D5D22">
            <w:pPr>
              <w:spacing w:after="0"/>
              <w:rPr>
                <w:rFonts w:eastAsia="Times New Roman"/>
                <w:color w:val="auto"/>
              </w:rPr>
            </w:pPr>
            <w:r w:rsidRPr="00951448">
              <w:rPr>
                <w:rFonts w:eastAsia="Times New Roman"/>
                <w:color w:val="auto"/>
              </w:rPr>
              <w:t>Area</w:t>
            </w:r>
          </w:p>
        </w:tc>
        <w:tc>
          <w:tcPr>
            <w:tcW w:w="976" w:type="dxa"/>
            <w:noWrap/>
            <w:hideMark/>
          </w:tcPr>
          <w:p w14:paraId="600A0C8B" w14:textId="77777777" w:rsidR="00515486" w:rsidRPr="00951448"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951448">
              <w:rPr>
                <w:rFonts w:eastAsia="Times New Roman"/>
                <w:color w:val="auto"/>
              </w:rPr>
              <w:t>Median</w:t>
            </w:r>
          </w:p>
        </w:tc>
        <w:tc>
          <w:tcPr>
            <w:tcW w:w="976" w:type="dxa"/>
            <w:noWrap/>
            <w:hideMark/>
          </w:tcPr>
          <w:p w14:paraId="7C900DC7" w14:textId="77777777" w:rsidR="00515486" w:rsidRPr="00951448"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951448">
              <w:rPr>
                <w:rFonts w:eastAsia="Times New Roman"/>
                <w:color w:val="auto"/>
              </w:rPr>
              <w:t>Mean</w:t>
            </w:r>
          </w:p>
        </w:tc>
      </w:tr>
      <w:tr w:rsidR="00515486" w:rsidRPr="00E16FEE" w14:paraId="5520B464"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hideMark/>
          </w:tcPr>
          <w:p w14:paraId="2F5F2F5E" w14:textId="77777777" w:rsidR="00515486" w:rsidRPr="00951448" w:rsidRDefault="00515486" w:rsidP="004D5D22">
            <w:pPr>
              <w:pStyle w:val="TableText"/>
              <w:rPr>
                <w:color w:val="auto"/>
              </w:rPr>
            </w:pPr>
            <w:r w:rsidRPr="00951448">
              <w:rPr>
                <w:color w:val="auto"/>
              </w:rPr>
              <w:t>North East Lincolnshire</w:t>
            </w:r>
          </w:p>
        </w:tc>
        <w:tc>
          <w:tcPr>
            <w:tcW w:w="976" w:type="dxa"/>
            <w:noWrap/>
            <w:hideMark/>
          </w:tcPr>
          <w:p w14:paraId="71A9089B"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24,420</w:t>
            </w:r>
          </w:p>
        </w:tc>
        <w:tc>
          <w:tcPr>
            <w:tcW w:w="976" w:type="dxa"/>
            <w:noWrap/>
            <w:hideMark/>
          </w:tcPr>
          <w:p w14:paraId="7CBC0BE1"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27,533</w:t>
            </w:r>
          </w:p>
        </w:tc>
      </w:tr>
      <w:tr w:rsidR="00515486" w:rsidRPr="00E16FEE" w14:paraId="5A34561B"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hideMark/>
          </w:tcPr>
          <w:p w14:paraId="62B551B1" w14:textId="77777777" w:rsidR="00515486" w:rsidRPr="00951448" w:rsidRDefault="00515486" w:rsidP="004D5D22">
            <w:pPr>
              <w:pStyle w:val="TableText"/>
              <w:rPr>
                <w:color w:val="auto"/>
              </w:rPr>
            </w:pPr>
            <w:r w:rsidRPr="00951448">
              <w:rPr>
                <w:color w:val="auto"/>
              </w:rPr>
              <w:t>East Riding of Yorkshire</w:t>
            </w:r>
          </w:p>
        </w:tc>
        <w:tc>
          <w:tcPr>
            <w:tcW w:w="976" w:type="dxa"/>
            <w:noWrap/>
            <w:hideMark/>
          </w:tcPr>
          <w:p w14:paraId="610BECAF"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26,693</w:t>
            </w:r>
          </w:p>
        </w:tc>
        <w:tc>
          <w:tcPr>
            <w:tcW w:w="976" w:type="dxa"/>
            <w:noWrap/>
            <w:hideMark/>
          </w:tcPr>
          <w:p w14:paraId="2183D94E"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31,997</w:t>
            </w:r>
          </w:p>
        </w:tc>
      </w:tr>
      <w:tr w:rsidR="00515486" w:rsidRPr="00E16FEE" w14:paraId="697B51C9"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hideMark/>
          </w:tcPr>
          <w:p w14:paraId="24D842AB" w14:textId="77777777" w:rsidR="00515486" w:rsidRPr="00951448" w:rsidRDefault="00515486" w:rsidP="004D5D22">
            <w:pPr>
              <w:pStyle w:val="TableText"/>
              <w:rPr>
                <w:color w:val="auto"/>
              </w:rPr>
            </w:pPr>
            <w:r w:rsidRPr="00951448">
              <w:rPr>
                <w:color w:val="auto"/>
              </w:rPr>
              <w:t>Kingston upon Hull, City of</w:t>
            </w:r>
          </w:p>
        </w:tc>
        <w:tc>
          <w:tcPr>
            <w:tcW w:w="976" w:type="dxa"/>
            <w:noWrap/>
            <w:hideMark/>
          </w:tcPr>
          <w:p w14:paraId="17827370"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22,775</w:t>
            </w:r>
          </w:p>
        </w:tc>
        <w:tc>
          <w:tcPr>
            <w:tcW w:w="976" w:type="dxa"/>
            <w:noWrap/>
            <w:hideMark/>
          </w:tcPr>
          <w:p w14:paraId="029356F3"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24,598</w:t>
            </w:r>
          </w:p>
        </w:tc>
      </w:tr>
      <w:tr w:rsidR="00515486" w:rsidRPr="00E16FEE" w14:paraId="1D75F6A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hideMark/>
          </w:tcPr>
          <w:p w14:paraId="3AFD7DFD" w14:textId="77777777" w:rsidR="00515486" w:rsidRPr="00951448" w:rsidRDefault="00515486" w:rsidP="004D5D22">
            <w:pPr>
              <w:pStyle w:val="TableText"/>
              <w:rPr>
                <w:color w:val="auto"/>
              </w:rPr>
            </w:pPr>
            <w:r w:rsidRPr="00951448">
              <w:rPr>
                <w:color w:val="auto"/>
              </w:rPr>
              <w:t>North Lincolnshire</w:t>
            </w:r>
          </w:p>
        </w:tc>
        <w:tc>
          <w:tcPr>
            <w:tcW w:w="976" w:type="dxa"/>
            <w:noWrap/>
            <w:hideMark/>
          </w:tcPr>
          <w:p w14:paraId="29D727F5"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27,351</w:t>
            </w:r>
          </w:p>
        </w:tc>
        <w:tc>
          <w:tcPr>
            <w:tcW w:w="976" w:type="dxa"/>
            <w:noWrap/>
            <w:hideMark/>
          </w:tcPr>
          <w:p w14:paraId="3E249BB3"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31,788</w:t>
            </w:r>
          </w:p>
        </w:tc>
      </w:tr>
      <w:tr w:rsidR="00515486" w:rsidRPr="00E16FEE" w14:paraId="10C25D1D"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hideMark/>
          </w:tcPr>
          <w:p w14:paraId="51830E5F" w14:textId="77777777" w:rsidR="00515486" w:rsidRPr="00951448" w:rsidRDefault="00515486" w:rsidP="004D5D22">
            <w:pPr>
              <w:pStyle w:val="TableText"/>
              <w:rPr>
                <w:color w:val="auto"/>
              </w:rPr>
            </w:pPr>
            <w:r w:rsidRPr="00951448">
              <w:rPr>
                <w:color w:val="auto"/>
              </w:rPr>
              <w:t>England</w:t>
            </w:r>
          </w:p>
        </w:tc>
        <w:tc>
          <w:tcPr>
            <w:tcW w:w="976" w:type="dxa"/>
            <w:noWrap/>
            <w:hideMark/>
          </w:tcPr>
          <w:p w14:paraId="2BCB3FD5"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27,375</w:t>
            </w:r>
          </w:p>
        </w:tc>
        <w:tc>
          <w:tcPr>
            <w:tcW w:w="976" w:type="dxa"/>
            <w:noWrap/>
            <w:hideMark/>
          </w:tcPr>
          <w:p w14:paraId="2F5CA8BE" w14:textId="77777777" w:rsidR="00515486" w:rsidRPr="00951448"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r w:rsidRPr="00951448">
              <w:rPr>
                <w:color w:val="auto"/>
              </w:rPr>
              <w:t>33,975</w:t>
            </w:r>
          </w:p>
        </w:tc>
      </w:tr>
    </w:tbl>
    <w:p w14:paraId="0B7ADE15" w14:textId="77777777" w:rsidR="00515486" w:rsidRDefault="00515486" w:rsidP="00515486">
      <w:pPr>
        <w:pStyle w:val="TableSource"/>
      </w:pPr>
      <w:r>
        <w:t>Source: Annual Survey of Hours and Earnings 2013</w:t>
      </w:r>
    </w:p>
    <w:p w14:paraId="03A6761E" w14:textId="77777777" w:rsidR="00515486" w:rsidRPr="00B27707" w:rsidRDefault="00515486" w:rsidP="00515486">
      <w:pPr>
        <w:jc w:val="both"/>
      </w:pPr>
      <w:r>
        <w:t xml:space="preserve">Historical trends in the median annual gross earnings of residents are presented in </w:t>
      </w:r>
      <w:r w:rsidR="00F70FD0">
        <w:fldChar w:fldCharType="begin"/>
      </w:r>
      <w:r>
        <w:instrText xml:space="preserve"> REF _Ref393723269 \h </w:instrText>
      </w:r>
      <w:r w:rsidR="00F70FD0">
        <w:fldChar w:fldCharType="separate"/>
      </w:r>
      <w:r>
        <w:t xml:space="preserve">Figure </w:t>
      </w:r>
      <w:r>
        <w:rPr>
          <w:noProof/>
        </w:rPr>
        <w:t>4</w:t>
      </w:r>
      <w:r>
        <w:t>-</w:t>
      </w:r>
      <w:r>
        <w:rPr>
          <w:noProof/>
        </w:rPr>
        <w:t>6</w:t>
      </w:r>
      <w:r w:rsidR="00F70FD0">
        <w:fldChar w:fldCharType="end"/>
      </w:r>
      <w:r>
        <w:t>. This demonstrates that, other than occasional volatility, North East Lincolnshire has experienced a similar growth in earnings</w:t>
      </w:r>
      <w:r w:rsidR="00D70913">
        <w:t xml:space="preserve"> compared</w:t>
      </w:r>
      <w:r>
        <w:t xml:space="preserve"> to other areas and the national average. However, this has resulted in </w:t>
      </w:r>
      <w:r w:rsidR="00D70913">
        <w:t>a persistent</w:t>
      </w:r>
      <w:r>
        <w:t xml:space="preserve"> gap between</w:t>
      </w:r>
      <w:r w:rsidR="00D70913">
        <w:t xml:space="preserve"> local and national average earnings</w:t>
      </w:r>
      <w:r>
        <w:t xml:space="preserve">. </w:t>
      </w:r>
    </w:p>
    <w:p w14:paraId="240E1000" w14:textId="77777777" w:rsidR="00515486" w:rsidRDefault="00515486" w:rsidP="00515486">
      <w:pPr>
        <w:pStyle w:val="Caption"/>
      </w:pPr>
      <w:bookmarkStart w:id="57" w:name="_Ref393723269"/>
      <w:r>
        <w:t xml:space="preserve">Figure </w:t>
      </w:r>
      <w:fldSimple w:instr=" STYLEREF 1 \s  \* MERGEFORMAT ">
        <w:r>
          <w:rPr>
            <w:noProof/>
          </w:rPr>
          <w:t>4</w:t>
        </w:r>
      </w:fldSimple>
      <w:r>
        <w:t>-</w:t>
      </w:r>
      <w:fldSimple w:instr=" SEQ Figure \* ARABIC \s 1  \* MERGEFORMAT ">
        <w:r>
          <w:rPr>
            <w:noProof/>
          </w:rPr>
          <w:t>6</w:t>
        </w:r>
      </w:fldSimple>
      <w:bookmarkEnd w:id="57"/>
      <w:r>
        <w:tab/>
        <w:t xml:space="preserve">Median annual gross earnings of residents (2002-2013) </w:t>
      </w:r>
      <w:r w:rsidRPr="00E16FEE">
        <w:rPr>
          <w:noProof/>
          <w:lang w:eastAsia="en-GB"/>
        </w:rPr>
        <w:drawing>
          <wp:inline distT="0" distB="0" distL="0" distR="0" wp14:anchorId="57EF4EFC" wp14:editId="12B608E5">
            <wp:extent cx="6156119" cy="3443844"/>
            <wp:effectExtent l="0" t="0" r="0"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27707">
        <w:rPr>
          <w:b w:val="0"/>
          <w:bCs w:val="0"/>
          <w:sz w:val="16"/>
          <w:szCs w:val="22"/>
        </w:rPr>
        <w:t>Source: Annual Survey of Hours and Earnings 2013</w:t>
      </w:r>
      <w:r>
        <w:t xml:space="preserve"> </w:t>
      </w:r>
    </w:p>
    <w:p w14:paraId="4A88A531" w14:textId="77777777" w:rsidR="00515486" w:rsidRPr="00BE241B" w:rsidRDefault="00AA08C5" w:rsidP="00515486">
      <w:pPr>
        <w:jc w:val="both"/>
      </w:pPr>
      <w:r>
        <w:fldChar w:fldCharType="begin"/>
      </w:r>
      <w:r>
        <w:instrText xml:space="preserve"> REF _Ref393787637 \h  \* MERGEFORMAT </w:instrText>
      </w:r>
      <w:r>
        <w:fldChar w:fldCharType="separate"/>
      </w:r>
      <w:r w:rsidR="00515486">
        <w:t xml:space="preserve">Table </w:t>
      </w:r>
      <w:r w:rsidR="00515486">
        <w:rPr>
          <w:noProof/>
        </w:rPr>
        <w:t>4-9</w:t>
      </w:r>
      <w:r>
        <w:fldChar w:fldCharType="end"/>
      </w:r>
      <w:r w:rsidR="00515486">
        <w:t xml:space="preserve"> presents the median and mean figures for those who work in North East Lincolnshire. As might be expected given the significant retention of the workforce withi</w:t>
      </w:r>
      <w:r w:rsidR="00D70913">
        <w:t>n the area, as demonstrated in s</w:t>
      </w:r>
      <w:r w:rsidR="00515486">
        <w:t xml:space="preserve">ection 3, median earnings are similar. A higher level of mean earnings reflects some higher-paid workers commuting into the area from elsewhere (e.g. North Lincolnshire - see section </w:t>
      </w:r>
      <w:r w:rsidR="00F70FD0">
        <w:fldChar w:fldCharType="begin"/>
      </w:r>
      <w:r w:rsidR="00515486">
        <w:instrText xml:space="preserve"> REF _Ref393876619 \r \h </w:instrText>
      </w:r>
      <w:r w:rsidR="00F70FD0">
        <w:fldChar w:fldCharType="separate"/>
      </w:r>
      <w:r w:rsidR="00515486">
        <w:t>3.2</w:t>
      </w:r>
      <w:r w:rsidR="00F70FD0">
        <w:fldChar w:fldCharType="end"/>
      </w:r>
      <w:r w:rsidR="00515486">
        <w:t xml:space="preserve"> for Travel to Work data).</w:t>
      </w:r>
    </w:p>
    <w:p w14:paraId="773636CB" w14:textId="77777777" w:rsidR="00515486" w:rsidRDefault="00515486" w:rsidP="00515486">
      <w:pPr>
        <w:pStyle w:val="Caption"/>
      </w:pPr>
      <w:bookmarkStart w:id="58" w:name="_Ref393787637"/>
      <w:r>
        <w:t xml:space="preserve">Table </w:t>
      </w:r>
      <w:fldSimple w:instr=" STYLEREF 1 \s  \* MERGEFORMAT ">
        <w:r>
          <w:rPr>
            <w:noProof/>
          </w:rPr>
          <w:t>4</w:t>
        </w:r>
      </w:fldSimple>
      <w:r>
        <w:t>-</w:t>
      </w:r>
      <w:fldSimple w:instr=" SEQ Table \* ARABIC \s 1  \* MERGEFORMAT ">
        <w:r>
          <w:rPr>
            <w:noProof/>
          </w:rPr>
          <w:t>9</w:t>
        </w:r>
      </w:fldSimple>
      <w:bookmarkEnd w:id="58"/>
      <w:r>
        <w:tab/>
        <w:t xml:space="preserve">Annual gross workplace earnings (2013) </w:t>
      </w:r>
    </w:p>
    <w:tbl>
      <w:tblPr>
        <w:tblStyle w:val="Atkins14pt"/>
        <w:tblW w:w="5212" w:type="dxa"/>
        <w:tblLook w:val="04A0" w:firstRow="1" w:lastRow="0" w:firstColumn="1" w:lastColumn="0" w:noHBand="0" w:noVBand="1"/>
      </w:tblPr>
      <w:tblGrid>
        <w:gridCol w:w="3260"/>
        <w:gridCol w:w="976"/>
        <w:gridCol w:w="976"/>
      </w:tblGrid>
      <w:tr w:rsidR="00515486" w:rsidRPr="00BE241B" w14:paraId="27422A9D" w14:textId="77777777" w:rsidTr="004D5D2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3260" w:type="dxa"/>
            <w:noWrap/>
            <w:hideMark/>
          </w:tcPr>
          <w:p w14:paraId="75E0FC75" w14:textId="77777777" w:rsidR="00515486" w:rsidRPr="00BE241B" w:rsidRDefault="00515486" w:rsidP="004D5D22">
            <w:pPr>
              <w:spacing w:after="0"/>
              <w:rPr>
                <w:rFonts w:eastAsia="Times New Roman"/>
                <w:color w:val="auto"/>
              </w:rPr>
            </w:pPr>
            <w:r>
              <w:rPr>
                <w:rFonts w:eastAsia="Times New Roman"/>
                <w:color w:val="auto"/>
              </w:rPr>
              <w:t>Area</w:t>
            </w:r>
          </w:p>
        </w:tc>
        <w:tc>
          <w:tcPr>
            <w:tcW w:w="976" w:type="dxa"/>
          </w:tcPr>
          <w:p w14:paraId="5342184D" w14:textId="77777777" w:rsidR="00515486" w:rsidRPr="00BE241B"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BE241B">
              <w:rPr>
                <w:rFonts w:eastAsia="Times New Roman"/>
                <w:color w:val="auto"/>
              </w:rPr>
              <w:t>Median</w:t>
            </w:r>
          </w:p>
        </w:tc>
        <w:tc>
          <w:tcPr>
            <w:tcW w:w="976" w:type="dxa"/>
            <w:noWrap/>
            <w:hideMark/>
          </w:tcPr>
          <w:p w14:paraId="29AB2F4B" w14:textId="77777777" w:rsidR="00515486" w:rsidRPr="00BE241B"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BE241B">
              <w:rPr>
                <w:rFonts w:eastAsia="Times New Roman"/>
                <w:color w:val="auto"/>
              </w:rPr>
              <w:t>Mean</w:t>
            </w:r>
          </w:p>
        </w:tc>
      </w:tr>
      <w:tr w:rsidR="00515486" w:rsidRPr="00BE241B" w14:paraId="586D683E"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noWrap/>
            <w:hideMark/>
          </w:tcPr>
          <w:p w14:paraId="30697EC3" w14:textId="77777777" w:rsidR="00515486" w:rsidRPr="00BE241B" w:rsidRDefault="00515486" w:rsidP="004D5D22">
            <w:pPr>
              <w:spacing w:after="0"/>
              <w:rPr>
                <w:rFonts w:eastAsia="Times New Roman"/>
                <w:color w:val="auto"/>
              </w:rPr>
            </w:pPr>
            <w:r w:rsidRPr="00BE241B">
              <w:rPr>
                <w:rFonts w:eastAsia="Times New Roman"/>
                <w:color w:val="auto"/>
              </w:rPr>
              <w:t>North East Lincolnshire</w:t>
            </w:r>
          </w:p>
        </w:tc>
        <w:tc>
          <w:tcPr>
            <w:tcW w:w="976" w:type="dxa"/>
          </w:tcPr>
          <w:p w14:paraId="5A30BB61"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24,301</w:t>
            </w:r>
          </w:p>
        </w:tc>
        <w:tc>
          <w:tcPr>
            <w:tcW w:w="976" w:type="dxa"/>
            <w:noWrap/>
            <w:hideMark/>
          </w:tcPr>
          <w:p w14:paraId="1A916F74"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29,043</w:t>
            </w:r>
          </w:p>
        </w:tc>
      </w:tr>
      <w:tr w:rsidR="00515486" w:rsidRPr="00BE241B" w14:paraId="685A14D8"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noWrap/>
            <w:hideMark/>
          </w:tcPr>
          <w:p w14:paraId="7844E7B7" w14:textId="77777777" w:rsidR="00515486" w:rsidRPr="00BE241B" w:rsidRDefault="00515486" w:rsidP="004D5D22">
            <w:pPr>
              <w:spacing w:after="0"/>
              <w:rPr>
                <w:rFonts w:eastAsia="Times New Roman"/>
                <w:color w:val="auto"/>
              </w:rPr>
            </w:pPr>
            <w:r w:rsidRPr="00BE241B">
              <w:rPr>
                <w:rFonts w:eastAsia="Times New Roman"/>
                <w:color w:val="auto"/>
              </w:rPr>
              <w:t>North Lincolnshire</w:t>
            </w:r>
          </w:p>
        </w:tc>
        <w:tc>
          <w:tcPr>
            <w:tcW w:w="976" w:type="dxa"/>
          </w:tcPr>
          <w:p w14:paraId="067A457B"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27,493</w:t>
            </w:r>
          </w:p>
        </w:tc>
        <w:tc>
          <w:tcPr>
            <w:tcW w:w="976" w:type="dxa"/>
            <w:noWrap/>
            <w:hideMark/>
          </w:tcPr>
          <w:p w14:paraId="1BC825AD"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30,716</w:t>
            </w:r>
          </w:p>
        </w:tc>
      </w:tr>
      <w:tr w:rsidR="00515486" w:rsidRPr="00BE241B" w14:paraId="623C62CD"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noWrap/>
            <w:hideMark/>
          </w:tcPr>
          <w:p w14:paraId="62DE88BE" w14:textId="77777777" w:rsidR="00515486" w:rsidRPr="00BE241B" w:rsidRDefault="00515486" w:rsidP="004D5D22">
            <w:pPr>
              <w:spacing w:after="0"/>
              <w:rPr>
                <w:rFonts w:eastAsia="Times New Roman"/>
                <w:color w:val="auto"/>
              </w:rPr>
            </w:pPr>
            <w:r w:rsidRPr="00BE241B">
              <w:rPr>
                <w:rFonts w:eastAsia="Times New Roman"/>
                <w:color w:val="auto"/>
              </w:rPr>
              <w:t>East Riding of Yorkshire</w:t>
            </w:r>
          </w:p>
        </w:tc>
        <w:tc>
          <w:tcPr>
            <w:tcW w:w="976" w:type="dxa"/>
          </w:tcPr>
          <w:p w14:paraId="0E30DEE8"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24,752</w:t>
            </w:r>
          </w:p>
        </w:tc>
        <w:tc>
          <w:tcPr>
            <w:tcW w:w="976" w:type="dxa"/>
            <w:noWrap/>
            <w:hideMark/>
          </w:tcPr>
          <w:p w14:paraId="03E423C1"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28,559</w:t>
            </w:r>
          </w:p>
        </w:tc>
      </w:tr>
      <w:tr w:rsidR="00515486" w:rsidRPr="00BE241B" w14:paraId="1936E22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noWrap/>
            <w:hideMark/>
          </w:tcPr>
          <w:p w14:paraId="41A73B73" w14:textId="77777777" w:rsidR="00515486" w:rsidRPr="00BE241B" w:rsidRDefault="00515486" w:rsidP="004D5D22">
            <w:pPr>
              <w:spacing w:after="0"/>
              <w:rPr>
                <w:rFonts w:eastAsia="Times New Roman"/>
                <w:color w:val="auto"/>
              </w:rPr>
            </w:pPr>
            <w:r w:rsidRPr="00BE241B">
              <w:rPr>
                <w:rFonts w:eastAsia="Times New Roman"/>
                <w:color w:val="auto"/>
              </w:rPr>
              <w:t>Kingston upon Hull, City of</w:t>
            </w:r>
          </w:p>
        </w:tc>
        <w:tc>
          <w:tcPr>
            <w:tcW w:w="976" w:type="dxa"/>
          </w:tcPr>
          <w:p w14:paraId="47A0709C"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23,650</w:t>
            </w:r>
          </w:p>
        </w:tc>
        <w:tc>
          <w:tcPr>
            <w:tcW w:w="976" w:type="dxa"/>
            <w:noWrap/>
            <w:hideMark/>
          </w:tcPr>
          <w:p w14:paraId="710CF599"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27,522</w:t>
            </w:r>
          </w:p>
        </w:tc>
      </w:tr>
      <w:tr w:rsidR="00515486" w:rsidRPr="00BE241B" w14:paraId="0C4A92EB"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3260" w:type="dxa"/>
            <w:noWrap/>
            <w:hideMark/>
          </w:tcPr>
          <w:p w14:paraId="698D9CB2" w14:textId="77777777" w:rsidR="00515486" w:rsidRPr="00BE241B" w:rsidRDefault="00515486" w:rsidP="004D5D22">
            <w:pPr>
              <w:spacing w:after="0"/>
              <w:rPr>
                <w:rFonts w:eastAsia="Times New Roman"/>
                <w:color w:val="auto"/>
              </w:rPr>
            </w:pPr>
            <w:r w:rsidRPr="00BE241B">
              <w:rPr>
                <w:rFonts w:eastAsia="Times New Roman"/>
                <w:color w:val="auto"/>
              </w:rPr>
              <w:t>England</w:t>
            </w:r>
          </w:p>
        </w:tc>
        <w:tc>
          <w:tcPr>
            <w:tcW w:w="976" w:type="dxa"/>
          </w:tcPr>
          <w:p w14:paraId="78C145E8"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27,376</w:t>
            </w:r>
          </w:p>
        </w:tc>
        <w:tc>
          <w:tcPr>
            <w:tcW w:w="976" w:type="dxa"/>
            <w:noWrap/>
            <w:hideMark/>
          </w:tcPr>
          <w:p w14:paraId="29A3CF0B" w14:textId="77777777" w:rsidR="00515486" w:rsidRPr="00BE241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r w:rsidRPr="00BE241B">
              <w:rPr>
                <w:rFonts w:eastAsia="Times New Roman"/>
                <w:color w:val="auto"/>
              </w:rPr>
              <w:t>33,975</w:t>
            </w:r>
          </w:p>
        </w:tc>
      </w:tr>
    </w:tbl>
    <w:p w14:paraId="23F30482" w14:textId="77777777" w:rsidR="00515486" w:rsidRDefault="00515486" w:rsidP="00515486">
      <w:pPr>
        <w:pStyle w:val="TableSource"/>
      </w:pPr>
      <w:r>
        <w:t xml:space="preserve">Source: Annual Survey of Hours and Earnings 2013 </w:t>
      </w:r>
    </w:p>
    <w:p w14:paraId="3D00BF7A" w14:textId="77777777" w:rsidR="00515486" w:rsidRPr="00BA0CD7" w:rsidRDefault="00F70FD0" w:rsidP="00515486">
      <w:r>
        <w:rPr>
          <w:noProof/>
          <w:lang w:eastAsia="en-GB"/>
        </w:rPr>
        <w:fldChar w:fldCharType="begin"/>
      </w:r>
      <w:r w:rsidR="00515486">
        <w:instrText xml:space="preserve"> REF _Ref393787964 \h </w:instrText>
      </w:r>
      <w:r>
        <w:rPr>
          <w:noProof/>
          <w:lang w:eastAsia="en-GB"/>
        </w:rPr>
      </w:r>
      <w:r>
        <w:rPr>
          <w:noProof/>
          <w:lang w:eastAsia="en-GB"/>
        </w:rPr>
        <w:fldChar w:fldCharType="separate"/>
      </w:r>
      <w:r w:rsidR="00515486">
        <w:rPr>
          <w:noProof/>
          <w:lang w:eastAsia="en-GB"/>
        </w:rPr>
        <w:t>Figure 4-7</w:t>
      </w:r>
      <w:r>
        <w:rPr>
          <w:noProof/>
          <w:lang w:eastAsia="en-GB"/>
        </w:rPr>
        <w:fldChar w:fldCharType="end"/>
      </w:r>
      <w:r w:rsidR="00515486">
        <w:t xml:space="preserve"> </w:t>
      </w:r>
      <w:r w:rsidR="00D70913">
        <w:t>depicts</w:t>
      </w:r>
      <w:r w:rsidR="00515486">
        <w:t xml:space="preserve"> median workplace earnings since 2002. A similar pattern to the median resident earnings is observable, in that North East Lincolnshire has experienced broadly similar rates of growth to the national average, but as such the disparity between the two has </w:t>
      </w:r>
      <w:r w:rsidR="00D70913">
        <w:t>remained</w:t>
      </w:r>
      <w:r w:rsidR="00515486">
        <w:t xml:space="preserve">. </w:t>
      </w:r>
    </w:p>
    <w:p w14:paraId="60BE7366" w14:textId="77777777" w:rsidR="00515486" w:rsidRDefault="00515486" w:rsidP="00515486">
      <w:pPr>
        <w:pStyle w:val="Caption"/>
      </w:pPr>
      <w:bookmarkStart w:id="59" w:name="_Ref393787964"/>
      <w:r>
        <w:rPr>
          <w:noProof/>
          <w:lang w:eastAsia="en-GB"/>
        </w:rPr>
        <w:t xml:space="preserve">Figure </w:t>
      </w:r>
      <w:fldSimple w:instr=" STYLEREF 1 \s  \* MERGEFORMAT ">
        <w:r>
          <w:rPr>
            <w:noProof/>
            <w:lang w:eastAsia="en-GB"/>
          </w:rPr>
          <w:t>4</w:t>
        </w:r>
      </w:fldSimple>
      <w:r>
        <w:rPr>
          <w:noProof/>
          <w:lang w:eastAsia="en-GB"/>
        </w:rPr>
        <w:t>-</w:t>
      </w:r>
      <w:fldSimple w:instr=" SEQ Figure \* ARABIC \s 1  \* MERGEFORMAT ">
        <w:r>
          <w:rPr>
            <w:noProof/>
            <w:lang w:eastAsia="en-GB"/>
          </w:rPr>
          <w:t>7</w:t>
        </w:r>
      </w:fldSimple>
      <w:bookmarkEnd w:id="59"/>
      <w:r>
        <w:rPr>
          <w:noProof/>
          <w:lang w:eastAsia="en-GB"/>
        </w:rPr>
        <w:tab/>
        <w:t>Median annual gross workplace earnings (2002-2013)</w:t>
      </w:r>
      <w:r w:rsidRPr="00BE241B">
        <w:rPr>
          <w:noProof/>
          <w:lang w:eastAsia="en-GB"/>
        </w:rPr>
        <w:drawing>
          <wp:inline distT="0" distB="0" distL="0" distR="0" wp14:anchorId="6C7FE985" wp14:editId="022E733B">
            <wp:extent cx="6156000" cy="3441304"/>
            <wp:effectExtent l="0" t="0" r="0" b="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5E0638" w14:textId="77777777" w:rsidR="00515486" w:rsidRPr="00BE241B" w:rsidRDefault="00515486" w:rsidP="00515486">
      <w:pPr>
        <w:pStyle w:val="TableSource"/>
      </w:pPr>
      <w:r>
        <w:t xml:space="preserve">Source: Annual Survey of Hours and Earnings 2013 </w:t>
      </w:r>
    </w:p>
    <w:p w14:paraId="032156FB" w14:textId="77777777" w:rsidR="00515486" w:rsidRDefault="00515486" w:rsidP="00515486">
      <w:pPr>
        <w:spacing w:after="200" w:line="276" w:lineRule="auto"/>
        <w:rPr>
          <w:rFonts w:eastAsiaTheme="majorEastAsia" w:cstheme="majorBidi"/>
          <w:b/>
          <w:bCs/>
          <w:color w:val="156570" w:themeColor="background2"/>
          <w:sz w:val="30"/>
          <w:szCs w:val="26"/>
        </w:rPr>
      </w:pPr>
    </w:p>
    <w:p w14:paraId="31129D59" w14:textId="77777777" w:rsidR="00515486" w:rsidRDefault="00515486" w:rsidP="00515486">
      <w:pPr>
        <w:spacing w:after="200" w:line="276" w:lineRule="auto"/>
        <w:rPr>
          <w:rFonts w:eastAsiaTheme="majorEastAsia" w:cs="Times New Roman"/>
          <w:b/>
          <w:bCs/>
          <w:color w:val="394A58" w:themeColor="accent2"/>
          <w:sz w:val="48"/>
          <w:szCs w:val="28"/>
        </w:rPr>
      </w:pPr>
      <w:r>
        <w:rPr>
          <w:rFonts w:eastAsiaTheme="majorEastAsia"/>
        </w:rPr>
        <w:br w:type="page"/>
      </w:r>
    </w:p>
    <w:p w14:paraId="322B21B9" w14:textId="77777777" w:rsidR="00515486" w:rsidRDefault="00F832A6" w:rsidP="00515486">
      <w:pPr>
        <w:pStyle w:val="Heading1"/>
        <w:numPr>
          <w:ilvl w:val="0"/>
          <w:numId w:val="4"/>
        </w:numPr>
      </w:pPr>
      <w:bookmarkStart w:id="60" w:name="_Toc394327696"/>
      <w:r>
        <w:t xml:space="preserve">Economic Output &amp; </w:t>
      </w:r>
      <w:r w:rsidR="00515486">
        <w:t>Productivity</w:t>
      </w:r>
      <w:bookmarkEnd w:id="60"/>
    </w:p>
    <w:p w14:paraId="3BB97E24" w14:textId="77777777" w:rsidR="00515486" w:rsidRDefault="00515486" w:rsidP="00515486">
      <w:pPr>
        <w:jc w:val="both"/>
      </w:pPr>
      <w:r>
        <w:t xml:space="preserve">Gross value added (GVA) is equal to the value of the economic output of an individual, producer, sector or area, minus the value of intermediate consumption. It therefore represents that unit’s contribution to gross domestic product (GDP), before considering taxes and subsidies. </w:t>
      </w:r>
    </w:p>
    <w:p w14:paraId="5628ECF0" w14:textId="77777777" w:rsidR="00515486" w:rsidRPr="005252D3" w:rsidRDefault="00F70FD0" w:rsidP="00515486">
      <w:pPr>
        <w:jc w:val="both"/>
      </w:pPr>
      <w:r>
        <w:rPr>
          <w:noProof/>
          <w:lang w:eastAsia="en-GB"/>
        </w:rPr>
        <w:fldChar w:fldCharType="begin"/>
      </w:r>
      <w:r w:rsidR="00515486">
        <w:instrText xml:space="preserve"> REF _Ref393699631 \h </w:instrText>
      </w:r>
      <w:r>
        <w:rPr>
          <w:noProof/>
          <w:lang w:eastAsia="en-GB"/>
        </w:rPr>
      </w:r>
      <w:r>
        <w:rPr>
          <w:noProof/>
          <w:lang w:eastAsia="en-GB"/>
        </w:rPr>
        <w:fldChar w:fldCharType="separate"/>
      </w:r>
      <w:r w:rsidR="00515486">
        <w:rPr>
          <w:noProof/>
          <w:lang w:eastAsia="en-GB"/>
        </w:rPr>
        <w:t>Figure 5-1</w:t>
      </w:r>
      <w:r>
        <w:rPr>
          <w:noProof/>
          <w:lang w:eastAsia="en-GB"/>
        </w:rPr>
        <w:fldChar w:fldCharType="end"/>
      </w:r>
      <w:r w:rsidR="00515486">
        <w:rPr>
          <w:noProof/>
          <w:lang w:eastAsia="en-GB"/>
        </w:rPr>
        <w:t xml:space="preserve"> </w:t>
      </w:r>
      <w:r w:rsidR="00515486">
        <w:t xml:space="preserve">compares trend GVA for North &amp; North East Lincolnshire, the most disaggregated </w:t>
      </w:r>
      <w:r w:rsidR="00D70913">
        <w:t xml:space="preserve">spatial </w:t>
      </w:r>
      <w:r w:rsidR="00515486">
        <w:t xml:space="preserve">area </w:t>
      </w:r>
      <w:r w:rsidR="00D70913">
        <w:t>for which GVA data is available. Alt</w:t>
      </w:r>
      <w:r w:rsidR="00515486">
        <w:t xml:space="preserve">hough all areas follow similar trends, North &amp; North East Lincolnshire as a total area consistently generates greater GVA than the other areas. </w:t>
      </w:r>
      <w:r w:rsidR="00D70913">
        <w:t xml:space="preserve">This trend partly reflects population size but also the more dominant scale of North East Lincolnshire’s economic base </w:t>
      </w:r>
      <w:r w:rsidR="00515486">
        <w:t xml:space="preserve">. Data on GVA per head is presented in </w:t>
      </w:r>
      <w:r>
        <w:fldChar w:fldCharType="begin"/>
      </w:r>
      <w:r w:rsidR="00515486">
        <w:instrText xml:space="preserve"> REF _Ref393700237 \h </w:instrText>
      </w:r>
      <w:r>
        <w:fldChar w:fldCharType="separate"/>
      </w:r>
      <w:r w:rsidR="00515486">
        <w:t xml:space="preserve">Figure </w:t>
      </w:r>
      <w:r w:rsidR="00515486">
        <w:rPr>
          <w:noProof/>
        </w:rPr>
        <w:t>5</w:t>
      </w:r>
      <w:r w:rsidR="00515486">
        <w:t>-</w:t>
      </w:r>
      <w:r w:rsidR="00515486">
        <w:rPr>
          <w:noProof/>
        </w:rPr>
        <w:t>2</w:t>
      </w:r>
      <w:r>
        <w:fldChar w:fldCharType="end"/>
      </w:r>
      <w:r w:rsidR="00515486">
        <w:t xml:space="preserve">. </w:t>
      </w:r>
    </w:p>
    <w:p w14:paraId="7B16A66D" w14:textId="77777777" w:rsidR="00515486" w:rsidRDefault="00515486" w:rsidP="00515486">
      <w:pPr>
        <w:pStyle w:val="Caption"/>
      </w:pPr>
      <w:bookmarkStart w:id="61" w:name="_Ref393699631"/>
      <w:r>
        <w:rPr>
          <w:noProof/>
          <w:lang w:eastAsia="en-GB"/>
        </w:rPr>
        <w:t xml:space="preserve">Figure </w:t>
      </w:r>
      <w:fldSimple w:instr=" STYLEREF 1 \s  \* MERGEFORMAT ">
        <w:r>
          <w:rPr>
            <w:noProof/>
            <w:lang w:eastAsia="en-GB"/>
          </w:rPr>
          <w:t>5</w:t>
        </w:r>
      </w:fldSimple>
      <w:r>
        <w:rPr>
          <w:noProof/>
          <w:lang w:eastAsia="en-GB"/>
        </w:rPr>
        <w:t>-</w:t>
      </w:r>
      <w:fldSimple w:instr=" SEQ Figure \* ARABIC \s 1  \* MERGEFORMAT ">
        <w:r>
          <w:rPr>
            <w:noProof/>
            <w:lang w:eastAsia="en-GB"/>
          </w:rPr>
          <w:t>1</w:t>
        </w:r>
      </w:fldSimple>
      <w:bookmarkEnd w:id="61"/>
      <w:r>
        <w:rPr>
          <w:noProof/>
          <w:lang w:eastAsia="en-GB"/>
        </w:rPr>
        <w:tab/>
        <w:t>GVA at current basic prices (1997-2011)</w:t>
      </w:r>
      <w:r>
        <w:rPr>
          <w:noProof/>
          <w:lang w:eastAsia="en-GB"/>
        </w:rPr>
        <w:drawing>
          <wp:inline distT="0" distB="0" distL="0" distR="0" wp14:anchorId="4B073EBA" wp14:editId="6FFE4A6C">
            <wp:extent cx="6092041" cy="3455719"/>
            <wp:effectExtent l="0" t="0" r="0" b="0"/>
            <wp:docPr id="4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FB8B60" w14:textId="77777777" w:rsidR="00515486" w:rsidRDefault="00515486" w:rsidP="00515486">
      <w:pPr>
        <w:pStyle w:val="TableSource"/>
      </w:pPr>
      <w:r>
        <w:t xml:space="preserve">Source: ONS Regional GVA </w:t>
      </w:r>
    </w:p>
    <w:p w14:paraId="031EAB62" w14:textId="77777777" w:rsidR="00515486" w:rsidRDefault="00515486" w:rsidP="00515486">
      <w:pPr>
        <w:pStyle w:val="Caption"/>
      </w:pPr>
      <w:bookmarkStart w:id="62" w:name="_Ref393700237"/>
      <w:r>
        <w:t xml:space="preserve">Figure </w:t>
      </w:r>
      <w:fldSimple w:instr=" STYLEREF 1 \s  \* MERGEFORMAT ">
        <w:r>
          <w:rPr>
            <w:noProof/>
          </w:rPr>
          <w:t>5</w:t>
        </w:r>
      </w:fldSimple>
      <w:r>
        <w:t>-</w:t>
      </w:r>
      <w:fldSimple w:instr=" SEQ Figure \* ARABIC \s 1  \* MERGEFORMAT ">
        <w:r>
          <w:rPr>
            <w:noProof/>
          </w:rPr>
          <w:t>2</w:t>
        </w:r>
      </w:fldSimple>
      <w:bookmarkEnd w:id="62"/>
      <w:r>
        <w:tab/>
        <w:t>Workplace GVA per head at current basic prices (1997-2012)</w:t>
      </w:r>
      <w:r w:rsidRPr="00622DFA">
        <w:rPr>
          <w:noProof/>
          <w:lang w:eastAsia="en-GB"/>
        </w:rPr>
        <w:drawing>
          <wp:inline distT="0" distB="0" distL="0" distR="0" wp14:anchorId="097A14D0" wp14:editId="2B7D218B">
            <wp:extent cx="6132368" cy="3443844"/>
            <wp:effectExtent l="0" t="0" r="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A18958" w14:textId="77777777" w:rsidR="00515486" w:rsidRDefault="00515486" w:rsidP="00515486">
      <w:pPr>
        <w:pStyle w:val="TableSource"/>
        <w:jc w:val="both"/>
      </w:pPr>
      <w:r>
        <w:t xml:space="preserve">Source: ONS Regional GVA 2013. 2012 figures provisional. </w:t>
      </w:r>
    </w:p>
    <w:p w14:paraId="321EDE65" w14:textId="77777777" w:rsidR="00515486" w:rsidRPr="004B0FDE" w:rsidRDefault="00F70FD0" w:rsidP="00515486">
      <w:pPr>
        <w:jc w:val="both"/>
      </w:pPr>
      <w:r>
        <w:fldChar w:fldCharType="begin"/>
      </w:r>
      <w:r w:rsidR="00515486">
        <w:instrText xml:space="preserve"> REF _Ref393700237 \h </w:instrText>
      </w:r>
      <w:r>
        <w:fldChar w:fldCharType="separate"/>
      </w:r>
      <w:r w:rsidR="00515486">
        <w:t xml:space="preserve">Figure </w:t>
      </w:r>
      <w:r w:rsidR="00515486">
        <w:rPr>
          <w:noProof/>
        </w:rPr>
        <w:t>5</w:t>
      </w:r>
      <w:r w:rsidR="00515486">
        <w:t>-</w:t>
      </w:r>
      <w:r w:rsidR="00515486">
        <w:rPr>
          <w:noProof/>
        </w:rPr>
        <w:t>2</w:t>
      </w:r>
      <w:r>
        <w:fldChar w:fldCharType="end"/>
      </w:r>
      <w:r w:rsidR="00515486">
        <w:t xml:space="preserve"> does not significantly alter the conclusions that can be drawn from </w:t>
      </w:r>
      <w:r>
        <w:rPr>
          <w:noProof/>
          <w:lang w:eastAsia="en-GB"/>
        </w:rPr>
        <w:fldChar w:fldCharType="begin"/>
      </w:r>
      <w:r w:rsidR="00515486">
        <w:instrText xml:space="preserve"> REF _Ref393699631 \h </w:instrText>
      </w:r>
      <w:r>
        <w:rPr>
          <w:noProof/>
          <w:lang w:eastAsia="en-GB"/>
        </w:rPr>
      </w:r>
      <w:r>
        <w:rPr>
          <w:noProof/>
          <w:lang w:eastAsia="en-GB"/>
        </w:rPr>
        <w:fldChar w:fldCharType="separate"/>
      </w:r>
      <w:r w:rsidR="00515486">
        <w:rPr>
          <w:noProof/>
          <w:lang w:eastAsia="en-GB"/>
        </w:rPr>
        <w:t>Figure 5-1</w:t>
      </w:r>
      <w:r>
        <w:rPr>
          <w:noProof/>
          <w:lang w:eastAsia="en-GB"/>
        </w:rPr>
        <w:fldChar w:fldCharType="end"/>
      </w:r>
      <w:r w:rsidR="00515486">
        <w:t xml:space="preserve">. North &amp; North East Lincolnshire is a leader in the Humber region in GVA, consistently outperforming the East Riding, and generally more productive per worker than Hull. However, the area and the wider region fall short when compared to the national average.  </w:t>
      </w:r>
    </w:p>
    <w:p w14:paraId="6546A8F9" w14:textId="77777777" w:rsidR="00515486" w:rsidRPr="00AA6AE2" w:rsidRDefault="00515486" w:rsidP="00515486">
      <w:pPr>
        <w:pStyle w:val="Caption"/>
      </w:pPr>
      <w:bookmarkStart w:id="63" w:name="_Ref393700336"/>
      <w:r>
        <w:rPr>
          <w:noProof/>
          <w:lang w:eastAsia="en-GB"/>
        </w:rPr>
        <w:t xml:space="preserve">Figure </w:t>
      </w:r>
      <w:fldSimple w:instr=" STYLEREF 1 \s  \* MERGEFORMAT ">
        <w:r>
          <w:rPr>
            <w:noProof/>
            <w:lang w:eastAsia="en-GB"/>
          </w:rPr>
          <w:t>5</w:t>
        </w:r>
      </w:fldSimple>
      <w:r>
        <w:rPr>
          <w:noProof/>
          <w:lang w:eastAsia="en-GB"/>
        </w:rPr>
        <w:t>-</w:t>
      </w:r>
      <w:fldSimple w:instr=" SEQ Figure \* ARABIC \s 1  \* MERGEFORMAT ">
        <w:r>
          <w:rPr>
            <w:noProof/>
            <w:lang w:eastAsia="en-GB"/>
          </w:rPr>
          <w:t>3</w:t>
        </w:r>
      </w:fldSimple>
      <w:bookmarkEnd w:id="63"/>
      <w:r>
        <w:rPr>
          <w:noProof/>
          <w:lang w:eastAsia="en-GB"/>
        </w:rPr>
        <w:tab/>
        <w:t>Workplace GVA per head indices (1997-2012)</w:t>
      </w:r>
      <w:r>
        <w:rPr>
          <w:noProof/>
          <w:lang w:eastAsia="en-GB"/>
        </w:rPr>
        <w:drawing>
          <wp:inline distT="0" distB="0" distL="0" distR="0" wp14:anchorId="7A7C8AE3" wp14:editId="16E92BEA">
            <wp:extent cx="6032665" cy="3455719"/>
            <wp:effectExtent l="0" t="0" r="0" b="0"/>
            <wp:docPr id="44"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CD41F4" w14:textId="77777777" w:rsidR="00515486" w:rsidRDefault="00515486" w:rsidP="00515486">
      <w:pPr>
        <w:pStyle w:val="TableSource"/>
      </w:pPr>
      <w:r>
        <w:t xml:space="preserve">Source: ONS Regional GVA 2013 </w:t>
      </w:r>
    </w:p>
    <w:p w14:paraId="77682440" w14:textId="77777777" w:rsidR="00515486" w:rsidRDefault="00F70FD0" w:rsidP="00515486">
      <w:pPr>
        <w:jc w:val="both"/>
      </w:pPr>
      <w:r>
        <w:rPr>
          <w:noProof/>
          <w:lang w:eastAsia="en-GB"/>
        </w:rPr>
        <w:fldChar w:fldCharType="begin"/>
      </w:r>
      <w:r w:rsidR="00515486">
        <w:instrText xml:space="preserve"> REF _Ref393700336 \h </w:instrText>
      </w:r>
      <w:r>
        <w:rPr>
          <w:noProof/>
          <w:lang w:eastAsia="en-GB"/>
        </w:rPr>
      </w:r>
      <w:r>
        <w:rPr>
          <w:noProof/>
          <w:lang w:eastAsia="en-GB"/>
        </w:rPr>
        <w:fldChar w:fldCharType="separate"/>
      </w:r>
      <w:r w:rsidR="00515486">
        <w:rPr>
          <w:noProof/>
          <w:lang w:eastAsia="en-GB"/>
        </w:rPr>
        <w:t>Figure 5-3</w:t>
      </w:r>
      <w:r>
        <w:rPr>
          <w:noProof/>
          <w:lang w:eastAsia="en-GB"/>
        </w:rPr>
        <w:fldChar w:fldCharType="end"/>
      </w:r>
      <w:r w:rsidR="00515486">
        <w:rPr>
          <w:noProof/>
          <w:lang w:eastAsia="en-GB"/>
        </w:rPr>
        <w:t xml:space="preserve"> </w:t>
      </w:r>
      <w:r w:rsidR="00515486">
        <w:t xml:space="preserve">examines the disparity between national GVA per head and that of North &amp; North East Lincolnshire in more detail. What is evident is that until 1998 GVA per head in the area was roughly equal to the national level. However, this had fallen to around 85% of the national average by the early 2000s and has not significantly recovered since. Nonetheless, the area has generally outperformed other areas in the Humber region in this regard. </w:t>
      </w:r>
    </w:p>
    <w:p w14:paraId="714399B1" w14:textId="77777777" w:rsidR="00515486" w:rsidRPr="00062B81" w:rsidRDefault="00515486" w:rsidP="00515486">
      <w:pPr>
        <w:pStyle w:val="Caption"/>
      </w:pPr>
      <w:bookmarkStart w:id="64" w:name="_Ref393701366"/>
      <w:r>
        <w:rPr>
          <w:noProof/>
          <w:lang w:eastAsia="en-GB"/>
        </w:rPr>
        <w:t xml:space="preserve">Figure </w:t>
      </w:r>
      <w:fldSimple w:instr=" STYLEREF 1 \s  \* MERGEFORMAT ">
        <w:r>
          <w:rPr>
            <w:noProof/>
            <w:lang w:eastAsia="en-GB"/>
          </w:rPr>
          <w:t>5</w:t>
        </w:r>
      </w:fldSimple>
      <w:r>
        <w:rPr>
          <w:noProof/>
          <w:lang w:eastAsia="en-GB"/>
        </w:rPr>
        <w:t>-</w:t>
      </w:r>
      <w:fldSimple w:instr=" SEQ Figure \* ARABIC \s 1  \* MERGEFORMAT ">
        <w:r>
          <w:rPr>
            <w:noProof/>
            <w:lang w:eastAsia="en-GB"/>
          </w:rPr>
          <w:t>4</w:t>
        </w:r>
      </w:fldSimple>
      <w:bookmarkEnd w:id="64"/>
      <w:r>
        <w:rPr>
          <w:noProof/>
          <w:lang w:eastAsia="en-GB"/>
        </w:rPr>
        <w:tab/>
        <w:t>GVA at current basic prices by sector (1997-2011)</w:t>
      </w:r>
      <w:r>
        <w:rPr>
          <w:noProof/>
          <w:lang w:eastAsia="en-GB"/>
        </w:rPr>
        <w:drawing>
          <wp:inline distT="0" distB="0" distL="0" distR="0" wp14:anchorId="0A4676D2" wp14:editId="4C48FC5A">
            <wp:extent cx="6483927" cy="4619501"/>
            <wp:effectExtent l="0" t="0" r="0" b="0"/>
            <wp:docPr id="4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6C119D" w14:textId="77777777" w:rsidR="00515486" w:rsidRDefault="00515486" w:rsidP="00515486">
      <w:pPr>
        <w:pStyle w:val="TableSource"/>
      </w:pPr>
      <w:r>
        <w:t xml:space="preserve">Source: ONS Regional GVA </w:t>
      </w:r>
    </w:p>
    <w:p w14:paraId="51EC86AE" w14:textId="77777777" w:rsidR="00515486" w:rsidRDefault="00F70FD0" w:rsidP="00515486">
      <w:pPr>
        <w:jc w:val="both"/>
      </w:pPr>
      <w:r>
        <w:rPr>
          <w:noProof/>
          <w:lang w:eastAsia="en-GB"/>
        </w:rPr>
        <w:fldChar w:fldCharType="begin"/>
      </w:r>
      <w:r w:rsidR="00515486">
        <w:instrText xml:space="preserve"> REF _Ref393701366 \h </w:instrText>
      </w:r>
      <w:r>
        <w:rPr>
          <w:noProof/>
          <w:lang w:eastAsia="en-GB"/>
        </w:rPr>
      </w:r>
      <w:r>
        <w:rPr>
          <w:noProof/>
          <w:lang w:eastAsia="en-GB"/>
        </w:rPr>
        <w:fldChar w:fldCharType="separate"/>
      </w:r>
      <w:r w:rsidR="00515486">
        <w:rPr>
          <w:noProof/>
          <w:lang w:eastAsia="en-GB"/>
        </w:rPr>
        <w:t>Figure 5-4</w:t>
      </w:r>
      <w:r>
        <w:rPr>
          <w:noProof/>
          <w:lang w:eastAsia="en-GB"/>
        </w:rPr>
        <w:fldChar w:fldCharType="end"/>
      </w:r>
      <w:r w:rsidR="00515486">
        <w:rPr>
          <w:noProof/>
          <w:lang w:eastAsia="en-GB"/>
        </w:rPr>
        <w:t xml:space="preserve"> </w:t>
      </w:r>
      <w:r w:rsidR="00515486">
        <w:t xml:space="preserve">and </w:t>
      </w:r>
      <w:r>
        <w:rPr>
          <w:noProof/>
          <w:lang w:eastAsia="en-GB"/>
        </w:rPr>
        <w:fldChar w:fldCharType="begin"/>
      </w:r>
      <w:r w:rsidR="00515486">
        <w:instrText xml:space="preserve"> REF _Ref393701449 \h </w:instrText>
      </w:r>
      <w:r>
        <w:rPr>
          <w:noProof/>
          <w:lang w:eastAsia="en-GB"/>
        </w:rPr>
      </w:r>
      <w:r>
        <w:rPr>
          <w:noProof/>
          <w:lang w:eastAsia="en-GB"/>
        </w:rPr>
        <w:fldChar w:fldCharType="separate"/>
      </w:r>
      <w:r w:rsidR="00515486">
        <w:rPr>
          <w:noProof/>
          <w:lang w:eastAsia="en-GB"/>
        </w:rPr>
        <w:t>Figure 5-5</w:t>
      </w:r>
      <w:r>
        <w:rPr>
          <w:noProof/>
          <w:lang w:eastAsia="en-GB"/>
        </w:rPr>
        <w:fldChar w:fldCharType="end"/>
      </w:r>
      <w:r w:rsidR="00515486">
        <w:rPr>
          <w:noProof/>
          <w:lang w:eastAsia="en-GB"/>
        </w:rPr>
        <w:t xml:space="preserve"> </w:t>
      </w:r>
      <w:r w:rsidR="00515486">
        <w:t xml:space="preserve">disaggregate GVA for North &amp; North East Lincolnshire by sector. </w:t>
      </w:r>
      <w:r>
        <w:rPr>
          <w:noProof/>
          <w:lang w:eastAsia="en-GB"/>
        </w:rPr>
        <w:fldChar w:fldCharType="begin"/>
      </w:r>
      <w:r w:rsidR="00515486">
        <w:instrText xml:space="preserve"> REF _Ref393701366 \h </w:instrText>
      </w:r>
      <w:r>
        <w:rPr>
          <w:noProof/>
          <w:lang w:eastAsia="en-GB"/>
        </w:rPr>
      </w:r>
      <w:r>
        <w:rPr>
          <w:noProof/>
          <w:lang w:eastAsia="en-GB"/>
        </w:rPr>
        <w:fldChar w:fldCharType="separate"/>
      </w:r>
      <w:r w:rsidR="00515486">
        <w:rPr>
          <w:noProof/>
          <w:lang w:eastAsia="en-GB"/>
        </w:rPr>
        <w:t>Figure 5-4</w:t>
      </w:r>
      <w:r>
        <w:rPr>
          <w:noProof/>
          <w:lang w:eastAsia="en-GB"/>
        </w:rPr>
        <w:fldChar w:fldCharType="end"/>
      </w:r>
      <w:r w:rsidR="00515486">
        <w:t xml:space="preserve"> demonstrates that several sectors, including production, distribution, transport, accommodation and food and public administration, education and heath have seen significant GVA growth. Other sectors, such as information and communication, financial and insurance activities have not, which is perhaps surprising given the general high productivity and growth of these sectors nationally. </w:t>
      </w:r>
    </w:p>
    <w:p w14:paraId="79F7A875" w14:textId="77777777" w:rsidR="00515486" w:rsidRPr="0056138A" w:rsidRDefault="00F70FD0" w:rsidP="00515486">
      <w:pPr>
        <w:jc w:val="both"/>
      </w:pPr>
      <w:r>
        <w:rPr>
          <w:noProof/>
          <w:lang w:eastAsia="en-GB"/>
        </w:rPr>
        <w:fldChar w:fldCharType="begin"/>
      </w:r>
      <w:r w:rsidR="00515486">
        <w:instrText xml:space="preserve"> REF _Ref393701449 \h </w:instrText>
      </w:r>
      <w:r>
        <w:rPr>
          <w:noProof/>
          <w:lang w:eastAsia="en-GB"/>
        </w:rPr>
      </w:r>
      <w:r>
        <w:rPr>
          <w:noProof/>
          <w:lang w:eastAsia="en-GB"/>
        </w:rPr>
        <w:fldChar w:fldCharType="separate"/>
      </w:r>
      <w:r w:rsidR="00515486">
        <w:rPr>
          <w:noProof/>
          <w:lang w:eastAsia="en-GB"/>
        </w:rPr>
        <w:t>Figure 5-5</w:t>
      </w:r>
      <w:r>
        <w:rPr>
          <w:noProof/>
          <w:lang w:eastAsia="en-GB"/>
        </w:rPr>
        <w:fldChar w:fldCharType="end"/>
      </w:r>
      <w:r w:rsidR="00515486">
        <w:rPr>
          <w:noProof/>
          <w:lang w:eastAsia="en-GB"/>
        </w:rPr>
        <w:t xml:space="preserve"> </w:t>
      </w:r>
      <w:r w:rsidR="00515486">
        <w:t xml:space="preserve">examines the impact of the recession on the North &amp; North East Lincolnshire economy by comparing sectoral GVA in 2007 to 2011. Some sectors have posted GVA gains, such as non-manufacturing production (again, likely reflecting renewable energy). The real estate and public administration sectors have also posted gains, which is perhaps surprising given the reduced employment in these sectors. Manufacturing production experienced a significant reduction in GVA over the period. This category includes food processing, which is a particularly important local </w:t>
      </w:r>
      <w:r w:rsidR="003C2CAE">
        <w:t>sector</w:t>
      </w:r>
      <w:r w:rsidR="00515486">
        <w:t xml:space="preserve">. </w:t>
      </w:r>
    </w:p>
    <w:p w14:paraId="2D069C3F" w14:textId="77777777" w:rsidR="00515486" w:rsidRPr="00B27707" w:rsidRDefault="00515486" w:rsidP="00515486"/>
    <w:p w14:paraId="71A4ED95" w14:textId="77777777" w:rsidR="00515486" w:rsidRPr="00247C94" w:rsidRDefault="00515486" w:rsidP="00515486">
      <w:pPr>
        <w:pStyle w:val="Caption"/>
      </w:pPr>
      <w:bookmarkStart w:id="65" w:name="_Ref393701449"/>
      <w:r>
        <w:rPr>
          <w:noProof/>
          <w:lang w:eastAsia="en-GB"/>
        </w:rPr>
        <w:t xml:space="preserve">Figure </w:t>
      </w:r>
      <w:fldSimple w:instr=" STYLEREF 1 \s  \* MERGEFORMAT ">
        <w:r>
          <w:rPr>
            <w:noProof/>
            <w:lang w:eastAsia="en-GB"/>
          </w:rPr>
          <w:t>5</w:t>
        </w:r>
      </w:fldSimple>
      <w:r>
        <w:rPr>
          <w:noProof/>
          <w:lang w:eastAsia="en-GB"/>
        </w:rPr>
        <w:t>-</w:t>
      </w:r>
      <w:fldSimple w:instr=" SEQ Figure \* ARABIC \s 1  \* MERGEFORMAT ">
        <w:r>
          <w:rPr>
            <w:noProof/>
            <w:lang w:eastAsia="en-GB"/>
          </w:rPr>
          <w:t>5</w:t>
        </w:r>
      </w:fldSimple>
      <w:bookmarkEnd w:id="65"/>
      <w:r>
        <w:rPr>
          <w:noProof/>
          <w:lang w:eastAsia="en-GB"/>
        </w:rPr>
        <w:tab/>
        <w:t>Change in GVA by sector (2007-2011)</w:t>
      </w:r>
      <w:r>
        <w:rPr>
          <w:noProof/>
          <w:lang w:eastAsia="en-GB"/>
        </w:rPr>
        <w:drawing>
          <wp:inline distT="0" distB="0" distL="0" distR="0" wp14:anchorId="2705ED07" wp14:editId="2962E156">
            <wp:extent cx="6115792" cy="4025735"/>
            <wp:effectExtent l="0" t="0" r="0" b="0"/>
            <wp:docPr id="4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3B5F05" w14:textId="77777777" w:rsidR="00515486" w:rsidRDefault="00515486" w:rsidP="00515486">
      <w:pPr>
        <w:pStyle w:val="TableSource"/>
        <w:jc w:val="both"/>
      </w:pPr>
      <w:r>
        <w:t xml:space="preserve">Source: ONS Regional GVA 2013 </w:t>
      </w:r>
    </w:p>
    <w:p w14:paraId="03B92042" w14:textId="77777777" w:rsidR="00515486" w:rsidRDefault="00515486" w:rsidP="00515486">
      <w:pPr>
        <w:pStyle w:val="Heading2"/>
        <w:numPr>
          <w:ilvl w:val="1"/>
          <w:numId w:val="4"/>
        </w:numPr>
      </w:pPr>
      <w:bookmarkStart w:id="66" w:name="_Toc394327697"/>
      <w:r>
        <w:t>Export Performance</w:t>
      </w:r>
      <w:bookmarkEnd w:id="66"/>
    </w:p>
    <w:p w14:paraId="7017247E" w14:textId="77777777" w:rsidR="00515486" w:rsidRDefault="00515486" w:rsidP="00515486">
      <w:pPr>
        <w:jc w:val="both"/>
      </w:pPr>
      <w:r w:rsidRPr="003D270F">
        <w:t>Boosting the UK's export performance is essential for sustained economic growth</w:t>
      </w:r>
      <w:r>
        <w:t xml:space="preserve">. The UK Government are seeking to encourage more exporting by business in the UK. </w:t>
      </w:r>
    </w:p>
    <w:p w14:paraId="42DFEF88" w14:textId="77777777" w:rsidR="00515486" w:rsidRDefault="00515486" w:rsidP="00515486">
      <w:pPr>
        <w:jc w:val="both"/>
      </w:pPr>
      <w:r>
        <w:t>An analysis of the proportion of the employees employed in export intensive industries can provide an understanding in to how the local economy performs in connection to exporting. According to the ONS the biggest exporting sectors (by £) in the UK in 2010</w:t>
      </w:r>
      <w:r>
        <w:rPr>
          <w:rStyle w:val="FootnoteReference"/>
        </w:rPr>
        <w:footnoteReference w:id="2"/>
      </w:r>
      <w:r>
        <w:t xml:space="preserve"> were: </w:t>
      </w:r>
    </w:p>
    <w:p w14:paraId="23F514B1" w14:textId="77777777" w:rsidR="00515486" w:rsidRDefault="00515486" w:rsidP="00515486">
      <w:pPr>
        <w:pStyle w:val="ListParagraph"/>
        <w:numPr>
          <w:ilvl w:val="0"/>
          <w:numId w:val="14"/>
        </w:numPr>
        <w:jc w:val="both"/>
      </w:pPr>
      <w:r>
        <w:t>Chemical manufacturing;</w:t>
      </w:r>
    </w:p>
    <w:p w14:paraId="0C278D71" w14:textId="77777777" w:rsidR="00515486" w:rsidRDefault="00515486" w:rsidP="00515486">
      <w:pPr>
        <w:pStyle w:val="ListParagraph"/>
        <w:numPr>
          <w:ilvl w:val="0"/>
          <w:numId w:val="14"/>
        </w:numPr>
        <w:jc w:val="both"/>
      </w:pPr>
      <w:r>
        <w:t>Financial services, except insurance and pension funding;</w:t>
      </w:r>
    </w:p>
    <w:p w14:paraId="6469D1EF" w14:textId="77777777" w:rsidR="00515486" w:rsidRDefault="00515486" w:rsidP="00515486">
      <w:pPr>
        <w:pStyle w:val="ListParagraph"/>
        <w:numPr>
          <w:ilvl w:val="0"/>
          <w:numId w:val="14"/>
        </w:numPr>
        <w:jc w:val="both"/>
      </w:pPr>
      <w:r>
        <w:t xml:space="preserve">Motor vehicles, trailers and semi-trailers; </w:t>
      </w:r>
    </w:p>
    <w:p w14:paraId="4AA7AC45" w14:textId="77777777" w:rsidR="00515486" w:rsidRDefault="00515486" w:rsidP="00515486">
      <w:pPr>
        <w:pStyle w:val="ListParagraph"/>
        <w:numPr>
          <w:ilvl w:val="0"/>
          <w:numId w:val="14"/>
        </w:numPr>
        <w:jc w:val="both"/>
      </w:pPr>
      <w:r>
        <w:t xml:space="preserve">Computer, electronic and optical products; and,  </w:t>
      </w:r>
    </w:p>
    <w:p w14:paraId="1D88A2DE" w14:textId="77777777" w:rsidR="00515486" w:rsidRDefault="00515486" w:rsidP="00515486">
      <w:pPr>
        <w:pStyle w:val="ListParagraph"/>
        <w:numPr>
          <w:ilvl w:val="0"/>
          <w:numId w:val="14"/>
        </w:numPr>
        <w:jc w:val="both"/>
      </w:pPr>
      <w:r>
        <w:t>Machinery and equipment.</w:t>
      </w:r>
    </w:p>
    <w:p w14:paraId="1DDCE349" w14:textId="77777777" w:rsidR="00515486" w:rsidRDefault="00AA08C5" w:rsidP="00515486">
      <w:pPr>
        <w:jc w:val="both"/>
      </w:pPr>
      <w:r>
        <w:fldChar w:fldCharType="begin"/>
      </w:r>
      <w:r>
        <w:instrText xml:space="preserve"> REF _Ref393872211 \h  \* MERGEFORMAT </w:instrText>
      </w:r>
      <w:r>
        <w:fldChar w:fldCharType="separate"/>
      </w:r>
      <w:r w:rsidR="00515486">
        <w:t xml:space="preserve">Table </w:t>
      </w:r>
      <w:r w:rsidR="00515486">
        <w:rPr>
          <w:noProof/>
        </w:rPr>
        <w:t>5-1</w:t>
      </w:r>
      <w:r>
        <w:fldChar w:fldCharType="end"/>
      </w:r>
      <w:r w:rsidR="00515486">
        <w:t xml:space="preserve"> shows that North East Lincolnshire has a higher proportion of its employment base employed in these sectors (4.2%) compared to the average for England (4%). It is also comparable to Hull’s (4.2%) and over double North Lincolnshire’s (2%) share. This shows the contribution of North East Lincolnshire’s economy to the national trade balance. Furthermore, given the profile of key </w:t>
      </w:r>
      <w:r w:rsidR="003C2CAE">
        <w:t>sectors in the local economy, there is potential for economic benefits to be accrued through the support of export-oriented activity</w:t>
      </w:r>
      <w:r w:rsidR="00515486">
        <w:t>.</w:t>
      </w:r>
    </w:p>
    <w:p w14:paraId="3E0829AF" w14:textId="77777777" w:rsidR="00F832A6" w:rsidRDefault="00F832A6">
      <w:pPr>
        <w:spacing w:after="200" w:line="276" w:lineRule="auto"/>
        <w:rPr>
          <w:b/>
          <w:bCs/>
          <w:szCs w:val="18"/>
        </w:rPr>
      </w:pPr>
      <w:bookmarkStart w:id="67" w:name="_Ref393872211"/>
      <w:r>
        <w:br w:type="page"/>
      </w:r>
    </w:p>
    <w:p w14:paraId="5A33E0F6" w14:textId="77777777" w:rsidR="00515486" w:rsidRDefault="00515486" w:rsidP="00515486">
      <w:pPr>
        <w:pStyle w:val="Caption"/>
      </w:pPr>
      <w:r>
        <w:t xml:space="preserve">Table </w:t>
      </w:r>
      <w:fldSimple w:instr=" STYLEREF 1 \s  \* MERGEFORMAT ">
        <w:r>
          <w:rPr>
            <w:noProof/>
          </w:rPr>
          <w:t>5</w:t>
        </w:r>
      </w:fldSimple>
      <w:r>
        <w:t>-</w:t>
      </w:r>
      <w:fldSimple w:instr=" SEQ Table \* ARABIC \s 1  \* MERGEFORMAT ">
        <w:r>
          <w:rPr>
            <w:noProof/>
          </w:rPr>
          <w:t>1</w:t>
        </w:r>
      </w:fldSimple>
      <w:bookmarkEnd w:id="67"/>
      <w:r>
        <w:tab/>
        <w:t>% Employment in Top 5 Exporting Sectors</w:t>
      </w:r>
    </w:p>
    <w:tbl>
      <w:tblPr>
        <w:tblStyle w:val="Atkins14pt"/>
        <w:tblW w:w="9542" w:type="dxa"/>
        <w:tblLook w:val="04A0" w:firstRow="1" w:lastRow="0" w:firstColumn="1" w:lastColumn="0" w:noHBand="0" w:noVBand="1"/>
      </w:tblPr>
      <w:tblGrid>
        <w:gridCol w:w="4644"/>
        <w:gridCol w:w="1128"/>
        <w:gridCol w:w="877"/>
        <w:gridCol w:w="1128"/>
        <w:gridCol w:w="888"/>
        <w:gridCol w:w="877"/>
      </w:tblGrid>
      <w:tr w:rsidR="00515486" w:rsidRPr="00656309" w14:paraId="32B1D72C" w14:textId="77777777" w:rsidTr="004D5D2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4644" w:type="dxa"/>
            <w:noWrap/>
            <w:hideMark/>
          </w:tcPr>
          <w:p w14:paraId="134A14A9" w14:textId="77777777" w:rsidR="00515486" w:rsidRPr="00656309" w:rsidRDefault="00515486" w:rsidP="004D5D22">
            <w:pPr>
              <w:spacing w:after="0"/>
              <w:rPr>
                <w:rFonts w:eastAsia="Times New Roman"/>
                <w:color w:val="000000"/>
              </w:rPr>
            </w:pPr>
            <w:r w:rsidRPr="00656309">
              <w:rPr>
                <w:rFonts w:eastAsia="Times New Roman"/>
                <w:color w:val="000000"/>
              </w:rPr>
              <w:t>Top 5 UK Exporting sectors</w:t>
            </w:r>
          </w:p>
        </w:tc>
        <w:tc>
          <w:tcPr>
            <w:tcW w:w="1128" w:type="dxa"/>
            <w:noWrap/>
            <w:hideMark/>
          </w:tcPr>
          <w:p w14:paraId="1C076253" w14:textId="77777777" w:rsidR="00515486" w:rsidRPr="00656309"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rPr>
            </w:pPr>
            <w:r w:rsidRPr="00656309">
              <w:rPr>
                <w:rFonts w:eastAsia="Times New Roman"/>
                <w:color w:val="000000"/>
                <w:sz w:val="18"/>
              </w:rPr>
              <w:t>North East Lincolnshire</w:t>
            </w:r>
          </w:p>
        </w:tc>
        <w:tc>
          <w:tcPr>
            <w:tcW w:w="877" w:type="dxa"/>
            <w:noWrap/>
            <w:hideMark/>
          </w:tcPr>
          <w:p w14:paraId="6253D634" w14:textId="77777777" w:rsidR="00515486" w:rsidRPr="00656309"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656309">
              <w:rPr>
                <w:rFonts w:eastAsia="Times New Roman"/>
                <w:bCs/>
                <w:color w:val="auto"/>
                <w:sz w:val="18"/>
              </w:rPr>
              <w:t>Hull</w:t>
            </w:r>
          </w:p>
        </w:tc>
        <w:tc>
          <w:tcPr>
            <w:tcW w:w="1128" w:type="dxa"/>
            <w:noWrap/>
            <w:hideMark/>
          </w:tcPr>
          <w:p w14:paraId="454D70BE" w14:textId="77777777" w:rsidR="00515486" w:rsidRPr="00656309"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656309">
              <w:rPr>
                <w:rFonts w:eastAsia="Times New Roman"/>
                <w:bCs/>
                <w:color w:val="auto"/>
                <w:sz w:val="18"/>
              </w:rPr>
              <w:t>North Lincolnshire</w:t>
            </w:r>
          </w:p>
        </w:tc>
        <w:tc>
          <w:tcPr>
            <w:tcW w:w="888" w:type="dxa"/>
            <w:noWrap/>
            <w:hideMark/>
          </w:tcPr>
          <w:p w14:paraId="46EAF96C" w14:textId="77777777" w:rsidR="00515486" w:rsidRPr="00656309"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656309">
              <w:rPr>
                <w:rFonts w:eastAsia="Times New Roman"/>
                <w:bCs/>
                <w:color w:val="auto"/>
                <w:sz w:val="18"/>
              </w:rPr>
              <w:t>Yorkshire and The Humber</w:t>
            </w:r>
          </w:p>
        </w:tc>
        <w:tc>
          <w:tcPr>
            <w:tcW w:w="877" w:type="dxa"/>
            <w:noWrap/>
            <w:hideMark/>
          </w:tcPr>
          <w:p w14:paraId="3F6F7A41" w14:textId="77777777" w:rsidR="00515486" w:rsidRPr="00656309"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sz w:val="18"/>
              </w:rPr>
            </w:pPr>
            <w:r w:rsidRPr="00656309">
              <w:rPr>
                <w:rFonts w:eastAsia="Times New Roman"/>
                <w:bCs/>
                <w:color w:val="auto"/>
                <w:sz w:val="18"/>
              </w:rPr>
              <w:t>England</w:t>
            </w:r>
          </w:p>
        </w:tc>
      </w:tr>
      <w:tr w:rsidR="00515486" w:rsidRPr="00656309" w14:paraId="3343260E"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B98785E" w14:textId="77777777" w:rsidR="00515486" w:rsidRPr="00656309" w:rsidRDefault="00515486" w:rsidP="004D5D22">
            <w:pPr>
              <w:spacing w:after="0"/>
              <w:rPr>
                <w:rFonts w:eastAsia="Times New Roman"/>
                <w:color w:val="000000"/>
              </w:rPr>
            </w:pPr>
            <w:r w:rsidRPr="00656309">
              <w:rPr>
                <w:rFonts w:eastAsia="Times New Roman"/>
                <w:color w:val="000000"/>
              </w:rPr>
              <w:t xml:space="preserve">Chemical </w:t>
            </w:r>
            <w:r>
              <w:rPr>
                <w:rFonts w:eastAsia="Times New Roman"/>
                <w:color w:val="000000"/>
              </w:rPr>
              <w:t>m</w:t>
            </w:r>
            <w:r w:rsidRPr="00656309">
              <w:rPr>
                <w:rFonts w:eastAsia="Times New Roman"/>
                <w:color w:val="000000"/>
              </w:rPr>
              <w:t>anufacturing</w:t>
            </w:r>
          </w:p>
        </w:tc>
        <w:tc>
          <w:tcPr>
            <w:tcW w:w="1128" w:type="dxa"/>
            <w:noWrap/>
            <w:hideMark/>
          </w:tcPr>
          <w:p w14:paraId="534E8FA1"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2.7%</w:t>
            </w:r>
          </w:p>
        </w:tc>
        <w:tc>
          <w:tcPr>
            <w:tcW w:w="877" w:type="dxa"/>
            <w:noWrap/>
            <w:hideMark/>
          </w:tcPr>
          <w:p w14:paraId="07E8F978"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1.0%</w:t>
            </w:r>
          </w:p>
        </w:tc>
        <w:tc>
          <w:tcPr>
            <w:tcW w:w="1128" w:type="dxa"/>
            <w:noWrap/>
            <w:hideMark/>
          </w:tcPr>
          <w:p w14:paraId="0FB72C3D"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0.5%</w:t>
            </w:r>
          </w:p>
        </w:tc>
        <w:tc>
          <w:tcPr>
            <w:tcW w:w="888" w:type="dxa"/>
            <w:noWrap/>
            <w:hideMark/>
          </w:tcPr>
          <w:p w14:paraId="0128EA1E"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0.6%</w:t>
            </w:r>
          </w:p>
        </w:tc>
        <w:tc>
          <w:tcPr>
            <w:tcW w:w="877" w:type="dxa"/>
            <w:noWrap/>
            <w:hideMark/>
          </w:tcPr>
          <w:p w14:paraId="19AA3F17"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0.4%</w:t>
            </w:r>
          </w:p>
        </w:tc>
      </w:tr>
      <w:tr w:rsidR="00515486" w:rsidRPr="00656309" w14:paraId="2AD6218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217BE1E" w14:textId="77777777" w:rsidR="00515486" w:rsidRPr="00656309" w:rsidRDefault="00515486" w:rsidP="004D5D22">
            <w:pPr>
              <w:spacing w:after="0"/>
              <w:rPr>
                <w:rFonts w:eastAsia="Times New Roman"/>
                <w:color w:val="000000"/>
              </w:rPr>
            </w:pPr>
            <w:r w:rsidRPr="00656309">
              <w:rPr>
                <w:rFonts w:eastAsia="Times New Roman"/>
                <w:color w:val="000000"/>
              </w:rPr>
              <w:t xml:space="preserve">Financial services, except insurance and pension funding         </w:t>
            </w:r>
          </w:p>
        </w:tc>
        <w:tc>
          <w:tcPr>
            <w:tcW w:w="1128" w:type="dxa"/>
            <w:noWrap/>
            <w:hideMark/>
          </w:tcPr>
          <w:p w14:paraId="53E54A9E"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0.8%</w:t>
            </w:r>
          </w:p>
        </w:tc>
        <w:tc>
          <w:tcPr>
            <w:tcW w:w="877" w:type="dxa"/>
            <w:noWrap/>
            <w:hideMark/>
          </w:tcPr>
          <w:p w14:paraId="1E6C7D0F"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0.7%</w:t>
            </w:r>
          </w:p>
        </w:tc>
        <w:tc>
          <w:tcPr>
            <w:tcW w:w="1128" w:type="dxa"/>
            <w:noWrap/>
            <w:hideMark/>
          </w:tcPr>
          <w:p w14:paraId="43066897"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0.8%</w:t>
            </w:r>
          </w:p>
        </w:tc>
        <w:tc>
          <w:tcPr>
            <w:tcW w:w="888" w:type="dxa"/>
            <w:noWrap/>
            <w:hideMark/>
          </w:tcPr>
          <w:p w14:paraId="67E72EE9"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2.1%</w:t>
            </w:r>
          </w:p>
        </w:tc>
        <w:tc>
          <w:tcPr>
            <w:tcW w:w="877" w:type="dxa"/>
            <w:noWrap/>
            <w:hideMark/>
          </w:tcPr>
          <w:p w14:paraId="2AFF9A7B"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1.9%</w:t>
            </w:r>
          </w:p>
        </w:tc>
      </w:tr>
      <w:tr w:rsidR="00515486" w:rsidRPr="00656309" w14:paraId="4ABF8F7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73CFE38B" w14:textId="77777777" w:rsidR="00515486" w:rsidRPr="00656309" w:rsidRDefault="00515486" w:rsidP="004D5D22">
            <w:pPr>
              <w:spacing w:after="0"/>
              <w:rPr>
                <w:rFonts w:eastAsia="Times New Roman"/>
                <w:color w:val="000000"/>
              </w:rPr>
            </w:pPr>
            <w:r w:rsidRPr="00656309">
              <w:rPr>
                <w:rFonts w:eastAsia="Times New Roman"/>
                <w:color w:val="000000"/>
              </w:rPr>
              <w:t xml:space="preserve">Motor vehicles, trailers and semi-trailers           </w:t>
            </w:r>
          </w:p>
        </w:tc>
        <w:tc>
          <w:tcPr>
            <w:tcW w:w="1128" w:type="dxa"/>
            <w:noWrap/>
            <w:hideMark/>
          </w:tcPr>
          <w:p w14:paraId="0959469B"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0.2%</w:t>
            </w:r>
          </w:p>
        </w:tc>
        <w:tc>
          <w:tcPr>
            <w:tcW w:w="877" w:type="dxa"/>
            <w:noWrap/>
            <w:hideMark/>
          </w:tcPr>
          <w:p w14:paraId="40F66C92"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1.2%</w:t>
            </w:r>
          </w:p>
        </w:tc>
        <w:tc>
          <w:tcPr>
            <w:tcW w:w="1128" w:type="dxa"/>
            <w:noWrap/>
            <w:hideMark/>
          </w:tcPr>
          <w:p w14:paraId="48AFE2B9"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0.2%</w:t>
            </w:r>
          </w:p>
        </w:tc>
        <w:tc>
          <w:tcPr>
            <w:tcW w:w="888" w:type="dxa"/>
            <w:noWrap/>
            <w:hideMark/>
          </w:tcPr>
          <w:p w14:paraId="1E99AA33"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0.5%</w:t>
            </w:r>
          </w:p>
        </w:tc>
        <w:tc>
          <w:tcPr>
            <w:tcW w:w="877" w:type="dxa"/>
            <w:noWrap/>
            <w:hideMark/>
          </w:tcPr>
          <w:p w14:paraId="08233BF3"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0.5%</w:t>
            </w:r>
          </w:p>
        </w:tc>
      </w:tr>
      <w:tr w:rsidR="00515486" w:rsidRPr="00656309" w14:paraId="5E11035C"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1EF1521" w14:textId="77777777" w:rsidR="00515486" w:rsidRPr="00656309" w:rsidRDefault="00515486" w:rsidP="004D5D22">
            <w:pPr>
              <w:spacing w:after="0"/>
              <w:rPr>
                <w:rFonts w:eastAsia="Times New Roman"/>
                <w:color w:val="000000"/>
              </w:rPr>
            </w:pPr>
            <w:r w:rsidRPr="00656309">
              <w:rPr>
                <w:rFonts w:eastAsia="Times New Roman"/>
                <w:color w:val="000000"/>
              </w:rPr>
              <w:t xml:space="preserve">Computer, electronic and optical products           </w:t>
            </w:r>
          </w:p>
        </w:tc>
        <w:tc>
          <w:tcPr>
            <w:tcW w:w="1128" w:type="dxa"/>
            <w:noWrap/>
            <w:hideMark/>
          </w:tcPr>
          <w:p w14:paraId="3C0A7179"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0.1%</w:t>
            </w:r>
          </w:p>
        </w:tc>
        <w:tc>
          <w:tcPr>
            <w:tcW w:w="877" w:type="dxa"/>
            <w:noWrap/>
            <w:hideMark/>
          </w:tcPr>
          <w:p w14:paraId="77B00AAB"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0.0%</w:t>
            </w:r>
          </w:p>
        </w:tc>
        <w:tc>
          <w:tcPr>
            <w:tcW w:w="1128" w:type="dxa"/>
            <w:noWrap/>
            <w:hideMark/>
          </w:tcPr>
          <w:p w14:paraId="3796288D"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0.1%</w:t>
            </w:r>
          </w:p>
        </w:tc>
        <w:tc>
          <w:tcPr>
            <w:tcW w:w="888" w:type="dxa"/>
            <w:noWrap/>
            <w:hideMark/>
          </w:tcPr>
          <w:p w14:paraId="169E6864"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0.3%</w:t>
            </w:r>
          </w:p>
        </w:tc>
        <w:tc>
          <w:tcPr>
            <w:tcW w:w="877" w:type="dxa"/>
            <w:noWrap/>
            <w:hideMark/>
          </w:tcPr>
          <w:p w14:paraId="56177C86"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0.4%</w:t>
            </w:r>
          </w:p>
        </w:tc>
      </w:tr>
      <w:tr w:rsidR="00515486" w:rsidRPr="00656309" w14:paraId="775D7A3D"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DBAC2BA" w14:textId="77777777" w:rsidR="00515486" w:rsidRPr="00656309" w:rsidRDefault="00515486" w:rsidP="004D5D22">
            <w:pPr>
              <w:spacing w:after="0"/>
              <w:rPr>
                <w:rFonts w:eastAsia="Times New Roman"/>
                <w:color w:val="000000"/>
              </w:rPr>
            </w:pPr>
            <w:r w:rsidRPr="00656309">
              <w:rPr>
                <w:rFonts w:eastAsia="Times New Roman"/>
                <w:color w:val="000000"/>
              </w:rPr>
              <w:t xml:space="preserve">Machinery and equipment.            </w:t>
            </w:r>
          </w:p>
        </w:tc>
        <w:tc>
          <w:tcPr>
            <w:tcW w:w="1128" w:type="dxa"/>
            <w:noWrap/>
            <w:hideMark/>
          </w:tcPr>
          <w:p w14:paraId="10CD3F67"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0.4%</w:t>
            </w:r>
          </w:p>
        </w:tc>
        <w:tc>
          <w:tcPr>
            <w:tcW w:w="877" w:type="dxa"/>
            <w:noWrap/>
            <w:hideMark/>
          </w:tcPr>
          <w:p w14:paraId="2D060020"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1.3%</w:t>
            </w:r>
          </w:p>
        </w:tc>
        <w:tc>
          <w:tcPr>
            <w:tcW w:w="1128" w:type="dxa"/>
            <w:noWrap/>
            <w:hideMark/>
          </w:tcPr>
          <w:p w14:paraId="5A3F9DD2"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0.4%</w:t>
            </w:r>
          </w:p>
        </w:tc>
        <w:tc>
          <w:tcPr>
            <w:tcW w:w="888" w:type="dxa"/>
            <w:noWrap/>
            <w:hideMark/>
          </w:tcPr>
          <w:p w14:paraId="55966518"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1.0%</w:t>
            </w:r>
          </w:p>
        </w:tc>
        <w:tc>
          <w:tcPr>
            <w:tcW w:w="877" w:type="dxa"/>
            <w:noWrap/>
            <w:hideMark/>
          </w:tcPr>
          <w:p w14:paraId="05B12177" w14:textId="77777777" w:rsidR="00515486" w:rsidRPr="00656309"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656309">
              <w:rPr>
                <w:rFonts w:eastAsia="Times New Roman"/>
                <w:color w:val="000000"/>
              </w:rPr>
              <w:t>0.7%</w:t>
            </w:r>
          </w:p>
        </w:tc>
      </w:tr>
    </w:tbl>
    <w:p w14:paraId="58277636" w14:textId="77777777" w:rsidR="00515486" w:rsidRDefault="00515486" w:rsidP="00515486">
      <w:pPr>
        <w:pStyle w:val="TableSource"/>
      </w:pPr>
      <w:r>
        <w:t>Source: BRES/ONS 2013</w:t>
      </w:r>
    </w:p>
    <w:p w14:paraId="7CEEDFCA" w14:textId="77777777" w:rsidR="00515486" w:rsidRDefault="00515486" w:rsidP="00515486">
      <w:pPr>
        <w:spacing w:after="200" w:line="276" w:lineRule="auto"/>
        <w:rPr>
          <w:rFonts w:eastAsiaTheme="majorEastAsia" w:cs="Times New Roman"/>
          <w:b/>
          <w:bCs/>
          <w:color w:val="394A58" w:themeColor="accent2"/>
          <w:sz w:val="48"/>
          <w:szCs w:val="28"/>
        </w:rPr>
      </w:pPr>
      <w:r>
        <w:rPr>
          <w:rFonts w:eastAsiaTheme="majorEastAsia"/>
        </w:rPr>
        <w:br w:type="page"/>
      </w:r>
    </w:p>
    <w:p w14:paraId="730C30FB" w14:textId="77777777" w:rsidR="00515486" w:rsidRDefault="00515486" w:rsidP="00515486">
      <w:pPr>
        <w:pStyle w:val="Heading1"/>
        <w:numPr>
          <w:ilvl w:val="0"/>
          <w:numId w:val="4"/>
        </w:numPr>
        <w:jc w:val="both"/>
        <w:rPr>
          <w:rFonts w:eastAsiaTheme="majorEastAsia"/>
        </w:rPr>
      </w:pPr>
      <w:bookmarkStart w:id="68" w:name="_Toc394327698"/>
      <w:r>
        <w:rPr>
          <w:rFonts w:eastAsiaTheme="majorEastAsia"/>
        </w:rPr>
        <w:t>Innovation</w:t>
      </w:r>
      <w:bookmarkEnd w:id="68"/>
    </w:p>
    <w:p w14:paraId="35BFFCE7" w14:textId="77777777" w:rsidR="00515486" w:rsidRDefault="00515486" w:rsidP="00515486">
      <w:pPr>
        <w:spacing w:after="180"/>
        <w:jc w:val="both"/>
      </w:pPr>
      <w:r>
        <w:t xml:space="preserve">Innovation is a key contributing factor to the competitiveness of an area. Innovation by businesses and individuals can create jobs, </w:t>
      </w:r>
      <w:r w:rsidR="00027605">
        <w:t>wealth</w:t>
      </w:r>
      <w:r>
        <w:t xml:space="preserve"> and support emerging high-tech sectors such as renewable energy. Innovation is also a feature of knowledge-sharing arising from industrial clustering in the area, for example in seafood, for which Grimsby achieved government recognition as the best industrial grouping in Britain in 2010</w:t>
      </w:r>
      <w:r>
        <w:rPr>
          <w:rStyle w:val="FootnoteReference"/>
        </w:rPr>
        <w:footnoteReference w:id="3"/>
      </w:r>
      <w:r>
        <w:t xml:space="preserve">. Innovation can also be driven by public assets such as the Grimsby Institute of Further and Higher Education (GIFHE) which delivers a wide range of courses at pre degree, undergraduate and postgraduate courses. GIFHE also plays a key role in research and development, with the </w:t>
      </w:r>
      <w:r w:rsidRPr="00805548">
        <w:t>Food Refrigeration and Process Engineering Research Centre (FRPERC)</w:t>
      </w:r>
      <w:r>
        <w:t xml:space="preserve"> based there.</w:t>
      </w:r>
    </w:p>
    <w:p w14:paraId="2155FD2A" w14:textId="77777777" w:rsidR="00515486" w:rsidRDefault="00515486" w:rsidP="00515486">
      <w:pPr>
        <w:spacing w:after="180"/>
        <w:jc w:val="both"/>
      </w:pPr>
      <w:r>
        <w:t>Analysis of the share of the workforce and firms in knowledge intensive industries provides one assessment of the level of innovation in a local area (</w:t>
      </w:r>
      <w:r w:rsidR="00F70FD0">
        <w:fldChar w:fldCharType="begin"/>
      </w:r>
      <w:r>
        <w:instrText xml:space="preserve"> REF _Ref393352213 \h </w:instrText>
      </w:r>
      <w:r w:rsidR="00F70FD0">
        <w:fldChar w:fldCharType="separate"/>
      </w:r>
      <w:r>
        <w:t xml:space="preserve">Table </w:t>
      </w:r>
      <w:r>
        <w:rPr>
          <w:noProof/>
        </w:rPr>
        <w:t>6</w:t>
      </w:r>
      <w:r>
        <w:t>-</w:t>
      </w:r>
      <w:r>
        <w:rPr>
          <w:noProof/>
        </w:rPr>
        <w:t>1</w:t>
      </w:r>
      <w:r w:rsidR="00F70FD0">
        <w:fldChar w:fldCharType="end"/>
      </w:r>
      <w:r>
        <w:t xml:space="preserve">). This shows that North East Lincolnshire (4.2%) has a lower proportion of workers in the professional, scientific &amp; technical sectors than the average for England (8%). The situation in comparison to Hull and North Lincolnshire is more encouraging as North East Lincolnshire has a larger share than North Lincolnshire (3.3%) and Hull (4%). </w:t>
      </w:r>
    </w:p>
    <w:p w14:paraId="7ADE0687" w14:textId="77777777" w:rsidR="00515486" w:rsidRDefault="00F70FD0" w:rsidP="00515486">
      <w:pPr>
        <w:spacing w:after="180"/>
        <w:jc w:val="both"/>
      </w:pPr>
      <w:r>
        <w:fldChar w:fldCharType="begin"/>
      </w:r>
      <w:r w:rsidR="00515486">
        <w:instrText xml:space="preserve"> REF _Ref393352213 \h </w:instrText>
      </w:r>
      <w:r>
        <w:fldChar w:fldCharType="separate"/>
      </w:r>
      <w:r w:rsidR="00515486">
        <w:t xml:space="preserve">Table </w:t>
      </w:r>
      <w:r w:rsidR="00515486">
        <w:rPr>
          <w:noProof/>
        </w:rPr>
        <w:t>6</w:t>
      </w:r>
      <w:r w:rsidR="00515486">
        <w:t>-</w:t>
      </w:r>
      <w:r w:rsidR="00515486">
        <w:rPr>
          <w:noProof/>
        </w:rPr>
        <w:t>1</w:t>
      </w:r>
      <w:r>
        <w:fldChar w:fldCharType="end"/>
      </w:r>
      <w:r w:rsidR="00515486">
        <w:t xml:space="preserve"> also shows that the proportion of firms in Professional, scientific and technical sectors in North East Lincolnshire (9.6%) is lower than the average for England (15.3%). However, in firm numbers, North Lincolnshire has a higher proportion (10.1%) and Hull has a lower proportion (8.1%). </w:t>
      </w:r>
    </w:p>
    <w:p w14:paraId="32AD53D1" w14:textId="77777777" w:rsidR="00515486" w:rsidRDefault="00515486" w:rsidP="00515486">
      <w:pPr>
        <w:pStyle w:val="Caption"/>
      </w:pPr>
      <w:bookmarkStart w:id="69" w:name="_Ref393352213"/>
      <w:r>
        <w:t xml:space="preserve">Table </w:t>
      </w:r>
      <w:fldSimple w:instr=" STYLEREF 1 \s  \* MERGEFORMAT ">
        <w:r>
          <w:rPr>
            <w:noProof/>
          </w:rPr>
          <w:t>6</w:t>
        </w:r>
      </w:fldSimple>
      <w:r>
        <w:t>-</w:t>
      </w:r>
      <w:fldSimple w:instr=" SEQ Table \* ARABIC \s 1  \* MERGEFORMAT ">
        <w:r>
          <w:rPr>
            <w:noProof/>
          </w:rPr>
          <w:t>1</w:t>
        </w:r>
      </w:fldSimple>
      <w:bookmarkEnd w:id="69"/>
      <w:r>
        <w:tab/>
        <w:t>% of employees and firms in Professional, scientific &amp; technical sectors</w:t>
      </w:r>
    </w:p>
    <w:tbl>
      <w:tblPr>
        <w:tblStyle w:val="Atkins14pt"/>
        <w:tblW w:w="6521" w:type="dxa"/>
        <w:tblLayout w:type="fixed"/>
        <w:tblLook w:val="04A0" w:firstRow="1" w:lastRow="0" w:firstColumn="1" w:lastColumn="0" w:noHBand="0" w:noVBand="1"/>
      </w:tblPr>
      <w:tblGrid>
        <w:gridCol w:w="1276"/>
        <w:gridCol w:w="1276"/>
        <w:gridCol w:w="1276"/>
        <w:gridCol w:w="1559"/>
        <w:gridCol w:w="1134"/>
      </w:tblGrid>
      <w:tr w:rsidR="00515486" w:rsidRPr="000B543C" w14:paraId="2D381622" w14:textId="77777777" w:rsidTr="00F832A6">
        <w:trPr>
          <w:cnfStyle w:val="100000000000" w:firstRow="1" w:lastRow="0" w:firstColumn="0" w:lastColumn="0" w:oddVBand="0" w:evenVBand="0" w:oddHBand="0" w:evenHBand="0" w:firstRowFirstColumn="0" w:firstRowLastColumn="0" w:lastRowFirstColumn="0" w:lastRowLastColumn="0"/>
          <w:trHeight w:val="614"/>
        </w:trPr>
        <w:tc>
          <w:tcPr>
            <w:cnfStyle w:val="001000000100" w:firstRow="0" w:lastRow="0" w:firstColumn="1" w:lastColumn="0" w:oddVBand="0" w:evenVBand="0" w:oddHBand="0" w:evenHBand="0" w:firstRowFirstColumn="1" w:firstRowLastColumn="0" w:lastRowFirstColumn="0" w:lastRowLastColumn="0"/>
            <w:tcW w:w="1276" w:type="dxa"/>
          </w:tcPr>
          <w:p w14:paraId="3E754C9F" w14:textId="77777777" w:rsidR="00515486" w:rsidRPr="00DC755B" w:rsidRDefault="00515486" w:rsidP="004D5D22">
            <w:pPr>
              <w:spacing w:after="0"/>
              <w:rPr>
                <w:rFonts w:eastAsia="Times New Roman"/>
                <w:bCs/>
                <w:color w:val="auto"/>
              </w:rPr>
            </w:pPr>
          </w:p>
        </w:tc>
        <w:tc>
          <w:tcPr>
            <w:tcW w:w="1276" w:type="dxa"/>
          </w:tcPr>
          <w:p w14:paraId="3509457B" w14:textId="77777777" w:rsidR="00515486" w:rsidRPr="00DC755B"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DC755B">
              <w:rPr>
                <w:rFonts w:eastAsia="Times New Roman"/>
                <w:bCs/>
                <w:color w:val="auto"/>
              </w:rPr>
              <w:t>North East Lincolnshire</w:t>
            </w:r>
          </w:p>
        </w:tc>
        <w:tc>
          <w:tcPr>
            <w:tcW w:w="1276" w:type="dxa"/>
          </w:tcPr>
          <w:p w14:paraId="3FBB51BB" w14:textId="77777777" w:rsidR="00515486" w:rsidRPr="00DC755B"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DC755B">
              <w:rPr>
                <w:rFonts w:eastAsia="Times New Roman"/>
                <w:bCs/>
                <w:color w:val="auto"/>
              </w:rPr>
              <w:t>North Lincolnshire</w:t>
            </w:r>
          </w:p>
        </w:tc>
        <w:tc>
          <w:tcPr>
            <w:tcW w:w="1559" w:type="dxa"/>
          </w:tcPr>
          <w:p w14:paraId="103B48CE" w14:textId="77777777" w:rsidR="00515486" w:rsidRPr="00DC755B"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DC755B">
              <w:rPr>
                <w:rFonts w:eastAsia="Times New Roman"/>
                <w:bCs/>
                <w:color w:val="auto"/>
              </w:rPr>
              <w:t>Kingston upon Hull, City of</w:t>
            </w:r>
          </w:p>
        </w:tc>
        <w:tc>
          <w:tcPr>
            <w:tcW w:w="1134" w:type="dxa"/>
          </w:tcPr>
          <w:p w14:paraId="4D64C075" w14:textId="77777777" w:rsidR="00515486" w:rsidRPr="00DC755B"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DC755B">
              <w:rPr>
                <w:rFonts w:eastAsia="Times New Roman"/>
                <w:bCs/>
                <w:color w:val="auto"/>
              </w:rPr>
              <w:t>England</w:t>
            </w:r>
          </w:p>
        </w:tc>
      </w:tr>
      <w:tr w:rsidR="00515486" w:rsidRPr="000B543C" w14:paraId="4BB789AA" w14:textId="77777777" w:rsidTr="00F832A6">
        <w:trPr>
          <w:trHeight w:val="255"/>
        </w:trPr>
        <w:tc>
          <w:tcPr>
            <w:cnfStyle w:val="001000000000" w:firstRow="0" w:lastRow="0" w:firstColumn="1" w:lastColumn="0" w:oddVBand="0" w:evenVBand="0" w:oddHBand="0" w:evenHBand="0" w:firstRowFirstColumn="0" w:firstRowLastColumn="0" w:lastRowFirstColumn="0" w:lastRowLastColumn="0"/>
            <w:tcW w:w="1276" w:type="dxa"/>
          </w:tcPr>
          <w:p w14:paraId="5BB5D0B8" w14:textId="77777777" w:rsidR="00515486" w:rsidRPr="00DC755B" w:rsidRDefault="00515486" w:rsidP="004D5D22">
            <w:pPr>
              <w:spacing w:after="0"/>
              <w:rPr>
                <w:rFonts w:eastAsia="Times New Roman"/>
                <w:color w:val="auto"/>
              </w:rPr>
            </w:pPr>
            <w:r w:rsidRPr="00DC755B">
              <w:rPr>
                <w:rFonts w:eastAsia="Times New Roman"/>
                <w:color w:val="auto"/>
              </w:rPr>
              <w:t>Employees</w:t>
            </w:r>
          </w:p>
        </w:tc>
        <w:tc>
          <w:tcPr>
            <w:tcW w:w="1276" w:type="dxa"/>
          </w:tcPr>
          <w:p w14:paraId="69150FCA" w14:textId="77777777" w:rsidR="00515486" w:rsidRPr="00DC755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C755B">
              <w:rPr>
                <w:rFonts w:eastAsia="Times New Roman"/>
                <w:color w:val="auto"/>
              </w:rPr>
              <w:t>4.2%</w:t>
            </w:r>
          </w:p>
        </w:tc>
        <w:tc>
          <w:tcPr>
            <w:tcW w:w="1276" w:type="dxa"/>
          </w:tcPr>
          <w:p w14:paraId="680B9644" w14:textId="77777777" w:rsidR="00515486" w:rsidRPr="00DC755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C755B">
              <w:rPr>
                <w:rFonts w:eastAsia="Times New Roman"/>
                <w:color w:val="auto"/>
              </w:rPr>
              <w:t>3.3%</w:t>
            </w:r>
          </w:p>
        </w:tc>
        <w:tc>
          <w:tcPr>
            <w:tcW w:w="1559" w:type="dxa"/>
          </w:tcPr>
          <w:p w14:paraId="1F909F66" w14:textId="77777777" w:rsidR="00515486" w:rsidRPr="00DC755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C755B">
              <w:rPr>
                <w:rFonts w:eastAsia="Times New Roman"/>
                <w:color w:val="auto"/>
              </w:rPr>
              <w:t>4.0%</w:t>
            </w:r>
          </w:p>
        </w:tc>
        <w:tc>
          <w:tcPr>
            <w:tcW w:w="1134" w:type="dxa"/>
          </w:tcPr>
          <w:p w14:paraId="0A3FC6BA" w14:textId="77777777" w:rsidR="00515486" w:rsidRPr="00DC755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C755B">
              <w:rPr>
                <w:rFonts w:eastAsia="Times New Roman"/>
                <w:color w:val="auto"/>
              </w:rPr>
              <w:t>8.0%</w:t>
            </w:r>
          </w:p>
        </w:tc>
      </w:tr>
      <w:tr w:rsidR="00515486" w:rsidRPr="000B543C" w14:paraId="0F26B42F" w14:textId="77777777" w:rsidTr="00F832A6">
        <w:trPr>
          <w:trHeight w:val="255"/>
        </w:trPr>
        <w:tc>
          <w:tcPr>
            <w:cnfStyle w:val="001000000000" w:firstRow="0" w:lastRow="0" w:firstColumn="1" w:lastColumn="0" w:oddVBand="0" w:evenVBand="0" w:oddHBand="0" w:evenHBand="0" w:firstRowFirstColumn="0" w:firstRowLastColumn="0" w:lastRowFirstColumn="0" w:lastRowLastColumn="0"/>
            <w:tcW w:w="1276" w:type="dxa"/>
          </w:tcPr>
          <w:p w14:paraId="5B290C28" w14:textId="77777777" w:rsidR="00515486" w:rsidRPr="00DC755B" w:rsidRDefault="00515486" w:rsidP="004D5D22">
            <w:pPr>
              <w:spacing w:after="0"/>
              <w:rPr>
                <w:rFonts w:eastAsia="Times New Roman"/>
                <w:color w:val="auto"/>
              </w:rPr>
            </w:pPr>
            <w:r w:rsidRPr="00DC755B">
              <w:rPr>
                <w:rFonts w:eastAsia="Times New Roman"/>
                <w:color w:val="auto"/>
              </w:rPr>
              <w:t>Firms</w:t>
            </w:r>
          </w:p>
        </w:tc>
        <w:tc>
          <w:tcPr>
            <w:tcW w:w="1276" w:type="dxa"/>
          </w:tcPr>
          <w:p w14:paraId="50C44CB9" w14:textId="77777777" w:rsidR="00515486" w:rsidRPr="00DC755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C755B">
              <w:rPr>
                <w:rFonts w:eastAsia="Times New Roman"/>
                <w:color w:val="auto"/>
              </w:rPr>
              <w:t>9.6%</w:t>
            </w:r>
          </w:p>
        </w:tc>
        <w:tc>
          <w:tcPr>
            <w:tcW w:w="1276" w:type="dxa"/>
          </w:tcPr>
          <w:p w14:paraId="15C02828" w14:textId="77777777" w:rsidR="00515486" w:rsidRPr="00DC755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C755B">
              <w:rPr>
                <w:rFonts w:eastAsia="Times New Roman"/>
                <w:color w:val="auto"/>
              </w:rPr>
              <w:t>10.1%</w:t>
            </w:r>
          </w:p>
        </w:tc>
        <w:tc>
          <w:tcPr>
            <w:tcW w:w="1559" w:type="dxa"/>
          </w:tcPr>
          <w:p w14:paraId="07D13CEF" w14:textId="77777777" w:rsidR="00515486" w:rsidRPr="00DC755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C755B">
              <w:rPr>
                <w:rFonts w:eastAsia="Times New Roman"/>
                <w:color w:val="auto"/>
              </w:rPr>
              <w:t>8.1%</w:t>
            </w:r>
          </w:p>
        </w:tc>
        <w:tc>
          <w:tcPr>
            <w:tcW w:w="1134" w:type="dxa"/>
          </w:tcPr>
          <w:p w14:paraId="011B4B5C" w14:textId="77777777" w:rsidR="00515486" w:rsidRPr="00DC755B"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DC755B">
              <w:rPr>
                <w:rFonts w:eastAsia="Times New Roman"/>
                <w:color w:val="auto"/>
              </w:rPr>
              <w:t>15.3%</w:t>
            </w:r>
          </w:p>
        </w:tc>
      </w:tr>
    </w:tbl>
    <w:p w14:paraId="5ADB258C" w14:textId="77777777" w:rsidR="00515486" w:rsidRDefault="00515486" w:rsidP="00515486">
      <w:r>
        <w:t>Source: BRES &amp; ONS 2013</w:t>
      </w:r>
    </w:p>
    <w:p w14:paraId="243C533A" w14:textId="77777777" w:rsidR="00515486" w:rsidRDefault="00515486" w:rsidP="00515486">
      <w:pPr>
        <w:jc w:val="both"/>
      </w:pPr>
      <w:r>
        <w:t>A number of key sectors within North East Lincolnshire require knowledge, skills and innovative activity. For example, the development of new products in the</w:t>
      </w:r>
      <w:r w:rsidR="00027605">
        <w:t xml:space="preserve"> food m</w:t>
      </w:r>
      <w:r>
        <w:t>anufacturing sector and chemical</w:t>
      </w:r>
      <w:r w:rsidR="00027605">
        <w:t xml:space="preserve"> engineering activities in the  chemicals and p</w:t>
      </w:r>
      <w:r>
        <w:t>rocess Industries. The analysis of firm and employment suggests that North East Lincolnshire has a more knowledge intensive economy than Hull but lags behind the average for England. Other measures of innovation show a limited capacity in North East Lincolnshire. Analysis of OECD patent data from 2011 (</w:t>
      </w:r>
      <w:r w:rsidR="00F70FD0">
        <w:fldChar w:fldCharType="begin"/>
      </w:r>
      <w:r>
        <w:instrText xml:space="preserve"> REF _Ref393458384 \h </w:instrText>
      </w:r>
      <w:r w:rsidR="00F70FD0">
        <w:fldChar w:fldCharType="separate"/>
      </w:r>
      <w:r>
        <w:t xml:space="preserve">Table </w:t>
      </w:r>
      <w:r>
        <w:rPr>
          <w:noProof/>
        </w:rPr>
        <w:t>6</w:t>
      </w:r>
      <w:r>
        <w:t>-</w:t>
      </w:r>
      <w:r>
        <w:rPr>
          <w:noProof/>
        </w:rPr>
        <w:t>2</w:t>
      </w:r>
      <w:r w:rsidR="00F70FD0">
        <w:fldChar w:fldCharType="end"/>
      </w:r>
      <w:r>
        <w:t>) shows that North &amp; North East Lincolnshire have a lower patents per 100,000 rate (1.4) than all neighbouring areas and far lower than the average for Lincolnshire (4.6) as a whole and Great Britain (7.5).</w:t>
      </w:r>
    </w:p>
    <w:p w14:paraId="39518E52" w14:textId="77777777" w:rsidR="00515486" w:rsidRDefault="00515486" w:rsidP="00515486">
      <w:pPr>
        <w:pStyle w:val="Caption"/>
      </w:pPr>
      <w:bookmarkStart w:id="70" w:name="_Ref393458384"/>
      <w:r>
        <w:t xml:space="preserve">Table </w:t>
      </w:r>
      <w:fldSimple w:instr=" STYLEREF 1 \s  \* MERGEFORMAT ">
        <w:r>
          <w:rPr>
            <w:noProof/>
          </w:rPr>
          <w:t>6</w:t>
        </w:r>
      </w:fldSimple>
      <w:r>
        <w:t>-</w:t>
      </w:r>
      <w:fldSimple w:instr=" SEQ Table \* ARABIC \s 1  \* MERGEFORMAT ">
        <w:r>
          <w:rPr>
            <w:noProof/>
          </w:rPr>
          <w:t>2</w:t>
        </w:r>
      </w:fldSimple>
      <w:bookmarkEnd w:id="70"/>
      <w:r>
        <w:tab/>
        <w:t xml:space="preserve">OECD </w:t>
      </w:r>
      <w:r w:rsidRPr="0084177E">
        <w:t xml:space="preserve">Patent Co-operation Treaty </w:t>
      </w:r>
      <w:r>
        <w:t>Patent applications 2011</w:t>
      </w:r>
    </w:p>
    <w:tbl>
      <w:tblPr>
        <w:tblStyle w:val="Atkins14pt"/>
        <w:tblW w:w="5481" w:type="dxa"/>
        <w:tblLook w:val="04A0" w:firstRow="1" w:lastRow="0" w:firstColumn="1" w:lastColumn="0" w:noHBand="0" w:noVBand="1"/>
      </w:tblPr>
      <w:tblGrid>
        <w:gridCol w:w="3261"/>
        <w:gridCol w:w="2220"/>
      </w:tblGrid>
      <w:tr w:rsidR="00515486" w:rsidRPr="007E2910" w14:paraId="3835ECD6" w14:textId="77777777" w:rsidTr="004D5D22">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100" w:firstRow="0" w:lastRow="0" w:firstColumn="1" w:lastColumn="0" w:oddVBand="0" w:evenVBand="0" w:oddHBand="0" w:evenHBand="0" w:firstRowFirstColumn="1" w:firstRowLastColumn="0" w:lastRowFirstColumn="0" w:lastRowLastColumn="0"/>
            <w:tcW w:w="3261" w:type="dxa"/>
            <w:noWrap/>
            <w:hideMark/>
          </w:tcPr>
          <w:p w14:paraId="08CDA6C0" w14:textId="77777777" w:rsidR="00515486" w:rsidRPr="00DC755B" w:rsidRDefault="00515486" w:rsidP="004D5D22">
            <w:pPr>
              <w:pStyle w:val="TableHeading"/>
              <w:rPr>
                <w:color w:val="auto"/>
              </w:rPr>
            </w:pPr>
            <w:r w:rsidRPr="00DC755B">
              <w:rPr>
                <w:color w:val="auto"/>
              </w:rPr>
              <w:t>Area</w:t>
            </w:r>
          </w:p>
        </w:tc>
        <w:tc>
          <w:tcPr>
            <w:tcW w:w="2220" w:type="dxa"/>
            <w:noWrap/>
            <w:hideMark/>
          </w:tcPr>
          <w:p w14:paraId="5482C7C0" w14:textId="77777777" w:rsidR="00515486" w:rsidRPr="00DC755B" w:rsidRDefault="00515486" w:rsidP="00F832A6">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DC755B">
              <w:rPr>
                <w:color w:val="auto"/>
              </w:rPr>
              <w:t>Patents Per 100,000 people</w:t>
            </w:r>
          </w:p>
        </w:tc>
      </w:tr>
      <w:tr w:rsidR="00515486" w:rsidRPr="00062B81" w14:paraId="5FE72EA1"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3261" w:type="dxa"/>
            <w:noWrap/>
          </w:tcPr>
          <w:p w14:paraId="07CBB0A7" w14:textId="77777777" w:rsidR="00515486" w:rsidRPr="00DC755B" w:rsidRDefault="00515486" w:rsidP="004D5D22">
            <w:pPr>
              <w:pStyle w:val="TableText"/>
              <w:rPr>
                <w:b/>
                <w:bCs/>
                <w:color w:val="auto"/>
              </w:rPr>
            </w:pPr>
            <w:r w:rsidRPr="00DC755B">
              <w:rPr>
                <w:color w:val="auto"/>
              </w:rPr>
              <w:t>North &amp; North East Lincolnshire.</w:t>
            </w:r>
          </w:p>
        </w:tc>
        <w:tc>
          <w:tcPr>
            <w:tcW w:w="2220" w:type="dxa"/>
            <w:noWrap/>
          </w:tcPr>
          <w:p w14:paraId="2C44A127" w14:textId="77777777" w:rsidR="00515486" w:rsidRPr="00DC755B"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b/>
                <w:bCs/>
                <w:color w:val="auto"/>
              </w:rPr>
            </w:pPr>
            <w:r w:rsidRPr="00DC755B">
              <w:rPr>
                <w:color w:val="auto"/>
              </w:rPr>
              <w:t>1.4</w:t>
            </w:r>
          </w:p>
        </w:tc>
      </w:tr>
      <w:tr w:rsidR="00515486" w:rsidRPr="00062B81" w14:paraId="189325A1"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2F4D20C" w14:textId="77777777" w:rsidR="00515486" w:rsidRPr="00DC755B" w:rsidRDefault="00515486" w:rsidP="004D5D22">
            <w:pPr>
              <w:pStyle w:val="TableText"/>
              <w:rPr>
                <w:color w:val="auto"/>
              </w:rPr>
            </w:pPr>
            <w:r w:rsidRPr="00DC755B">
              <w:rPr>
                <w:color w:val="auto"/>
              </w:rPr>
              <w:t>Kingston upon Hull</w:t>
            </w:r>
          </w:p>
        </w:tc>
        <w:tc>
          <w:tcPr>
            <w:tcW w:w="2220" w:type="dxa"/>
            <w:noWrap/>
            <w:hideMark/>
          </w:tcPr>
          <w:p w14:paraId="452ADDFE" w14:textId="77777777" w:rsidR="00515486" w:rsidRPr="00DC755B"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DC755B">
              <w:rPr>
                <w:color w:val="auto"/>
              </w:rPr>
              <w:t>7.1</w:t>
            </w:r>
          </w:p>
        </w:tc>
      </w:tr>
      <w:tr w:rsidR="00515486" w:rsidRPr="00062B81" w14:paraId="7C3A7EAA"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017487C" w14:textId="77777777" w:rsidR="00515486" w:rsidRPr="00DC755B" w:rsidRDefault="00515486" w:rsidP="004D5D22">
            <w:pPr>
              <w:pStyle w:val="TableText"/>
              <w:rPr>
                <w:color w:val="auto"/>
              </w:rPr>
            </w:pPr>
            <w:r w:rsidRPr="00DC755B">
              <w:rPr>
                <w:color w:val="auto"/>
              </w:rPr>
              <w:t xml:space="preserve">East Riding of Yorks. </w:t>
            </w:r>
          </w:p>
        </w:tc>
        <w:tc>
          <w:tcPr>
            <w:tcW w:w="2220" w:type="dxa"/>
            <w:noWrap/>
            <w:hideMark/>
          </w:tcPr>
          <w:p w14:paraId="7844A352" w14:textId="77777777" w:rsidR="00515486" w:rsidRPr="00DC755B"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DC755B">
              <w:rPr>
                <w:color w:val="auto"/>
              </w:rPr>
              <w:t>2.4</w:t>
            </w:r>
          </w:p>
        </w:tc>
      </w:tr>
      <w:tr w:rsidR="00515486" w:rsidRPr="00062B81" w14:paraId="4B375A38"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B1A45F4" w14:textId="77777777" w:rsidR="00515486" w:rsidRPr="00DC755B" w:rsidRDefault="00515486" w:rsidP="004D5D22">
            <w:pPr>
              <w:pStyle w:val="TableText"/>
              <w:rPr>
                <w:color w:val="auto"/>
              </w:rPr>
            </w:pPr>
            <w:r w:rsidRPr="00DC755B">
              <w:rPr>
                <w:color w:val="auto"/>
              </w:rPr>
              <w:t>Lincolnshire</w:t>
            </w:r>
          </w:p>
        </w:tc>
        <w:tc>
          <w:tcPr>
            <w:tcW w:w="2220" w:type="dxa"/>
            <w:noWrap/>
            <w:hideMark/>
          </w:tcPr>
          <w:p w14:paraId="69FA87C4" w14:textId="77777777" w:rsidR="00515486" w:rsidRPr="00DC755B"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DC755B">
              <w:rPr>
                <w:color w:val="auto"/>
              </w:rPr>
              <w:t>4.6</w:t>
            </w:r>
          </w:p>
        </w:tc>
      </w:tr>
      <w:tr w:rsidR="00515486" w:rsidRPr="00062B81" w14:paraId="64B7E3D5"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3261" w:type="dxa"/>
            <w:noWrap/>
          </w:tcPr>
          <w:p w14:paraId="258D0564" w14:textId="77777777" w:rsidR="00515486" w:rsidRPr="00DC755B" w:rsidRDefault="00515486" w:rsidP="004D5D22">
            <w:pPr>
              <w:pStyle w:val="TableText"/>
              <w:rPr>
                <w:color w:val="auto"/>
              </w:rPr>
            </w:pPr>
            <w:r w:rsidRPr="00DC755B">
              <w:rPr>
                <w:color w:val="auto"/>
              </w:rPr>
              <w:t>Great Britain</w:t>
            </w:r>
          </w:p>
        </w:tc>
        <w:tc>
          <w:tcPr>
            <w:tcW w:w="2220" w:type="dxa"/>
            <w:noWrap/>
          </w:tcPr>
          <w:p w14:paraId="2E148826" w14:textId="77777777" w:rsidR="00515486" w:rsidRPr="00DC755B"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DC755B">
              <w:rPr>
                <w:color w:val="auto"/>
              </w:rPr>
              <w:t>7.5</w:t>
            </w:r>
          </w:p>
        </w:tc>
      </w:tr>
    </w:tbl>
    <w:p w14:paraId="7DAC4DE6" w14:textId="77777777" w:rsidR="00515486" w:rsidRDefault="00515486" w:rsidP="00515486">
      <w:r>
        <w:t>Source: OECD 2012</w:t>
      </w:r>
    </w:p>
    <w:p w14:paraId="5635637E" w14:textId="77777777" w:rsidR="00515486" w:rsidRDefault="00515486" w:rsidP="00515486">
      <w:pPr>
        <w:spacing w:after="180"/>
        <w:jc w:val="both"/>
        <w:rPr>
          <w:rFonts w:cs="Times New Roman"/>
          <w:color w:val="394A58" w:themeColor="accent2"/>
          <w:sz w:val="48"/>
          <w:szCs w:val="28"/>
        </w:rPr>
      </w:pPr>
      <w:r>
        <w:t xml:space="preserve">Firms in all sectors play an important role in innovation, particularly the key sectors. This is explored in more detail in the key sector report. For example, more detailed analysis of employment data in North East Lincolnshire through a location quotient analysis shows that there are clusters of economic activity which could further encourage and nurture innovation. </w:t>
      </w:r>
      <w:r>
        <w:br w:type="page"/>
      </w:r>
    </w:p>
    <w:p w14:paraId="5936CB30" w14:textId="77777777" w:rsidR="00515486" w:rsidRDefault="00515486" w:rsidP="00515486">
      <w:pPr>
        <w:pStyle w:val="Heading1"/>
        <w:numPr>
          <w:ilvl w:val="0"/>
          <w:numId w:val="4"/>
        </w:numPr>
        <w:rPr>
          <w:rFonts w:eastAsiaTheme="majorEastAsia"/>
        </w:rPr>
      </w:pPr>
      <w:bookmarkStart w:id="71" w:name="_Toc394327699"/>
      <w:r>
        <w:rPr>
          <w:rFonts w:eastAsiaTheme="majorEastAsia"/>
        </w:rPr>
        <w:t>Qualifications &amp; Skills</w:t>
      </w:r>
      <w:bookmarkEnd w:id="71"/>
      <w:r>
        <w:rPr>
          <w:rFonts w:eastAsiaTheme="majorEastAsia"/>
        </w:rPr>
        <w:t xml:space="preserve"> </w:t>
      </w:r>
    </w:p>
    <w:p w14:paraId="261DD84A" w14:textId="77777777" w:rsidR="00515486" w:rsidRDefault="00515486" w:rsidP="00515486">
      <w:pPr>
        <w:jc w:val="both"/>
      </w:pPr>
      <w:r>
        <w:t xml:space="preserve">The qualification </w:t>
      </w:r>
      <w:r w:rsidR="00027605">
        <w:t>profile</w:t>
      </w:r>
      <w:r>
        <w:t xml:space="preserve"> of North East Lincolnshire’s working age population (16-64 years) </w:t>
      </w:r>
      <w:r w:rsidR="00027605">
        <w:t>has</w:t>
      </w:r>
      <w:r>
        <w:t xml:space="preserve"> greatly improved over recent years. The proportion of those with no qualifications has dropped by 3% between 2009 and 2013 and the proportion with Level 4 qualifications has risen from 17.3% to 19.9%. This performance is positive given the recent economic conditions and funding changes to education and skills programmes and facilities.</w:t>
      </w:r>
    </w:p>
    <w:p w14:paraId="61FF5F47" w14:textId="77777777" w:rsidR="00515486" w:rsidRDefault="00515486" w:rsidP="00515486">
      <w:pPr>
        <w:jc w:val="both"/>
      </w:pPr>
      <w:r>
        <w:t>Despite improvement, between 2009 and 2013 North East Lincolnshire has a lower proportion of residents with higher level qualifications (degree level or equivale</w:t>
      </w:r>
      <w:r w:rsidR="00027605">
        <w:t>nt) compared with neighbouring local authorities and the n</w:t>
      </w:r>
      <w:r>
        <w:t>ational average (</w:t>
      </w:r>
      <w:r w:rsidR="00F70FD0">
        <w:fldChar w:fldCharType="begin"/>
      </w:r>
      <w:r>
        <w:instrText xml:space="preserve"> REF _Ref393872257 \h </w:instrText>
      </w:r>
      <w:r w:rsidR="00F70FD0">
        <w:fldChar w:fldCharType="separate"/>
      </w:r>
      <w:r>
        <w:t xml:space="preserve">Figure </w:t>
      </w:r>
      <w:r>
        <w:rPr>
          <w:noProof/>
        </w:rPr>
        <w:t>7</w:t>
      </w:r>
      <w:r>
        <w:t>-</w:t>
      </w:r>
      <w:r>
        <w:rPr>
          <w:noProof/>
        </w:rPr>
        <w:t>1</w:t>
      </w:r>
      <w:r w:rsidR="00F70FD0">
        <w:fldChar w:fldCharType="end"/>
      </w:r>
      <w:r>
        <w:t xml:space="preserve">). Furthermore the gap between North East Lincolnshire’s and England’s proportion of workforce with level 4 qualifications has increased (6.9% in 2009 and 11.5% in 2011). This suggests that there is difficulty in matching the progress made in other </w:t>
      </w:r>
      <w:r w:rsidR="00027605">
        <w:t>areas</w:t>
      </w:r>
      <w:r>
        <w:t>. This could be</w:t>
      </w:r>
      <w:r w:rsidR="00027605">
        <w:t xml:space="preserve"> linked to comparative lack of higher e</w:t>
      </w:r>
      <w:r>
        <w:t>ducation delivery in North and North East Lincolnshire</w:t>
      </w:r>
      <w:r>
        <w:rPr>
          <w:rStyle w:val="FootnoteReference"/>
        </w:rPr>
        <w:footnoteReference w:id="4"/>
      </w:r>
      <w:r>
        <w:t xml:space="preserve"> and evidence of a ‘brain drain’ whereby </w:t>
      </w:r>
      <w:r w:rsidR="00A00F7F">
        <w:t>graduates and other well skilled young people leave the area and do not return to work there</w:t>
      </w:r>
      <w:r>
        <w:t>.</w:t>
      </w:r>
    </w:p>
    <w:p w14:paraId="1CF7232D" w14:textId="77777777" w:rsidR="00515486" w:rsidRDefault="00515486" w:rsidP="00515486">
      <w:pPr>
        <w:pStyle w:val="Caption"/>
      </w:pPr>
      <w:bookmarkStart w:id="72" w:name="_Ref393872257"/>
      <w:r>
        <w:t xml:space="preserve">Figure </w:t>
      </w:r>
      <w:fldSimple w:instr=" STYLEREF 1 \s  \* MERGEFORMAT ">
        <w:r>
          <w:rPr>
            <w:noProof/>
          </w:rPr>
          <w:t>7</w:t>
        </w:r>
      </w:fldSimple>
      <w:r>
        <w:t>-</w:t>
      </w:r>
      <w:fldSimple w:instr=" SEQ Figure \* ARABIC \s 1  \* MERGEFORMAT ">
        <w:r>
          <w:rPr>
            <w:noProof/>
          </w:rPr>
          <w:t>1</w:t>
        </w:r>
      </w:fldSimple>
      <w:bookmarkEnd w:id="72"/>
      <w:r>
        <w:tab/>
        <w:t>% of Working Age Population (16-64) with Level 4 Qualifications</w:t>
      </w:r>
    </w:p>
    <w:p w14:paraId="500D3CE7" w14:textId="77777777" w:rsidR="00515486" w:rsidRDefault="00515486" w:rsidP="00515486">
      <w:r w:rsidRPr="00097BEE">
        <w:rPr>
          <w:noProof/>
          <w:lang w:eastAsia="en-GB"/>
        </w:rPr>
        <w:drawing>
          <wp:inline distT="0" distB="0" distL="0" distR="0" wp14:anchorId="516B7822" wp14:editId="22EC8CAA">
            <wp:extent cx="5743575" cy="2790825"/>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E655AB" w14:textId="77777777" w:rsidR="00515486" w:rsidRDefault="00515486" w:rsidP="00515486">
      <w:pPr>
        <w:pStyle w:val="TableSource"/>
      </w:pPr>
      <w:r>
        <w:t>Source: Annual Population Survey 2014</w:t>
      </w:r>
    </w:p>
    <w:p w14:paraId="6D713C3D" w14:textId="77777777" w:rsidR="00515486" w:rsidRDefault="00515486" w:rsidP="00515486">
      <w:pPr>
        <w:jc w:val="both"/>
      </w:pPr>
      <w:r>
        <w:t>The share of residents with no qualifications has fallen since 2009 (by 2.6%) but not at the same rate as the national average (drop of 3%) (</w:t>
      </w:r>
      <w:r w:rsidR="00F70FD0">
        <w:fldChar w:fldCharType="begin"/>
      </w:r>
      <w:r>
        <w:instrText xml:space="preserve"> REF _Ref393700878 \h </w:instrText>
      </w:r>
      <w:r w:rsidR="00F70FD0">
        <w:fldChar w:fldCharType="separate"/>
      </w:r>
      <w:r>
        <w:t xml:space="preserve">Figure </w:t>
      </w:r>
      <w:r>
        <w:rPr>
          <w:noProof/>
        </w:rPr>
        <w:t>7</w:t>
      </w:r>
      <w:r>
        <w:t>-</w:t>
      </w:r>
      <w:r>
        <w:rPr>
          <w:noProof/>
        </w:rPr>
        <w:t>2</w:t>
      </w:r>
      <w:r w:rsidR="00F70FD0">
        <w:fldChar w:fldCharType="end"/>
      </w:r>
      <w:r>
        <w:t xml:space="preserve">). However, the share of those with no qualifications is more similar to the national average compared with that of Hull’s. </w:t>
      </w:r>
    </w:p>
    <w:p w14:paraId="2C20D610" w14:textId="77777777" w:rsidR="00515486" w:rsidRDefault="00515486" w:rsidP="00515486">
      <w:pPr>
        <w:jc w:val="both"/>
      </w:pPr>
      <w:r w:rsidRPr="00F02E8C">
        <w:t xml:space="preserve">Those with no qualifications are more at risk of not being in paid work </w:t>
      </w:r>
      <w:r w:rsidR="00A00F7F">
        <w:t>or</w:t>
      </w:r>
      <w:r w:rsidRPr="00F02E8C">
        <w:t xml:space="preserve"> receiving low rates of pay</w:t>
      </w:r>
      <w:r>
        <w:t xml:space="preserve">. Employers and education and training providers play an important role through; providing on the job training, pre-employment education and delivering numeracy and literacy courses to support workers. A range of important sectors in North East Lincolnshire provide opportunities for those without qualifications including healthcare (e.g. NHS) and food manufacturing. Food manufacturing also has a range of workforce skills (e.g. fish filleting) which do not require formal education to possess. </w:t>
      </w:r>
    </w:p>
    <w:p w14:paraId="02C0FEDB" w14:textId="77777777" w:rsidR="00515486" w:rsidRDefault="00515486" w:rsidP="00515486">
      <w:pPr>
        <w:jc w:val="both"/>
      </w:pPr>
    </w:p>
    <w:p w14:paraId="40FDBF45" w14:textId="77777777" w:rsidR="00515486" w:rsidRDefault="00515486" w:rsidP="00515486">
      <w:pPr>
        <w:jc w:val="both"/>
      </w:pPr>
    </w:p>
    <w:p w14:paraId="619F9E3F" w14:textId="77777777" w:rsidR="00515486" w:rsidRPr="0003400E" w:rsidRDefault="00515486" w:rsidP="00515486">
      <w:pPr>
        <w:jc w:val="both"/>
      </w:pPr>
    </w:p>
    <w:p w14:paraId="4386C21C" w14:textId="77777777" w:rsidR="00515486" w:rsidRDefault="00515486" w:rsidP="00515486">
      <w:pPr>
        <w:pStyle w:val="Caption"/>
      </w:pPr>
      <w:bookmarkStart w:id="73" w:name="_Ref393700878"/>
      <w:r>
        <w:t xml:space="preserve">Figure </w:t>
      </w:r>
      <w:fldSimple w:instr=" STYLEREF 1 \s  \* MERGEFORMAT ">
        <w:r>
          <w:rPr>
            <w:noProof/>
          </w:rPr>
          <w:t>7</w:t>
        </w:r>
      </w:fldSimple>
      <w:r>
        <w:t>-</w:t>
      </w:r>
      <w:fldSimple w:instr=" SEQ Figure \* ARABIC \s 1  \* MERGEFORMAT ">
        <w:r>
          <w:rPr>
            <w:noProof/>
          </w:rPr>
          <w:t>2</w:t>
        </w:r>
      </w:fldSimple>
      <w:bookmarkEnd w:id="73"/>
      <w:r>
        <w:tab/>
        <w:t>% of Working Age Population (16-64) with No Qualifications</w:t>
      </w:r>
    </w:p>
    <w:p w14:paraId="23D1833E" w14:textId="77777777" w:rsidR="00515486" w:rsidRDefault="00515486" w:rsidP="00515486">
      <w:r w:rsidRPr="00097BEE">
        <w:rPr>
          <w:noProof/>
          <w:lang w:eastAsia="en-GB"/>
        </w:rPr>
        <w:drawing>
          <wp:inline distT="0" distB="0" distL="0" distR="0" wp14:anchorId="67DD2734" wp14:editId="2A35E0BD">
            <wp:extent cx="5896720" cy="2743200"/>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A4978C" w14:textId="77777777" w:rsidR="00515486" w:rsidRDefault="00515486" w:rsidP="00515486">
      <w:pPr>
        <w:pStyle w:val="TableSource"/>
      </w:pPr>
      <w:r>
        <w:t>Source: Annual Population Survey 2014</w:t>
      </w:r>
    </w:p>
    <w:p w14:paraId="4056AE46" w14:textId="77777777" w:rsidR="00515486" w:rsidRDefault="00515486" w:rsidP="00515486">
      <w:pPr>
        <w:pStyle w:val="Heading2"/>
        <w:numPr>
          <w:ilvl w:val="1"/>
          <w:numId w:val="4"/>
        </w:numPr>
      </w:pPr>
      <w:bookmarkStart w:id="74" w:name="_Toc394327700"/>
      <w:r>
        <w:t>Apprenticeships</w:t>
      </w:r>
      <w:bookmarkEnd w:id="74"/>
      <w:r>
        <w:t xml:space="preserve"> </w:t>
      </w:r>
    </w:p>
    <w:p w14:paraId="58689A28" w14:textId="77777777" w:rsidR="00515486" w:rsidRDefault="00515486" w:rsidP="00515486">
      <w:pPr>
        <w:jc w:val="both"/>
      </w:pPr>
      <w:r>
        <w:t>An apprenticeship provides people with the opportunity to gain on-the-job experience whilst working towards a nationally recognised qualification. Apprenticeships are becoming an increasingly popular route into employment across the UK and the UK Government is working to improve quality of delivery and increase the number of people in apprenticeships.</w:t>
      </w:r>
    </w:p>
    <w:p w14:paraId="3FEECB7F" w14:textId="77777777" w:rsidR="00515486" w:rsidRPr="00061050" w:rsidRDefault="00515486" w:rsidP="00515486">
      <w:pPr>
        <w:jc w:val="both"/>
      </w:pPr>
      <w:r>
        <w:t xml:space="preserve">There has been an increase in apprenticeship take up since 2005/06 in North East Lincolnshire. However, data shows that there has been a slight decline in apprenticeships take up between 2011/12 and 2012/13. This has occurred across all areas apart from North Lincolnshire, which was able to maintain its increase in apprenticeship take up. It has been suggested that the delivery and take-up of apprenticeships is challenged by changes to funding and assessment. However, the experience of North Lincolnshire suggests that some areas are able to manage these issues and continue the improvement in apprenticeship take-up. </w:t>
      </w:r>
    </w:p>
    <w:p w14:paraId="47018E3E" w14:textId="77777777" w:rsidR="00515486" w:rsidRPr="00CF75B2" w:rsidRDefault="00515486" w:rsidP="00515486">
      <w:pPr>
        <w:pStyle w:val="TableTitle"/>
        <w:numPr>
          <w:ilvl w:val="0"/>
          <w:numId w:val="0"/>
        </w:numPr>
        <w:ind w:left="1021" w:hanging="1021"/>
      </w:pPr>
      <w:bookmarkStart w:id="75" w:name="_Ref393794114"/>
      <w:r>
        <w:t xml:space="preserve">Table </w:t>
      </w:r>
      <w:fldSimple w:instr=" STYLEREF 1 \s  \* MERGEFORMAT ">
        <w:r>
          <w:rPr>
            <w:noProof/>
          </w:rPr>
          <w:t>7</w:t>
        </w:r>
      </w:fldSimple>
      <w:r>
        <w:t>-</w:t>
      </w:r>
      <w:fldSimple w:instr=" SEQ Table \* ARABIC \s 1  \* MERGEFORMAT ">
        <w:r>
          <w:rPr>
            <w:noProof/>
          </w:rPr>
          <w:t>1</w:t>
        </w:r>
      </w:fldSimple>
      <w:bookmarkEnd w:id="75"/>
      <w:r>
        <w:tab/>
      </w:r>
      <w:r w:rsidRPr="00CD494F">
        <w:t>Apprenticeship Programme Starts by Local Authority (2005/06 to 201</w:t>
      </w:r>
      <w:r>
        <w:t>2</w:t>
      </w:r>
      <w:r w:rsidRPr="00CD494F">
        <w:t>/1</w:t>
      </w:r>
      <w:r>
        <w:t>3</w:t>
      </w:r>
      <w:r w:rsidRPr="00CD494F">
        <w:t>)</w:t>
      </w:r>
    </w:p>
    <w:tbl>
      <w:tblPr>
        <w:tblStyle w:val="Atkins14pt"/>
        <w:tblW w:w="9952" w:type="dxa"/>
        <w:tblLook w:val="04A0" w:firstRow="1" w:lastRow="0" w:firstColumn="1" w:lastColumn="0" w:noHBand="0" w:noVBand="1"/>
      </w:tblPr>
      <w:tblGrid>
        <w:gridCol w:w="2552"/>
        <w:gridCol w:w="925"/>
        <w:gridCol w:w="925"/>
        <w:gridCol w:w="925"/>
        <w:gridCol w:w="925"/>
        <w:gridCol w:w="925"/>
        <w:gridCol w:w="925"/>
        <w:gridCol w:w="925"/>
        <w:gridCol w:w="925"/>
      </w:tblGrid>
      <w:tr w:rsidR="00515486" w:rsidRPr="00CD494F" w14:paraId="0DB3040C" w14:textId="77777777" w:rsidTr="004D5D2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552" w:type="dxa"/>
            <w:noWrap/>
            <w:hideMark/>
          </w:tcPr>
          <w:p w14:paraId="21BAC8D3" w14:textId="77777777" w:rsidR="00515486" w:rsidRPr="003562BC" w:rsidRDefault="00515486" w:rsidP="004D5D22">
            <w:pPr>
              <w:spacing w:after="0"/>
              <w:rPr>
                <w:rFonts w:eastAsia="Times New Roman"/>
                <w:color w:val="auto"/>
              </w:rPr>
            </w:pPr>
            <w:r w:rsidRPr="003562BC">
              <w:rPr>
                <w:rFonts w:eastAsia="Times New Roman"/>
                <w:color w:val="auto"/>
              </w:rPr>
              <w:t>Geography</w:t>
            </w:r>
          </w:p>
        </w:tc>
        <w:tc>
          <w:tcPr>
            <w:tcW w:w="925" w:type="dxa"/>
            <w:noWrap/>
            <w:hideMark/>
          </w:tcPr>
          <w:p w14:paraId="15B71A80" w14:textId="77777777" w:rsidR="00515486" w:rsidRPr="003562BC"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2005/06</w:t>
            </w:r>
          </w:p>
        </w:tc>
        <w:tc>
          <w:tcPr>
            <w:tcW w:w="925" w:type="dxa"/>
            <w:noWrap/>
            <w:hideMark/>
          </w:tcPr>
          <w:p w14:paraId="2C805DCB" w14:textId="77777777" w:rsidR="00515486" w:rsidRPr="003562BC"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2006/07</w:t>
            </w:r>
          </w:p>
        </w:tc>
        <w:tc>
          <w:tcPr>
            <w:tcW w:w="925" w:type="dxa"/>
            <w:noWrap/>
            <w:hideMark/>
          </w:tcPr>
          <w:p w14:paraId="539AFE8D" w14:textId="77777777" w:rsidR="00515486" w:rsidRPr="003562BC"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2007/08</w:t>
            </w:r>
          </w:p>
        </w:tc>
        <w:tc>
          <w:tcPr>
            <w:tcW w:w="925" w:type="dxa"/>
            <w:noWrap/>
            <w:hideMark/>
          </w:tcPr>
          <w:p w14:paraId="7C243DD6" w14:textId="77777777" w:rsidR="00515486" w:rsidRPr="003562BC"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2008/09</w:t>
            </w:r>
          </w:p>
        </w:tc>
        <w:tc>
          <w:tcPr>
            <w:tcW w:w="925" w:type="dxa"/>
            <w:noWrap/>
            <w:hideMark/>
          </w:tcPr>
          <w:p w14:paraId="15653A0C" w14:textId="77777777" w:rsidR="00515486" w:rsidRPr="003562BC"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2009/10</w:t>
            </w:r>
          </w:p>
        </w:tc>
        <w:tc>
          <w:tcPr>
            <w:tcW w:w="925" w:type="dxa"/>
            <w:noWrap/>
            <w:hideMark/>
          </w:tcPr>
          <w:p w14:paraId="6770A936" w14:textId="77777777" w:rsidR="00515486" w:rsidRPr="003562BC"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2010/11</w:t>
            </w:r>
          </w:p>
        </w:tc>
        <w:tc>
          <w:tcPr>
            <w:tcW w:w="925" w:type="dxa"/>
            <w:noWrap/>
            <w:hideMark/>
          </w:tcPr>
          <w:p w14:paraId="68186810" w14:textId="77777777" w:rsidR="00515486" w:rsidRPr="003562BC"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2011/12</w:t>
            </w:r>
          </w:p>
        </w:tc>
        <w:tc>
          <w:tcPr>
            <w:tcW w:w="925" w:type="dxa"/>
            <w:noWrap/>
            <w:hideMark/>
          </w:tcPr>
          <w:p w14:paraId="0B5D19CA" w14:textId="77777777" w:rsidR="00515486" w:rsidRPr="003562BC" w:rsidRDefault="00515486" w:rsidP="00F832A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2012/13</w:t>
            </w:r>
          </w:p>
        </w:tc>
      </w:tr>
      <w:tr w:rsidR="00515486" w:rsidRPr="00CD494F" w14:paraId="3839B61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7AEF38A" w14:textId="77777777" w:rsidR="00515486" w:rsidRPr="003562BC" w:rsidRDefault="00515486" w:rsidP="004D5D22">
            <w:pPr>
              <w:spacing w:after="0"/>
              <w:rPr>
                <w:rFonts w:eastAsia="Times New Roman"/>
                <w:color w:val="auto"/>
              </w:rPr>
            </w:pPr>
            <w:r w:rsidRPr="003562BC">
              <w:rPr>
                <w:rFonts w:eastAsia="Times New Roman"/>
                <w:color w:val="auto"/>
              </w:rPr>
              <w:t>Kingston upon Hull</w:t>
            </w:r>
          </w:p>
        </w:tc>
        <w:tc>
          <w:tcPr>
            <w:tcW w:w="925" w:type="dxa"/>
            <w:noWrap/>
            <w:hideMark/>
          </w:tcPr>
          <w:p w14:paraId="7DC1AAEE"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1,400</w:t>
            </w:r>
          </w:p>
        </w:tc>
        <w:tc>
          <w:tcPr>
            <w:tcW w:w="925" w:type="dxa"/>
            <w:noWrap/>
            <w:hideMark/>
          </w:tcPr>
          <w:p w14:paraId="09C75657"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1,310</w:t>
            </w:r>
          </w:p>
        </w:tc>
        <w:tc>
          <w:tcPr>
            <w:tcW w:w="925" w:type="dxa"/>
            <w:noWrap/>
            <w:hideMark/>
          </w:tcPr>
          <w:p w14:paraId="3F47EE0B"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1,590</w:t>
            </w:r>
          </w:p>
        </w:tc>
        <w:tc>
          <w:tcPr>
            <w:tcW w:w="925" w:type="dxa"/>
            <w:noWrap/>
            <w:hideMark/>
          </w:tcPr>
          <w:p w14:paraId="4583FCCE"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1,790</w:t>
            </w:r>
          </w:p>
        </w:tc>
        <w:tc>
          <w:tcPr>
            <w:tcW w:w="925" w:type="dxa"/>
            <w:noWrap/>
            <w:hideMark/>
          </w:tcPr>
          <w:p w14:paraId="73863862"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1,970</w:t>
            </w:r>
          </w:p>
        </w:tc>
        <w:tc>
          <w:tcPr>
            <w:tcW w:w="925" w:type="dxa"/>
            <w:noWrap/>
            <w:hideMark/>
          </w:tcPr>
          <w:p w14:paraId="7F2E07BA"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3,170</w:t>
            </w:r>
          </w:p>
        </w:tc>
        <w:tc>
          <w:tcPr>
            <w:tcW w:w="925" w:type="dxa"/>
            <w:noWrap/>
            <w:hideMark/>
          </w:tcPr>
          <w:p w14:paraId="23EB5BCA"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3,440</w:t>
            </w:r>
          </w:p>
        </w:tc>
        <w:tc>
          <w:tcPr>
            <w:tcW w:w="925" w:type="dxa"/>
            <w:noWrap/>
            <w:hideMark/>
          </w:tcPr>
          <w:p w14:paraId="172D198B"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3,200</w:t>
            </w:r>
          </w:p>
        </w:tc>
      </w:tr>
      <w:tr w:rsidR="00515486" w:rsidRPr="00CD494F" w14:paraId="1EC0F95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90AC2CF" w14:textId="77777777" w:rsidR="00515486" w:rsidRPr="003562BC" w:rsidRDefault="00515486" w:rsidP="004D5D22">
            <w:pPr>
              <w:spacing w:after="0"/>
              <w:rPr>
                <w:rFonts w:eastAsia="Times New Roman"/>
                <w:color w:val="auto"/>
              </w:rPr>
            </w:pPr>
            <w:r w:rsidRPr="003562BC">
              <w:rPr>
                <w:rFonts w:eastAsia="Times New Roman"/>
                <w:color w:val="auto"/>
              </w:rPr>
              <w:t>North East Lincolnshire</w:t>
            </w:r>
          </w:p>
        </w:tc>
        <w:tc>
          <w:tcPr>
            <w:tcW w:w="925" w:type="dxa"/>
            <w:noWrap/>
            <w:hideMark/>
          </w:tcPr>
          <w:p w14:paraId="4CE032C0"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540</w:t>
            </w:r>
          </w:p>
        </w:tc>
        <w:tc>
          <w:tcPr>
            <w:tcW w:w="925" w:type="dxa"/>
            <w:noWrap/>
            <w:hideMark/>
          </w:tcPr>
          <w:p w14:paraId="5007C864"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610</w:t>
            </w:r>
          </w:p>
        </w:tc>
        <w:tc>
          <w:tcPr>
            <w:tcW w:w="925" w:type="dxa"/>
            <w:noWrap/>
            <w:hideMark/>
          </w:tcPr>
          <w:p w14:paraId="559F7998"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850</w:t>
            </w:r>
          </w:p>
        </w:tc>
        <w:tc>
          <w:tcPr>
            <w:tcW w:w="925" w:type="dxa"/>
            <w:noWrap/>
            <w:hideMark/>
          </w:tcPr>
          <w:p w14:paraId="6208B12E"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740</w:t>
            </w:r>
          </w:p>
        </w:tc>
        <w:tc>
          <w:tcPr>
            <w:tcW w:w="925" w:type="dxa"/>
            <w:noWrap/>
            <w:hideMark/>
          </w:tcPr>
          <w:p w14:paraId="0282204F"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890</w:t>
            </w:r>
          </w:p>
        </w:tc>
        <w:tc>
          <w:tcPr>
            <w:tcW w:w="925" w:type="dxa"/>
            <w:noWrap/>
            <w:hideMark/>
          </w:tcPr>
          <w:p w14:paraId="551E2E12"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1,330</w:t>
            </w:r>
          </w:p>
        </w:tc>
        <w:tc>
          <w:tcPr>
            <w:tcW w:w="925" w:type="dxa"/>
            <w:noWrap/>
            <w:hideMark/>
          </w:tcPr>
          <w:p w14:paraId="01DA4B4D"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1,660</w:t>
            </w:r>
          </w:p>
        </w:tc>
        <w:tc>
          <w:tcPr>
            <w:tcW w:w="925" w:type="dxa"/>
            <w:noWrap/>
            <w:hideMark/>
          </w:tcPr>
          <w:p w14:paraId="2E877C86"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1,590</w:t>
            </w:r>
          </w:p>
        </w:tc>
      </w:tr>
      <w:tr w:rsidR="00515486" w:rsidRPr="00CD494F" w14:paraId="1E5C4D6D" w14:textId="77777777" w:rsidTr="004D5D22">
        <w:trPr>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C29AB0F" w14:textId="77777777" w:rsidR="00515486" w:rsidRPr="003562BC" w:rsidRDefault="00515486" w:rsidP="004D5D22">
            <w:pPr>
              <w:spacing w:after="0"/>
              <w:rPr>
                <w:rFonts w:eastAsia="Times New Roman"/>
                <w:color w:val="auto"/>
              </w:rPr>
            </w:pPr>
            <w:r w:rsidRPr="003562BC">
              <w:rPr>
                <w:rFonts w:eastAsia="Times New Roman"/>
                <w:color w:val="auto"/>
              </w:rPr>
              <w:t>North Lincolnshire</w:t>
            </w:r>
          </w:p>
        </w:tc>
        <w:tc>
          <w:tcPr>
            <w:tcW w:w="925" w:type="dxa"/>
            <w:noWrap/>
            <w:hideMark/>
          </w:tcPr>
          <w:p w14:paraId="15944A59"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630</w:t>
            </w:r>
          </w:p>
        </w:tc>
        <w:tc>
          <w:tcPr>
            <w:tcW w:w="925" w:type="dxa"/>
            <w:noWrap/>
            <w:hideMark/>
          </w:tcPr>
          <w:p w14:paraId="74F50162"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750</w:t>
            </w:r>
          </w:p>
        </w:tc>
        <w:tc>
          <w:tcPr>
            <w:tcW w:w="925" w:type="dxa"/>
            <w:noWrap/>
            <w:hideMark/>
          </w:tcPr>
          <w:p w14:paraId="7643109F"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960</w:t>
            </w:r>
          </w:p>
        </w:tc>
        <w:tc>
          <w:tcPr>
            <w:tcW w:w="925" w:type="dxa"/>
            <w:noWrap/>
            <w:hideMark/>
          </w:tcPr>
          <w:p w14:paraId="05E1A611"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810</w:t>
            </w:r>
          </w:p>
        </w:tc>
        <w:tc>
          <w:tcPr>
            <w:tcW w:w="925" w:type="dxa"/>
            <w:noWrap/>
            <w:hideMark/>
          </w:tcPr>
          <w:p w14:paraId="3CAC88DB"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930</w:t>
            </w:r>
          </w:p>
        </w:tc>
        <w:tc>
          <w:tcPr>
            <w:tcW w:w="925" w:type="dxa"/>
            <w:noWrap/>
            <w:hideMark/>
          </w:tcPr>
          <w:p w14:paraId="420B199E"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1,520</w:t>
            </w:r>
          </w:p>
        </w:tc>
        <w:tc>
          <w:tcPr>
            <w:tcW w:w="925" w:type="dxa"/>
            <w:noWrap/>
            <w:hideMark/>
          </w:tcPr>
          <w:p w14:paraId="3EE296FE"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1,700</w:t>
            </w:r>
          </w:p>
        </w:tc>
        <w:tc>
          <w:tcPr>
            <w:tcW w:w="925" w:type="dxa"/>
            <w:noWrap/>
            <w:hideMark/>
          </w:tcPr>
          <w:p w14:paraId="15C76AE3"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3562BC">
              <w:rPr>
                <w:rFonts w:eastAsia="Times New Roman"/>
                <w:color w:val="auto"/>
              </w:rPr>
              <w:t>1,820</w:t>
            </w:r>
          </w:p>
        </w:tc>
      </w:tr>
      <w:tr w:rsidR="00515486" w:rsidRPr="00CD494F" w14:paraId="59B53748"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6130299" w14:textId="77777777" w:rsidR="00515486" w:rsidRPr="003562BC" w:rsidRDefault="00515486" w:rsidP="004D5D22">
            <w:pPr>
              <w:spacing w:after="0"/>
              <w:rPr>
                <w:rFonts w:eastAsia="Times New Roman"/>
                <w:color w:val="auto"/>
              </w:rPr>
            </w:pPr>
            <w:r w:rsidRPr="003562BC">
              <w:rPr>
                <w:rFonts w:eastAsia="Times New Roman"/>
                <w:color w:val="auto"/>
              </w:rPr>
              <w:t>Yorkshire</w:t>
            </w:r>
          </w:p>
        </w:tc>
        <w:tc>
          <w:tcPr>
            <w:tcW w:w="925" w:type="dxa"/>
            <w:noWrap/>
            <w:hideMark/>
          </w:tcPr>
          <w:p w14:paraId="325783AC"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22,420</w:t>
            </w:r>
          </w:p>
        </w:tc>
        <w:tc>
          <w:tcPr>
            <w:tcW w:w="925" w:type="dxa"/>
            <w:noWrap/>
            <w:hideMark/>
          </w:tcPr>
          <w:p w14:paraId="62631A06"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24,140</w:t>
            </w:r>
          </w:p>
        </w:tc>
        <w:tc>
          <w:tcPr>
            <w:tcW w:w="925" w:type="dxa"/>
            <w:noWrap/>
            <w:hideMark/>
          </w:tcPr>
          <w:p w14:paraId="0EEA4F65"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29,300</w:t>
            </w:r>
          </w:p>
        </w:tc>
        <w:tc>
          <w:tcPr>
            <w:tcW w:w="925" w:type="dxa"/>
            <w:noWrap/>
            <w:hideMark/>
          </w:tcPr>
          <w:p w14:paraId="4DF488CB"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32,170</w:t>
            </w:r>
          </w:p>
        </w:tc>
        <w:tc>
          <w:tcPr>
            <w:tcW w:w="925" w:type="dxa"/>
            <w:noWrap/>
            <w:hideMark/>
          </w:tcPr>
          <w:p w14:paraId="3930A8F1"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36,530</w:t>
            </w:r>
          </w:p>
        </w:tc>
        <w:tc>
          <w:tcPr>
            <w:tcW w:w="925" w:type="dxa"/>
            <w:noWrap/>
            <w:hideMark/>
          </w:tcPr>
          <w:p w14:paraId="1ACDED2F"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55,800</w:t>
            </w:r>
          </w:p>
        </w:tc>
        <w:tc>
          <w:tcPr>
            <w:tcW w:w="925" w:type="dxa"/>
            <w:noWrap/>
            <w:hideMark/>
          </w:tcPr>
          <w:p w14:paraId="6910F06D"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64,200</w:t>
            </w:r>
          </w:p>
        </w:tc>
        <w:tc>
          <w:tcPr>
            <w:tcW w:w="925" w:type="dxa"/>
            <w:noWrap/>
            <w:hideMark/>
          </w:tcPr>
          <w:p w14:paraId="49E462F5"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59,900</w:t>
            </w:r>
          </w:p>
        </w:tc>
      </w:tr>
      <w:tr w:rsidR="00515486" w:rsidRPr="00CD494F" w14:paraId="63289C7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8169CAD" w14:textId="77777777" w:rsidR="00515486" w:rsidRPr="003562BC" w:rsidRDefault="00515486" w:rsidP="004D5D22">
            <w:pPr>
              <w:spacing w:after="0"/>
              <w:rPr>
                <w:rFonts w:eastAsia="Times New Roman"/>
                <w:color w:val="auto"/>
              </w:rPr>
            </w:pPr>
            <w:r w:rsidRPr="003562BC">
              <w:rPr>
                <w:rFonts w:eastAsia="Times New Roman"/>
                <w:color w:val="auto"/>
              </w:rPr>
              <w:t>England</w:t>
            </w:r>
          </w:p>
        </w:tc>
        <w:tc>
          <w:tcPr>
            <w:tcW w:w="925" w:type="dxa"/>
            <w:noWrap/>
            <w:hideMark/>
          </w:tcPr>
          <w:p w14:paraId="36855252"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172,600</w:t>
            </w:r>
          </w:p>
        </w:tc>
        <w:tc>
          <w:tcPr>
            <w:tcW w:w="925" w:type="dxa"/>
            <w:noWrap/>
            <w:hideMark/>
          </w:tcPr>
          <w:p w14:paraId="33B3D37B"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181,800</w:t>
            </w:r>
          </w:p>
        </w:tc>
        <w:tc>
          <w:tcPr>
            <w:tcW w:w="925" w:type="dxa"/>
            <w:noWrap/>
            <w:hideMark/>
          </w:tcPr>
          <w:p w14:paraId="14C4D84C"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221,500</w:t>
            </w:r>
          </w:p>
        </w:tc>
        <w:tc>
          <w:tcPr>
            <w:tcW w:w="925" w:type="dxa"/>
            <w:noWrap/>
            <w:hideMark/>
          </w:tcPr>
          <w:p w14:paraId="5EAAA171"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237,100</w:t>
            </w:r>
          </w:p>
        </w:tc>
        <w:tc>
          <w:tcPr>
            <w:tcW w:w="925" w:type="dxa"/>
            <w:noWrap/>
            <w:hideMark/>
          </w:tcPr>
          <w:p w14:paraId="530050FA"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276,900</w:t>
            </w:r>
          </w:p>
        </w:tc>
        <w:tc>
          <w:tcPr>
            <w:tcW w:w="925" w:type="dxa"/>
            <w:noWrap/>
            <w:hideMark/>
          </w:tcPr>
          <w:p w14:paraId="4E2F7A5C"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453,000</w:t>
            </w:r>
          </w:p>
        </w:tc>
        <w:tc>
          <w:tcPr>
            <w:tcW w:w="925" w:type="dxa"/>
            <w:noWrap/>
            <w:hideMark/>
          </w:tcPr>
          <w:p w14:paraId="0E75F8B6"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515,000</w:t>
            </w:r>
          </w:p>
        </w:tc>
        <w:tc>
          <w:tcPr>
            <w:tcW w:w="925" w:type="dxa"/>
            <w:noWrap/>
            <w:hideMark/>
          </w:tcPr>
          <w:p w14:paraId="5ED31710" w14:textId="77777777" w:rsidR="00515486" w:rsidRPr="003562BC"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3562BC">
              <w:rPr>
                <w:rFonts w:eastAsia="Times New Roman"/>
                <w:bCs/>
                <w:color w:val="auto"/>
              </w:rPr>
              <w:t>504,200</w:t>
            </w:r>
          </w:p>
        </w:tc>
      </w:tr>
    </w:tbl>
    <w:p w14:paraId="2806C73D" w14:textId="77777777" w:rsidR="00515486" w:rsidRDefault="00515486" w:rsidP="00515486">
      <w:pPr>
        <w:pStyle w:val="TableSource"/>
      </w:pPr>
      <w:r>
        <w:t xml:space="preserve"> Source: Skills Funding Agency and Department for Business, Innovation and Skills, 2013 </w:t>
      </w:r>
    </w:p>
    <w:p w14:paraId="2716325F" w14:textId="77777777" w:rsidR="00515486" w:rsidRDefault="00515486" w:rsidP="00515486">
      <w:pPr>
        <w:pStyle w:val="Heading2"/>
        <w:numPr>
          <w:ilvl w:val="1"/>
          <w:numId w:val="4"/>
        </w:numPr>
      </w:pPr>
      <w:bookmarkStart w:id="76" w:name="_Toc394327701"/>
      <w:r>
        <w:t>Skills Gaps and Shortages</w:t>
      </w:r>
      <w:bookmarkEnd w:id="76"/>
    </w:p>
    <w:p w14:paraId="19973DBB" w14:textId="77777777" w:rsidR="00515486" w:rsidRDefault="00515486" w:rsidP="00515486">
      <w:pPr>
        <w:jc w:val="both"/>
      </w:pPr>
      <w:r>
        <w:t xml:space="preserve">Skills shortages arise when employers find it difficult to fill their vacancies with appropriately skilled applicants. Skills gaps occur where members of the existing workforce are seen to lack the skills necessary to meet business needs. Research by the UK Commission for Employment and Skills (UKCES) has identified across all local authorities in England the extent to which skills gaps and shortages exist. </w:t>
      </w:r>
    </w:p>
    <w:p w14:paraId="5A27F2E4" w14:textId="77777777" w:rsidR="00515486" w:rsidRDefault="00AA08C5" w:rsidP="00515486">
      <w:pPr>
        <w:jc w:val="both"/>
      </w:pPr>
      <w:r>
        <w:fldChar w:fldCharType="begin"/>
      </w:r>
      <w:r>
        <w:instrText xml:space="preserve"> REF _Ref393449349 \h  \* MERGEFORMAT </w:instrText>
      </w:r>
      <w:r>
        <w:fldChar w:fldCharType="separate"/>
      </w:r>
      <w:r w:rsidR="00515486">
        <w:t xml:space="preserve">Table </w:t>
      </w:r>
      <w:r w:rsidR="00515486">
        <w:rPr>
          <w:noProof/>
        </w:rPr>
        <w:t>7-2</w:t>
      </w:r>
      <w:r>
        <w:fldChar w:fldCharType="end"/>
      </w:r>
      <w:r w:rsidR="00515486">
        <w:t xml:space="preserve"> shows the extent to which skills gaps exist across the business base in North East Lincolnshire (and comparator area). It shows that in comparison with the national average (5%), there is a lower proportion of businesses in North East Lincolnshire (4%) with skills gaps.  This may be connected to a range of factors including:</w:t>
      </w:r>
    </w:p>
    <w:p w14:paraId="499E0B5D" w14:textId="77777777" w:rsidR="00515486" w:rsidRPr="001D44F7" w:rsidRDefault="00515486" w:rsidP="00515486">
      <w:pPr>
        <w:pStyle w:val="ListBulletLast"/>
        <w:numPr>
          <w:ilvl w:val="0"/>
          <w:numId w:val="16"/>
        </w:numPr>
        <w:jc w:val="both"/>
      </w:pPr>
      <w:r>
        <w:t>T</w:t>
      </w:r>
      <w:r w:rsidRPr="001D44F7">
        <w:t xml:space="preserve">raining delivery </w:t>
      </w:r>
      <w:r>
        <w:t xml:space="preserve">within firms </w:t>
      </w:r>
      <w:r w:rsidRPr="001D44F7">
        <w:t xml:space="preserve">is sufficient and helps to address skills gaps. This is supported by </w:t>
      </w:r>
      <w:r w:rsidR="00AA08C5">
        <w:fldChar w:fldCharType="begin"/>
      </w:r>
      <w:r w:rsidR="00AA08C5">
        <w:instrText xml:space="preserve"> REF _Ref393449349 \h  \* MERGEFORMAT </w:instrText>
      </w:r>
      <w:r w:rsidR="00AA08C5">
        <w:fldChar w:fldCharType="separate"/>
      </w:r>
      <w:r>
        <w:t xml:space="preserve">Table </w:t>
      </w:r>
      <w:r>
        <w:rPr>
          <w:noProof/>
        </w:rPr>
        <w:t>7-2</w:t>
      </w:r>
      <w:r w:rsidR="00AA08C5">
        <w:fldChar w:fldCharType="end"/>
      </w:r>
      <w:r>
        <w:t xml:space="preserve"> </w:t>
      </w:r>
      <w:r w:rsidRPr="001D44F7">
        <w:t xml:space="preserve">which shows that the incidence of training is higher in North East Lincolnshire (and the Humber) suggesting that this is addressing skills gaps. </w:t>
      </w:r>
    </w:p>
    <w:p w14:paraId="4F26D643" w14:textId="77777777" w:rsidR="00515486" w:rsidRPr="001D44F7" w:rsidRDefault="00515486" w:rsidP="00515486">
      <w:pPr>
        <w:pStyle w:val="ListBulletLast"/>
        <w:numPr>
          <w:ilvl w:val="0"/>
          <w:numId w:val="16"/>
        </w:numPr>
        <w:jc w:val="both"/>
      </w:pPr>
      <w:r w:rsidRPr="001D44F7">
        <w:t>Low incidence of skills gaps can also be linked to the strong performance of local education and training providers. The key sector report explores this in connection to the key sectors</w:t>
      </w:r>
      <w:r>
        <w:t>.</w:t>
      </w:r>
    </w:p>
    <w:p w14:paraId="1FF69C43" w14:textId="77777777" w:rsidR="00515486" w:rsidRDefault="00515486" w:rsidP="00515486">
      <w:pPr>
        <w:pStyle w:val="TableTitle"/>
        <w:numPr>
          <w:ilvl w:val="0"/>
          <w:numId w:val="0"/>
        </w:numPr>
        <w:ind w:left="1021" w:hanging="1021"/>
      </w:pPr>
      <w:bookmarkStart w:id="77" w:name="_Ref393449349"/>
      <w:r>
        <w:t xml:space="preserve">Table </w:t>
      </w:r>
      <w:fldSimple w:instr=" STYLEREF 1 \s  \* MERGEFORMAT ">
        <w:r>
          <w:rPr>
            <w:noProof/>
          </w:rPr>
          <w:t>7</w:t>
        </w:r>
      </w:fldSimple>
      <w:r>
        <w:t>-</w:t>
      </w:r>
      <w:fldSimple w:instr=" SEQ Table \* ARABIC \s 1  \* MERGEFORMAT ">
        <w:r>
          <w:rPr>
            <w:noProof/>
          </w:rPr>
          <w:t>2</w:t>
        </w:r>
      </w:fldSimple>
      <w:bookmarkEnd w:id="77"/>
      <w:r>
        <w:tab/>
        <w:t>Skills Characteristics of Workforce</w:t>
      </w:r>
    </w:p>
    <w:tbl>
      <w:tblPr>
        <w:tblStyle w:val="Atkins14pt"/>
        <w:tblW w:w="10065" w:type="dxa"/>
        <w:tblLayout w:type="fixed"/>
        <w:tblLook w:val="04A0" w:firstRow="1" w:lastRow="0" w:firstColumn="1" w:lastColumn="0" w:noHBand="0" w:noVBand="1"/>
      </w:tblPr>
      <w:tblGrid>
        <w:gridCol w:w="3828"/>
        <w:gridCol w:w="1304"/>
        <w:gridCol w:w="1304"/>
        <w:gridCol w:w="1305"/>
        <w:gridCol w:w="1304"/>
        <w:gridCol w:w="1020"/>
      </w:tblGrid>
      <w:tr w:rsidR="00515486" w14:paraId="60615041" w14:textId="77777777" w:rsidTr="004D5D22">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3828" w:type="dxa"/>
            <w:tcBorders>
              <w:top w:val="single" w:sz="2" w:space="0" w:color="000000" w:themeColor="text1"/>
              <w:left w:val="single" w:sz="2" w:space="0" w:color="000000" w:themeColor="text1"/>
              <w:bottom w:val="single" w:sz="4" w:space="0" w:color="000000" w:themeColor="text1"/>
              <w:right w:val="single" w:sz="2" w:space="0" w:color="000000" w:themeColor="text1"/>
            </w:tcBorders>
            <w:noWrap/>
            <w:hideMark/>
          </w:tcPr>
          <w:p w14:paraId="52D57A99" w14:textId="77777777" w:rsidR="00515486" w:rsidRPr="003562BC" w:rsidRDefault="00515486" w:rsidP="004D5D22">
            <w:pPr>
              <w:pStyle w:val="TableHeading"/>
              <w:rPr>
                <w:color w:val="auto"/>
              </w:rPr>
            </w:pPr>
            <w:r w:rsidRPr="003562BC">
              <w:rPr>
                <w:color w:val="auto"/>
              </w:rPr>
              <w:t xml:space="preserve">Skills  </w:t>
            </w:r>
            <w:r>
              <w:rPr>
                <w:color w:val="auto"/>
              </w:rPr>
              <w:t>Issue</w:t>
            </w:r>
          </w:p>
        </w:tc>
        <w:tc>
          <w:tcPr>
            <w:tcW w:w="1304" w:type="dxa"/>
            <w:tcBorders>
              <w:top w:val="single" w:sz="2" w:space="0" w:color="000000" w:themeColor="text1"/>
              <w:left w:val="single" w:sz="2" w:space="0" w:color="000000" w:themeColor="text1"/>
              <w:bottom w:val="single" w:sz="4" w:space="0" w:color="000000" w:themeColor="text1"/>
              <w:right w:val="single" w:sz="2" w:space="0" w:color="000000" w:themeColor="text1"/>
            </w:tcBorders>
            <w:noWrap/>
            <w:hideMark/>
          </w:tcPr>
          <w:p w14:paraId="62CD2BA0" w14:textId="77777777" w:rsidR="00515486" w:rsidRPr="003562BC" w:rsidRDefault="00515486" w:rsidP="00F832A6">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3562BC">
              <w:rPr>
                <w:color w:val="auto"/>
              </w:rPr>
              <w:t>Kingston upon Hull</w:t>
            </w:r>
          </w:p>
        </w:tc>
        <w:tc>
          <w:tcPr>
            <w:tcW w:w="1304" w:type="dxa"/>
            <w:tcBorders>
              <w:top w:val="single" w:sz="2" w:space="0" w:color="000000" w:themeColor="text1"/>
              <w:left w:val="single" w:sz="2" w:space="0" w:color="000000" w:themeColor="text1"/>
              <w:bottom w:val="single" w:sz="4" w:space="0" w:color="000000" w:themeColor="text1"/>
              <w:right w:val="single" w:sz="2" w:space="0" w:color="000000" w:themeColor="text1"/>
            </w:tcBorders>
            <w:noWrap/>
            <w:hideMark/>
          </w:tcPr>
          <w:p w14:paraId="740F967A" w14:textId="77777777" w:rsidR="00515486" w:rsidRPr="003562BC" w:rsidRDefault="00515486" w:rsidP="00F832A6">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3562BC">
              <w:rPr>
                <w:color w:val="auto"/>
              </w:rPr>
              <w:t>East Riding of Yorks.</w:t>
            </w:r>
          </w:p>
        </w:tc>
        <w:tc>
          <w:tcPr>
            <w:tcW w:w="1305" w:type="dxa"/>
            <w:tcBorders>
              <w:top w:val="single" w:sz="2" w:space="0" w:color="000000" w:themeColor="text1"/>
              <w:left w:val="single" w:sz="2" w:space="0" w:color="000000" w:themeColor="text1"/>
              <w:bottom w:val="single" w:sz="4" w:space="0" w:color="000000" w:themeColor="text1"/>
              <w:right w:val="single" w:sz="2" w:space="0" w:color="000000" w:themeColor="text1"/>
            </w:tcBorders>
            <w:noWrap/>
            <w:hideMark/>
          </w:tcPr>
          <w:p w14:paraId="150CC21B" w14:textId="77777777" w:rsidR="00515486" w:rsidRPr="003562BC" w:rsidRDefault="00515486" w:rsidP="00F832A6">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3562BC">
              <w:rPr>
                <w:color w:val="auto"/>
              </w:rPr>
              <w:t>North East Linc</w:t>
            </w:r>
            <w:r>
              <w:rPr>
                <w:color w:val="auto"/>
              </w:rPr>
              <w:t>olnshire</w:t>
            </w:r>
          </w:p>
        </w:tc>
        <w:tc>
          <w:tcPr>
            <w:tcW w:w="1304" w:type="dxa"/>
            <w:tcBorders>
              <w:top w:val="single" w:sz="2" w:space="0" w:color="000000" w:themeColor="text1"/>
              <w:left w:val="single" w:sz="2" w:space="0" w:color="000000" w:themeColor="text1"/>
              <w:bottom w:val="single" w:sz="4" w:space="0" w:color="000000" w:themeColor="text1"/>
              <w:right w:val="single" w:sz="2" w:space="0" w:color="000000" w:themeColor="text1"/>
            </w:tcBorders>
            <w:noWrap/>
            <w:hideMark/>
          </w:tcPr>
          <w:p w14:paraId="257F3BFC" w14:textId="77777777" w:rsidR="00515486" w:rsidRPr="003562BC" w:rsidRDefault="00515486" w:rsidP="00F832A6">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3562BC">
              <w:rPr>
                <w:color w:val="auto"/>
              </w:rPr>
              <w:t>North Linc</w:t>
            </w:r>
            <w:r>
              <w:rPr>
                <w:color w:val="auto"/>
              </w:rPr>
              <w:t>olnshire</w:t>
            </w:r>
          </w:p>
        </w:tc>
        <w:tc>
          <w:tcPr>
            <w:tcW w:w="1020" w:type="dxa"/>
            <w:tcBorders>
              <w:top w:val="single" w:sz="2" w:space="0" w:color="000000" w:themeColor="text1"/>
              <w:left w:val="single" w:sz="2" w:space="0" w:color="000000" w:themeColor="text1"/>
              <w:bottom w:val="single" w:sz="4" w:space="0" w:color="000000" w:themeColor="text1"/>
              <w:right w:val="single" w:sz="2" w:space="0" w:color="000000" w:themeColor="text1"/>
            </w:tcBorders>
            <w:noWrap/>
            <w:hideMark/>
          </w:tcPr>
          <w:p w14:paraId="1D2CF28A" w14:textId="77777777" w:rsidR="00515486" w:rsidRPr="003562BC" w:rsidRDefault="00515486" w:rsidP="00F832A6">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3562BC">
              <w:rPr>
                <w:color w:val="auto"/>
              </w:rPr>
              <w:t>England</w:t>
            </w:r>
          </w:p>
        </w:tc>
      </w:tr>
      <w:tr w:rsidR="00515486" w14:paraId="5F465496"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050A954" w14:textId="77777777" w:rsidR="00515486" w:rsidRPr="003562BC" w:rsidRDefault="00515486" w:rsidP="004D5D22">
            <w:pPr>
              <w:pStyle w:val="TableText"/>
              <w:rPr>
                <w:color w:val="auto"/>
              </w:rPr>
            </w:pPr>
            <w:r w:rsidRPr="003562BC">
              <w:rPr>
                <w:color w:val="auto"/>
              </w:rPr>
              <w:t>Staff with skills gaps</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17CBB95"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4%</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9350238"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4%</w:t>
            </w:r>
          </w:p>
        </w:tc>
        <w:tc>
          <w:tcPr>
            <w:tcW w:w="1305"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1A2F5EF"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4%</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3C1C421"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3%</w:t>
            </w:r>
          </w:p>
        </w:tc>
        <w:tc>
          <w:tcPr>
            <w:tcW w:w="1020"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B8DF03F"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5%</w:t>
            </w:r>
          </w:p>
        </w:tc>
      </w:tr>
      <w:tr w:rsidR="00515486" w14:paraId="536CD2CE"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827E512" w14:textId="77777777" w:rsidR="00515486" w:rsidRPr="003562BC" w:rsidRDefault="00515486" w:rsidP="004D5D22">
            <w:pPr>
              <w:pStyle w:val="TableText"/>
              <w:rPr>
                <w:color w:val="auto"/>
              </w:rPr>
            </w:pPr>
            <w:r w:rsidRPr="003562BC">
              <w:rPr>
                <w:color w:val="auto"/>
              </w:rPr>
              <w:t>Trained in last 12 months*</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D8BB091"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65%</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3017A07"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68%</w:t>
            </w:r>
          </w:p>
        </w:tc>
        <w:tc>
          <w:tcPr>
            <w:tcW w:w="1305"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AB31FBB"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64%</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04D523D3"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65%</w:t>
            </w:r>
          </w:p>
        </w:tc>
        <w:tc>
          <w:tcPr>
            <w:tcW w:w="1020"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FCC15CA"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62%</w:t>
            </w:r>
          </w:p>
        </w:tc>
      </w:tr>
      <w:tr w:rsidR="00515486" w14:paraId="343E1E5F"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10DFFC62" w14:textId="77777777" w:rsidR="00515486" w:rsidRPr="003562BC" w:rsidRDefault="00515486" w:rsidP="004D5D22">
            <w:pPr>
              <w:pStyle w:val="TableText"/>
              <w:rPr>
                <w:color w:val="auto"/>
              </w:rPr>
            </w:pPr>
            <w:r w:rsidRPr="003562BC">
              <w:rPr>
                <w:color w:val="auto"/>
              </w:rPr>
              <w:t>Trained to qualification in last 12 months**</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7BE20361"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16%</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28A8A0E4"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15%</w:t>
            </w:r>
          </w:p>
        </w:tc>
        <w:tc>
          <w:tcPr>
            <w:tcW w:w="1305"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8312005"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15%</w:t>
            </w:r>
          </w:p>
        </w:tc>
        <w:tc>
          <w:tcPr>
            <w:tcW w:w="1304"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3FA64DD0"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15%</w:t>
            </w:r>
          </w:p>
        </w:tc>
        <w:tc>
          <w:tcPr>
            <w:tcW w:w="1020" w:type="dxa"/>
            <w:tcBorders>
              <w:top w:val="single" w:sz="2" w:space="0" w:color="000000" w:themeColor="text1"/>
              <w:left w:val="single" w:sz="2" w:space="0" w:color="000000" w:themeColor="text1"/>
              <w:bottom w:val="single" w:sz="2" w:space="0" w:color="000000" w:themeColor="text1"/>
              <w:right w:val="single" w:sz="2" w:space="0" w:color="000000" w:themeColor="text1"/>
            </w:tcBorders>
            <w:noWrap/>
            <w:hideMark/>
          </w:tcPr>
          <w:p w14:paraId="6A03F0EA" w14:textId="77777777" w:rsidR="00515486" w:rsidRPr="003562BC"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562BC">
              <w:rPr>
                <w:color w:val="auto"/>
              </w:rPr>
              <w:t>13%</w:t>
            </w:r>
          </w:p>
        </w:tc>
      </w:tr>
    </w:tbl>
    <w:p w14:paraId="4E1FE26D" w14:textId="77777777" w:rsidR="00515486" w:rsidRDefault="00515486" w:rsidP="00515486">
      <w:pPr>
        <w:pStyle w:val="TableSource"/>
      </w:pPr>
      <w:r>
        <w:t xml:space="preserve">Source: Employer Skills Survey 2013. *Modelled data. **Double counting possible in data. </w:t>
      </w:r>
    </w:p>
    <w:p w14:paraId="383E471D" w14:textId="77777777" w:rsidR="00515486" w:rsidRPr="00544CC8" w:rsidRDefault="00515486" w:rsidP="00515486">
      <w:pPr>
        <w:jc w:val="both"/>
      </w:pPr>
      <w:r>
        <w:t>North East Lincolnshire performs strongly in the UKCES’s assessment of skills gaps and skills shortage vacancies (</w:t>
      </w:r>
      <w:r w:rsidR="00F70FD0">
        <w:fldChar w:fldCharType="begin"/>
      </w:r>
      <w:r>
        <w:instrText xml:space="preserve"> REF _Ref393872292 \h </w:instrText>
      </w:r>
      <w:r w:rsidR="00F70FD0">
        <w:fldChar w:fldCharType="separate"/>
      </w:r>
      <w:r>
        <w:t xml:space="preserve">Figure </w:t>
      </w:r>
      <w:r>
        <w:rPr>
          <w:noProof/>
        </w:rPr>
        <w:t>7</w:t>
      </w:r>
      <w:r>
        <w:t>-</w:t>
      </w:r>
      <w:r>
        <w:rPr>
          <w:noProof/>
        </w:rPr>
        <w:t>3</w:t>
      </w:r>
      <w:r w:rsidR="00F70FD0">
        <w:fldChar w:fldCharType="end"/>
      </w:r>
      <w:r>
        <w:t>). There are a low proportion of skills shortage vacancies (2%) in comparison with the national average (3%). This may reflect economic conditions which can s</w:t>
      </w:r>
      <w:r w:rsidR="00A00F7F">
        <w:t>upport firms seeking to recruit</w:t>
      </w:r>
      <w:r>
        <w:t xml:space="preserve"> an</w:t>
      </w:r>
      <w:r w:rsidR="00A00F7F">
        <w:t>d there being an</w:t>
      </w:r>
      <w:r>
        <w:t xml:space="preserve"> available pool of labour </w:t>
      </w:r>
      <w:r w:rsidR="00A00F7F">
        <w:t>with the necessary skills.</w:t>
      </w:r>
    </w:p>
    <w:p w14:paraId="483B035E" w14:textId="77777777" w:rsidR="00515486" w:rsidRDefault="00515486" w:rsidP="00515486">
      <w:pPr>
        <w:pStyle w:val="FigureTitle"/>
        <w:numPr>
          <w:ilvl w:val="0"/>
          <w:numId w:val="0"/>
        </w:numPr>
        <w:ind w:left="360" w:hanging="360"/>
      </w:pPr>
      <w:bookmarkStart w:id="78" w:name="_Ref393872292"/>
      <w:r>
        <w:t xml:space="preserve">Figure </w:t>
      </w:r>
      <w:fldSimple w:instr=" STYLEREF 1 \s  \* MERGEFORMAT ">
        <w:r>
          <w:rPr>
            <w:noProof/>
          </w:rPr>
          <w:t>7</w:t>
        </w:r>
      </w:fldSimple>
      <w:r>
        <w:t>-</w:t>
      </w:r>
      <w:fldSimple w:instr=" SEQ Figure \* ARABIC \s 1  \* MERGEFORMAT ">
        <w:r>
          <w:rPr>
            <w:noProof/>
          </w:rPr>
          <w:t>3</w:t>
        </w:r>
      </w:fldSimple>
      <w:bookmarkEnd w:id="78"/>
      <w:r>
        <w:tab/>
        <w:t>Business experience of skill shortage vacancies (SSVS) and skill gaps</w:t>
      </w:r>
    </w:p>
    <w:p w14:paraId="1AFD1334" w14:textId="77777777" w:rsidR="00515486" w:rsidRDefault="00515486" w:rsidP="00515486">
      <w:pPr>
        <w:rPr>
          <w:rStyle w:val="CommentReference"/>
        </w:rPr>
      </w:pPr>
      <w:r>
        <w:rPr>
          <w:noProof/>
          <w:lang w:eastAsia="en-GB"/>
        </w:rPr>
        <w:drawing>
          <wp:inline distT="0" distB="0" distL="0" distR="0" wp14:anchorId="6FFB8D3F" wp14:editId="20669AE1">
            <wp:extent cx="5486400" cy="2846705"/>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D67480" w14:textId="77777777" w:rsidR="00515486" w:rsidRDefault="00515486" w:rsidP="00515486">
      <w:pPr>
        <w:pStyle w:val="TableSource"/>
      </w:pPr>
      <w:r>
        <w:rPr>
          <w:rStyle w:val="CommentReference"/>
        </w:rPr>
        <w:t>S</w:t>
      </w:r>
      <w:r>
        <w:t xml:space="preserve">ource: Employer Skills Survey 2013. No data available for Kingston upon Hull for ‘SSVs only’. </w:t>
      </w:r>
    </w:p>
    <w:p w14:paraId="33403EB3" w14:textId="77777777" w:rsidR="00515486" w:rsidRDefault="00515486" w:rsidP="00515486">
      <w:pPr>
        <w:jc w:val="both"/>
      </w:pPr>
      <w:r>
        <w:t>The impact of skills gaps on businesses in North East Lincolnshire (</w:t>
      </w:r>
      <w:r w:rsidR="00AA08C5">
        <w:fldChar w:fldCharType="begin"/>
      </w:r>
      <w:r w:rsidR="00AA08C5">
        <w:instrText xml:space="preserve"> REF _Ref393872315 \h  \* MERGEFORMAT </w:instrText>
      </w:r>
      <w:r w:rsidR="00AA08C5">
        <w:fldChar w:fldCharType="separate"/>
      </w:r>
      <w:r>
        <w:t xml:space="preserve">Figure </w:t>
      </w:r>
      <w:r>
        <w:rPr>
          <w:noProof/>
        </w:rPr>
        <w:t>7-4</w:t>
      </w:r>
      <w:r w:rsidR="00AA08C5">
        <w:fldChar w:fldCharType="end"/>
      </w:r>
      <w:r>
        <w:t>) is also less pronounced than the national average with 54% of the business base seeing no impact (compared with 37% of the national average).  North East Lincolnshire’s share of businesses with no impact is 6% more than the nearest comparator area (Hull) and suggests that businesses in North East Lincolnshire are either able to overcome skills issues or are not aware of the impact of skills gaps upon their business.</w:t>
      </w:r>
    </w:p>
    <w:p w14:paraId="42B21798" w14:textId="77777777" w:rsidR="00515486" w:rsidRDefault="00515486" w:rsidP="00515486"/>
    <w:p w14:paraId="453FEF65" w14:textId="77777777" w:rsidR="00515486" w:rsidRDefault="00515486" w:rsidP="00515486"/>
    <w:p w14:paraId="40CFD2FA" w14:textId="77777777" w:rsidR="00515486" w:rsidRDefault="00515486" w:rsidP="00515486">
      <w:pPr>
        <w:pStyle w:val="FigureTitle"/>
        <w:numPr>
          <w:ilvl w:val="0"/>
          <w:numId w:val="0"/>
        </w:numPr>
        <w:ind w:left="360" w:hanging="360"/>
      </w:pPr>
      <w:bookmarkStart w:id="79" w:name="_Ref393872315"/>
      <w:r>
        <w:t xml:space="preserve">Figure </w:t>
      </w:r>
      <w:fldSimple w:instr=" STYLEREF 1 \s  \* MERGEFORMAT ">
        <w:r>
          <w:rPr>
            <w:noProof/>
          </w:rPr>
          <w:t>7</w:t>
        </w:r>
      </w:fldSimple>
      <w:r>
        <w:t>-</w:t>
      </w:r>
      <w:fldSimple w:instr=" SEQ Figure \* ARABIC \s 1  \* MERGEFORMAT ">
        <w:r>
          <w:rPr>
            <w:noProof/>
          </w:rPr>
          <w:t>4</w:t>
        </w:r>
      </w:fldSimple>
      <w:bookmarkEnd w:id="79"/>
      <w:r>
        <w:tab/>
        <w:t>Impact of skills gaps on businesses</w:t>
      </w:r>
    </w:p>
    <w:p w14:paraId="7FDDA020" w14:textId="77777777" w:rsidR="00515486" w:rsidRDefault="00515486" w:rsidP="00515486">
      <w:r>
        <w:rPr>
          <w:noProof/>
          <w:lang w:eastAsia="en-GB"/>
        </w:rPr>
        <w:drawing>
          <wp:inline distT="0" distB="0" distL="0" distR="0" wp14:anchorId="1B508048" wp14:editId="7A561C20">
            <wp:extent cx="5939624" cy="2560320"/>
            <wp:effectExtent l="0" t="0" r="0" b="0"/>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54ED9F" w14:textId="77777777" w:rsidR="00515486" w:rsidRDefault="00515486" w:rsidP="00515486">
      <w:pPr>
        <w:pStyle w:val="TableSource"/>
      </w:pPr>
      <w:r>
        <w:t>Source: Employer Skills Survey 2013</w:t>
      </w:r>
    </w:p>
    <w:p w14:paraId="792CF2A8" w14:textId="77777777" w:rsidR="00515486" w:rsidRDefault="00515486" w:rsidP="00515486">
      <w:pPr>
        <w:jc w:val="both"/>
      </w:pPr>
      <w:r>
        <w:t xml:space="preserve">Despite this positive assessment of skills gaps and shortages </w:t>
      </w:r>
      <w:r w:rsidR="00A00F7F">
        <w:t>experienced by</w:t>
      </w:r>
      <w:r>
        <w:t xml:space="preserve"> businesses in North East Lincolnshire, the high levels of no qualifications and low levels of Level 4 qualifications in the workforce shows that skills challenges exist. </w:t>
      </w:r>
    </w:p>
    <w:p w14:paraId="4C6607A6" w14:textId="77777777" w:rsidR="00515486" w:rsidRPr="007F42DB" w:rsidRDefault="00515486" w:rsidP="00515486">
      <w:pPr>
        <w:jc w:val="both"/>
      </w:pPr>
      <w:r>
        <w:t>Positivity connected to the comparative lack of skills gaps, shortages and low subsequent impact from these. This situation also suggests features of the ‘low</w:t>
      </w:r>
      <w:r w:rsidRPr="007F42DB">
        <w:t xml:space="preserve"> skills equilibrium</w:t>
      </w:r>
      <w:r>
        <w:t>’ concept</w:t>
      </w:r>
      <w:r>
        <w:rPr>
          <w:rStyle w:val="FootnoteReference"/>
        </w:rPr>
        <w:footnoteReference w:id="5"/>
      </w:r>
      <w:r>
        <w:t xml:space="preserve">  are apparent within the North East Lincolnshire economy (or certain sectors of it). A low skill equilibrium is a concept which characterises a situation whereby </w:t>
      </w:r>
      <w:r w:rsidRPr="007F42DB">
        <w:rPr>
          <w:i/>
        </w:rPr>
        <w:t>“employers face few skill shortages in a predominantly low skilled workforce, where there is little incentive to participate in education and training and raise qualification levels and aspirations”</w:t>
      </w:r>
      <w:r>
        <w:rPr>
          <w:rStyle w:val="FootnoteReference"/>
          <w:i/>
        </w:rPr>
        <w:footnoteReference w:id="6"/>
      </w:r>
      <w:r w:rsidRPr="007F42DB">
        <w:rPr>
          <w:i/>
        </w:rPr>
        <w:t>.</w:t>
      </w:r>
      <w:r>
        <w:t xml:space="preserve"> This situation highlights a position where the economy </w:t>
      </w:r>
      <w:r w:rsidRPr="002E3D29">
        <w:t>is not achieving its true potentia</w:t>
      </w:r>
      <w:r>
        <w:t>l and there is little focus upon increasing skills levels and productivity.</w:t>
      </w:r>
    </w:p>
    <w:p w14:paraId="01404573" w14:textId="77777777" w:rsidR="00515486" w:rsidRPr="0056701A" w:rsidRDefault="00515486" w:rsidP="00515486">
      <w:pPr>
        <w:jc w:val="both"/>
      </w:pPr>
      <w:r>
        <w:t xml:space="preserve">In the key sector report we explore skills challenges and issues in connection with sectoral trends, enterprises and growth. </w:t>
      </w:r>
    </w:p>
    <w:p w14:paraId="19B4ED99" w14:textId="77777777" w:rsidR="00515486" w:rsidRDefault="00515486" w:rsidP="00515486">
      <w:pPr>
        <w:spacing w:after="200" w:line="276" w:lineRule="auto"/>
        <w:jc w:val="both"/>
        <w:rPr>
          <w:rFonts w:eastAsiaTheme="majorEastAsia" w:cs="Times New Roman"/>
          <w:b/>
          <w:bCs/>
          <w:color w:val="394A58" w:themeColor="accent2"/>
          <w:sz w:val="48"/>
          <w:szCs w:val="28"/>
        </w:rPr>
      </w:pPr>
      <w:r>
        <w:rPr>
          <w:rFonts w:eastAsiaTheme="majorEastAsia"/>
        </w:rPr>
        <w:br w:type="page"/>
      </w:r>
    </w:p>
    <w:p w14:paraId="4D0BCF7D" w14:textId="77777777" w:rsidR="002618E5" w:rsidRDefault="002618E5" w:rsidP="002618E5">
      <w:pPr>
        <w:pStyle w:val="Heading1"/>
      </w:pPr>
      <w:bookmarkStart w:id="80" w:name="_Toc394327702"/>
      <w:bookmarkStart w:id="81" w:name="_Ref393799959"/>
      <w:r>
        <w:t>Housing Market</w:t>
      </w:r>
      <w:bookmarkEnd w:id="80"/>
    </w:p>
    <w:p w14:paraId="5923C9A2" w14:textId="77777777" w:rsidR="00515486" w:rsidRDefault="00515486" w:rsidP="00515486">
      <w:pPr>
        <w:spacing w:after="120"/>
        <w:jc w:val="both"/>
      </w:pPr>
      <w:r>
        <w:t>Housing has a significant role to play in the local economy both as a provider of accommodation for a local workforce but also more directly by providing employment in the construction industry. Attractive, affordable housing is important in creating a sense of place and ensuring the health and wellbeing of the local population.</w:t>
      </w:r>
    </w:p>
    <w:p w14:paraId="4CFB3E7E" w14:textId="77777777" w:rsidR="00515486" w:rsidRDefault="00515486" w:rsidP="00515486">
      <w:pPr>
        <w:spacing w:after="120"/>
        <w:jc w:val="both"/>
      </w:pPr>
      <w:r>
        <w:t xml:space="preserve">There were approximately 69,800 households in North East Lincolnshire in 2011. These households represent 3.1% of all households in </w:t>
      </w:r>
      <w:r w:rsidR="00A00F7F">
        <w:t xml:space="preserve">the </w:t>
      </w:r>
      <w:r>
        <w:t>Yorkshire &amp; the Humber</w:t>
      </w:r>
      <w:r w:rsidR="00A00F7F">
        <w:t xml:space="preserve"> region</w:t>
      </w:r>
      <w:r>
        <w:t>. By 2021 it is projected that there will be around 71,300 households in North East Lincolnshire, a rise of 2.3% from 2011 (</w:t>
      </w:r>
      <w:r w:rsidR="00F70FD0">
        <w:fldChar w:fldCharType="begin"/>
      </w:r>
      <w:r>
        <w:instrText xml:space="preserve"> REF _Ref393872348 \h </w:instrText>
      </w:r>
      <w:r w:rsidR="00F70FD0">
        <w:fldChar w:fldCharType="separate"/>
      </w:r>
      <w:r>
        <w:t xml:space="preserve">Figure </w:t>
      </w:r>
      <w:r>
        <w:rPr>
          <w:noProof/>
        </w:rPr>
        <w:t>8</w:t>
      </w:r>
      <w:r>
        <w:t>-</w:t>
      </w:r>
      <w:r>
        <w:rPr>
          <w:noProof/>
        </w:rPr>
        <w:t>1</w:t>
      </w:r>
      <w:r w:rsidR="00F70FD0">
        <w:fldChar w:fldCharType="end"/>
      </w:r>
      <w:r>
        <w:t xml:space="preserve">). This is expected to be made up </w:t>
      </w:r>
      <w:r w:rsidR="00A00F7F">
        <w:t>largely from</w:t>
      </w:r>
      <w:r>
        <w:t xml:space="preserve"> a rise in </w:t>
      </w:r>
      <w:r w:rsidR="00A00F7F">
        <w:t>single</w:t>
      </w:r>
      <w:r>
        <w:t xml:space="preserve"> person households</w:t>
      </w:r>
      <w:r w:rsidR="00F832A6">
        <w:t>.</w:t>
      </w:r>
    </w:p>
    <w:p w14:paraId="5D993E2A" w14:textId="77777777" w:rsidR="00F832A6" w:rsidRDefault="00F832A6" w:rsidP="00515486">
      <w:pPr>
        <w:spacing w:after="120"/>
        <w:jc w:val="both"/>
      </w:pPr>
    </w:p>
    <w:p w14:paraId="5AF2BBA8" w14:textId="77777777" w:rsidR="00515486" w:rsidRDefault="00515486" w:rsidP="00515486">
      <w:pPr>
        <w:pStyle w:val="Caption"/>
      </w:pPr>
      <w:bookmarkStart w:id="82" w:name="_Ref393872348"/>
      <w:r>
        <w:t xml:space="preserve">Figure </w:t>
      </w:r>
      <w:fldSimple w:instr=" STYLEREF 1 \s  \* MERGEFORMAT ">
        <w:r>
          <w:rPr>
            <w:noProof/>
          </w:rPr>
          <w:t>8</w:t>
        </w:r>
      </w:fldSimple>
      <w:r>
        <w:t>-</w:t>
      </w:r>
      <w:fldSimple w:instr=" SEQ Figure \* ARABIC \s 1  \* MERGEFORMAT ">
        <w:r>
          <w:rPr>
            <w:noProof/>
          </w:rPr>
          <w:t>1</w:t>
        </w:r>
      </w:fldSimple>
      <w:bookmarkEnd w:id="82"/>
      <w:r>
        <w:tab/>
        <w:t>2011-2021 Household Projections</w:t>
      </w:r>
      <w:r w:rsidRPr="009D3E21">
        <w:rPr>
          <w:noProof/>
          <w:lang w:eastAsia="en-GB"/>
        </w:rPr>
        <w:drawing>
          <wp:inline distT="0" distB="0" distL="0" distR="0" wp14:anchorId="5481ECE3" wp14:editId="1769A4A6">
            <wp:extent cx="6066845" cy="3379305"/>
            <wp:effectExtent l="0" t="0" r="0" b="0"/>
            <wp:docPr id="5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D15F32D" w14:textId="77777777" w:rsidR="00515486" w:rsidRPr="009D3E21" w:rsidRDefault="00515486" w:rsidP="00515486">
      <w:pPr>
        <w:pStyle w:val="TableSource"/>
      </w:pPr>
      <w:r>
        <w:t>Source: DCLG 2011</w:t>
      </w:r>
    </w:p>
    <w:p w14:paraId="3E1EC257" w14:textId="77777777" w:rsidR="00515486" w:rsidRDefault="00515486" w:rsidP="00515486">
      <w:pPr>
        <w:jc w:val="both"/>
      </w:pPr>
      <w:r>
        <w:t xml:space="preserve">Analysis of housing data from the 2011 Census shows that North East Lincolnshire’s housing tenure is different to the regional and national profile. A third of residents (33%) reside in terraced housing (national average 24.5%) and a lower proportion live in flats or tenement blocks (9.6%) than the national average (16.7%). The high proportion of terraced housing contributes to high housing density and whilst generally terraced housing is of good quality, older terraced housing can contribute to poor living environments through </w:t>
      </w:r>
      <w:r w:rsidRPr="007476BB">
        <w:t>insufficient public space</w:t>
      </w:r>
      <w:r>
        <w:t>,</w:t>
      </w:r>
      <w:r w:rsidRPr="007476BB">
        <w:t xml:space="preserve"> </w:t>
      </w:r>
      <w:r>
        <w:t xml:space="preserve">structural issues and </w:t>
      </w:r>
      <w:r w:rsidRPr="007476BB">
        <w:t>poor vehicular access</w:t>
      </w:r>
      <w:r>
        <w:t xml:space="preserve">. </w:t>
      </w:r>
    </w:p>
    <w:p w14:paraId="3D1257E6" w14:textId="77777777" w:rsidR="00515486" w:rsidRDefault="00515486" w:rsidP="00515486">
      <w:pPr>
        <w:pStyle w:val="Caption"/>
        <w:rPr>
          <w:noProof/>
          <w:lang w:eastAsia="en-GB"/>
        </w:rPr>
      </w:pPr>
    </w:p>
    <w:p w14:paraId="03C2F9A9" w14:textId="77777777" w:rsidR="00515486" w:rsidRDefault="00515486" w:rsidP="00515486">
      <w:pPr>
        <w:pStyle w:val="Caption"/>
        <w:rPr>
          <w:noProof/>
          <w:lang w:eastAsia="en-GB"/>
        </w:rPr>
      </w:pPr>
    </w:p>
    <w:p w14:paraId="69F07978" w14:textId="77777777" w:rsidR="00515486" w:rsidRDefault="00515486" w:rsidP="00515486">
      <w:pPr>
        <w:pStyle w:val="Caption"/>
        <w:rPr>
          <w:noProof/>
          <w:lang w:eastAsia="en-GB"/>
        </w:rPr>
      </w:pPr>
    </w:p>
    <w:p w14:paraId="4970EFD2" w14:textId="77777777" w:rsidR="00515486" w:rsidRDefault="00515486" w:rsidP="00515486">
      <w:pPr>
        <w:pStyle w:val="Caption"/>
        <w:rPr>
          <w:noProof/>
          <w:lang w:eastAsia="en-GB"/>
        </w:rPr>
      </w:pPr>
    </w:p>
    <w:p w14:paraId="0CAD3577" w14:textId="77777777" w:rsidR="00515486" w:rsidRDefault="00515486" w:rsidP="00515486">
      <w:pPr>
        <w:pStyle w:val="Caption"/>
        <w:rPr>
          <w:noProof/>
          <w:lang w:eastAsia="en-GB"/>
        </w:rPr>
      </w:pPr>
    </w:p>
    <w:p w14:paraId="6BE8D877" w14:textId="77777777" w:rsidR="00515486" w:rsidRDefault="00515486" w:rsidP="00515486">
      <w:pPr>
        <w:pStyle w:val="Caption"/>
        <w:rPr>
          <w:noProof/>
          <w:lang w:eastAsia="en-GB"/>
        </w:rPr>
      </w:pPr>
    </w:p>
    <w:p w14:paraId="5EC53CF2" w14:textId="77777777" w:rsidR="00515486" w:rsidRDefault="00515486" w:rsidP="00515486">
      <w:pPr>
        <w:pStyle w:val="Caption"/>
        <w:rPr>
          <w:noProof/>
          <w:lang w:eastAsia="en-GB"/>
        </w:rPr>
      </w:pPr>
    </w:p>
    <w:p w14:paraId="4FC00986" w14:textId="77777777" w:rsidR="00515486" w:rsidRDefault="00515486" w:rsidP="00515486">
      <w:pPr>
        <w:pStyle w:val="Caption"/>
        <w:rPr>
          <w:noProof/>
          <w:lang w:eastAsia="en-GB"/>
        </w:rPr>
      </w:pPr>
    </w:p>
    <w:p w14:paraId="153A2BF4" w14:textId="77777777" w:rsidR="00515486" w:rsidRDefault="00515486" w:rsidP="00515486">
      <w:pPr>
        <w:pStyle w:val="Caption"/>
        <w:rPr>
          <w:noProof/>
          <w:lang w:eastAsia="en-GB"/>
        </w:rPr>
      </w:pPr>
      <w:r>
        <w:rPr>
          <w:noProof/>
          <w:lang w:eastAsia="en-GB"/>
        </w:rPr>
        <w:t xml:space="preserve">Figure </w:t>
      </w:r>
      <w:fldSimple w:instr=" STYLEREF 1 \s  \* MERGEFORMAT ">
        <w:r>
          <w:rPr>
            <w:noProof/>
            <w:lang w:eastAsia="en-GB"/>
          </w:rPr>
          <w:t>8</w:t>
        </w:r>
      </w:fldSimple>
      <w:r>
        <w:rPr>
          <w:noProof/>
          <w:lang w:eastAsia="en-GB"/>
        </w:rPr>
        <w:t>-</w:t>
      </w:r>
      <w:fldSimple w:instr=" SEQ Figure \* ARABIC \s 1  \* MERGEFORMAT ">
        <w:r>
          <w:rPr>
            <w:noProof/>
            <w:lang w:eastAsia="en-GB"/>
          </w:rPr>
          <w:t>2</w:t>
        </w:r>
      </w:fldSimple>
      <w:r>
        <w:rPr>
          <w:noProof/>
          <w:lang w:eastAsia="en-GB"/>
        </w:rPr>
        <w:tab/>
        <w:t>Housing Tenure (2011)</w:t>
      </w:r>
    </w:p>
    <w:p w14:paraId="73B4F40C" w14:textId="77777777" w:rsidR="00515486" w:rsidRDefault="00515486" w:rsidP="00515486">
      <w:pPr>
        <w:pStyle w:val="Caption"/>
      </w:pPr>
      <w:r>
        <w:rPr>
          <w:noProof/>
          <w:lang w:eastAsia="en-GB"/>
        </w:rPr>
        <w:drawing>
          <wp:inline distT="0" distB="0" distL="0" distR="0" wp14:anchorId="4ADE2229" wp14:editId="46D15F07">
            <wp:extent cx="6111405" cy="2913049"/>
            <wp:effectExtent l="0" t="0" r="0" b="0"/>
            <wp:docPr id="5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0036A59" w14:textId="77777777" w:rsidR="00515486" w:rsidRPr="004A2BEA" w:rsidRDefault="00515486" w:rsidP="00515486">
      <w:pPr>
        <w:pStyle w:val="TableSource"/>
      </w:pPr>
      <w:r>
        <w:t>Source: Census 2011</w:t>
      </w:r>
    </w:p>
    <w:p w14:paraId="1E1380B9" w14:textId="77777777" w:rsidR="00515486" w:rsidRDefault="00515486" w:rsidP="00515486">
      <w:pPr>
        <w:jc w:val="both"/>
      </w:pPr>
      <w:r>
        <w:t xml:space="preserve">In 2013/2014, </w:t>
      </w:r>
      <w:r w:rsidR="00A00F7F">
        <w:t xml:space="preserve">construction of </w:t>
      </w:r>
      <w:r>
        <w:t xml:space="preserve">340 houses </w:t>
      </w:r>
      <w:r w:rsidR="00A00F7F">
        <w:t xml:space="preserve">were started with </w:t>
      </w:r>
      <w:r>
        <w:t xml:space="preserve">310 </w:t>
      </w:r>
      <w:r w:rsidR="00A00F7F">
        <w:t>completed. The number of housing</w:t>
      </w:r>
      <w:r>
        <w:t xml:space="preserve"> sta</w:t>
      </w:r>
      <w:r w:rsidR="00A00F7F">
        <w:t>rts performance</w:t>
      </w:r>
      <w:r>
        <w:t xml:space="preserve"> has improved since 2010/11 when 290 were being built. Data for house building starts and completions were not made available in 2012/13 demonstrating the low amount of houses started and finished in this year. Overall between 2010 and 2013 a low</w:t>
      </w:r>
      <w:r w:rsidR="00A00F7F">
        <w:t>er number of housing builds</w:t>
      </w:r>
      <w:r>
        <w:t xml:space="preserve"> were started and completed than North Lincolnshire &amp; Hull (</w:t>
      </w:r>
      <w:r w:rsidR="00AA08C5">
        <w:fldChar w:fldCharType="begin"/>
      </w:r>
      <w:r w:rsidR="00AA08C5">
        <w:instrText xml:space="preserve"> REF _Ref393805235 \h  \* MERGEFORMAT </w:instrText>
      </w:r>
      <w:r w:rsidR="00AA08C5">
        <w:fldChar w:fldCharType="separate"/>
      </w:r>
      <w:r w:rsidRPr="00BC6746">
        <w:t xml:space="preserve">Table </w:t>
      </w:r>
      <w:r>
        <w:rPr>
          <w:noProof/>
        </w:rPr>
        <w:t>8</w:t>
      </w:r>
      <w:r w:rsidRPr="00BC6746">
        <w:rPr>
          <w:noProof/>
        </w:rPr>
        <w:noBreakHyphen/>
      </w:r>
      <w:r>
        <w:rPr>
          <w:noProof/>
        </w:rPr>
        <w:t>1</w:t>
      </w:r>
      <w:r w:rsidR="00AA08C5">
        <w:fldChar w:fldCharType="end"/>
      </w:r>
      <w:r>
        <w:t xml:space="preserve">). </w:t>
      </w:r>
    </w:p>
    <w:p w14:paraId="6D3DE903" w14:textId="77777777" w:rsidR="00515486" w:rsidRPr="00B80768" w:rsidRDefault="00515486" w:rsidP="00515486">
      <w:pPr>
        <w:jc w:val="both"/>
      </w:pPr>
      <w:r>
        <w:t>The decline in house building in 2012/13 was mirrored in the neighbouring local authorities and is likely linked to the macro economic conditions with investment by the construction industry contingent on market uplift. As economic conditions improve it is expected that more house building will occur and although this will be reliant on a range of other factors including outwards immigration, migration and commercial investment in major projects.</w:t>
      </w:r>
    </w:p>
    <w:p w14:paraId="7B20FB67" w14:textId="77777777" w:rsidR="00515486" w:rsidRPr="00C743A7" w:rsidRDefault="00515486" w:rsidP="00515486">
      <w:pPr>
        <w:pStyle w:val="TableTitle"/>
        <w:numPr>
          <w:ilvl w:val="0"/>
          <w:numId w:val="0"/>
        </w:numPr>
        <w:ind w:left="1021" w:hanging="1021"/>
      </w:pPr>
      <w:bookmarkStart w:id="83" w:name="_Ref393805235"/>
      <w:r w:rsidRPr="00BC6746">
        <w:t xml:space="preserve">Table </w:t>
      </w:r>
      <w:r w:rsidR="00F70FD0">
        <w:fldChar w:fldCharType="begin"/>
      </w:r>
      <w:r w:rsidR="00F810E1">
        <w:instrText xml:space="preserve"> STYLEREF 1 \s </w:instrText>
      </w:r>
      <w:r w:rsidR="00F70FD0">
        <w:fldChar w:fldCharType="separate"/>
      </w:r>
      <w:r>
        <w:rPr>
          <w:noProof/>
        </w:rPr>
        <w:t>8</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1</w:t>
      </w:r>
      <w:r w:rsidR="00F70FD0">
        <w:rPr>
          <w:noProof/>
        </w:rPr>
        <w:fldChar w:fldCharType="end"/>
      </w:r>
      <w:bookmarkEnd w:id="83"/>
      <w:r w:rsidRPr="00BC6746">
        <w:tab/>
      </w:r>
      <w:r>
        <w:t>Housing construction, 2010-2014</w:t>
      </w:r>
    </w:p>
    <w:tbl>
      <w:tblPr>
        <w:tblStyle w:val="Atkins14pt"/>
        <w:tblpPr w:leftFromText="180" w:rightFromText="180" w:vertAnchor="text" w:horzAnchor="page" w:tblpX="592" w:tblpY="129"/>
        <w:tblW w:w="5511" w:type="pct"/>
        <w:tblInd w:w="0" w:type="dxa"/>
        <w:tblLayout w:type="fixed"/>
        <w:tblLook w:val="04A0" w:firstRow="1" w:lastRow="0" w:firstColumn="1" w:lastColumn="0" w:noHBand="0" w:noVBand="1"/>
      </w:tblPr>
      <w:tblGrid>
        <w:gridCol w:w="2156"/>
        <w:gridCol w:w="1066"/>
        <w:gridCol w:w="1067"/>
        <w:gridCol w:w="1067"/>
        <w:gridCol w:w="1067"/>
        <w:gridCol w:w="1067"/>
        <w:gridCol w:w="1067"/>
        <w:gridCol w:w="1067"/>
        <w:gridCol w:w="1065"/>
      </w:tblGrid>
      <w:tr w:rsidR="00515486" w:rsidRPr="009F1225" w14:paraId="377541A3" w14:textId="77777777" w:rsidTr="004D5D2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1009" w:type="pct"/>
            <w:vMerge w:val="restart"/>
            <w:noWrap/>
            <w:hideMark/>
          </w:tcPr>
          <w:p w14:paraId="3B59A8D0" w14:textId="77777777" w:rsidR="00515486" w:rsidRPr="008F07E2" w:rsidRDefault="00515486" w:rsidP="004D5D22">
            <w:pPr>
              <w:pStyle w:val="TableHeading"/>
              <w:rPr>
                <w:color w:val="auto"/>
              </w:rPr>
            </w:pPr>
            <w:r w:rsidRPr="008F07E2">
              <w:rPr>
                <w:color w:val="auto"/>
              </w:rPr>
              <w:t>Local Authority</w:t>
            </w:r>
          </w:p>
        </w:tc>
        <w:tc>
          <w:tcPr>
            <w:tcW w:w="1996" w:type="pct"/>
            <w:gridSpan w:val="4"/>
            <w:noWrap/>
            <w:hideMark/>
          </w:tcPr>
          <w:p w14:paraId="79ADF9EB" w14:textId="77777777" w:rsidR="00515486" w:rsidRPr="008F07E2" w:rsidRDefault="00515486" w:rsidP="004D5D2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Dwellings started</w:t>
            </w:r>
          </w:p>
          <w:p w14:paraId="22599BB7" w14:textId="77777777" w:rsidR="00515486" w:rsidRPr="008F07E2" w:rsidRDefault="00515486" w:rsidP="004D5D22">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p>
        </w:tc>
        <w:tc>
          <w:tcPr>
            <w:tcW w:w="1996" w:type="pct"/>
            <w:gridSpan w:val="4"/>
            <w:noWrap/>
            <w:hideMark/>
          </w:tcPr>
          <w:p w14:paraId="62B79252" w14:textId="77777777" w:rsidR="00515486" w:rsidRPr="008F07E2" w:rsidRDefault="00515486" w:rsidP="004D5D2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Dwellings completed</w:t>
            </w:r>
          </w:p>
        </w:tc>
      </w:tr>
      <w:tr w:rsidR="00515486" w:rsidRPr="009F1225" w14:paraId="672E6953" w14:textId="77777777" w:rsidTr="004D5D22">
        <w:trPr>
          <w:trHeight w:val="280"/>
        </w:trPr>
        <w:tc>
          <w:tcPr>
            <w:cnfStyle w:val="001000000000" w:firstRow="0" w:lastRow="0" w:firstColumn="1" w:lastColumn="0" w:oddVBand="0" w:evenVBand="0" w:oddHBand="0" w:evenHBand="0" w:firstRowFirstColumn="0" w:firstRowLastColumn="0" w:lastRowFirstColumn="0" w:lastRowLastColumn="0"/>
            <w:tcW w:w="1009" w:type="pct"/>
            <w:vMerge/>
            <w:noWrap/>
            <w:hideMark/>
          </w:tcPr>
          <w:p w14:paraId="2863C8A2" w14:textId="77777777" w:rsidR="00515486" w:rsidRPr="008F07E2" w:rsidRDefault="00515486" w:rsidP="004D5D22">
            <w:pPr>
              <w:pStyle w:val="TableText"/>
              <w:rPr>
                <w:color w:val="auto"/>
              </w:rPr>
            </w:pPr>
          </w:p>
        </w:tc>
        <w:tc>
          <w:tcPr>
            <w:tcW w:w="499" w:type="pct"/>
            <w:noWrap/>
            <w:hideMark/>
          </w:tcPr>
          <w:p w14:paraId="1714AE18"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Private</w:t>
            </w:r>
            <w:r w:rsidRPr="008F07E2">
              <w:rPr>
                <w:color w:val="auto"/>
              </w:rPr>
              <w:br/>
              <w:t>Enterprise</w:t>
            </w:r>
          </w:p>
        </w:tc>
        <w:tc>
          <w:tcPr>
            <w:tcW w:w="499" w:type="pct"/>
            <w:noWrap/>
            <w:hideMark/>
          </w:tcPr>
          <w:p w14:paraId="0F678DE3"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Housing Assocs.</w:t>
            </w:r>
          </w:p>
        </w:tc>
        <w:tc>
          <w:tcPr>
            <w:tcW w:w="499" w:type="pct"/>
            <w:noWrap/>
            <w:hideMark/>
          </w:tcPr>
          <w:p w14:paraId="12BAF5AA"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Local</w:t>
            </w:r>
            <w:r w:rsidRPr="008F07E2">
              <w:rPr>
                <w:color w:val="auto"/>
              </w:rPr>
              <w:br/>
              <w:t>Authority</w:t>
            </w:r>
          </w:p>
        </w:tc>
        <w:tc>
          <w:tcPr>
            <w:tcW w:w="499" w:type="pct"/>
            <w:noWrap/>
            <w:hideMark/>
          </w:tcPr>
          <w:p w14:paraId="296F3714"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sz w:val="22"/>
              </w:rPr>
            </w:pPr>
            <w:r w:rsidRPr="008F07E2">
              <w:rPr>
                <w:color w:val="auto"/>
                <w:sz w:val="22"/>
              </w:rPr>
              <w:t>All</w:t>
            </w:r>
          </w:p>
        </w:tc>
        <w:tc>
          <w:tcPr>
            <w:tcW w:w="499" w:type="pct"/>
            <w:noWrap/>
            <w:hideMark/>
          </w:tcPr>
          <w:p w14:paraId="2AA0B636"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Private</w:t>
            </w:r>
            <w:r w:rsidRPr="008F07E2">
              <w:rPr>
                <w:color w:val="auto"/>
              </w:rPr>
              <w:br/>
              <w:t>Enterprise</w:t>
            </w:r>
          </w:p>
        </w:tc>
        <w:tc>
          <w:tcPr>
            <w:tcW w:w="499" w:type="pct"/>
            <w:noWrap/>
            <w:hideMark/>
          </w:tcPr>
          <w:p w14:paraId="727AF514"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Housing Assocs.</w:t>
            </w:r>
          </w:p>
        </w:tc>
        <w:tc>
          <w:tcPr>
            <w:tcW w:w="499" w:type="pct"/>
            <w:noWrap/>
            <w:hideMark/>
          </w:tcPr>
          <w:p w14:paraId="7218FAB2"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Local</w:t>
            </w:r>
            <w:r w:rsidRPr="008F07E2">
              <w:rPr>
                <w:color w:val="auto"/>
              </w:rPr>
              <w:br/>
              <w:t>Authority</w:t>
            </w:r>
          </w:p>
        </w:tc>
        <w:tc>
          <w:tcPr>
            <w:tcW w:w="498" w:type="pct"/>
            <w:noWrap/>
            <w:hideMark/>
          </w:tcPr>
          <w:p w14:paraId="43567760"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sz w:val="22"/>
              </w:rPr>
            </w:pPr>
            <w:r w:rsidRPr="008F07E2">
              <w:rPr>
                <w:color w:val="auto"/>
                <w:sz w:val="22"/>
              </w:rPr>
              <w:t>All</w:t>
            </w:r>
          </w:p>
        </w:tc>
      </w:tr>
      <w:tr w:rsidR="00515486" w:rsidRPr="009F1225" w14:paraId="1B22A60C"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1009" w:type="pct"/>
            <w:noWrap/>
            <w:hideMark/>
          </w:tcPr>
          <w:p w14:paraId="7A8B91FB" w14:textId="77777777" w:rsidR="00515486" w:rsidRPr="008F07E2" w:rsidRDefault="00515486" w:rsidP="004D5D22">
            <w:pPr>
              <w:pStyle w:val="TableText"/>
              <w:rPr>
                <w:color w:val="auto"/>
              </w:rPr>
            </w:pPr>
            <w:r w:rsidRPr="008F07E2">
              <w:rPr>
                <w:color w:val="auto"/>
              </w:rPr>
              <w:t>Kingston upon Hull</w:t>
            </w:r>
          </w:p>
        </w:tc>
        <w:tc>
          <w:tcPr>
            <w:tcW w:w="499" w:type="pct"/>
            <w:noWrap/>
            <w:hideMark/>
          </w:tcPr>
          <w:p w14:paraId="576C3B8D"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2,580</w:t>
            </w:r>
          </w:p>
        </w:tc>
        <w:tc>
          <w:tcPr>
            <w:tcW w:w="499" w:type="pct"/>
            <w:noWrap/>
            <w:hideMark/>
          </w:tcPr>
          <w:p w14:paraId="6E356351"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80</w:t>
            </w:r>
          </w:p>
        </w:tc>
        <w:tc>
          <w:tcPr>
            <w:tcW w:w="499" w:type="pct"/>
            <w:noWrap/>
            <w:hideMark/>
          </w:tcPr>
          <w:p w14:paraId="11300520"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0</w:t>
            </w:r>
          </w:p>
        </w:tc>
        <w:tc>
          <w:tcPr>
            <w:tcW w:w="499" w:type="pct"/>
            <w:noWrap/>
            <w:hideMark/>
          </w:tcPr>
          <w:p w14:paraId="7A416946"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2,660</w:t>
            </w:r>
          </w:p>
        </w:tc>
        <w:tc>
          <w:tcPr>
            <w:tcW w:w="499" w:type="pct"/>
            <w:noWrap/>
            <w:hideMark/>
          </w:tcPr>
          <w:p w14:paraId="3A709BAA"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1,250</w:t>
            </w:r>
          </w:p>
        </w:tc>
        <w:tc>
          <w:tcPr>
            <w:tcW w:w="499" w:type="pct"/>
            <w:noWrap/>
            <w:hideMark/>
          </w:tcPr>
          <w:p w14:paraId="0D109EB4"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110</w:t>
            </w:r>
          </w:p>
        </w:tc>
        <w:tc>
          <w:tcPr>
            <w:tcW w:w="499" w:type="pct"/>
            <w:noWrap/>
            <w:hideMark/>
          </w:tcPr>
          <w:p w14:paraId="51A51FFA"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0</w:t>
            </w:r>
          </w:p>
        </w:tc>
        <w:tc>
          <w:tcPr>
            <w:tcW w:w="498" w:type="pct"/>
            <w:noWrap/>
            <w:hideMark/>
          </w:tcPr>
          <w:p w14:paraId="46C8A9B0"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1,370</w:t>
            </w:r>
          </w:p>
        </w:tc>
      </w:tr>
      <w:tr w:rsidR="00515486" w:rsidRPr="009F1225" w14:paraId="3C2A090E"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1009" w:type="pct"/>
            <w:noWrap/>
            <w:hideMark/>
          </w:tcPr>
          <w:p w14:paraId="1B48DD6C" w14:textId="77777777" w:rsidR="00515486" w:rsidRPr="008F07E2" w:rsidRDefault="00515486" w:rsidP="004D5D22">
            <w:pPr>
              <w:pStyle w:val="TableText"/>
              <w:rPr>
                <w:color w:val="auto"/>
              </w:rPr>
            </w:pPr>
            <w:r w:rsidRPr="008F07E2">
              <w:rPr>
                <w:color w:val="auto"/>
              </w:rPr>
              <w:t>North East Lincolnshire</w:t>
            </w:r>
          </w:p>
        </w:tc>
        <w:tc>
          <w:tcPr>
            <w:tcW w:w="499" w:type="pct"/>
            <w:noWrap/>
            <w:hideMark/>
          </w:tcPr>
          <w:p w14:paraId="55634183"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660</w:t>
            </w:r>
          </w:p>
        </w:tc>
        <w:tc>
          <w:tcPr>
            <w:tcW w:w="499" w:type="pct"/>
            <w:noWrap/>
            <w:hideMark/>
          </w:tcPr>
          <w:p w14:paraId="5BD53127"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210</w:t>
            </w:r>
          </w:p>
        </w:tc>
        <w:tc>
          <w:tcPr>
            <w:tcW w:w="499" w:type="pct"/>
            <w:noWrap/>
            <w:hideMark/>
          </w:tcPr>
          <w:p w14:paraId="1CCB9AF5"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0</w:t>
            </w:r>
          </w:p>
        </w:tc>
        <w:tc>
          <w:tcPr>
            <w:tcW w:w="499" w:type="pct"/>
            <w:noWrap/>
            <w:hideMark/>
          </w:tcPr>
          <w:p w14:paraId="4A047129"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870</w:t>
            </w:r>
          </w:p>
        </w:tc>
        <w:tc>
          <w:tcPr>
            <w:tcW w:w="499" w:type="pct"/>
            <w:noWrap/>
            <w:hideMark/>
          </w:tcPr>
          <w:p w14:paraId="277608AA"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970</w:t>
            </w:r>
          </w:p>
        </w:tc>
        <w:tc>
          <w:tcPr>
            <w:tcW w:w="499" w:type="pct"/>
            <w:noWrap/>
            <w:hideMark/>
          </w:tcPr>
          <w:p w14:paraId="76372245"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190</w:t>
            </w:r>
          </w:p>
        </w:tc>
        <w:tc>
          <w:tcPr>
            <w:tcW w:w="499" w:type="pct"/>
            <w:noWrap/>
            <w:hideMark/>
          </w:tcPr>
          <w:p w14:paraId="3C2A99F7"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0</w:t>
            </w:r>
          </w:p>
        </w:tc>
        <w:tc>
          <w:tcPr>
            <w:tcW w:w="498" w:type="pct"/>
            <w:noWrap/>
            <w:hideMark/>
          </w:tcPr>
          <w:p w14:paraId="49617DF5"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1,160</w:t>
            </w:r>
          </w:p>
        </w:tc>
      </w:tr>
      <w:tr w:rsidR="00515486" w:rsidRPr="009F1225" w14:paraId="4F5F86E5" w14:textId="77777777" w:rsidTr="004D5D22">
        <w:trPr>
          <w:trHeight w:val="260"/>
        </w:trPr>
        <w:tc>
          <w:tcPr>
            <w:cnfStyle w:val="001000000000" w:firstRow="0" w:lastRow="0" w:firstColumn="1" w:lastColumn="0" w:oddVBand="0" w:evenVBand="0" w:oddHBand="0" w:evenHBand="0" w:firstRowFirstColumn="0" w:firstRowLastColumn="0" w:lastRowFirstColumn="0" w:lastRowLastColumn="0"/>
            <w:tcW w:w="1009" w:type="pct"/>
            <w:noWrap/>
            <w:hideMark/>
          </w:tcPr>
          <w:p w14:paraId="33AA2AE3" w14:textId="77777777" w:rsidR="00515486" w:rsidRPr="008F07E2" w:rsidRDefault="00515486" w:rsidP="004D5D22">
            <w:pPr>
              <w:pStyle w:val="TableText"/>
              <w:rPr>
                <w:color w:val="auto"/>
              </w:rPr>
            </w:pPr>
            <w:r w:rsidRPr="008F07E2">
              <w:rPr>
                <w:color w:val="auto"/>
              </w:rPr>
              <w:t>North Lincolnshire</w:t>
            </w:r>
          </w:p>
        </w:tc>
        <w:tc>
          <w:tcPr>
            <w:tcW w:w="499" w:type="pct"/>
            <w:noWrap/>
            <w:hideMark/>
          </w:tcPr>
          <w:p w14:paraId="223C2746"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880</w:t>
            </w:r>
          </w:p>
        </w:tc>
        <w:tc>
          <w:tcPr>
            <w:tcW w:w="499" w:type="pct"/>
            <w:noWrap/>
            <w:hideMark/>
          </w:tcPr>
          <w:p w14:paraId="78BB75FA"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90</w:t>
            </w:r>
          </w:p>
        </w:tc>
        <w:tc>
          <w:tcPr>
            <w:tcW w:w="499" w:type="pct"/>
            <w:noWrap/>
            <w:hideMark/>
          </w:tcPr>
          <w:p w14:paraId="4AA9F7F3"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0</w:t>
            </w:r>
          </w:p>
        </w:tc>
        <w:tc>
          <w:tcPr>
            <w:tcW w:w="499" w:type="pct"/>
            <w:noWrap/>
            <w:hideMark/>
          </w:tcPr>
          <w:p w14:paraId="7599F021"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970</w:t>
            </w:r>
          </w:p>
        </w:tc>
        <w:tc>
          <w:tcPr>
            <w:tcW w:w="499" w:type="pct"/>
            <w:noWrap/>
            <w:hideMark/>
          </w:tcPr>
          <w:p w14:paraId="2D9E0D70"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1,160</w:t>
            </w:r>
          </w:p>
        </w:tc>
        <w:tc>
          <w:tcPr>
            <w:tcW w:w="499" w:type="pct"/>
            <w:noWrap/>
            <w:hideMark/>
          </w:tcPr>
          <w:p w14:paraId="23764773"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110</w:t>
            </w:r>
          </w:p>
        </w:tc>
        <w:tc>
          <w:tcPr>
            <w:tcW w:w="499" w:type="pct"/>
            <w:noWrap/>
            <w:hideMark/>
          </w:tcPr>
          <w:p w14:paraId="0B9FBE61"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0</w:t>
            </w:r>
          </w:p>
        </w:tc>
        <w:tc>
          <w:tcPr>
            <w:tcW w:w="498" w:type="pct"/>
            <w:noWrap/>
            <w:hideMark/>
          </w:tcPr>
          <w:p w14:paraId="0A573A2D" w14:textId="77777777" w:rsidR="00515486" w:rsidRPr="008F07E2" w:rsidRDefault="00515486" w:rsidP="00F832A6">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1,270</w:t>
            </w:r>
          </w:p>
        </w:tc>
      </w:tr>
    </w:tbl>
    <w:p w14:paraId="1EC6E206" w14:textId="77777777" w:rsidR="00515486" w:rsidRDefault="00515486" w:rsidP="00515486">
      <w:pPr>
        <w:pStyle w:val="TableSource"/>
      </w:pPr>
      <w:r>
        <w:t xml:space="preserve">Source: DCLG 2014 - Data for North East Lincolnshire suppressed for 2012/13. </w:t>
      </w:r>
    </w:p>
    <w:p w14:paraId="4ED9CA0F" w14:textId="77777777" w:rsidR="00515486" w:rsidRDefault="00515486" w:rsidP="00515486">
      <w:pPr>
        <w:jc w:val="both"/>
      </w:pPr>
      <w:r>
        <w:t xml:space="preserve">Overall, North East Lincolnshire is an affordable place to live, with the average sold house price in January 2014 at </w:t>
      </w:r>
      <w:r w:rsidRPr="00467F95">
        <w:t>£75,822</w:t>
      </w:r>
      <w:r>
        <w:t>. The value of properties in North East Lincolnshire is closer to that of Hull (</w:t>
      </w:r>
      <w:r w:rsidRPr="00467F95">
        <w:t>£68,397</w:t>
      </w:r>
      <w:r>
        <w:t>) than North Lincolnshire (</w:t>
      </w:r>
      <w:r w:rsidRPr="00467F95">
        <w:t>£103,264</w:t>
      </w:r>
      <w:r>
        <w:t xml:space="preserve">). It is also much lower than the England average of </w:t>
      </w:r>
      <w:r w:rsidRPr="00467F95">
        <w:t>£168,356</w:t>
      </w:r>
      <w:r>
        <w:t xml:space="preserve">. </w:t>
      </w:r>
      <w:r w:rsidR="00F70FD0">
        <w:fldChar w:fldCharType="begin"/>
      </w:r>
      <w:r>
        <w:instrText xml:space="preserve"> REF _Ref393363005 \h </w:instrText>
      </w:r>
      <w:r w:rsidR="00F70FD0">
        <w:fldChar w:fldCharType="separate"/>
      </w:r>
      <w:r>
        <w:t xml:space="preserve">Figure </w:t>
      </w:r>
      <w:r>
        <w:rPr>
          <w:noProof/>
        </w:rPr>
        <w:t>8</w:t>
      </w:r>
      <w:r>
        <w:t>-</w:t>
      </w:r>
      <w:r>
        <w:rPr>
          <w:noProof/>
        </w:rPr>
        <w:t>3</w:t>
      </w:r>
      <w:r w:rsidR="00F70FD0">
        <w:fldChar w:fldCharType="end"/>
      </w:r>
      <w:r>
        <w:t xml:space="preserve"> also shows how average house prices have changed since the recession. House prices in North East Lincolnshire prior to the recession were almost comparable with North Lincolnshire. However since the recession the figures have been consistently lower. </w:t>
      </w:r>
    </w:p>
    <w:p w14:paraId="14297F0A" w14:textId="77777777" w:rsidR="00515486" w:rsidRDefault="00515486" w:rsidP="00515486">
      <w:pPr>
        <w:jc w:val="both"/>
      </w:pPr>
      <w:r w:rsidRPr="008358E6">
        <w:t>A factor contributin</w:t>
      </w:r>
      <w:r>
        <w:t xml:space="preserve">g to the lower house prices in North East Lincolnshire </w:t>
      </w:r>
      <w:r w:rsidRPr="008358E6">
        <w:t>is the high proportion of terraced housing in the</w:t>
      </w:r>
      <w:r>
        <w:t xml:space="preserve"> area</w:t>
      </w:r>
      <w:r w:rsidRPr="008358E6">
        <w:t>. Terraced housing generally commands some of the lowest sales prices of the types of housing available.</w:t>
      </w:r>
      <w:r>
        <w:t xml:space="preserve"> However, when considering the below average annual pay within North East Lincolnshire (Section </w:t>
      </w:r>
      <w:r w:rsidR="00AA08C5">
        <w:fldChar w:fldCharType="begin"/>
      </w:r>
      <w:r w:rsidR="00AA08C5">
        <w:instrText xml:space="preserve"> REF _Ref393803794 \r \h  \* MERGEFORMAT </w:instrText>
      </w:r>
      <w:r w:rsidR="00AA08C5">
        <w:fldChar w:fldCharType="separate"/>
      </w:r>
      <w:r>
        <w:t>4.4</w:t>
      </w:r>
      <w:r w:rsidR="00AA08C5">
        <w:fldChar w:fldCharType="end"/>
      </w:r>
      <w:r>
        <w:t xml:space="preserve">), this contributes to the area being an affordable place to live. </w:t>
      </w:r>
    </w:p>
    <w:p w14:paraId="16FB5117" w14:textId="77777777" w:rsidR="00515486" w:rsidRDefault="00515486" w:rsidP="00515486">
      <w:pPr>
        <w:pStyle w:val="Caption"/>
      </w:pPr>
      <w:bookmarkStart w:id="84" w:name="_Ref393363005"/>
      <w:r>
        <w:t xml:space="preserve">Figure </w:t>
      </w:r>
      <w:fldSimple w:instr=" STYLEREF 1 \s  \* MERGEFORMAT ">
        <w:r>
          <w:rPr>
            <w:noProof/>
          </w:rPr>
          <w:t>8</w:t>
        </w:r>
      </w:fldSimple>
      <w:r>
        <w:t>-</w:t>
      </w:r>
      <w:fldSimple w:instr=" SEQ Figure \* ARABIC \s 1  \* MERGEFORMAT ">
        <w:r>
          <w:rPr>
            <w:noProof/>
          </w:rPr>
          <w:t>3</w:t>
        </w:r>
      </w:fldSimple>
      <w:bookmarkEnd w:id="84"/>
      <w:r>
        <w:tab/>
        <w:t>Average House Prices, January 1995 – January 2014 – Seasonally Adjusted</w:t>
      </w:r>
    </w:p>
    <w:p w14:paraId="4262AA82" w14:textId="77777777" w:rsidR="00515486" w:rsidRPr="00C74584" w:rsidRDefault="00515486" w:rsidP="00515486">
      <w:r>
        <w:rPr>
          <w:noProof/>
          <w:lang w:eastAsia="en-GB"/>
        </w:rPr>
        <w:drawing>
          <wp:inline distT="0" distB="0" distL="0" distR="0" wp14:anchorId="69376B1A" wp14:editId="0E14C34D">
            <wp:extent cx="5902576" cy="3121424"/>
            <wp:effectExtent l="19050" t="0" r="0" b="0"/>
            <wp:docPr id="52"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341E2F" w14:textId="77777777" w:rsidR="00515486" w:rsidRDefault="00515486" w:rsidP="00515486">
      <w:pPr>
        <w:pStyle w:val="TableSource"/>
      </w:pPr>
      <w:r>
        <w:t xml:space="preserve">Source: Land Registry 2013 </w:t>
      </w:r>
    </w:p>
    <w:p w14:paraId="1076CC91" w14:textId="77777777" w:rsidR="00515486" w:rsidRPr="0047394F" w:rsidRDefault="00515486" w:rsidP="00515486">
      <w:pPr>
        <w:jc w:val="both"/>
        <w:rPr>
          <w:rFonts w:eastAsiaTheme="majorEastAsia" w:cstheme="majorBidi"/>
          <w:b/>
          <w:bCs/>
          <w:color w:val="394A58" w:themeColor="accent2"/>
          <w:sz w:val="48"/>
          <w:szCs w:val="28"/>
        </w:rPr>
      </w:pPr>
      <w:r>
        <w:t>Population growth and particularly the increased growth in older age groups will place additional demands on the supply of housing. There will be a need to ensure that the supply of housing meets the requirements of th</w:t>
      </w:r>
      <w:r w:rsidR="00B7443B">
        <w:t xml:space="preserve">e future population, particularly if significant growth in the economy is to be facilitated.  </w:t>
      </w:r>
    </w:p>
    <w:p w14:paraId="389281D6" w14:textId="77777777" w:rsidR="00515486" w:rsidRDefault="00515486" w:rsidP="00515486">
      <w:pPr>
        <w:spacing w:after="200" w:line="276" w:lineRule="auto"/>
        <w:rPr>
          <w:rFonts w:eastAsiaTheme="majorEastAsia" w:cs="Times New Roman"/>
          <w:b/>
          <w:bCs/>
          <w:color w:val="394A58" w:themeColor="accent2"/>
          <w:sz w:val="48"/>
          <w:szCs w:val="28"/>
        </w:rPr>
      </w:pPr>
      <w:r>
        <w:rPr>
          <w:rFonts w:eastAsiaTheme="majorEastAsia"/>
        </w:rPr>
        <w:br w:type="page"/>
      </w:r>
    </w:p>
    <w:p w14:paraId="678BBA31" w14:textId="77777777" w:rsidR="00515486" w:rsidRDefault="00515486" w:rsidP="00515486">
      <w:pPr>
        <w:pStyle w:val="Heading1"/>
        <w:numPr>
          <w:ilvl w:val="0"/>
          <w:numId w:val="4"/>
        </w:numPr>
        <w:rPr>
          <w:rFonts w:eastAsiaTheme="majorEastAsia"/>
        </w:rPr>
      </w:pPr>
      <w:bookmarkStart w:id="85" w:name="_Ref393872607"/>
      <w:bookmarkStart w:id="86" w:name="_Toc394327703"/>
      <w:r>
        <w:rPr>
          <w:rFonts w:eastAsiaTheme="majorEastAsia"/>
        </w:rPr>
        <w:t>Labour Market</w:t>
      </w:r>
      <w:bookmarkEnd w:id="81"/>
      <w:bookmarkEnd w:id="85"/>
      <w:bookmarkEnd w:id="86"/>
      <w:r>
        <w:rPr>
          <w:rFonts w:eastAsiaTheme="majorEastAsia"/>
        </w:rPr>
        <w:t xml:space="preserve"> </w:t>
      </w:r>
    </w:p>
    <w:p w14:paraId="7672E6A1" w14:textId="77777777" w:rsidR="00515486" w:rsidRPr="00D013E0" w:rsidRDefault="00515486" w:rsidP="00515486">
      <w:pPr>
        <w:jc w:val="both"/>
      </w:pPr>
      <w:r w:rsidRPr="00D013E0">
        <w:t xml:space="preserve">As shown in </w:t>
      </w:r>
      <w:r w:rsidR="00F70FD0">
        <w:fldChar w:fldCharType="begin"/>
      </w:r>
      <w:r>
        <w:instrText xml:space="preserve"> REF _Ref393461731 \h </w:instrText>
      </w:r>
      <w:r w:rsidR="00F70FD0">
        <w:fldChar w:fldCharType="separate"/>
      </w:r>
      <w:r w:rsidRPr="00BC6746">
        <w:t xml:space="preserve">Table </w:t>
      </w:r>
      <w:r>
        <w:rPr>
          <w:noProof/>
        </w:rPr>
        <w:t>9</w:t>
      </w:r>
      <w:r w:rsidRPr="00BC6746">
        <w:noBreakHyphen/>
      </w:r>
      <w:r>
        <w:rPr>
          <w:noProof/>
        </w:rPr>
        <w:t>1</w:t>
      </w:r>
      <w:r w:rsidR="00F70FD0">
        <w:fldChar w:fldCharType="end"/>
      </w:r>
      <w:r>
        <w:t xml:space="preserve"> </w:t>
      </w:r>
      <w:r w:rsidRPr="00D013E0">
        <w:t xml:space="preserve">North East Lincolnshire has a marginally lower economically active proportion of the population </w:t>
      </w:r>
      <w:r w:rsidR="00B7443B">
        <w:t>compared to</w:t>
      </w:r>
      <w:r w:rsidRPr="00D013E0">
        <w:t xml:space="preserve"> the national average, at 76.5%. This is accompanied by a higher rate of unemployment at 10.4%, 4 percentage points higher than the national rate. This suggests that a larger proportion of individuals in North East Lincolnshire than nationally are</w:t>
      </w:r>
      <w:r>
        <w:t xml:space="preserve"> not</w:t>
      </w:r>
      <w:r w:rsidRPr="00D013E0">
        <w:t xml:space="preserve"> seeking employment </w:t>
      </w:r>
      <w:r>
        <w:t xml:space="preserve">or </w:t>
      </w:r>
      <w:r w:rsidRPr="00D013E0">
        <w:t xml:space="preserve">unable to find work. This conclusion is supported by the job density rate, which indicates the North East Lincolnshire economy features fewer jobs in relation to the population than the national economy. </w:t>
      </w:r>
    </w:p>
    <w:p w14:paraId="31069FDB" w14:textId="77777777" w:rsidR="00515486" w:rsidRDefault="00515486" w:rsidP="00515486">
      <w:pPr>
        <w:pStyle w:val="Caption"/>
        <w:jc w:val="both"/>
      </w:pPr>
      <w:bookmarkStart w:id="87" w:name="_Ref393461731"/>
      <w:r w:rsidRPr="00BC6746">
        <w:t xml:space="preserve">Table </w:t>
      </w:r>
      <w:r w:rsidR="00F70FD0">
        <w:fldChar w:fldCharType="begin"/>
      </w:r>
      <w:r w:rsidR="00F810E1">
        <w:instrText xml:space="preserve"> STYLEREF 1 \s </w:instrText>
      </w:r>
      <w:r w:rsidR="00F70FD0">
        <w:fldChar w:fldCharType="separate"/>
      </w:r>
      <w:r>
        <w:rPr>
          <w:noProof/>
        </w:rPr>
        <w:t>9</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1</w:t>
      </w:r>
      <w:r w:rsidR="00F70FD0">
        <w:rPr>
          <w:noProof/>
        </w:rPr>
        <w:fldChar w:fldCharType="end"/>
      </w:r>
      <w:bookmarkEnd w:id="87"/>
      <w:r w:rsidRPr="00BC6746">
        <w:tab/>
      </w:r>
      <w:r>
        <w:t xml:space="preserve">Economic activity in North East Lincolnshire, Apr 2013 – Mar 2014 </w:t>
      </w:r>
    </w:p>
    <w:tbl>
      <w:tblPr>
        <w:tblStyle w:val="Atkins14pt"/>
        <w:tblW w:w="9639" w:type="dxa"/>
        <w:tblLayout w:type="fixed"/>
        <w:tblLook w:val="04A0" w:firstRow="1" w:lastRow="0" w:firstColumn="1" w:lastColumn="0" w:noHBand="0" w:noVBand="1"/>
      </w:tblPr>
      <w:tblGrid>
        <w:gridCol w:w="2552"/>
        <w:gridCol w:w="1771"/>
        <w:gridCol w:w="1772"/>
        <w:gridCol w:w="1772"/>
        <w:gridCol w:w="1772"/>
      </w:tblGrid>
      <w:tr w:rsidR="00515486" w:rsidRPr="009325E9" w14:paraId="47B88BDB" w14:textId="77777777" w:rsidTr="004D5D22">
        <w:trPr>
          <w:cnfStyle w:val="100000000000" w:firstRow="1" w:lastRow="0" w:firstColumn="0" w:lastColumn="0" w:oddVBand="0" w:evenVBand="0" w:oddHBand="0" w:evenHBand="0" w:firstRowFirstColumn="0" w:firstRowLastColumn="0" w:lastRowFirstColumn="0" w:lastRowLastColumn="0"/>
          <w:trHeight w:val="645"/>
        </w:trPr>
        <w:tc>
          <w:tcPr>
            <w:cnfStyle w:val="001000000100" w:firstRow="0" w:lastRow="0" w:firstColumn="1" w:lastColumn="0" w:oddVBand="0" w:evenVBand="0" w:oddHBand="0" w:evenHBand="0" w:firstRowFirstColumn="1" w:firstRowLastColumn="0" w:lastRowFirstColumn="0" w:lastRowLastColumn="0"/>
            <w:tcW w:w="2552" w:type="dxa"/>
            <w:hideMark/>
          </w:tcPr>
          <w:p w14:paraId="662F67A7" w14:textId="77777777" w:rsidR="00515486" w:rsidRPr="008F07E2" w:rsidRDefault="00515486" w:rsidP="004D5D22">
            <w:pPr>
              <w:pStyle w:val="TableHeading"/>
              <w:spacing w:before="0" w:after="0"/>
              <w:rPr>
                <w:color w:val="auto"/>
              </w:rPr>
            </w:pPr>
            <w:r w:rsidRPr="008F07E2">
              <w:rPr>
                <w:color w:val="auto"/>
              </w:rPr>
              <w:t> </w:t>
            </w:r>
          </w:p>
        </w:tc>
        <w:tc>
          <w:tcPr>
            <w:tcW w:w="1771" w:type="dxa"/>
            <w:hideMark/>
          </w:tcPr>
          <w:p w14:paraId="43A85C5E" w14:textId="77777777" w:rsidR="00515486" w:rsidRPr="008F07E2" w:rsidRDefault="00515486" w:rsidP="00F832A6">
            <w:pPr>
              <w:pStyle w:val="TableHeading"/>
              <w:spacing w:before="0" w:after="0"/>
              <w:jc w:val="center"/>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England (%)</w:t>
            </w:r>
          </w:p>
        </w:tc>
        <w:tc>
          <w:tcPr>
            <w:tcW w:w="1772" w:type="dxa"/>
            <w:noWrap/>
            <w:hideMark/>
          </w:tcPr>
          <w:p w14:paraId="2CEC4ECD" w14:textId="77777777" w:rsidR="00515486" w:rsidRPr="008F07E2" w:rsidRDefault="00515486" w:rsidP="00F832A6">
            <w:pPr>
              <w:pStyle w:val="TableHeading"/>
              <w:spacing w:before="0" w:after="0"/>
              <w:jc w:val="center"/>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North East Lincolnshire (%)</w:t>
            </w:r>
          </w:p>
        </w:tc>
        <w:tc>
          <w:tcPr>
            <w:tcW w:w="1772" w:type="dxa"/>
            <w:hideMark/>
          </w:tcPr>
          <w:p w14:paraId="0097E159" w14:textId="77777777" w:rsidR="00515486" w:rsidRPr="008F07E2" w:rsidRDefault="00515486" w:rsidP="00F832A6">
            <w:pPr>
              <w:pStyle w:val="TableHeading"/>
              <w:spacing w:before="0" w:after="0"/>
              <w:jc w:val="center"/>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North Lincolnshire (%)</w:t>
            </w:r>
          </w:p>
        </w:tc>
        <w:tc>
          <w:tcPr>
            <w:tcW w:w="1772" w:type="dxa"/>
            <w:hideMark/>
          </w:tcPr>
          <w:p w14:paraId="5DACC2C3" w14:textId="77777777" w:rsidR="00515486" w:rsidRPr="008F07E2" w:rsidRDefault="00515486" w:rsidP="00F832A6">
            <w:pPr>
              <w:pStyle w:val="TableHeading"/>
              <w:spacing w:before="0" w:after="0"/>
              <w:jc w:val="center"/>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Kingston upon Hull, City of (%)</w:t>
            </w:r>
          </w:p>
        </w:tc>
      </w:tr>
      <w:tr w:rsidR="00515486" w:rsidRPr="009325E9" w14:paraId="061AB6E9" w14:textId="77777777" w:rsidTr="004D5D22">
        <w:trPr>
          <w:trHeight w:val="204"/>
        </w:trPr>
        <w:tc>
          <w:tcPr>
            <w:cnfStyle w:val="001000000000" w:firstRow="0" w:lastRow="0" w:firstColumn="1" w:lastColumn="0" w:oddVBand="0" w:evenVBand="0" w:oddHBand="0" w:evenHBand="0" w:firstRowFirstColumn="0" w:firstRowLastColumn="0" w:lastRowFirstColumn="0" w:lastRowLastColumn="0"/>
            <w:tcW w:w="9639" w:type="dxa"/>
            <w:gridSpan w:val="5"/>
            <w:hideMark/>
          </w:tcPr>
          <w:p w14:paraId="0DDA2DC6" w14:textId="77777777" w:rsidR="00515486" w:rsidRPr="008F07E2" w:rsidRDefault="00515486" w:rsidP="004D5D22">
            <w:pPr>
              <w:pStyle w:val="TableHeading"/>
              <w:spacing w:before="0" w:after="0"/>
              <w:rPr>
                <w:color w:val="auto"/>
              </w:rPr>
            </w:pPr>
            <w:r w:rsidRPr="008F07E2">
              <w:rPr>
                <w:color w:val="auto"/>
              </w:rPr>
              <w:t>All  People</w:t>
            </w:r>
          </w:p>
        </w:tc>
      </w:tr>
      <w:tr w:rsidR="00515486" w:rsidRPr="009325E9" w14:paraId="0AAF6730" w14:textId="77777777" w:rsidTr="004D5D22">
        <w:trPr>
          <w:trHeight w:val="187"/>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9E7C20A" w14:textId="77777777" w:rsidR="00515486" w:rsidRPr="008F07E2" w:rsidRDefault="00515486" w:rsidP="004D5D22">
            <w:pPr>
              <w:pStyle w:val="TableHeading"/>
              <w:spacing w:before="0" w:after="0"/>
              <w:rPr>
                <w:b w:val="0"/>
                <w:color w:val="auto"/>
              </w:rPr>
            </w:pPr>
            <w:r w:rsidRPr="008F07E2">
              <w:rPr>
                <w:b w:val="0"/>
                <w:color w:val="auto"/>
              </w:rPr>
              <w:t>Economically active</w:t>
            </w:r>
          </w:p>
        </w:tc>
        <w:tc>
          <w:tcPr>
            <w:tcW w:w="1771" w:type="dxa"/>
            <w:hideMark/>
          </w:tcPr>
          <w:p w14:paraId="5B0BD8B7"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78.6</w:t>
            </w:r>
          </w:p>
        </w:tc>
        <w:tc>
          <w:tcPr>
            <w:tcW w:w="1772" w:type="dxa"/>
            <w:noWrap/>
            <w:hideMark/>
          </w:tcPr>
          <w:p w14:paraId="7085D193"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76.5</w:t>
            </w:r>
          </w:p>
        </w:tc>
        <w:tc>
          <w:tcPr>
            <w:tcW w:w="1772" w:type="dxa"/>
            <w:hideMark/>
          </w:tcPr>
          <w:p w14:paraId="58C5E039"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79.3</w:t>
            </w:r>
          </w:p>
        </w:tc>
        <w:tc>
          <w:tcPr>
            <w:tcW w:w="1772" w:type="dxa"/>
            <w:hideMark/>
          </w:tcPr>
          <w:p w14:paraId="3A37D33C"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73.7</w:t>
            </w:r>
          </w:p>
        </w:tc>
      </w:tr>
      <w:tr w:rsidR="00515486" w:rsidRPr="009325E9" w14:paraId="002AE5D3"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6164D5F" w14:textId="77777777" w:rsidR="00515486" w:rsidRPr="008F07E2" w:rsidRDefault="00515486" w:rsidP="004D5D22">
            <w:pPr>
              <w:pStyle w:val="TableHeading"/>
              <w:spacing w:before="0" w:after="0"/>
              <w:rPr>
                <w:b w:val="0"/>
                <w:color w:val="auto"/>
              </w:rPr>
            </w:pPr>
            <w:r w:rsidRPr="008F07E2">
              <w:rPr>
                <w:b w:val="0"/>
                <w:color w:val="auto"/>
              </w:rPr>
              <w:t>In employment</w:t>
            </w:r>
          </w:p>
        </w:tc>
        <w:tc>
          <w:tcPr>
            <w:tcW w:w="1771" w:type="dxa"/>
            <w:hideMark/>
          </w:tcPr>
          <w:p w14:paraId="20A2DA14"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73.5</w:t>
            </w:r>
          </w:p>
        </w:tc>
        <w:tc>
          <w:tcPr>
            <w:tcW w:w="1772" w:type="dxa"/>
            <w:noWrap/>
            <w:hideMark/>
          </w:tcPr>
          <w:p w14:paraId="2294FD52"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68.6</w:t>
            </w:r>
          </w:p>
        </w:tc>
        <w:tc>
          <w:tcPr>
            <w:tcW w:w="1772" w:type="dxa"/>
            <w:hideMark/>
          </w:tcPr>
          <w:p w14:paraId="48C6F447"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74.3</w:t>
            </w:r>
          </w:p>
        </w:tc>
        <w:tc>
          <w:tcPr>
            <w:tcW w:w="1772" w:type="dxa"/>
            <w:hideMark/>
          </w:tcPr>
          <w:p w14:paraId="13961832"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63.3</w:t>
            </w:r>
          </w:p>
        </w:tc>
      </w:tr>
      <w:tr w:rsidR="00515486" w:rsidRPr="009325E9" w14:paraId="518A8B55"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8BF70D9" w14:textId="77777777" w:rsidR="00515486" w:rsidRPr="008F07E2" w:rsidRDefault="00515486" w:rsidP="004D5D22">
            <w:pPr>
              <w:pStyle w:val="TableHeading"/>
              <w:spacing w:before="0" w:after="0"/>
              <w:rPr>
                <w:b w:val="0"/>
                <w:color w:val="auto"/>
              </w:rPr>
            </w:pPr>
            <w:r w:rsidRPr="008F07E2">
              <w:rPr>
                <w:b w:val="0"/>
                <w:color w:val="auto"/>
              </w:rPr>
              <w:t>Unemployed</w:t>
            </w:r>
          </w:p>
        </w:tc>
        <w:tc>
          <w:tcPr>
            <w:tcW w:w="1771" w:type="dxa"/>
            <w:hideMark/>
          </w:tcPr>
          <w:p w14:paraId="3358FA38"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6.4</w:t>
            </w:r>
          </w:p>
        </w:tc>
        <w:tc>
          <w:tcPr>
            <w:tcW w:w="1772" w:type="dxa"/>
            <w:noWrap/>
            <w:hideMark/>
          </w:tcPr>
          <w:p w14:paraId="7783FFD6"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10.4</w:t>
            </w:r>
          </w:p>
        </w:tc>
        <w:tc>
          <w:tcPr>
            <w:tcW w:w="1772" w:type="dxa"/>
            <w:hideMark/>
          </w:tcPr>
          <w:p w14:paraId="1DFAACF8"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7.3</w:t>
            </w:r>
          </w:p>
        </w:tc>
        <w:tc>
          <w:tcPr>
            <w:tcW w:w="1772" w:type="dxa"/>
            <w:hideMark/>
          </w:tcPr>
          <w:p w14:paraId="34CA5779"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13.5</w:t>
            </w:r>
          </w:p>
        </w:tc>
      </w:tr>
      <w:tr w:rsidR="00515486" w:rsidRPr="009325E9" w14:paraId="431845C6"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9639" w:type="dxa"/>
            <w:gridSpan w:val="5"/>
            <w:hideMark/>
          </w:tcPr>
          <w:p w14:paraId="4B101591" w14:textId="77777777" w:rsidR="00515486" w:rsidRPr="008F07E2" w:rsidRDefault="00515486" w:rsidP="00F832A6">
            <w:pPr>
              <w:pStyle w:val="TableHeading"/>
              <w:spacing w:before="0" w:after="0"/>
              <w:jc w:val="center"/>
              <w:rPr>
                <w:color w:val="auto"/>
              </w:rPr>
            </w:pPr>
            <w:r w:rsidRPr="008F07E2">
              <w:rPr>
                <w:color w:val="auto"/>
              </w:rPr>
              <w:t>Males</w:t>
            </w:r>
          </w:p>
        </w:tc>
      </w:tr>
      <w:tr w:rsidR="00515486" w:rsidRPr="009325E9" w14:paraId="36D663A7"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5399E90" w14:textId="77777777" w:rsidR="00515486" w:rsidRPr="008F07E2" w:rsidRDefault="00515486" w:rsidP="004D5D22">
            <w:pPr>
              <w:pStyle w:val="TableHeading"/>
              <w:spacing w:before="0" w:after="0"/>
              <w:rPr>
                <w:b w:val="0"/>
                <w:color w:val="auto"/>
              </w:rPr>
            </w:pPr>
            <w:r w:rsidRPr="008F07E2">
              <w:rPr>
                <w:b w:val="0"/>
                <w:color w:val="auto"/>
              </w:rPr>
              <w:t>Economically active</w:t>
            </w:r>
          </w:p>
        </w:tc>
        <w:tc>
          <w:tcPr>
            <w:tcW w:w="1771" w:type="dxa"/>
            <w:hideMark/>
          </w:tcPr>
          <w:p w14:paraId="5E84C7C9"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84.3</w:t>
            </w:r>
          </w:p>
        </w:tc>
        <w:tc>
          <w:tcPr>
            <w:tcW w:w="1772" w:type="dxa"/>
            <w:noWrap/>
            <w:hideMark/>
          </w:tcPr>
          <w:p w14:paraId="26F1632E"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82.8</w:t>
            </w:r>
          </w:p>
        </w:tc>
        <w:tc>
          <w:tcPr>
            <w:tcW w:w="1772" w:type="dxa"/>
            <w:hideMark/>
          </w:tcPr>
          <w:p w14:paraId="1576AA8A"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84.3</w:t>
            </w:r>
          </w:p>
        </w:tc>
        <w:tc>
          <w:tcPr>
            <w:tcW w:w="1772" w:type="dxa"/>
            <w:hideMark/>
          </w:tcPr>
          <w:p w14:paraId="047926E9"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81.5</w:t>
            </w:r>
          </w:p>
        </w:tc>
      </w:tr>
      <w:tr w:rsidR="00515486" w:rsidRPr="009325E9" w14:paraId="4A8EF5D2"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9B9E18C" w14:textId="77777777" w:rsidR="00515486" w:rsidRPr="008F07E2" w:rsidRDefault="00515486" w:rsidP="004D5D22">
            <w:pPr>
              <w:pStyle w:val="TableHeading"/>
              <w:spacing w:before="0" w:after="0"/>
              <w:rPr>
                <w:b w:val="0"/>
                <w:color w:val="auto"/>
              </w:rPr>
            </w:pPr>
            <w:r w:rsidRPr="008F07E2">
              <w:rPr>
                <w:b w:val="0"/>
                <w:color w:val="auto"/>
              </w:rPr>
              <w:t>In employment</w:t>
            </w:r>
          </w:p>
        </w:tc>
        <w:tc>
          <w:tcPr>
            <w:tcW w:w="1771" w:type="dxa"/>
            <w:hideMark/>
          </w:tcPr>
          <w:p w14:paraId="4B0E9692"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78.8</w:t>
            </w:r>
          </w:p>
        </w:tc>
        <w:tc>
          <w:tcPr>
            <w:tcW w:w="1772" w:type="dxa"/>
            <w:noWrap/>
            <w:hideMark/>
          </w:tcPr>
          <w:p w14:paraId="09B3294C"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73.3</w:t>
            </w:r>
          </w:p>
        </w:tc>
        <w:tc>
          <w:tcPr>
            <w:tcW w:w="1772" w:type="dxa"/>
            <w:hideMark/>
          </w:tcPr>
          <w:p w14:paraId="3943FC50"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77.7</w:t>
            </w:r>
          </w:p>
        </w:tc>
        <w:tc>
          <w:tcPr>
            <w:tcW w:w="1772" w:type="dxa"/>
            <w:hideMark/>
          </w:tcPr>
          <w:p w14:paraId="00334948"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69</w:t>
            </w:r>
          </w:p>
        </w:tc>
      </w:tr>
      <w:tr w:rsidR="00515486" w:rsidRPr="009325E9" w14:paraId="4C238064"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97948A3" w14:textId="77777777" w:rsidR="00515486" w:rsidRPr="008F07E2" w:rsidRDefault="00515486" w:rsidP="004D5D22">
            <w:pPr>
              <w:pStyle w:val="TableHeading"/>
              <w:spacing w:before="0" w:after="0"/>
              <w:rPr>
                <w:b w:val="0"/>
                <w:color w:val="auto"/>
              </w:rPr>
            </w:pPr>
            <w:r w:rsidRPr="008F07E2">
              <w:rPr>
                <w:b w:val="0"/>
                <w:color w:val="auto"/>
              </w:rPr>
              <w:t>Unemployed</w:t>
            </w:r>
          </w:p>
        </w:tc>
        <w:tc>
          <w:tcPr>
            <w:tcW w:w="1771" w:type="dxa"/>
            <w:hideMark/>
          </w:tcPr>
          <w:p w14:paraId="6CE48B26"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6.4</w:t>
            </w:r>
          </w:p>
        </w:tc>
        <w:tc>
          <w:tcPr>
            <w:tcW w:w="1772" w:type="dxa"/>
            <w:noWrap/>
            <w:hideMark/>
          </w:tcPr>
          <w:p w14:paraId="16BB2D43"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11.3</w:t>
            </w:r>
          </w:p>
        </w:tc>
        <w:tc>
          <w:tcPr>
            <w:tcW w:w="1772" w:type="dxa"/>
            <w:hideMark/>
          </w:tcPr>
          <w:p w14:paraId="25C431F1"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7.7</w:t>
            </w:r>
          </w:p>
        </w:tc>
        <w:tc>
          <w:tcPr>
            <w:tcW w:w="1772" w:type="dxa"/>
            <w:hideMark/>
          </w:tcPr>
          <w:p w14:paraId="72BCB2C7"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15</w:t>
            </w:r>
          </w:p>
        </w:tc>
      </w:tr>
      <w:tr w:rsidR="00515486" w:rsidRPr="009325E9" w14:paraId="14AC71C7"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9639" w:type="dxa"/>
            <w:gridSpan w:val="5"/>
            <w:hideMark/>
          </w:tcPr>
          <w:p w14:paraId="09015F2A" w14:textId="77777777" w:rsidR="00515486" w:rsidRPr="008F07E2" w:rsidRDefault="00515486" w:rsidP="00F832A6">
            <w:pPr>
              <w:pStyle w:val="TableHeading"/>
              <w:spacing w:before="0" w:after="0"/>
              <w:jc w:val="center"/>
              <w:rPr>
                <w:color w:val="auto"/>
              </w:rPr>
            </w:pPr>
            <w:r w:rsidRPr="008F07E2">
              <w:rPr>
                <w:color w:val="auto"/>
              </w:rPr>
              <w:t>Females</w:t>
            </w:r>
          </w:p>
        </w:tc>
      </w:tr>
      <w:tr w:rsidR="00515486" w:rsidRPr="009325E9" w14:paraId="287CA9B6"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6959684" w14:textId="77777777" w:rsidR="00515486" w:rsidRPr="008F07E2" w:rsidRDefault="00515486" w:rsidP="004D5D22">
            <w:pPr>
              <w:pStyle w:val="TableHeading"/>
              <w:spacing w:before="0" w:after="0"/>
              <w:rPr>
                <w:b w:val="0"/>
                <w:color w:val="auto"/>
              </w:rPr>
            </w:pPr>
            <w:r w:rsidRPr="008F07E2">
              <w:rPr>
                <w:b w:val="0"/>
                <w:color w:val="auto"/>
              </w:rPr>
              <w:t>Economically active</w:t>
            </w:r>
          </w:p>
        </w:tc>
        <w:tc>
          <w:tcPr>
            <w:tcW w:w="1771" w:type="dxa"/>
            <w:hideMark/>
          </w:tcPr>
          <w:p w14:paraId="23BC1AC6"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72.9</w:t>
            </w:r>
          </w:p>
        </w:tc>
        <w:tc>
          <w:tcPr>
            <w:tcW w:w="1772" w:type="dxa"/>
            <w:noWrap/>
            <w:hideMark/>
          </w:tcPr>
          <w:p w14:paraId="025BE916"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70.5</w:t>
            </w:r>
          </w:p>
        </w:tc>
        <w:tc>
          <w:tcPr>
            <w:tcW w:w="1772" w:type="dxa"/>
            <w:hideMark/>
          </w:tcPr>
          <w:p w14:paraId="1B09AB97"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74.2</w:t>
            </w:r>
          </w:p>
        </w:tc>
        <w:tc>
          <w:tcPr>
            <w:tcW w:w="1772" w:type="dxa"/>
            <w:hideMark/>
          </w:tcPr>
          <w:p w14:paraId="5D0874FB"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65.4</w:t>
            </w:r>
          </w:p>
        </w:tc>
      </w:tr>
      <w:tr w:rsidR="00515486" w:rsidRPr="009325E9" w14:paraId="6BF42A1A" w14:textId="77777777" w:rsidTr="004D5D22">
        <w:trPr>
          <w:trHeight w:val="27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1876D81" w14:textId="77777777" w:rsidR="00515486" w:rsidRPr="008F07E2" w:rsidRDefault="00515486" w:rsidP="004D5D22">
            <w:pPr>
              <w:pStyle w:val="TableHeading"/>
              <w:spacing w:before="0" w:after="0"/>
              <w:rPr>
                <w:b w:val="0"/>
                <w:color w:val="auto"/>
              </w:rPr>
            </w:pPr>
            <w:r w:rsidRPr="008F07E2">
              <w:rPr>
                <w:b w:val="0"/>
                <w:color w:val="auto"/>
              </w:rPr>
              <w:t>In employment</w:t>
            </w:r>
          </w:p>
        </w:tc>
        <w:tc>
          <w:tcPr>
            <w:tcW w:w="1771" w:type="dxa"/>
            <w:hideMark/>
          </w:tcPr>
          <w:p w14:paraId="5380C527"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68.1</w:t>
            </w:r>
          </w:p>
        </w:tc>
        <w:tc>
          <w:tcPr>
            <w:tcW w:w="1772" w:type="dxa"/>
            <w:noWrap/>
            <w:hideMark/>
          </w:tcPr>
          <w:p w14:paraId="0E185A77"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64.1</w:t>
            </w:r>
          </w:p>
        </w:tc>
        <w:tc>
          <w:tcPr>
            <w:tcW w:w="1772" w:type="dxa"/>
            <w:hideMark/>
          </w:tcPr>
          <w:p w14:paraId="57532CEB"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70.9</w:t>
            </w:r>
          </w:p>
        </w:tc>
        <w:tc>
          <w:tcPr>
            <w:tcW w:w="1772" w:type="dxa"/>
            <w:hideMark/>
          </w:tcPr>
          <w:p w14:paraId="2CEF1B39" w14:textId="77777777" w:rsidR="00515486" w:rsidRPr="008F07E2" w:rsidRDefault="00515486" w:rsidP="00F832A6">
            <w:pPr>
              <w:pStyle w:val="TableHeading"/>
              <w:spacing w:before="0" w:after="0"/>
              <w:jc w:val="center"/>
              <w:cnfStyle w:val="000000000000" w:firstRow="0" w:lastRow="0" w:firstColumn="0" w:lastColumn="0" w:oddVBand="0" w:evenVBand="0" w:oddHBand="0" w:evenHBand="0" w:firstRowFirstColumn="0" w:firstRowLastColumn="0" w:lastRowFirstColumn="0" w:lastRowLastColumn="0"/>
              <w:rPr>
                <w:b w:val="0"/>
                <w:color w:val="auto"/>
              </w:rPr>
            </w:pPr>
            <w:r w:rsidRPr="008F07E2">
              <w:rPr>
                <w:b w:val="0"/>
                <w:color w:val="auto"/>
              </w:rPr>
              <w:t>57.2</w:t>
            </w:r>
          </w:p>
        </w:tc>
      </w:tr>
      <w:tr w:rsidR="00515486" w:rsidRPr="009325E9" w14:paraId="64133D74" w14:textId="77777777" w:rsidTr="004D5D22">
        <w:trPr>
          <w:trHeight w:val="365"/>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10023D4" w14:textId="77777777" w:rsidR="00515486" w:rsidRPr="008F07E2" w:rsidRDefault="00515486" w:rsidP="004D5D22">
            <w:pPr>
              <w:pStyle w:val="TableHeading"/>
              <w:spacing w:before="0" w:after="0"/>
              <w:rPr>
                <w:b w:val="0"/>
                <w:color w:val="auto"/>
              </w:rPr>
            </w:pPr>
            <w:r w:rsidRPr="008F07E2">
              <w:rPr>
                <w:b w:val="0"/>
                <w:color w:val="auto"/>
              </w:rPr>
              <w:t>Unemployed</w:t>
            </w:r>
          </w:p>
        </w:tc>
        <w:tc>
          <w:tcPr>
            <w:tcW w:w="1771" w:type="dxa"/>
            <w:hideMark/>
          </w:tcPr>
          <w:p w14:paraId="4D6B4392" w14:textId="77777777" w:rsidR="00515486" w:rsidRPr="008F07E2"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sidRPr="008F07E2">
              <w:rPr>
                <w:color w:val="auto"/>
                <w:lang w:eastAsia="ko-KR"/>
              </w:rPr>
              <w:t>6.4</w:t>
            </w:r>
          </w:p>
        </w:tc>
        <w:tc>
          <w:tcPr>
            <w:tcW w:w="1772" w:type="dxa"/>
            <w:noWrap/>
            <w:hideMark/>
          </w:tcPr>
          <w:p w14:paraId="270C23CA" w14:textId="77777777" w:rsidR="00515486" w:rsidRPr="008F07E2"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sidRPr="008F07E2">
              <w:rPr>
                <w:color w:val="auto"/>
                <w:lang w:eastAsia="ko-KR"/>
              </w:rPr>
              <w:t>8.9</w:t>
            </w:r>
          </w:p>
        </w:tc>
        <w:tc>
          <w:tcPr>
            <w:tcW w:w="1772" w:type="dxa"/>
            <w:hideMark/>
          </w:tcPr>
          <w:p w14:paraId="17C5B781" w14:textId="77777777" w:rsidR="00515486" w:rsidRPr="008F07E2"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b/>
                <w:color w:val="auto"/>
              </w:rPr>
            </w:pPr>
            <w:r w:rsidRPr="008F07E2">
              <w:rPr>
                <w:color w:val="auto"/>
                <w:lang w:eastAsia="ko-KR"/>
              </w:rPr>
              <w:t>4.4</w:t>
            </w:r>
          </w:p>
        </w:tc>
        <w:tc>
          <w:tcPr>
            <w:tcW w:w="1772" w:type="dxa"/>
            <w:hideMark/>
          </w:tcPr>
          <w:p w14:paraId="171D8F68" w14:textId="77777777" w:rsidR="00515486" w:rsidRPr="008F07E2"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lang w:eastAsia="ko-KR"/>
              </w:rPr>
            </w:pPr>
            <w:r w:rsidRPr="008F07E2">
              <w:rPr>
                <w:color w:val="auto"/>
                <w:lang w:eastAsia="ko-KR"/>
              </w:rPr>
              <w:t>12.4</w:t>
            </w:r>
          </w:p>
        </w:tc>
      </w:tr>
      <w:tr w:rsidR="00515486" w:rsidRPr="009325E9" w14:paraId="2A3F8D2A" w14:textId="77777777" w:rsidTr="004D5D22">
        <w:trPr>
          <w:trHeight w:val="365"/>
        </w:trPr>
        <w:tc>
          <w:tcPr>
            <w:cnfStyle w:val="001000000000" w:firstRow="0" w:lastRow="0" w:firstColumn="1" w:lastColumn="0" w:oddVBand="0" w:evenVBand="0" w:oddHBand="0" w:evenHBand="0" w:firstRowFirstColumn="0" w:firstRowLastColumn="0" w:lastRowFirstColumn="0" w:lastRowLastColumn="0"/>
            <w:tcW w:w="2552" w:type="dxa"/>
            <w:shd w:val="clear" w:color="auto" w:fill="E6E4DE" w:themeFill="accent6"/>
            <w:noWrap/>
            <w:hideMark/>
          </w:tcPr>
          <w:p w14:paraId="51297F94" w14:textId="77777777" w:rsidR="00515486" w:rsidRPr="008F07E2" w:rsidRDefault="00515486" w:rsidP="004D5D22">
            <w:pPr>
              <w:pStyle w:val="TableHeading"/>
              <w:spacing w:before="0" w:after="0"/>
              <w:rPr>
                <w:color w:val="auto"/>
              </w:rPr>
            </w:pPr>
            <w:r w:rsidRPr="008F07E2">
              <w:rPr>
                <w:color w:val="auto"/>
              </w:rPr>
              <w:t>Job Density</w:t>
            </w:r>
          </w:p>
        </w:tc>
        <w:tc>
          <w:tcPr>
            <w:tcW w:w="1771" w:type="dxa"/>
            <w:shd w:val="clear" w:color="auto" w:fill="E6E4DE" w:themeFill="accent6"/>
            <w:hideMark/>
          </w:tcPr>
          <w:p w14:paraId="401034F2" w14:textId="77777777" w:rsidR="00515486" w:rsidRPr="008F07E2"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lang w:eastAsia="ko-KR"/>
              </w:rPr>
            </w:pPr>
            <w:r w:rsidRPr="008F07E2">
              <w:rPr>
                <w:color w:val="auto"/>
                <w:lang w:eastAsia="ko-KR"/>
              </w:rPr>
              <w:t>0.79</w:t>
            </w:r>
          </w:p>
        </w:tc>
        <w:tc>
          <w:tcPr>
            <w:tcW w:w="1772" w:type="dxa"/>
            <w:shd w:val="clear" w:color="auto" w:fill="E6E4DE" w:themeFill="accent6"/>
            <w:noWrap/>
            <w:hideMark/>
          </w:tcPr>
          <w:p w14:paraId="48CBFC22" w14:textId="77777777" w:rsidR="00515486" w:rsidRPr="008F07E2"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lang w:eastAsia="ko-KR"/>
              </w:rPr>
            </w:pPr>
            <w:r w:rsidRPr="008F07E2">
              <w:rPr>
                <w:color w:val="auto"/>
                <w:lang w:eastAsia="ko-KR"/>
              </w:rPr>
              <w:t>0.7</w:t>
            </w:r>
          </w:p>
        </w:tc>
        <w:tc>
          <w:tcPr>
            <w:tcW w:w="1772" w:type="dxa"/>
            <w:shd w:val="clear" w:color="auto" w:fill="E6E4DE" w:themeFill="accent6"/>
            <w:hideMark/>
          </w:tcPr>
          <w:p w14:paraId="5494847C" w14:textId="77777777" w:rsidR="00515486" w:rsidRPr="008F07E2"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lang w:eastAsia="ko-KR"/>
              </w:rPr>
            </w:pPr>
            <w:r w:rsidRPr="008F07E2">
              <w:rPr>
                <w:color w:val="auto"/>
                <w:lang w:eastAsia="ko-KR"/>
              </w:rPr>
              <w:t>0.7</w:t>
            </w:r>
          </w:p>
        </w:tc>
        <w:tc>
          <w:tcPr>
            <w:tcW w:w="1772" w:type="dxa"/>
            <w:shd w:val="clear" w:color="auto" w:fill="E6E4DE" w:themeFill="accent6"/>
            <w:hideMark/>
          </w:tcPr>
          <w:p w14:paraId="60AB649C" w14:textId="77777777" w:rsidR="00515486" w:rsidRPr="008F07E2" w:rsidRDefault="00515486" w:rsidP="00F832A6">
            <w:pPr>
              <w:spacing w:after="0"/>
              <w:jc w:val="center"/>
              <w:cnfStyle w:val="000000000000" w:firstRow="0" w:lastRow="0" w:firstColumn="0" w:lastColumn="0" w:oddVBand="0" w:evenVBand="0" w:oddHBand="0" w:evenHBand="0" w:firstRowFirstColumn="0" w:firstRowLastColumn="0" w:lastRowFirstColumn="0" w:lastRowLastColumn="0"/>
              <w:rPr>
                <w:color w:val="auto"/>
                <w:lang w:eastAsia="ko-KR"/>
              </w:rPr>
            </w:pPr>
            <w:r w:rsidRPr="008F07E2">
              <w:rPr>
                <w:color w:val="auto"/>
                <w:lang w:eastAsia="ko-KR"/>
              </w:rPr>
              <w:t>0.73</w:t>
            </w:r>
          </w:p>
        </w:tc>
      </w:tr>
    </w:tbl>
    <w:p w14:paraId="63174B96" w14:textId="77777777" w:rsidR="00515486" w:rsidRDefault="00515486" w:rsidP="00515486">
      <w:pPr>
        <w:pStyle w:val="TableSource"/>
        <w:jc w:val="both"/>
      </w:pPr>
      <w:r>
        <w:t xml:space="preserve">Source: ONS Annual Population Survey. % of those aged 16-64. Percentages are the proportion of economically active population. </w:t>
      </w:r>
    </w:p>
    <w:p w14:paraId="0FBBB6B3" w14:textId="77777777" w:rsidR="00515486" w:rsidRDefault="00515486" w:rsidP="00515486">
      <w:pPr>
        <w:jc w:val="both"/>
      </w:pPr>
      <w:r>
        <w:t xml:space="preserve">The reasons for economic inactivity are diverse </w:t>
      </w:r>
      <w:r w:rsidRPr="007534DB">
        <w:t xml:space="preserve">and </w:t>
      </w:r>
      <w:r w:rsidR="00AA08C5">
        <w:fldChar w:fldCharType="begin"/>
      </w:r>
      <w:r w:rsidR="00AA08C5">
        <w:instrText xml:space="preserve"> REF _Ref393869380 \h  \* MERGEFORMAT </w:instrText>
      </w:r>
      <w:r w:rsidR="00AA08C5">
        <w:fldChar w:fldCharType="separate"/>
      </w:r>
      <w:r w:rsidRPr="00515486">
        <w:t xml:space="preserve">Figure </w:t>
      </w:r>
      <w:r w:rsidRPr="00515486">
        <w:rPr>
          <w:noProof/>
        </w:rPr>
        <w:t>9-1</w:t>
      </w:r>
      <w:r w:rsidR="00AA08C5">
        <w:fldChar w:fldCharType="end"/>
      </w:r>
      <w:r w:rsidRPr="007534DB">
        <w:t xml:space="preserve"> shows</w:t>
      </w:r>
      <w:r>
        <w:t xml:space="preserve"> how the profile of reasons for economic inactivity differs in North East Lincolnshire from the Hull, North Lincolnshire and the national average. </w:t>
      </w:r>
    </w:p>
    <w:p w14:paraId="2F5CB883" w14:textId="77777777" w:rsidR="00515486" w:rsidRDefault="00515486" w:rsidP="00515486">
      <w:pPr>
        <w:jc w:val="both"/>
      </w:pPr>
      <w:r>
        <w:t xml:space="preserve">A lower proportion of those who are economically inactive in North East Lincolnshire are students (21%) compared with the national average (26%) and Hull (28%). This is linked to the size of Further and Higher education providers in North East Lincolnshire and other areas, with Grimsby Institute of Further and Higher Education’s 1,700 university students compared to the 20,000 attending Hull University. This also presents a challenge for North East Lincolnshire as a larger proportion of students in the figures for economic inactivity often translates into a more skilled workforce entering the labour market. </w:t>
      </w:r>
      <w:r>
        <w:cr/>
      </w:r>
      <w:bookmarkStart w:id="88" w:name="_Ref393783961"/>
    </w:p>
    <w:p w14:paraId="131F3802" w14:textId="77777777" w:rsidR="00515486" w:rsidRDefault="00515486" w:rsidP="00515486">
      <w:pPr>
        <w:jc w:val="both"/>
      </w:pPr>
    </w:p>
    <w:p w14:paraId="2FB463F8" w14:textId="77777777" w:rsidR="00515486" w:rsidRDefault="00515486" w:rsidP="00515486">
      <w:pPr>
        <w:jc w:val="both"/>
      </w:pPr>
    </w:p>
    <w:p w14:paraId="366BE042" w14:textId="77777777" w:rsidR="00515486" w:rsidRDefault="00515486" w:rsidP="00515486">
      <w:pPr>
        <w:jc w:val="both"/>
      </w:pPr>
    </w:p>
    <w:p w14:paraId="63872289" w14:textId="77777777" w:rsidR="00515486" w:rsidRDefault="00515486" w:rsidP="00515486">
      <w:pPr>
        <w:jc w:val="both"/>
      </w:pPr>
    </w:p>
    <w:p w14:paraId="5244C473" w14:textId="77777777" w:rsidR="00515486" w:rsidRDefault="00515486" w:rsidP="00515486">
      <w:pPr>
        <w:jc w:val="both"/>
      </w:pPr>
    </w:p>
    <w:p w14:paraId="33315216" w14:textId="77777777" w:rsidR="00515486" w:rsidRDefault="00515486" w:rsidP="00515486">
      <w:pPr>
        <w:jc w:val="both"/>
      </w:pPr>
    </w:p>
    <w:p w14:paraId="0626D576" w14:textId="77777777" w:rsidR="00515486" w:rsidRDefault="00515486" w:rsidP="00515486">
      <w:pPr>
        <w:jc w:val="both"/>
      </w:pPr>
    </w:p>
    <w:p w14:paraId="1AD7BD93" w14:textId="77777777" w:rsidR="00515486" w:rsidRPr="00D013E0" w:rsidRDefault="00515486" w:rsidP="00515486">
      <w:pPr>
        <w:jc w:val="both"/>
        <w:rPr>
          <w:b/>
        </w:rPr>
      </w:pPr>
      <w:bookmarkStart w:id="89" w:name="_Ref393869380"/>
      <w:r w:rsidRPr="00D013E0">
        <w:rPr>
          <w:b/>
        </w:rPr>
        <w:t xml:space="preserve">Figure </w:t>
      </w:r>
      <w:fldSimple w:instr=" STYLEREF 1 \s  \* MERGEFORMAT ">
        <w:r w:rsidRPr="00515486">
          <w:rPr>
            <w:b/>
            <w:noProof/>
          </w:rPr>
          <w:t>9</w:t>
        </w:r>
      </w:fldSimple>
      <w:r w:rsidRPr="00D013E0">
        <w:rPr>
          <w:b/>
        </w:rPr>
        <w:t>-</w:t>
      </w:r>
      <w:fldSimple w:instr=" SEQ Figure \* ARABIC \s 1  \* MERGEFORMAT ">
        <w:r w:rsidRPr="00515486">
          <w:rPr>
            <w:b/>
            <w:noProof/>
          </w:rPr>
          <w:t>1</w:t>
        </w:r>
      </w:fldSimple>
      <w:bookmarkEnd w:id="88"/>
      <w:bookmarkEnd w:id="89"/>
      <w:r w:rsidRPr="00D013E0">
        <w:rPr>
          <w:b/>
        </w:rPr>
        <w:tab/>
        <w:t>Reasons for Economic Inactivity (Apr 2013 - Mar 2014)</w:t>
      </w:r>
    </w:p>
    <w:p w14:paraId="61908299" w14:textId="77777777" w:rsidR="00515486" w:rsidRDefault="00515486" w:rsidP="00515486">
      <w:r w:rsidRPr="005D493D">
        <w:rPr>
          <w:noProof/>
          <w:lang w:eastAsia="en-GB"/>
        </w:rPr>
        <w:drawing>
          <wp:inline distT="0" distB="0" distL="0" distR="0" wp14:anchorId="4D95284E" wp14:editId="6E380F2D">
            <wp:extent cx="6095503" cy="2743200"/>
            <wp:effectExtent l="1905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EF0B62" w14:textId="77777777" w:rsidR="00515486" w:rsidRPr="005D493D" w:rsidRDefault="00515486" w:rsidP="00515486">
      <w:pPr>
        <w:pStyle w:val="TableSource"/>
      </w:pPr>
      <w:r>
        <w:t>Source: Annual Population Survey 2014</w:t>
      </w:r>
    </w:p>
    <w:p w14:paraId="1094ACB6" w14:textId="77777777" w:rsidR="00515486" w:rsidRDefault="00515486" w:rsidP="00515486">
      <w:pPr>
        <w:jc w:val="both"/>
      </w:pPr>
      <w:r>
        <w:t xml:space="preserve">A larger share of the economically inactive in North East Lincolnshire are long term sick and temporarily sick compared to the national average, demonstrating the strong links between health and economic inclusion in North East Lincolnshire.  There is also a larger share of economically inactive who are retired and looking after the family or home. This reflects the demographic composition (see section </w:t>
      </w:r>
      <w:r w:rsidR="00F70FD0">
        <w:fldChar w:fldCharType="begin"/>
      </w:r>
      <w:r>
        <w:instrText xml:space="preserve"> REF _Ref393785594 \r \h </w:instrText>
      </w:r>
      <w:r w:rsidR="00F70FD0">
        <w:fldChar w:fldCharType="separate"/>
      </w:r>
      <w:r>
        <w:t>2</w:t>
      </w:r>
      <w:r w:rsidR="00F70FD0">
        <w:fldChar w:fldCharType="end"/>
      </w:r>
      <w:r>
        <w:t xml:space="preserve">) but also traditional gender roles in the </w:t>
      </w:r>
      <w:r w:rsidRPr="00733B54">
        <w:t xml:space="preserve">family that prevent </w:t>
      </w:r>
      <w:r>
        <w:t xml:space="preserve">women </w:t>
      </w:r>
      <w:r w:rsidRPr="00733B54">
        <w:t xml:space="preserve">from seeking work. </w:t>
      </w:r>
      <w:r>
        <w:t>Individuals classified as inactive due to family commitments or as a result of a long-term illness or disability are more likely to be dependent on out-of-work benefits than those in other categories. This highlights the importance of approaches that can encourage these individuals to join or return to the labour market.</w:t>
      </w:r>
    </w:p>
    <w:p w14:paraId="32B26A34" w14:textId="77777777" w:rsidR="00515486" w:rsidRDefault="00515486" w:rsidP="00515486">
      <w:pPr>
        <w:pStyle w:val="Heading2"/>
        <w:numPr>
          <w:ilvl w:val="1"/>
          <w:numId w:val="4"/>
        </w:numPr>
      </w:pPr>
      <w:bookmarkStart w:id="90" w:name="_Toc394327704"/>
      <w:r>
        <w:t>Unemployment</w:t>
      </w:r>
      <w:bookmarkEnd w:id="90"/>
    </w:p>
    <w:p w14:paraId="01A12D8D" w14:textId="77777777" w:rsidR="00515486" w:rsidRDefault="00F70FD0" w:rsidP="00515486">
      <w:pPr>
        <w:jc w:val="both"/>
      </w:pPr>
      <w:r>
        <w:rPr>
          <w:noProof/>
        </w:rPr>
        <w:fldChar w:fldCharType="begin"/>
      </w:r>
      <w:r w:rsidR="00515486">
        <w:rPr>
          <w:noProof/>
        </w:rPr>
        <w:instrText xml:space="preserve"> REF _Ref393705139 \h </w:instrText>
      </w:r>
      <w:r>
        <w:rPr>
          <w:noProof/>
        </w:rPr>
      </w:r>
      <w:r>
        <w:rPr>
          <w:noProof/>
        </w:rPr>
        <w:fldChar w:fldCharType="separate"/>
      </w:r>
      <w:r w:rsidR="00515486">
        <w:t xml:space="preserve">Figure </w:t>
      </w:r>
      <w:r w:rsidR="00515486">
        <w:rPr>
          <w:noProof/>
        </w:rPr>
        <w:t>9</w:t>
      </w:r>
      <w:r w:rsidR="00515486">
        <w:t>-</w:t>
      </w:r>
      <w:r w:rsidR="00515486">
        <w:rPr>
          <w:noProof/>
        </w:rPr>
        <w:t>2</w:t>
      </w:r>
      <w:r>
        <w:rPr>
          <w:noProof/>
        </w:rPr>
        <w:fldChar w:fldCharType="end"/>
      </w:r>
      <w:r w:rsidR="00515486">
        <w:rPr>
          <w:noProof/>
        </w:rPr>
        <w:t xml:space="preserve"> </w:t>
      </w:r>
      <w:r w:rsidR="00515486">
        <w:t xml:space="preserve">and </w:t>
      </w:r>
      <w:r>
        <w:fldChar w:fldCharType="begin"/>
      </w:r>
      <w:r w:rsidR="00515486">
        <w:instrText xml:space="preserve"> REF _Ref393705149 \h </w:instrText>
      </w:r>
      <w:r>
        <w:fldChar w:fldCharType="separate"/>
      </w:r>
      <w:r w:rsidR="00515486">
        <w:t xml:space="preserve">Figure </w:t>
      </w:r>
      <w:r w:rsidR="00515486">
        <w:rPr>
          <w:noProof/>
        </w:rPr>
        <w:t>9</w:t>
      </w:r>
      <w:r w:rsidR="00515486">
        <w:t>-</w:t>
      </w:r>
      <w:r w:rsidR="00515486">
        <w:rPr>
          <w:noProof/>
        </w:rPr>
        <w:t>3</w:t>
      </w:r>
      <w:r>
        <w:fldChar w:fldCharType="end"/>
      </w:r>
      <w:r w:rsidR="00515486">
        <w:t xml:space="preserve"> show that unemployment has been severely affected by the economic recession over recent years. Though unemployment has in fact been rising since as early as 2005, this accelerated with the oncoming of the recession, increasing by 3 percentage point from 2008 to 2009, and has since been stable at between 11 and 12%. </w:t>
      </w:r>
    </w:p>
    <w:p w14:paraId="1F5D39D7" w14:textId="77777777" w:rsidR="00515486" w:rsidRDefault="00515486" w:rsidP="00515486">
      <w:pPr>
        <w:jc w:val="both"/>
      </w:pPr>
      <w:r>
        <w:t>As unemployment has increased nationally, the gap between unemployment rates in North East Lincolnshire and the national average has grown, indicating that the area has been particularly negatively affected by the recession and faces challenges in getting people back into employment.</w:t>
      </w:r>
    </w:p>
    <w:p w14:paraId="5680A8C0" w14:textId="77777777" w:rsidR="00515486" w:rsidRDefault="00515486" w:rsidP="00515486">
      <w:pPr>
        <w:jc w:val="both"/>
      </w:pPr>
    </w:p>
    <w:p w14:paraId="20D6A335" w14:textId="77777777" w:rsidR="00515486" w:rsidRDefault="00515486" w:rsidP="00515486">
      <w:pPr>
        <w:jc w:val="both"/>
      </w:pPr>
    </w:p>
    <w:p w14:paraId="653FF521" w14:textId="77777777" w:rsidR="00515486" w:rsidRDefault="00515486" w:rsidP="00515486">
      <w:pPr>
        <w:jc w:val="both"/>
      </w:pPr>
    </w:p>
    <w:p w14:paraId="61ABDAC3" w14:textId="77777777" w:rsidR="00515486" w:rsidRDefault="00515486" w:rsidP="00515486">
      <w:pPr>
        <w:jc w:val="both"/>
      </w:pPr>
    </w:p>
    <w:p w14:paraId="18F45AA3" w14:textId="77777777" w:rsidR="00515486" w:rsidRDefault="00515486" w:rsidP="00515486">
      <w:pPr>
        <w:jc w:val="both"/>
      </w:pPr>
    </w:p>
    <w:p w14:paraId="7145D2FD" w14:textId="77777777" w:rsidR="00515486" w:rsidRDefault="00515486" w:rsidP="00515486">
      <w:pPr>
        <w:jc w:val="both"/>
      </w:pPr>
    </w:p>
    <w:p w14:paraId="1EBC2175" w14:textId="77777777" w:rsidR="00515486" w:rsidRDefault="00515486" w:rsidP="00515486">
      <w:pPr>
        <w:jc w:val="both"/>
      </w:pPr>
    </w:p>
    <w:p w14:paraId="325C4E8F" w14:textId="77777777" w:rsidR="00515486" w:rsidRDefault="00515486" w:rsidP="00515486">
      <w:pPr>
        <w:jc w:val="both"/>
      </w:pPr>
    </w:p>
    <w:p w14:paraId="1A3EA19D" w14:textId="77777777" w:rsidR="00515486" w:rsidRPr="00717572" w:rsidRDefault="00515486" w:rsidP="00515486">
      <w:pPr>
        <w:jc w:val="both"/>
      </w:pPr>
    </w:p>
    <w:p w14:paraId="6FCAB975" w14:textId="77777777" w:rsidR="00515486" w:rsidRDefault="00515486" w:rsidP="00515486">
      <w:pPr>
        <w:pStyle w:val="Caption"/>
      </w:pPr>
      <w:bookmarkStart w:id="91" w:name="_Ref393705139"/>
      <w:r>
        <w:t xml:space="preserve">Figure </w:t>
      </w:r>
      <w:fldSimple w:instr=" STYLEREF 1 \s  \* MERGEFORMAT ">
        <w:r>
          <w:rPr>
            <w:noProof/>
          </w:rPr>
          <w:t>9</w:t>
        </w:r>
      </w:fldSimple>
      <w:r>
        <w:t>-</w:t>
      </w:r>
      <w:fldSimple w:instr=" SEQ Figure \* ARABIC \s 1  \* MERGEFORMAT ">
        <w:r>
          <w:rPr>
            <w:noProof/>
          </w:rPr>
          <w:t>2</w:t>
        </w:r>
      </w:fldSimple>
      <w:bookmarkEnd w:id="91"/>
      <w:r>
        <w:tab/>
        <w:t xml:space="preserve">Proportion of population economically active, 2005-2013 </w:t>
      </w:r>
    </w:p>
    <w:p w14:paraId="4F39AAE6" w14:textId="77777777" w:rsidR="00515486" w:rsidRDefault="00515486" w:rsidP="00515486">
      <w:pPr>
        <w:jc w:val="both"/>
      </w:pPr>
      <w:r>
        <w:rPr>
          <w:noProof/>
          <w:lang w:eastAsia="en-GB"/>
        </w:rPr>
        <w:drawing>
          <wp:inline distT="0" distB="0" distL="0" distR="0" wp14:anchorId="77AB1F31" wp14:editId="7AD87FBA">
            <wp:extent cx="6167887" cy="3450567"/>
            <wp:effectExtent l="0" t="0" r="0" b="0"/>
            <wp:docPr id="2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25E1AE2" w14:textId="77777777" w:rsidR="00515486" w:rsidRPr="00AC1BA8" w:rsidRDefault="00515486" w:rsidP="00515486">
      <w:pPr>
        <w:pStyle w:val="TableSource"/>
        <w:jc w:val="both"/>
      </w:pPr>
      <w:r>
        <w:t>Source: Annual Population Survey</w:t>
      </w:r>
    </w:p>
    <w:p w14:paraId="1F3A4E6F" w14:textId="77777777" w:rsidR="00515486" w:rsidRDefault="00515486" w:rsidP="00515486">
      <w:pPr>
        <w:pStyle w:val="FigureTitle"/>
        <w:numPr>
          <w:ilvl w:val="0"/>
          <w:numId w:val="0"/>
        </w:numPr>
        <w:ind w:left="360" w:hanging="360"/>
        <w:jc w:val="both"/>
      </w:pPr>
      <w:bookmarkStart w:id="92" w:name="_Ref393705149"/>
      <w:r>
        <w:t xml:space="preserve">Figure </w:t>
      </w:r>
      <w:fldSimple w:instr=" STYLEREF 1 \s  \* MERGEFORMAT ">
        <w:r>
          <w:rPr>
            <w:noProof/>
          </w:rPr>
          <w:t>9</w:t>
        </w:r>
      </w:fldSimple>
      <w:r>
        <w:t>-</w:t>
      </w:r>
      <w:fldSimple w:instr=" SEQ Figure \* ARABIC \s 1  \* MERGEFORMAT ">
        <w:r>
          <w:rPr>
            <w:noProof/>
          </w:rPr>
          <w:t>3</w:t>
        </w:r>
      </w:fldSimple>
      <w:bookmarkEnd w:id="92"/>
      <w:r>
        <w:tab/>
        <w:t xml:space="preserve">Unemployment rate, 2005-2013 </w:t>
      </w:r>
    </w:p>
    <w:p w14:paraId="1ADFB565" w14:textId="77777777" w:rsidR="00515486" w:rsidRDefault="00515486" w:rsidP="00515486">
      <w:r>
        <w:rPr>
          <w:noProof/>
          <w:lang w:eastAsia="en-GB"/>
        </w:rPr>
        <w:drawing>
          <wp:inline distT="0" distB="0" distL="0" distR="0" wp14:anchorId="5EA8F62F" wp14:editId="12F94D68">
            <wp:extent cx="6012612" cy="2829464"/>
            <wp:effectExtent l="0" t="0" r="0" b="0"/>
            <wp:docPr id="21"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3E9898" w14:textId="77777777" w:rsidR="00515486" w:rsidRDefault="00515486" w:rsidP="00515486">
      <w:pPr>
        <w:pStyle w:val="TableSource"/>
      </w:pPr>
      <w:r>
        <w:t>Source: Annual Population Survey</w:t>
      </w:r>
    </w:p>
    <w:p w14:paraId="6370BBD5" w14:textId="77777777" w:rsidR="00515486" w:rsidRDefault="00515486" w:rsidP="00515486">
      <w:pPr>
        <w:pStyle w:val="Heading2"/>
        <w:numPr>
          <w:ilvl w:val="1"/>
          <w:numId w:val="4"/>
        </w:numPr>
      </w:pPr>
      <w:bookmarkStart w:id="93" w:name="_Ref393877615"/>
      <w:bookmarkStart w:id="94" w:name="_Toc394327705"/>
      <w:r>
        <w:t>Claimant count</w:t>
      </w:r>
      <w:bookmarkEnd w:id="93"/>
      <w:bookmarkEnd w:id="94"/>
    </w:p>
    <w:p w14:paraId="76E2D88E" w14:textId="77777777" w:rsidR="00515486" w:rsidRDefault="00515486" w:rsidP="00515486">
      <w:pPr>
        <w:jc w:val="both"/>
      </w:pPr>
      <w:r>
        <w:t xml:space="preserve">As would be expected due to the relatively high levels of unemployment, the proportion of the population claiming Jobseekers Allowance is higher in North East Lincolnshire than nationally, as shown in </w:t>
      </w:r>
      <w:r w:rsidR="00F70FD0">
        <w:fldChar w:fldCharType="begin"/>
      </w:r>
      <w:r>
        <w:instrText xml:space="preserve"> REF _Ref393871274 \h </w:instrText>
      </w:r>
      <w:r w:rsidR="00F70FD0">
        <w:fldChar w:fldCharType="separate"/>
      </w:r>
      <w:r w:rsidRPr="00BC6746">
        <w:t xml:space="preserve">Table </w:t>
      </w:r>
      <w:r>
        <w:rPr>
          <w:noProof/>
        </w:rPr>
        <w:t>9</w:t>
      </w:r>
      <w:r w:rsidRPr="00BC6746">
        <w:noBreakHyphen/>
      </w:r>
      <w:r>
        <w:rPr>
          <w:noProof/>
        </w:rPr>
        <w:t>2</w:t>
      </w:r>
      <w:r w:rsidR="00F70FD0">
        <w:fldChar w:fldCharType="end"/>
      </w:r>
      <w:r>
        <w:t>. The disparity between claimant count rates (as measured by the ratio) increases with claim duration, suggesting individuals in North East Lincolnshire are more likely to be long-term unemployed. Additionally, the disparity in claimant count rates is greatest for thos</w:t>
      </w:r>
      <w:r w:rsidR="00B7443B">
        <w:t>e aged 16</w:t>
      </w:r>
      <w:r>
        <w:t xml:space="preserve">-24. </w:t>
      </w:r>
    </w:p>
    <w:p w14:paraId="779ABB4A" w14:textId="77777777" w:rsidR="00515486" w:rsidRDefault="00515486" w:rsidP="00515486">
      <w:pPr>
        <w:pStyle w:val="Caption"/>
        <w:jc w:val="both"/>
      </w:pPr>
      <w:bookmarkStart w:id="95" w:name="_Ref393871274"/>
      <w:r w:rsidRPr="00BC6746">
        <w:t xml:space="preserve">Table </w:t>
      </w:r>
      <w:r w:rsidR="00F70FD0">
        <w:fldChar w:fldCharType="begin"/>
      </w:r>
      <w:r w:rsidR="00F810E1">
        <w:instrText xml:space="preserve"> STYLEREF 1 \s </w:instrText>
      </w:r>
      <w:r w:rsidR="00F70FD0">
        <w:fldChar w:fldCharType="separate"/>
      </w:r>
      <w:r>
        <w:rPr>
          <w:noProof/>
        </w:rPr>
        <w:t>9</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2</w:t>
      </w:r>
      <w:r w:rsidR="00F70FD0">
        <w:rPr>
          <w:noProof/>
        </w:rPr>
        <w:fldChar w:fldCharType="end"/>
      </w:r>
      <w:bookmarkEnd w:id="95"/>
      <w:r w:rsidRPr="00BC6746">
        <w:tab/>
      </w:r>
      <w:r>
        <w:t>JSA claimants by age and duration, October 2013</w:t>
      </w:r>
    </w:p>
    <w:tbl>
      <w:tblPr>
        <w:tblW w:w="8312" w:type="dxa"/>
        <w:tblInd w:w="95" w:type="dxa"/>
        <w:tblLook w:val="04A0" w:firstRow="1" w:lastRow="0" w:firstColumn="1" w:lastColumn="0" w:noHBand="0" w:noVBand="1"/>
      </w:tblPr>
      <w:tblGrid>
        <w:gridCol w:w="3000"/>
        <w:gridCol w:w="1406"/>
        <w:gridCol w:w="1406"/>
        <w:gridCol w:w="1139"/>
        <w:gridCol w:w="960"/>
        <w:gridCol w:w="960"/>
      </w:tblGrid>
      <w:tr w:rsidR="00515486" w:rsidRPr="004A64F5" w14:paraId="559FBABA" w14:textId="77777777" w:rsidTr="004D5D22">
        <w:trPr>
          <w:trHeight w:val="750"/>
        </w:trPr>
        <w:tc>
          <w:tcPr>
            <w:tcW w:w="3000" w:type="dxa"/>
            <w:vMerge w:val="restart"/>
            <w:tcBorders>
              <w:top w:val="single" w:sz="8" w:space="0" w:color="000000"/>
              <w:left w:val="single" w:sz="8" w:space="0" w:color="000000"/>
              <w:bottom w:val="single" w:sz="8" w:space="0" w:color="000000"/>
              <w:right w:val="single" w:sz="8" w:space="0" w:color="000000"/>
            </w:tcBorders>
            <w:shd w:val="clear" w:color="000000" w:fill="F0EEEB"/>
            <w:noWrap/>
            <w:vAlign w:val="bottom"/>
            <w:hideMark/>
          </w:tcPr>
          <w:p w14:paraId="061001E5"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 </w:t>
            </w:r>
          </w:p>
        </w:tc>
        <w:tc>
          <w:tcPr>
            <w:tcW w:w="1216" w:type="dxa"/>
            <w:vMerge w:val="restart"/>
            <w:tcBorders>
              <w:top w:val="single" w:sz="8" w:space="0" w:color="000000"/>
              <w:left w:val="single" w:sz="8" w:space="0" w:color="000000"/>
              <w:bottom w:val="single" w:sz="8" w:space="0" w:color="000000"/>
              <w:right w:val="single" w:sz="8" w:space="0" w:color="000000"/>
            </w:tcBorders>
            <w:shd w:val="clear" w:color="000000" w:fill="F0EEEB"/>
            <w:noWrap/>
            <w:vAlign w:val="bottom"/>
            <w:hideMark/>
          </w:tcPr>
          <w:p w14:paraId="2F2552FC" w14:textId="77777777" w:rsidR="00515486" w:rsidRPr="004A64F5" w:rsidRDefault="00515486" w:rsidP="004D5D22">
            <w:pPr>
              <w:spacing w:after="0"/>
              <w:jc w:val="both"/>
              <w:rPr>
                <w:rFonts w:eastAsia="Times New Roman" w:cs="Arial"/>
                <w:b/>
                <w:bCs/>
                <w:color w:val="auto"/>
                <w:szCs w:val="20"/>
                <w:lang w:eastAsia="en-GB"/>
              </w:rPr>
            </w:pPr>
            <w:r w:rsidRPr="004A64F5">
              <w:rPr>
                <w:rFonts w:eastAsia="Times New Roman" w:cs="Arial"/>
                <w:b/>
                <w:bCs/>
                <w:color w:val="auto"/>
                <w:szCs w:val="20"/>
                <w:lang w:eastAsia="en-GB"/>
              </w:rPr>
              <w:t xml:space="preserve">North East Lincolnshire </w:t>
            </w:r>
          </w:p>
        </w:tc>
        <w:tc>
          <w:tcPr>
            <w:tcW w:w="1216" w:type="dxa"/>
            <w:vMerge w:val="restart"/>
            <w:tcBorders>
              <w:top w:val="single" w:sz="8" w:space="0" w:color="000000"/>
              <w:left w:val="single" w:sz="8" w:space="0" w:color="000000"/>
              <w:bottom w:val="single" w:sz="8" w:space="0" w:color="000000"/>
              <w:right w:val="single" w:sz="8" w:space="0" w:color="000000"/>
            </w:tcBorders>
            <w:shd w:val="clear" w:color="000000" w:fill="F0EEEB"/>
            <w:noWrap/>
            <w:vAlign w:val="bottom"/>
            <w:hideMark/>
          </w:tcPr>
          <w:p w14:paraId="45ED4824" w14:textId="77777777" w:rsidR="00515486" w:rsidRPr="004A64F5" w:rsidRDefault="00515486" w:rsidP="004D5D22">
            <w:pPr>
              <w:spacing w:after="0"/>
              <w:jc w:val="both"/>
              <w:rPr>
                <w:rFonts w:eastAsia="Times New Roman" w:cs="Arial"/>
                <w:b/>
                <w:bCs/>
                <w:color w:val="auto"/>
                <w:szCs w:val="20"/>
                <w:lang w:eastAsia="en-GB"/>
              </w:rPr>
            </w:pPr>
            <w:r w:rsidRPr="004A64F5">
              <w:rPr>
                <w:rFonts w:eastAsia="Times New Roman" w:cs="Arial"/>
                <w:b/>
                <w:bCs/>
                <w:color w:val="auto"/>
                <w:szCs w:val="20"/>
                <w:lang w:eastAsia="en-GB"/>
              </w:rPr>
              <w:t>North East Lincolnshire (%)</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0EEEB"/>
            <w:noWrap/>
            <w:vAlign w:val="bottom"/>
            <w:hideMark/>
          </w:tcPr>
          <w:p w14:paraId="3AF56891" w14:textId="77777777" w:rsidR="00515486" w:rsidRPr="004A64F5" w:rsidRDefault="00515486" w:rsidP="004D5D22">
            <w:pPr>
              <w:spacing w:after="0"/>
              <w:jc w:val="both"/>
              <w:rPr>
                <w:rFonts w:eastAsia="Times New Roman" w:cs="Arial"/>
                <w:b/>
                <w:bCs/>
                <w:color w:val="auto"/>
                <w:szCs w:val="20"/>
                <w:lang w:eastAsia="en-GB"/>
              </w:rPr>
            </w:pPr>
            <w:r w:rsidRPr="004A64F5">
              <w:rPr>
                <w:rFonts w:eastAsia="Times New Roman" w:cs="Arial"/>
                <w:b/>
                <w:bCs/>
                <w:color w:val="auto"/>
                <w:szCs w:val="20"/>
                <w:lang w:eastAsia="en-GB"/>
              </w:rPr>
              <w:t>Yorkshire &amp; the Humber (%)</w:t>
            </w:r>
          </w:p>
        </w:tc>
        <w:tc>
          <w:tcPr>
            <w:tcW w:w="960" w:type="dxa"/>
            <w:tcBorders>
              <w:top w:val="single" w:sz="8" w:space="0" w:color="000000"/>
              <w:left w:val="nil"/>
              <w:bottom w:val="nil"/>
              <w:right w:val="single" w:sz="8" w:space="0" w:color="000000"/>
            </w:tcBorders>
            <w:shd w:val="clear" w:color="000000" w:fill="F0EEEB"/>
            <w:noWrap/>
            <w:vAlign w:val="bottom"/>
            <w:hideMark/>
          </w:tcPr>
          <w:p w14:paraId="73B95432" w14:textId="77777777" w:rsidR="00515486" w:rsidRPr="004A64F5" w:rsidRDefault="00515486" w:rsidP="004D5D22">
            <w:pPr>
              <w:spacing w:after="0"/>
              <w:jc w:val="both"/>
              <w:rPr>
                <w:rFonts w:eastAsia="Times New Roman" w:cs="Arial"/>
                <w:b/>
                <w:bCs/>
                <w:color w:val="auto"/>
                <w:szCs w:val="20"/>
                <w:lang w:eastAsia="en-GB"/>
              </w:rPr>
            </w:pPr>
            <w:r w:rsidRPr="004A64F5">
              <w:rPr>
                <w:rFonts w:eastAsia="Times New Roman" w:cs="Arial"/>
                <w:b/>
                <w:bCs/>
                <w:color w:val="auto"/>
                <w:szCs w:val="20"/>
                <w:lang w:eastAsia="en-GB"/>
              </w:rPr>
              <w:t xml:space="preserve">Great Britain </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000000" w:fill="F0EEEB"/>
            <w:noWrap/>
            <w:vAlign w:val="bottom"/>
            <w:hideMark/>
          </w:tcPr>
          <w:p w14:paraId="27DFF3FB" w14:textId="77777777" w:rsidR="00515486" w:rsidRPr="004A64F5" w:rsidRDefault="00515486" w:rsidP="004D5D22">
            <w:pPr>
              <w:spacing w:after="0"/>
              <w:jc w:val="both"/>
              <w:rPr>
                <w:rFonts w:eastAsia="Times New Roman" w:cs="Arial"/>
                <w:b/>
                <w:bCs/>
                <w:color w:val="auto"/>
                <w:szCs w:val="20"/>
                <w:lang w:eastAsia="en-GB"/>
              </w:rPr>
            </w:pPr>
            <w:r w:rsidRPr="004A64F5">
              <w:rPr>
                <w:rFonts w:eastAsia="Times New Roman" w:cs="Arial"/>
                <w:b/>
                <w:bCs/>
                <w:color w:val="auto"/>
                <w:szCs w:val="20"/>
                <w:lang w:eastAsia="en-GB"/>
              </w:rPr>
              <w:t>NEL % : GB %</w:t>
            </w:r>
          </w:p>
        </w:tc>
      </w:tr>
      <w:tr w:rsidR="00515486" w:rsidRPr="004A64F5" w14:paraId="47EA0CDA" w14:textId="77777777" w:rsidTr="004D5D22">
        <w:trPr>
          <w:trHeight w:val="270"/>
        </w:trPr>
        <w:tc>
          <w:tcPr>
            <w:tcW w:w="3000" w:type="dxa"/>
            <w:vMerge/>
            <w:tcBorders>
              <w:top w:val="single" w:sz="8" w:space="0" w:color="000000"/>
              <w:left w:val="single" w:sz="8" w:space="0" w:color="000000"/>
              <w:bottom w:val="single" w:sz="8" w:space="0" w:color="000000"/>
              <w:right w:val="single" w:sz="8" w:space="0" w:color="000000"/>
            </w:tcBorders>
            <w:vAlign w:val="center"/>
            <w:hideMark/>
          </w:tcPr>
          <w:p w14:paraId="6BCB438A" w14:textId="77777777" w:rsidR="00515486" w:rsidRPr="004A64F5" w:rsidRDefault="00515486" w:rsidP="004D5D22">
            <w:pPr>
              <w:spacing w:after="0"/>
              <w:rPr>
                <w:rFonts w:eastAsia="Times New Roman" w:cs="Arial"/>
                <w:color w:val="auto"/>
                <w:szCs w:val="20"/>
                <w:lang w:eastAsia="en-GB"/>
              </w:rPr>
            </w:pPr>
          </w:p>
        </w:tc>
        <w:tc>
          <w:tcPr>
            <w:tcW w:w="1216" w:type="dxa"/>
            <w:vMerge/>
            <w:tcBorders>
              <w:top w:val="single" w:sz="8" w:space="0" w:color="000000"/>
              <w:left w:val="single" w:sz="8" w:space="0" w:color="000000"/>
              <w:bottom w:val="single" w:sz="8" w:space="0" w:color="000000"/>
              <w:right w:val="single" w:sz="8" w:space="0" w:color="000000"/>
            </w:tcBorders>
            <w:vAlign w:val="center"/>
            <w:hideMark/>
          </w:tcPr>
          <w:p w14:paraId="6FEAFA65" w14:textId="77777777" w:rsidR="00515486" w:rsidRPr="004A64F5" w:rsidRDefault="00515486" w:rsidP="004D5D22">
            <w:pPr>
              <w:spacing w:after="0"/>
              <w:rPr>
                <w:rFonts w:eastAsia="Times New Roman" w:cs="Arial"/>
                <w:b/>
                <w:bCs/>
                <w:color w:val="auto"/>
                <w:szCs w:val="20"/>
                <w:lang w:eastAsia="en-GB"/>
              </w:rPr>
            </w:pPr>
          </w:p>
        </w:tc>
        <w:tc>
          <w:tcPr>
            <w:tcW w:w="1216" w:type="dxa"/>
            <w:vMerge/>
            <w:tcBorders>
              <w:top w:val="single" w:sz="8" w:space="0" w:color="000000"/>
              <w:left w:val="single" w:sz="8" w:space="0" w:color="000000"/>
              <w:bottom w:val="single" w:sz="8" w:space="0" w:color="000000"/>
              <w:right w:val="single" w:sz="8" w:space="0" w:color="000000"/>
            </w:tcBorders>
            <w:vAlign w:val="center"/>
            <w:hideMark/>
          </w:tcPr>
          <w:p w14:paraId="2494D8DF" w14:textId="77777777" w:rsidR="00515486" w:rsidRPr="004A64F5" w:rsidRDefault="00515486" w:rsidP="004D5D22">
            <w:pPr>
              <w:spacing w:after="0"/>
              <w:rPr>
                <w:rFonts w:eastAsia="Times New Roman" w:cs="Arial"/>
                <w:b/>
                <w:bCs/>
                <w:color w:val="auto"/>
                <w:szCs w:val="20"/>
                <w:lang w:eastAsia="en-GB"/>
              </w:rPr>
            </w:pP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7D50B74D" w14:textId="77777777" w:rsidR="00515486" w:rsidRPr="004A64F5" w:rsidRDefault="00515486" w:rsidP="004D5D22">
            <w:pPr>
              <w:spacing w:after="0"/>
              <w:rPr>
                <w:rFonts w:eastAsia="Times New Roman" w:cs="Arial"/>
                <w:b/>
                <w:bCs/>
                <w:color w:val="auto"/>
                <w:szCs w:val="20"/>
                <w:lang w:eastAsia="en-GB"/>
              </w:rPr>
            </w:pPr>
          </w:p>
        </w:tc>
        <w:tc>
          <w:tcPr>
            <w:tcW w:w="960" w:type="dxa"/>
            <w:tcBorders>
              <w:top w:val="nil"/>
              <w:left w:val="nil"/>
              <w:bottom w:val="single" w:sz="8" w:space="0" w:color="auto"/>
              <w:right w:val="single" w:sz="8" w:space="0" w:color="000000"/>
            </w:tcBorders>
            <w:shd w:val="clear" w:color="000000" w:fill="F0EEEB"/>
            <w:noWrap/>
            <w:vAlign w:val="bottom"/>
            <w:hideMark/>
          </w:tcPr>
          <w:p w14:paraId="1C951271" w14:textId="77777777" w:rsidR="00515486" w:rsidRPr="004A64F5" w:rsidRDefault="00515486" w:rsidP="004D5D22">
            <w:pPr>
              <w:spacing w:after="0"/>
              <w:jc w:val="both"/>
              <w:rPr>
                <w:rFonts w:eastAsia="Times New Roman" w:cs="Arial"/>
                <w:b/>
                <w:bCs/>
                <w:color w:val="auto"/>
                <w:szCs w:val="20"/>
                <w:lang w:eastAsia="en-GB"/>
              </w:rPr>
            </w:pPr>
            <w:r w:rsidRPr="004A64F5">
              <w:rPr>
                <w:rFonts w:eastAsia="Times New Roman" w:cs="Arial"/>
                <w:b/>
                <w:bCs/>
                <w:color w:val="auto"/>
                <w:szCs w:val="20"/>
                <w:lang w:eastAsia="en-GB"/>
              </w:rPr>
              <w:t>(%)</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14:paraId="1DF12A22" w14:textId="77777777" w:rsidR="00515486" w:rsidRPr="004A64F5" w:rsidRDefault="00515486" w:rsidP="004D5D22">
            <w:pPr>
              <w:spacing w:after="0"/>
              <w:rPr>
                <w:rFonts w:eastAsia="Times New Roman" w:cs="Arial"/>
                <w:b/>
                <w:bCs/>
                <w:color w:val="auto"/>
                <w:szCs w:val="20"/>
                <w:lang w:eastAsia="en-GB"/>
              </w:rPr>
            </w:pPr>
          </w:p>
        </w:tc>
      </w:tr>
      <w:tr w:rsidR="00515486" w:rsidRPr="004A64F5" w14:paraId="74678BBF" w14:textId="77777777" w:rsidTr="004D5D22">
        <w:trPr>
          <w:trHeight w:val="270"/>
        </w:trPr>
        <w:tc>
          <w:tcPr>
            <w:tcW w:w="8312" w:type="dxa"/>
            <w:gridSpan w:val="6"/>
            <w:tcBorders>
              <w:top w:val="single" w:sz="8" w:space="0" w:color="auto"/>
              <w:left w:val="single" w:sz="8" w:space="0" w:color="000000"/>
              <w:bottom w:val="single" w:sz="8" w:space="0" w:color="000000"/>
              <w:right w:val="single" w:sz="8" w:space="0" w:color="000000"/>
            </w:tcBorders>
            <w:shd w:val="clear" w:color="000000" w:fill="E6E4DE"/>
            <w:noWrap/>
            <w:vAlign w:val="bottom"/>
            <w:hideMark/>
          </w:tcPr>
          <w:p w14:paraId="78FBF15E" w14:textId="77777777" w:rsidR="00515486" w:rsidRPr="00AA5664" w:rsidRDefault="00515486" w:rsidP="004D5D22">
            <w:pPr>
              <w:spacing w:after="0"/>
              <w:jc w:val="both"/>
              <w:rPr>
                <w:rFonts w:eastAsia="Times New Roman" w:cs="Arial"/>
                <w:b/>
                <w:color w:val="auto"/>
                <w:szCs w:val="20"/>
                <w:lang w:eastAsia="en-GB"/>
              </w:rPr>
            </w:pPr>
            <w:r w:rsidRPr="00AA5664">
              <w:rPr>
                <w:rFonts w:eastAsia="Times New Roman" w:cs="Arial"/>
                <w:b/>
                <w:color w:val="auto"/>
                <w:szCs w:val="20"/>
                <w:lang w:eastAsia="en-GB"/>
              </w:rPr>
              <w:t>Aged 16-64</w:t>
            </w:r>
          </w:p>
        </w:tc>
      </w:tr>
      <w:tr w:rsidR="00515486" w:rsidRPr="004A64F5" w14:paraId="64F5D5EA" w14:textId="77777777" w:rsidTr="00F832A6">
        <w:trPr>
          <w:trHeight w:val="54"/>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43690E1B"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Total</w:t>
            </w:r>
          </w:p>
        </w:tc>
        <w:tc>
          <w:tcPr>
            <w:tcW w:w="1216" w:type="dxa"/>
            <w:tcBorders>
              <w:top w:val="nil"/>
              <w:left w:val="nil"/>
              <w:bottom w:val="single" w:sz="8" w:space="0" w:color="000000"/>
              <w:right w:val="single" w:sz="8" w:space="0" w:color="000000"/>
            </w:tcBorders>
            <w:shd w:val="clear" w:color="auto" w:fill="auto"/>
            <w:noWrap/>
            <w:vAlign w:val="bottom"/>
            <w:hideMark/>
          </w:tcPr>
          <w:p w14:paraId="304EF50E"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5,230</w:t>
            </w:r>
          </w:p>
        </w:tc>
        <w:tc>
          <w:tcPr>
            <w:tcW w:w="1216" w:type="dxa"/>
            <w:tcBorders>
              <w:top w:val="nil"/>
              <w:left w:val="nil"/>
              <w:bottom w:val="single" w:sz="8" w:space="0" w:color="000000"/>
              <w:right w:val="single" w:sz="8" w:space="0" w:color="000000"/>
            </w:tcBorders>
            <w:shd w:val="clear" w:color="auto" w:fill="auto"/>
            <w:noWrap/>
            <w:vAlign w:val="bottom"/>
            <w:hideMark/>
          </w:tcPr>
          <w:p w14:paraId="601BEC5B"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5.2</w:t>
            </w:r>
          </w:p>
        </w:tc>
        <w:tc>
          <w:tcPr>
            <w:tcW w:w="960" w:type="dxa"/>
            <w:tcBorders>
              <w:top w:val="nil"/>
              <w:left w:val="nil"/>
              <w:bottom w:val="single" w:sz="8" w:space="0" w:color="000000"/>
              <w:right w:val="single" w:sz="8" w:space="0" w:color="000000"/>
            </w:tcBorders>
            <w:shd w:val="clear" w:color="auto" w:fill="auto"/>
            <w:noWrap/>
            <w:vAlign w:val="bottom"/>
            <w:hideMark/>
          </w:tcPr>
          <w:p w14:paraId="2A4749D5"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3.9</w:t>
            </w:r>
          </w:p>
        </w:tc>
        <w:tc>
          <w:tcPr>
            <w:tcW w:w="960" w:type="dxa"/>
            <w:tcBorders>
              <w:top w:val="nil"/>
              <w:left w:val="nil"/>
              <w:bottom w:val="single" w:sz="8" w:space="0" w:color="000000"/>
              <w:right w:val="single" w:sz="8" w:space="0" w:color="000000"/>
            </w:tcBorders>
            <w:shd w:val="clear" w:color="auto" w:fill="auto"/>
            <w:noWrap/>
            <w:vAlign w:val="bottom"/>
            <w:hideMark/>
          </w:tcPr>
          <w:p w14:paraId="0BE84401"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3</w:t>
            </w:r>
          </w:p>
        </w:tc>
        <w:tc>
          <w:tcPr>
            <w:tcW w:w="960" w:type="dxa"/>
            <w:tcBorders>
              <w:top w:val="nil"/>
              <w:left w:val="nil"/>
              <w:bottom w:val="single" w:sz="8" w:space="0" w:color="000000"/>
              <w:right w:val="single" w:sz="8" w:space="0" w:color="000000"/>
            </w:tcBorders>
            <w:shd w:val="clear" w:color="auto" w:fill="auto"/>
            <w:noWrap/>
            <w:vAlign w:val="bottom"/>
            <w:hideMark/>
          </w:tcPr>
          <w:p w14:paraId="688582BF"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1.73</w:t>
            </w:r>
          </w:p>
        </w:tc>
      </w:tr>
      <w:tr w:rsidR="00515486" w:rsidRPr="004A64F5" w14:paraId="1CC08690"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461C6DDD"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Up to 6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4BAF9ACA"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2,660</w:t>
            </w:r>
          </w:p>
        </w:tc>
        <w:tc>
          <w:tcPr>
            <w:tcW w:w="1216" w:type="dxa"/>
            <w:tcBorders>
              <w:top w:val="nil"/>
              <w:left w:val="nil"/>
              <w:bottom w:val="single" w:sz="8" w:space="0" w:color="000000"/>
              <w:right w:val="single" w:sz="8" w:space="0" w:color="000000"/>
            </w:tcBorders>
            <w:shd w:val="clear" w:color="auto" w:fill="auto"/>
            <w:noWrap/>
            <w:vAlign w:val="bottom"/>
            <w:hideMark/>
          </w:tcPr>
          <w:p w14:paraId="2AD2199E"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2.7</w:t>
            </w:r>
          </w:p>
        </w:tc>
        <w:tc>
          <w:tcPr>
            <w:tcW w:w="960" w:type="dxa"/>
            <w:tcBorders>
              <w:top w:val="nil"/>
              <w:left w:val="nil"/>
              <w:bottom w:val="single" w:sz="8" w:space="0" w:color="000000"/>
              <w:right w:val="single" w:sz="8" w:space="0" w:color="000000"/>
            </w:tcBorders>
            <w:shd w:val="clear" w:color="auto" w:fill="auto"/>
            <w:noWrap/>
            <w:vAlign w:val="bottom"/>
            <w:hideMark/>
          </w:tcPr>
          <w:p w14:paraId="592D7AE5"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1.9</w:t>
            </w:r>
          </w:p>
        </w:tc>
        <w:tc>
          <w:tcPr>
            <w:tcW w:w="960" w:type="dxa"/>
            <w:tcBorders>
              <w:top w:val="nil"/>
              <w:left w:val="nil"/>
              <w:bottom w:val="single" w:sz="8" w:space="0" w:color="000000"/>
              <w:right w:val="single" w:sz="8" w:space="0" w:color="000000"/>
            </w:tcBorders>
            <w:shd w:val="clear" w:color="auto" w:fill="auto"/>
            <w:noWrap/>
            <w:vAlign w:val="bottom"/>
            <w:hideMark/>
          </w:tcPr>
          <w:p w14:paraId="40D07B62"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1.6</w:t>
            </w:r>
          </w:p>
        </w:tc>
        <w:tc>
          <w:tcPr>
            <w:tcW w:w="960" w:type="dxa"/>
            <w:tcBorders>
              <w:top w:val="nil"/>
              <w:left w:val="nil"/>
              <w:bottom w:val="single" w:sz="8" w:space="0" w:color="000000"/>
              <w:right w:val="single" w:sz="8" w:space="0" w:color="000000"/>
            </w:tcBorders>
            <w:shd w:val="clear" w:color="auto" w:fill="auto"/>
            <w:noWrap/>
            <w:vAlign w:val="bottom"/>
            <w:hideMark/>
          </w:tcPr>
          <w:p w14:paraId="191A306D"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1.69</w:t>
            </w:r>
          </w:p>
        </w:tc>
      </w:tr>
      <w:tr w:rsidR="00515486" w:rsidRPr="004A64F5" w14:paraId="769C8F1F"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20F7084C"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6-12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4006181D"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860</w:t>
            </w:r>
          </w:p>
        </w:tc>
        <w:tc>
          <w:tcPr>
            <w:tcW w:w="1216" w:type="dxa"/>
            <w:tcBorders>
              <w:top w:val="nil"/>
              <w:left w:val="nil"/>
              <w:bottom w:val="single" w:sz="8" w:space="0" w:color="000000"/>
              <w:right w:val="single" w:sz="8" w:space="0" w:color="000000"/>
            </w:tcBorders>
            <w:shd w:val="clear" w:color="auto" w:fill="auto"/>
            <w:noWrap/>
            <w:vAlign w:val="bottom"/>
            <w:hideMark/>
          </w:tcPr>
          <w:p w14:paraId="44D7D578"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0.9</w:t>
            </w:r>
          </w:p>
        </w:tc>
        <w:tc>
          <w:tcPr>
            <w:tcW w:w="960" w:type="dxa"/>
            <w:tcBorders>
              <w:top w:val="nil"/>
              <w:left w:val="nil"/>
              <w:bottom w:val="single" w:sz="8" w:space="0" w:color="000000"/>
              <w:right w:val="single" w:sz="8" w:space="0" w:color="000000"/>
            </w:tcBorders>
            <w:shd w:val="clear" w:color="auto" w:fill="auto"/>
            <w:noWrap/>
            <w:vAlign w:val="bottom"/>
            <w:hideMark/>
          </w:tcPr>
          <w:p w14:paraId="27253AA1"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0.7</w:t>
            </w:r>
          </w:p>
        </w:tc>
        <w:tc>
          <w:tcPr>
            <w:tcW w:w="960" w:type="dxa"/>
            <w:tcBorders>
              <w:top w:val="nil"/>
              <w:left w:val="nil"/>
              <w:bottom w:val="single" w:sz="8" w:space="0" w:color="000000"/>
              <w:right w:val="single" w:sz="8" w:space="0" w:color="000000"/>
            </w:tcBorders>
            <w:shd w:val="clear" w:color="auto" w:fill="auto"/>
            <w:noWrap/>
            <w:vAlign w:val="bottom"/>
            <w:hideMark/>
          </w:tcPr>
          <w:p w14:paraId="5A470AC1"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0.5</w:t>
            </w:r>
          </w:p>
        </w:tc>
        <w:tc>
          <w:tcPr>
            <w:tcW w:w="960" w:type="dxa"/>
            <w:tcBorders>
              <w:top w:val="nil"/>
              <w:left w:val="nil"/>
              <w:bottom w:val="single" w:sz="8" w:space="0" w:color="000000"/>
              <w:right w:val="single" w:sz="8" w:space="0" w:color="000000"/>
            </w:tcBorders>
            <w:shd w:val="clear" w:color="auto" w:fill="auto"/>
            <w:noWrap/>
            <w:vAlign w:val="bottom"/>
            <w:hideMark/>
          </w:tcPr>
          <w:p w14:paraId="727466E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1.8</w:t>
            </w:r>
          </w:p>
        </w:tc>
      </w:tr>
      <w:tr w:rsidR="00515486" w:rsidRPr="004A64F5" w14:paraId="4E08DE2F"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6F2B84FB"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 xml:space="preserve">Over 12 months </w:t>
            </w:r>
          </w:p>
        </w:tc>
        <w:tc>
          <w:tcPr>
            <w:tcW w:w="1216" w:type="dxa"/>
            <w:tcBorders>
              <w:top w:val="nil"/>
              <w:left w:val="nil"/>
              <w:bottom w:val="single" w:sz="8" w:space="0" w:color="000000"/>
              <w:right w:val="single" w:sz="8" w:space="0" w:color="000000"/>
            </w:tcBorders>
            <w:shd w:val="clear" w:color="auto" w:fill="auto"/>
            <w:noWrap/>
            <w:vAlign w:val="bottom"/>
            <w:hideMark/>
          </w:tcPr>
          <w:p w14:paraId="73998099"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1,710</w:t>
            </w:r>
          </w:p>
        </w:tc>
        <w:tc>
          <w:tcPr>
            <w:tcW w:w="1216" w:type="dxa"/>
            <w:tcBorders>
              <w:top w:val="nil"/>
              <w:left w:val="nil"/>
              <w:bottom w:val="single" w:sz="8" w:space="0" w:color="000000"/>
              <w:right w:val="single" w:sz="8" w:space="0" w:color="000000"/>
            </w:tcBorders>
            <w:shd w:val="clear" w:color="auto" w:fill="auto"/>
            <w:noWrap/>
            <w:vAlign w:val="bottom"/>
            <w:hideMark/>
          </w:tcPr>
          <w:p w14:paraId="62E771AE"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1.7</w:t>
            </w:r>
          </w:p>
        </w:tc>
        <w:tc>
          <w:tcPr>
            <w:tcW w:w="960" w:type="dxa"/>
            <w:tcBorders>
              <w:top w:val="nil"/>
              <w:left w:val="nil"/>
              <w:bottom w:val="single" w:sz="8" w:space="0" w:color="000000"/>
              <w:right w:val="single" w:sz="8" w:space="0" w:color="000000"/>
            </w:tcBorders>
            <w:shd w:val="clear" w:color="auto" w:fill="auto"/>
            <w:noWrap/>
            <w:vAlign w:val="bottom"/>
            <w:hideMark/>
          </w:tcPr>
          <w:p w14:paraId="6401030A"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1.4</w:t>
            </w:r>
          </w:p>
        </w:tc>
        <w:tc>
          <w:tcPr>
            <w:tcW w:w="960" w:type="dxa"/>
            <w:tcBorders>
              <w:top w:val="nil"/>
              <w:left w:val="nil"/>
              <w:bottom w:val="single" w:sz="8" w:space="0" w:color="000000"/>
              <w:right w:val="single" w:sz="8" w:space="0" w:color="000000"/>
            </w:tcBorders>
            <w:shd w:val="clear" w:color="auto" w:fill="auto"/>
            <w:noWrap/>
            <w:vAlign w:val="bottom"/>
            <w:hideMark/>
          </w:tcPr>
          <w:p w14:paraId="15DE86E1"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0.9</w:t>
            </w:r>
          </w:p>
        </w:tc>
        <w:tc>
          <w:tcPr>
            <w:tcW w:w="960" w:type="dxa"/>
            <w:tcBorders>
              <w:top w:val="nil"/>
              <w:left w:val="nil"/>
              <w:bottom w:val="single" w:sz="8" w:space="0" w:color="000000"/>
              <w:right w:val="single" w:sz="8" w:space="0" w:color="000000"/>
            </w:tcBorders>
            <w:shd w:val="clear" w:color="auto" w:fill="auto"/>
            <w:noWrap/>
            <w:vAlign w:val="bottom"/>
            <w:hideMark/>
          </w:tcPr>
          <w:p w14:paraId="14E91CF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1.89</w:t>
            </w:r>
          </w:p>
        </w:tc>
      </w:tr>
      <w:tr w:rsidR="00515486" w:rsidRPr="004A64F5" w14:paraId="5BAA5BD0" w14:textId="77777777" w:rsidTr="004D5D22">
        <w:trPr>
          <w:trHeight w:val="270"/>
        </w:trPr>
        <w:tc>
          <w:tcPr>
            <w:tcW w:w="8312" w:type="dxa"/>
            <w:gridSpan w:val="6"/>
            <w:tcBorders>
              <w:top w:val="single" w:sz="8" w:space="0" w:color="000000"/>
              <w:left w:val="single" w:sz="8" w:space="0" w:color="000000"/>
              <w:bottom w:val="single" w:sz="8" w:space="0" w:color="000000"/>
              <w:right w:val="single" w:sz="8" w:space="0" w:color="000000"/>
            </w:tcBorders>
            <w:shd w:val="clear" w:color="000000" w:fill="E6E4DE"/>
            <w:noWrap/>
            <w:vAlign w:val="bottom"/>
            <w:hideMark/>
          </w:tcPr>
          <w:p w14:paraId="4540A297" w14:textId="77777777" w:rsidR="00515486" w:rsidRPr="00AA5664" w:rsidRDefault="00515486" w:rsidP="004D5D22">
            <w:pPr>
              <w:spacing w:after="0"/>
              <w:rPr>
                <w:rFonts w:eastAsia="Times New Roman" w:cs="Arial"/>
                <w:b/>
                <w:color w:val="auto"/>
                <w:szCs w:val="20"/>
                <w:lang w:eastAsia="en-GB"/>
              </w:rPr>
            </w:pPr>
            <w:r w:rsidRPr="00AA5664">
              <w:rPr>
                <w:rFonts w:eastAsia="Times New Roman" w:cs="Arial"/>
                <w:b/>
                <w:color w:val="auto"/>
                <w:szCs w:val="20"/>
                <w:lang w:eastAsia="en-GB"/>
              </w:rPr>
              <w:t>Aged 18-24</w:t>
            </w:r>
          </w:p>
        </w:tc>
      </w:tr>
      <w:tr w:rsidR="00515486" w:rsidRPr="004A64F5" w14:paraId="24DD39B4"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3191160D"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Total</w:t>
            </w:r>
          </w:p>
        </w:tc>
        <w:tc>
          <w:tcPr>
            <w:tcW w:w="1216" w:type="dxa"/>
            <w:tcBorders>
              <w:top w:val="nil"/>
              <w:left w:val="nil"/>
              <w:bottom w:val="single" w:sz="8" w:space="0" w:color="000000"/>
              <w:right w:val="single" w:sz="8" w:space="0" w:color="000000"/>
            </w:tcBorders>
            <w:shd w:val="clear" w:color="auto" w:fill="auto"/>
            <w:noWrap/>
            <w:vAlign w:val="bottom"/>
            <w:hideMark/>
          </w:tcPr>
          <w:p w14:paraId="2607C23F"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1,460</w:t>
            </w:r>
          </w:p>
        </w:tc>
        <w:tc>
          <w:tcPr>
            <w:tcW w:w="1216" w:type="dxa"/>
            <w:tcBorders>
              <w:top w:val="nil"/>
              <w:left w:val="nil"/>
              <w:bottom w:val="single" w:sz="8" w:space="0" w:color="000000"/>
              <w:right w:val="single" w:sz="8" w:space="0" w:color="000000"/>
            </w:tcBorders>
            <w:shd w:val="clear" w:color="auto" w:fill="auto"/>
            <w:noWrap/>
            <w:vAlign w:val="bottom"/>
            <w:hideMark/>
          </w:tcPr>
          <w:p w14:paraId="12B3B658"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10.1</w:t>
            </w:r>
          </w:p>
        </w:tc>
        <w:tc>
          <w:tcPr>
            <w:tcW w:w="960" w:type="dxa"/>
            <w:tcBorders>
              <w:top w:val="nil"/>
              <w:left w:val="nil"/>
              <w:bottom w:val="single" w:sz="8" w:space="0" w:color="000000"/>
              <w:right w:val="single" w:sz="8" w:space="0" w:color="000000"/>
            </w:tcBorders>
            <w:shd w:val="clear" w:color="auto" w:fill="auto"/>
            <w:noWrap/>
            <w:vAlign w:val="bottom"/>
            <w:hideMark/>
          </w:tcPr>
          <w:p w14:paraId="1366FE13"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7</w:t>
            </w:r>
          </w:p>
        </w:tc>
        <w:tc>
          <w:tcPr>
            <w:tcW w:w="960" w:type="dxa"/>
            <w:tcBorders>
              <w:top w:val="nil"/>
              <w:left w:val="nil"/>
              <w:bottom w:val="single" w:sz="8" w:space="0" w:color="000000"/>
              <w:right w:val="single" w:sz="8" w:space="0" w:color="000000"/>
            </w:tcBorders>
            <w:shd w:val="clear" w:color="auto" w:fill="auto"/>
            <w:noWrap/>
            <w:vAlign w:val="bottom"/>
            <w:hideMark/>
          </w:tcPr>
          <w:p w14:paraId="712DE9E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5.5</w:t>
            </w:r>
          </w:p>
        </w:tc>
        <w:tc>
          <w:tcPr>
            <w:tcW w:w="960" w:type="dxa"/>
            <w:tcBorders>
              <w:top w:val="nil"/>
              <w:left w:val="nil"/>
              <w:bottom w:val="single" w:sz="8" w:space="0" w:color="000000"/>
              <w:right w:val="single" w:sz="8" w:space="0" w:color="000000"/>
            </w:tcBorders>
            <w:shd w:val="clear" w:color="auto" w:fill="auto"/>
            <w:noWrap/>
            <w:vAlign w:val="bottom"/>
            <w:hideMark/>
          </w:tcPr>
          <w:p w14:paraId="09733C4E"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1.84</w:t>
            </w:r>
          </w:p>
        </w:tc>
      </w:tr>
      <w:tr w:rsidR="00515486" w:rsidRPr="004A64F5" w14:paraId="0DEB7352"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55FB7F2A"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Up to 6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2C4A40C1"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975</w:t>
            </w:r>
          </w:p>
        </w:tc>
        <w:tc>
          <w:tcPr>
            <w:tcW w:w="1216" w:type="dxa"/>
            <w:tcBorders>
              <w:top w:val="nil"/>
              <w:left w:val="nil"/>
              <w:bottom w:val="single" w:sz="8" w:space="0" w:color="000000"/>
              <w:right w:val="single" w:sz="8" w:space="0" w:color="000000"/>
            </w:tcBorders>
            <w:shd w:val="clear" w:color="auto" w:fill="auto"/>
            <w:noWrap/>
            <w:vAlign w:val="bottom"/>
            <w:hideMark/>
          </w:tcPr>
          <w:p w14:paraId="37A3056E"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6.7</w:t>
            </w:r>
          </w:p>
        </w:tc>
        <w:tc>
          <w:tcPr>
            <w:tcW w:w="960" w:type="dxa"/>
            <w:tcBorders>
              <w:top w:val="nil"/>
              <w:left w:val="nil"/>
              <w:bottom w:val="single" w:sz="8" w:space="0" w:color="000000"/>
              <w:right w:val="single" w:sz="8" w:space="0" w:color="000000"/>
            </w:tcBorders>
            <w:shd w:val="clear" w:color="auto" w:fill="auto"/>
            <w:noWrap/>
            <w:vAlign w:val="bottom"/>
            <w:hideMark/>
          </w:tcPr>
          <w:p w14:paraId="04141439"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4.3</w:t>
            </w:r>
          </w:p>
        </w:tc>
        <w:tc>
          <w:tcPr>
            <w:tcW w:w="960" w:type="dxa"/>
            <w:tcBorders>
              <w:top w:val="nil"/>
              <w:left w:val="nil"/>
              <w:bottom w:val="single" w:sz="8" w:space="0" w:color="000000"/>
              <w:right w:val="single" w:sz="8" w:space="0" w:color="000000"/>
            </w:tcBorders>
            <w:shd w:val="clear" w:color="auto" w:fill="auto"/>
            <w:noWrap/>
            <w:vAlign w:val="bottom"/>
            <w:hideMark/>
          </w:tcPr>
          <w:p w14:paraId="11587838"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3.6</w:t>
            </w:r>
          </w:p>
        </w:tc>
        <w:tc>
          <w:tcPr>
            <w:tcW w:w="960" w:type="dxa"/>
            <w:tcBorders>
              <w:top w:val="nil"/>
              <w:left w:val="nil"/>
              <w:bottom w:val="single" w:sz="8" w:space="0" w:color="000000"/>
              <w:right w:val="single" w:sz="8" w:space="0" w:color="000000"/>
            </w:tcBorders>
            <w:shd w:val="clear" w:color="auto" w:fill="auto"/>
            <w:noWrap/>
            <w:vAlign w:val="bottom"/>
            <w:hideMark/>
          </w:tcPr>
          <w:p w14:paraId="0A08C7F3"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1.86</w:t>
            </w:r>
          </w:p>
        </w:tc>
      </w:tr>
      <w:tr w:rsidR="00515486" w:rsidRPr="004A64F5" w14:paraId="44B87244"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1CB3D38D"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6-12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39C79BFE"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205</w:t>
            </w:r>
          </w:p>
        </w:tc>
        <w:tc>
          <w:tcPr>
            <w:tcW w:w="1216" w:type="dxa"/>
            <w:tcBorders>
              <w:top w:val="nil"/>
              <w:left w:val="nil"/>
              <w:bottom w:val="single" w:sz="8" w:space="0" w:color="000000"/>
              <w:right w:val="single" w:sz="8" w:space="0" w:color="000000"/>
            </w:tcBorders>
            <w:shd w:val="clear" w:color="auto" w:fill="auto"/>
            <w:noWrap/>
            <w:vAlign w:val="bottom"/>
            <w:hideMark/>
          </w:tcPr>
          <w:p w14:paraId="39B83BF6"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1.4</w:t>
            </w:r>
          </w:p>
        </w:tc>
        <w:tc>
          <w:tcPr>
            <w:tcW w:w="960" w:type="dxa"/>
            <w:tcBorders>
              <w:top w:val="nil"/>
              <w:left w:val="nil"/>
              <w:bottom w:val="single" w:sz="8" w:space="0" w:color="000000"/>
              <w:right w:val="single" w:sz="8" w:space="0" w:color="000000"/>
            </w:tcBorders>
            <w:shd w:val="clear" w:color="auto" w:fill="auto"/>
            <w:noWrap/>
            <w:vAlign w:val="bottom"/>
            <w:hideMark/>
          </w:tcPr>
          <w:p w14:paraId="6BE11A4A"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1.1</w:t>
            </w:r>
          </w:p>
        </w:tc>
        <w:tc>
          <w:tcPr>
            <w:tcW w:w="960" w:type="dxa"/>
            <w:tcBorders>
              <w:top w:val="nil"/>
              <w:left w:val="nil"/>
              <w:bottom w:val="single" w:sz="8" w:space="0" w:color="000000"/>
              <w:right w:val="single" w:sz="8" w:space="0" w:color="000000"/>
            </w:tcBorders>
            <w:shd w:val="clear" w:color="auto" w:fill="auto"/>
            <w:noWrap/>
            <w:vAlign w:val="bottom"/>
            <w:hideMark/>
          </w:tcPr>
          <w:p w14:paraId="35BA857D"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0.8</w:t>
            </w:r>
          </w:p>
        </w:tc>
        <w:tc>
          <w:tcPr>
            <w:tcW w:w="960" w:type="dxa"/>
            <w:tcBorders>
              <w:top w:val="nil"/>
              <w:left w:val="nil"/>
              <w:bottom w:val="single" w:sz="8" w:space="0" w:color="000000"/>
              <w:right w:val="single" w:sz="8" w:space="0" w:color="000000"/>
            </w:tcBorders>
            <w:shd w:val="clear" w:color="auto" w:fill="auto"/>
            <w:noWrap/>
            <w:vAlign w:val="bottom"/>
            <w:hideMark/>
          </w:tcPr>
          <w:p w14:paraId="4F9FE8F2"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1.75</w:t>
            </w:r>
          </w:p>
        </w:tc>
      </w:tr>
      <w:tr w:rsidR="00515486" w:rsidRPr="004A64F5" w14:paraId="2533C345"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7304792F"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Over 12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0DAA022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280</w:t>
            </w:r>
          </w:p>
        </w:tc>
        <w:tc>
          <w:tcPr>
            <w:tcW w:w="1216" w:type="dxa"/>
            <w:tcBorders>
              <w:top w:val="nil"/>
              <w:left w:val="nil"/>
              <w:bottom w:val="single" w:sz="8" w:space="0" w:color="000000"/>
              <w:right w:val="single" w:sz="8" w:space="0" w:color="000000"/>
            </w:tcBorders>
            <w:shd w:val="clear" w:color="auto" w:fill="auto"/>
            <w:noWrap/>
            <w:vAlign w:val="bottom"/>
            <w:hideMark/>
          </w:tcPr>
          <w:p w14:paraId="4E21523B"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1.9</w:t>
            </w:r>
          </w:p>
        </w:tc>
        <w:tc>
          <w:tcPr>
            <w:tcW w:w="960" w:type="dxa"/>
            <w:tcBorders>
              <w:top w:val="nil"/>
              <w:left w:val="nil"/>
              <w:bottom w:val="single" w:sz="8" w:space="0" w:color="000000"/>
              <w:right w:val="single" w:sz="8" w:space="0" w:color="000000"/>
            </w:tcBorders>
            <w:shd w:val="clear" w:color="auto" w:fill="auto"/>
            <w:noWrap/>
            <w:vAlign w:val="bottom"/>
            <w:hideMark/>
          </w:tcPr>
          <w:p w14:paraId="6F5C86E2"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1.6</w:t>
            </w:r>
          </w:p>
        </w:tc>
        <w:tc>
          <w:tcPr>
            <w:tcW w:w="960" w:type="dxa"/>
            <w:tcBorders>
              <w:top w:val="nil"/>
              <w:left w:val="nil"/>
              <w:bottom w:val="single" w:sz="8" w:space="0" w:color="000000"/>
              <w:right w:val="single" w:sz="8" w:space="0" w:color="000000"/>
            </w:tcBorders>
            <w:shd w:val="clear" w:color="auto" w:fill="auto"/>
            <w:noWrap/>
            <w:vAlign w:val="bottom"/>
            <w:hideMark/>
          </w:tcPr>
          <w:p w14:paraId="4BAF8A0E"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1.1</w:t>
            </w:r>
          </w:p>
        </w:tc>
        <w:tc>
          <w:tcPr>
            <w:tcW w:w="960" w:type="dxa"/>
            <w:tcBorders>
              <w:top w:val="nil"/>
              <w:left w:val="nil"/>
              <w:bottom w:val="single" w:sz="8" w:space="0" w:color="000000"/>
              <w:right w:val="single" w:sz="8" w:space="0" w:color="000000"/>
            </w:tcBorders>
            <w:shd w:val="clear" w:color="auto" w:fill="auto"/>
            <w:noWrap/>
            <w:vAlign w:val="bottom"/>
            <w:hideMark/>
          </w:tcPr>
          <w:p w14:paraId="285021F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1.73</w:t>
            </w:r>
          </w:p>
        </w:tc>
      </w:tr>
      <w:tr w:rsidR="00515486" w:rsidRPr="004A64F5" w14:paraId="494C4F83" w14:textId="77777777" w:rsidTr="004D5D22">
        <w:trPr>
          <w:trHeight w:val="270"/>
        </w:trPr>
        <w:tc>
          <w:tcPr>
            <w:tcW w:w="8312" w:type="dxa"/>
            <w:gridSpan w:val="6"/>
            <w:tcBorders>
              <w:top w:val="single" w:sz="8" w:space="0" w:color="000000"/>
              <w:left w:val="single" w:sz="8" w:space="0" w:color="000000"/>
              <w:bottom w:val="single" w:sz="8" w:space="0" w:color="000000"/>
              <w:right w:val="single" w:sz="8" w:space="0" w:color="000000"/>
            </w:tcBorders>
            <w:shd w:val="clear" w:color="000000" w:fill="E6E4DE"/>
            <w:noWrap/>
            <w:vAlign w:val="bottom"/>
            <w:hideMark/>
          </w:tcPr>
          <w:p w14:paraId="4DD6ECEE" w14:textId="77777777" w:rsidR="00515486" w:rsidRPr="00AA5664" w:rsidRDefault="00515486" w:rsidP="004D5D22">
            <w:pPr>
              <w:spacing w:after="0"/>
              <w:rPr>
                <w:rFonts w:eastAsia="Times New Roman" w:cs="Arial"/>
                <w:b/>
                <w:color w:val="auto"/>
                <w:szCs w:val="20"/>
                <w:lang w:eastAsia="en-GB"/>
              </w:rPr>
            </w:pPr>
            <w:r w:rsidRPr="00AA5664">
              <w:rPr>
                <w:rFonts w:eastAsia="Times New Roman" w:cs="Arial"/>
                <w:b/>
                <w:color w:val="auto"/>
                <w:szCs w:val="20"/>
                <w:lang w:eastAsia="en-GB"/>
              </w:rPr>
              <w:t>Aged 25-49</w:t>
            </w:r>
          </w:p>
        </w:tc>
      </w:tr>
      <w:tr w:rsidR="00515486" w:rsidRPr="004A64F5" w14:paraId="65F7561C"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0F932165"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Total</w:t>
            </w:r>
          </w:p>
        </w:tc>
        <w:tc>
          <w:tcPr>
            <w:tcW w:w="1216" w:type="dxa"/>
            <w:tcBorders>
              <w:top w:val="nil"/>
              <w:left w:val="nil"/>
              <w:bottom w:val="single" w:sz="8" w:space="0" w:color="000000"/>
              <w:right w:val="single" w:sz="8" w:space="0" w:color="000000"/>
            </w:tcBorders>
            <w:shd w:val="clear" w:color="auto" w:fill="auto"/>
            <w:noWrap/>
            <w:vAlign w:val="bottom"/>
            <w:hideMark/>
          </w:tcPr>
          <w:p w14:paraId="1A74DA23"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2,905</w:t>
            </w:r>
          </w:p>
        </w:tc>
        <w:tc>
          <w:tcPr>
            <w:tcW w:w="1216" w:type="dxa"/>
            <w:tcBorders>
              <w:top w:val="nil"/>
              <w:left w:val="nil"/>
              <w:bottom w:val="single" w:sz="8" w:space="0" w:color="000000"/>
              <w:right w:val="single" w:sz="8" w:space="0" w:color="000000"/>
            </w:tcBorders>
            <w:shd w:val="clear" w:color="auto" w:fill="auto"/>
            <w:noWrap/>
            <w:vAlign w:val="bottom"/>
            <w:hideMark/>
          </w:tcPr>
          <w:p w14:paraId="0FE13E45"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5.7</w:t>
            </w:r>
          </w:p>
        </w:tc>
        <w:tc>
          <w:tcPr>
            <w:tcW w:w="960" w:type="dxa"/>
            <w:tcBorders>
              <w:top w:val="nil"/>
              <w:left w:val="nil"/>
              <w:bottom w:val="single" w:sz="8" w:space="0" w:color="000000"/>
              <w:right w:val="single" w:sz="8" w:space="0" w:color="000000"/>
            </w:tcBorders>
            <w:shd w:val="clear" w:color="auto" w:fill="auto"/>
            <w:noWrap/>
            <w:vAlign w:val="bottom"/>
            <w:hideMark/>
          </w:tcPr>
          <w:p w14:paraId="4F1E907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4.2</w:t>
            </w:r>
          </w:p>
        </w:tc>
        <w:tc>
          <w:tcPr>
            <w:tcW w:w="960" w:type="dxa"/>
            <w:tcBorders>
              <w:top w:val="nil"/>
              <w:left w:val="nil"/>
              <w:bottom w:val="single" w:sz="8" w:space="0" w:color="000000"/>
              <w:right w:val="single" w:sz="8" w:space="0" w:color="000000"/>
            </w:tcBorders>
            <w:shd w:val="clear" w:color="auto" w:fill="auto"/>
            <w:noWrap/>
            <w:vAlign w:val="bottom"/>
            <w:hideMark/>
          </w:tcPr>
          <w:p w14:paraId="6299164C"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3.2</w:t>
            </w:r>
          </w:p>
        </w:tc>
        <w:tc>
          <w:tcPr>
            <w:tcW w:w="960" w:type="dxa"/>
            <w:tcBorders>
              <w:top w:val="nil"/>
              <w:left w:val="nil"/>
              <w:bottom w:val="single" w:sz="8" w:space="0" w:color="000000"/>
              <w:right w:val="single" w:sz="8" w:space="0" w:color="000000"/>
            </w:tcBorders>
            <w:shd w:val="clear" w:color="auto" w:fill="auto"/>
            <w:noWrap/>
            <w:vAlign w:val="bottom"/>
            <w:hideMark/>
          </w:tcPr>
          <w:p w14:paraId="25F93F1F"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1.78</w:t>
            </w:r>
          </w:p>
        </w:tc>
      </w:tr>
      <w:tr w:rsidR="00515486" w:rsidRPr="004A64F5" w14:paraId="5BB52BEA"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5CAF65CF"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Up to 6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4FE196C8"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1,305</w:t>
            </w:r>
          </w:p>
        </w:tc>
        <w:tc>
          <w:tcPr>
            <w:tcW w:w="1216" w:type="dxa"/>
            <w:tcBorders>
              <w:top w:val="nil"/>
              <w:left w:val="nil"/>
              <w:bottom w:val="single" w:sz="8" w:space="0" w:color="000000"/>
              <w:right w:val="single" w:sz="8" w:space="0" w:color="000000"/>
            </w:tcBorders>
            <w:shd w:val="clear" w:color="auto" w:fill="auto"/>
            <w:noWrap/>
            <w:vAlign w:val="bottom"/>
            <w:hideMark/>
          </w:tcPr>
          <w:p w14:paraId="1C6255AB"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2.6</w:t>
            </w:r>
          </w:p>
        </w:tc>
        <w:tc>
          <w:tcPr>
            <w:tcW w:w="960" w:type="dxa"/>
            <w:tcBorders>
              <w:top w:val="nil"/>
              <w:left w:val="nil"/>
              <w:bottom w:val="single" w:sz="8" w:space="0" w:color="000000"/>
              <w:right w:val="single" w:sz="8" w:space="0" w:color="000000"/>
            </w:tcBorders>
            <w:shd w:val="clear" w:color="auto" w:fill="auto"/>
            <w:noWrap/>
            <w:vAlign w:val="bottom"/>
            <w:hideMark/>
          </w:tcPr>
          <w:p w14:paraId="037D40E4"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1.9</w:t>
            </w:r>
          </w:p>
        </w:tc>
        <w:tc>
          <w:tcPr>
            <w:tcW w:w="960" w:type="dxa"/>
            <w:tcBorders>
              <w:top w:val="nil"/>
              <w:left w:val="nil"/>
              <w:bottom w:val="single" w:sz="8" w:space="0" w:color="000000"/>
              <w:right w:val="single" w:sz="8" w:space="0" w:color="000000"/>
            </w:tcBorders>
            <w:shd w:val="clear" w:color="auto" w:fill="auto"/>
            <w:noWrap/>
            <w:vAlign w:val="bottom"/>
            <w:hideMark/>
          </w:tcPr>
          <w:p w14:paraId="772F0E0B"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1.6</w:t>
            </w:r>
          </w:p>
        </w:tc>
        <w:tc>
          <w:tcPr>
            <w:tcW w:w="960" w:type="dxa"/>
            <w:tcBorders>
              <w:top w:val="nil"/>
              <w:left w:val="nil"/>
              <w:bottom w:val="single" w:sz="8" w:space="0" w:color="000000"/>
              <w:right w:val="single" w:sz="8" w:space="0" w:color="000000"/>
            </w:tcBorders>
            <w:shd w:val="clear" w:color="auto" w:fill="auto"/>
            <w:noWrap/>
            <w:vAlign w:val="bottom"/>
            <w:hideMark/>
          </w:tcPr>
          <w:p w14:paraId="633AA412"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1.63</w:t>
            </w:r>
          </w:p>
        </w:tc>
      </w:tr>
      <w:tr w:rsidR="00515486" w:rsidRPr="004A64F5" w14:paraId="2C506B01"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5062A6FE"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6-12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73AD4931"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515</w:t>
            </w:r>
          </w:p>
        </w:tc>
        <w:tc>
          <w:tcPr>
            <w:tcW w:w="1216" w:type="dxa"/>
            <w:tcBorders>
              <w:top w:val="nil"/>
              <w:left w:val="nil"/>
              <w:bottom w:val="single" w:sz="8" w:space="0" w:color="000000"/>
              <w:right w:val="single" w:sz="8" w:space="0" w:color="000000"/>
            </w:tcBorders>
            <w:shd w:val="clear" w:color="auto" w:fill="auto"/>
            <w:noWrap/>
            <w:vAlign w:val="bottom"/>
            <w:hideMark/>
          </w:tcPr>
          <w:p w14:paraId="59DDE4B8"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w:t>
            </w:r>
          </w:p>
        </w:tc>
        <w:tc>
          <w:tcPr>
            <w:tcW w:w="960" w:type="dxa"/>
            <w:tcBorders>
              <w:top w:val="nil"/>
              <w:left w:val="nil"/>
              <w:bottom w:val="single" w:sz="8" w:space="0" w:color="000000"/>
              <w:right w:val="single" w:sz="8" w:space="0" w:color="000000"/>
            </w:tcBorders>
            <w:shd w:val="clear" w:color="auto" w:fill="auto"/>
            <w:noWrap/>
            <w:vAlign w:val="bottom"/>
            <w:hideMark/>
          </w:tcPr>
          <w:p w14:paraId="309C53DE"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0.7</w:t>
            </w:r>
          </w:p>
        </w:tc>
        <w:tc>
          <w:tcPr>
            <w:tcW w:w="960" w:type="dxa"/>
            <w:tcBorders>
              <w:top w:val="nil"/>
              <w:left w:val="nil"/>
              <w:bottom w:val="single" w:sz="8" w:space="0" w:color="000000"/>
              <w:right w:val="single" w:sz="8" w:space="0" w:color="000000"/>
            </w:tcBorders>
            <w:shd w:val="clear" w:color="auto" w:fill="auto"/>
            <w:noWrap/>
            <w:vAlign w:val="bottom"/>
            <w:hideMark/>
          </w:tcPr>
          <w:p w14:paraId="784A2A23"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0.6</w:t>
            </w:r>
          </w:p>
        </w:tc>
        <w:tc>
          <w:tcPr>
            <w:tcW w:w="960" w:type="dxa"/>
            <w:tcBorders>
              <w:top w:val="nil"/>
              <w:left w:val="nil"/>
              <w:bottom w:val="single" w:sz="8" w:space="0" w:color="000000"/>
              <w:right w:val="single" w:sz="8" w:space="0" w:color="000000"/>
            </w:tcBorders>
            <w:shd w:val="clear" w:color="auto" w:fill="auto"/>
            <w:noWrap/>
            <w:vAlign w:val="bottom"/>
            <w:hideMark/>
          </w:tcPr>
          <w:p w14:paraId="503F6D49"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1.67</w:t>
            </w:r>
          </w:p>
        </w:tc>
      </w:tr>
      <w:tr w:rsidR="00515486" w:rsidRPr="004A64F5" w14:paraId="1D709E1D"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2425C4E8"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Over 12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57FFACF4"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1,080</w:t>
            </w:r>
          </w:p>
        </w:tc>
        <w:tc>
          <w:tcPr>
            <w:tcW w:w="1216" w:type="dxa"/>
            <w:tcBorders>
              <w:top w:val="nil"/>
              <w:left w:val="nil"/>
              <w:bottom w:val="single" w:sz="8" w:space="0" w:color="000000"/>
              <w:right w:val="single" w:sz="8" w:space="0" w:color="000000"/>
            </w:tcBorders>
            <w:shd w:val="clear" w:color="auto" w:fill="auto"/>
            <w:noWrap/>
            <w:vAlign w:val="bottom"/>
            <w:hideMark/>
          </w:tcPr>
          <w:p w14:paraId="069B0115"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2.1</w:t>
            </w:r>
          </w:p>
        </w:tc>
        <w:tc>
          <w:tcPr>
            <w:tcW w:w="960" w:type="dxa"/>
            <w:tcBorders>
              <w:top w:val="nil"/>
              <w:left w:val="nil"/>
              <w:bottom w:val="single" w:sz="8" w:space="0" w:color="000000"/>
              <w:right w:val="single" w:sz="8" w:space="0" w:color="000000"/>
            </w:tcBorders>
            <w:shd w:val="clear" w:color="auto" w:fill="auto"/>
            <w:noWrap/>
            <w:vAlign w:val="bottom"/>
            <w:hideMark/>
          </w:tcPr>
          <w:p w14:paraId="03854073"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1.6</w:t>
            </w:r>
          </w:p>
        </w:tc>
        <w:tc>
          <w:tcPr>
            <w:tcW w:w="960" w:type="dxa"/>
            <w:tcBorders>
              <w:top w:val="nil"/>
              <w:left w:val="nil"/>
              <w:bottom w:val="single" w:sz="8" w:space="0" w:color="000000"/>
              <w:right w:val="single" w:sz="8" w:space="0" w:color="000000"/>
            </w:tcBorders>
            <w:shd w:val="clear" w:color="auto" w:fill="auto"/>
            <w:noWrap/>
            <w:vAlign w:val="bottom"/>
            <w:hideMark/>
          </w:tcPr>
          <w:p w14:paraId="2A0629A3"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1.1</w:t>
            </w:r>
          </w:p>
        </w:tc>
        <w:tc>
          <w:tcPr>
            <w:tcW w:w="960" w:type="dxa"/>
            <w:tcBorders>
              <w:top w:val="nil"/>
              <w:left w:val="nil"/>
              <w:bottom w:val="single" w:sz="8" w:space="0" w:color="000000"/>
              <w:right w:val="single" w:sz="8" w:space="0" w:color="000000"/>
            </w:tcBorders>
            <w:shd w:val="clear" w:color="auto" w:fill="auto"/>
            <w:noWrap/>
            <w:vAlign w:val="bottom"/>
            <w:hideMark/>
          </w:tcPr>
          <w:p w14:paraId="49780BFC"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1.91</w:t>
            </w:r>
          </w:p>
        </w:tc>
      </w:tr>
      <w:tr w:rsidR="00515486" w:rsidRPr="004A64F5" w14:paraId="1BE4F118" w14:textId="77777777" w:rsidTr="004D5D22">
        <w:trPr>
          <w:trHeight w:val="270"/>
        </w:trPr>
        <w:tc>
          <w:tcPr>
            <w:tcW w:w="8312" w:type="dxa"/>
            <w:gridSpan w:val="6"/>
            <w:tcBorders>
              <w:top w:val="single" w:sz="8" w:space="0" w:color="000000"/>
              <w:left w:val="single" w:sz="8" w:space="0" w:color="000000"/>
              <w:bottom w:val="single" w:sz="8" w:space="0" w:color="000000"/>
              <w:right w:val="single" w:sz="8" w:space="0" w:color="000000"/>
            </w:tcBorders>
            <w:shd w:val="clear" w:color="000000" w:fill="E6E4DE"/>
            <w:noWrap/>
            <w:vAlign w:val="bottom"/>
            <w:hideMark/>
          </w:tcPr>
          <w:p w14:paraId="046E70AB" w14:textId="77777777" w:rsidR="00515486" w:rsidRPr="00AA5664" w:rsidRDefault="00515486" w:rsidP="004D5D22">
            <w:pPr>
              <w:spacing w:after="0"/>
              <w:rPr>
                <w:rFonts w:eastAsia="Times New Roman" w:cs="Arial"/>
                <w:b/>
                <w:color w:val="auto"/>
                <w:szCs w:val="20"/>
                <w:lang w:eastAsia="en-GB"/>
              </w:rPr>
            </w:pPr>
            <w:r w:rsidRPr="00AA5664">
              <w:rPr>
                <w:rFonts w:eastAsia="Times New Roman" w:cs="Arial"/>
                <w:b/>
                <w:color w:val="auto"/>
                <w:szCs w:val="20"/>
                <w:lang w:eastAsia="en-GB"/>
              </w:rPr>
              <w:t>Aged 50-64</w:t>
            </w:r>
          </w:p>
        </w:tc>
      </w:tr>
      <w:tr w:rsidR="00515486" w:rsidRPr="004A64F5" w14:paraId="3135D7F4"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3901D633"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Total</w:t>
            </w:r>
          </w:p>
        </w:tc>
        <w:tc>
          <w:tcPr>
            <w:tcW w:w="1216" w:type="dxa"/>
            <w:tcBorders>
              <w:top w:val="nil"/>
              <w:left w:val="nil"/>
              <w:bottom w:val="single" w:sz="8" w:space="0" w:color="000000"/>
              <w:right w:val="single" w:sz="8" w:space="0" w:color="000000"/>
            </w:tcBorders>
            <w:shd w:val="clear" w:color="auto" w:fill="auto"/>
            <w:noWrap/>
            <w:vAlign w:val="bottom"/>
            <w:hideMark/>
          </w:tcPr>
          <w:p w14:paraId="16832A03"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845</w:t>
            </w:r>
          </w:p>
        </w:tc>
        <w:tc>
          <w:tcPr>
            <w:tcW w:w="1216" w:type="dxa"/>
            <w:tcBorders>
              <w:top w:val="nil"/>
              <w:left w:val="nil"/>
              <w:bottom w:val="single" w:sz="8" w:space="0" w:color="000000"/>
              <w:right w:val="single" w:sz="8" w:space="0" w:color="000000"/>
            </w:tcBorders>
            <w:shd w:val="clear" w:color="auto" w:fill="auto"/>
            <w:noWrap/>
            <w:vAlign w:val="bottom"/>
            <w:hideMark/>
          </w:tcPr>
          <w:p w14:paraId="40EF7381"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2.8</w:t>
            </w:r>
          </w:p>
        </w:tc>
        <w:tc>
          <w:tcPr>
            <w:tcW w:w="960" w:type="dxa"/>
            <w:tcBorders>
              <w:top w:val="nil"/>
              <w:left w:val="nil"/>
              <w:bottom w:val="single" w:sz="8" w:space="0" w:color="000000"/>
              <w:right w:val="single" w:sz="8" w:space="0" w:color="000000"/>
            </w:tcBorders>
            <w:shd w:val="clear" w:color="auto" w:fill="auto"/>
            <w:noWrap/>
            <w:vAlign w:val="bottom"/>
            <w:hideMark/>
          </w:tcPr>
          <w:p w14:paraId="3D2F017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2.2</w:t>
            </w:r>
          </w:p>
        </w:tc>
        <w:tc>
          <w:tcPr>
            <w:tcW w:w="960" w:type="dxa"/>
            <w:tcBorders>
              <w:top w:val="nil"/>
              <w:left w:val="nil"/>
              <w:bottom w:val="single" w:sz="8" w:space="0" w:color="000000"/>
              <w:right w:val="single" w:sz="8" w:space="0" w:color="000000"/>
            </w:tcBorders>
            <w:shd w:val="clear" w:color="auto" w:fill="auto"/>
            <w:noWrap/>
            <w:vAlign w:val="bottom"/>
            <w:hideMark/>
          </w:tcPr>
          <w:p w14:paraId="4F5817C2"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1.9</w:t>
            </w:r>
          </w:p>
        </w:tc>
        <w:tc>
          <w:tcPr>
            <w:tcW w:w="960" w:type="dxa"/>
            <w:tcBorders>
              <w:top w:val="nil"/>
              <w:left w:val="nil"/>
              <w:bottom w:val="single" w:sz="8" w:space="0" w:color="000000"/>
              <w:right w:val="single" w:sz="8" w:space="0" w:color="000000"/>
            </w:tcBorders>
            <w:shd w:val="clear" w:color="auto" w:fill="auto"/>
            <w:noWrap/>
            <w:vAlign w:val="bottom"/>
            <w:hideMark/>
          </w:tcPr>
          <w:p w14:paraId="01944C0A"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1.47</w:t>
            </w:r>
          </w:p>
        </w:tc>
      </w:tr>
      <w:tr w:rsidR="00515486" w:rsidRPr="004A64F5" w14:paraId="14BFE4D3"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79AA6795"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Up to 6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1954B076"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360</w:t>
            </w:r>
          </w:p>
        </w:tc>
        <w:tc>
          <w:tcPr>
            <w:tcW w:w="1216" w:type="dxa"/>
            <w:tcBorders>
              <w:top w:val="nil"/>
              <w:left w:val="nil"/>
              <w:bottom w:val="single" w:sz="8" w:space="0" w:color="000000"/>
              <w:right w:val="single" w:sz="8" w:space="0" w:color="000000"/>
            </w:tcBorders>
            <w:shd w:val="clear" w:color="auto" w:fill="auto"/>
            <w:noWrap/>
            <w:vAlign w:val="bottom"/>
            <w:hideMark/>
          </w:tcPr>
          <w:p w14:paraId="61025B55"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1.2</w:t>
            </w:r>
          </w:p>
        </w:tc>
        <w:tc>
          <w:tcPr>
            <w:tcW w:w="960" w:type="dxa"/>
            <w:tcBorders>
              <w:top w:val="nil"/>
              <w:left w:val="nil"/>
              <w:bottom w:val="single" w:sz="8" w:space="0" w:color="000000"/>
              <w:right w:val="single" w:sz="8" w:space="0" w:color="000000"/>
            </w:tcBorders>
            <w:shd w:val="clear" w:color="auto" w:fill="auto"/>
            <w:noWrap/>
            <w:vAlign w:val="bottom"/>
            <w:hideMark/>
          </w:tcPr>
          <w:p w14:paraId="3276BC1F"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0.9</w:t>
            </w:r>
          </w:p>
        </w:tc>
        <w:tc>
          <w:tcPr>
            <w:tcW w:w="960" w:type="dxa"/>
            <w:tcBorders>
              <w:top w:val="nil"/>
              <w:left w:val="nil"/>
              <w:bottom w:val="single" w:sz="8" w:space="0" w:color="000000"/>
              <w:right w:val="single" w:sz="8" w:space="0" w:color="000000"/>
            </w:tcBorders>
            <w:shd w:val="clear" w:color="auto" w:fill="auto"/>
            <w:noWrap/>
            <w:vAlign w:val="bottom"/>
            <w:hideMark/>
          </w:tcPr>
          <w:p w14:paraId="101BCEDA"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0.8</w:t>
            </w:r>
          </w:p>
        </w:tc>
        <w:tc>
          <w:tcPr>
            <w:tcW w:w="960" w:type="dxa"/>
            <w:tcBorders>
              <w:top w:val="nil"/>
              <w:left w:val="nil"/>
              <w:bottom w:val="single" w:sz="8" w:space="0" w:color="000000"/>
              <w:right w:val="single" w:sz="8" w:space="0" w:color="000000"/>
            </w:tcBorders>
            <w:shd w:val="clear" w:color="auto" w:fill="auto"/>
            <w:noWrap/>
            <w:vAlign w:val="bottom"/>
            <w:hideMark/>
          </w:tcPr>
          <w:p w14:paraId="15DB2FA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1.5</w:t>
            </w:r>
          </w:p>
        </w:tc>
      </w:tr>
      <w:tr w:rsidR="00515486" w:rsidRPr="004A64F5" w14:paraId="531A4A08"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20BA2D40"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6-12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2166A560"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135</w:t>
            </w:r>
          </w:p>
        </w:tc>
        <w:tc>
          <w:tcPr>
            <w:tcW w:w="1216" w:type="dxa"/>
            <w:tcBorders>
              <w:top w:val="nil"/>
              <w:left w:val="nil"/>
              <w:bottom w:val="single" w:sz="8" w:space="0" w:color="000000"/>
              <w:right w:val="single" w:sz="8" w:space="0" w:color="000000"/>
            </w:tcBorders>
            <w:shd w:val="clear" w:color="auto" w:fill="auto"/>
            <w:noWrap/>
            <w:vAlign w:val="bottom"/>
            <w:hideMark/>
          </w:tcPr>
          <w:p w14:paraId="79E32565"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0.4</w:t>
            </w:r>
          </w:p>
        </w:tc>
        <w:tc>
          <w:tcPr>
            <w:tcW w:w="960" w:type="dxa"/>
            <w:tcBorders>
              <w:top w:val="nil"/>
              <w:left w:val="nil"/>
              <w:bottom w:val="single" w:sz="8" w:space="0" w:color="000000"/>
              <w:right w:val="single" w:sz="8" w:space="0" w:color="000000"/>
            </w:tcBorders>
            <w:shd w:val="clear" w:color="auto" w:fill="auto"/>
            <w:noWrap/>
            <w:vAlign w:val="bottom"/>
            <w:hideMark/>
          </w:tcPr>
          <w:p w14:paraId="1A1E8583"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0.3</w:t>
            </w:r>
          </w:p>
        </w:tc>
        <w:tc>
          <w:tcPr>
            <w:tcW w:w="960" w:type="dxa"/>
            <w:tcBorders>
              <w:top w:val="nil"/>
              <w:left w:val="nil"/>
              <w:bottom w:val="single" w:sz="8" w:space="0" w:color="000000"/>
              <w:right w:val="single" w:sz="8" w:space="0" w:color="000000"/>
            </w:tcBorders>
            <w:shd w:val="clear" w:color="auto" w:fill="auto"/>
            <w:noWrap/>
            <w:vAlign w:val="bottom"/>
            <w:hideMark/>
          </w:tcPr>
          <w:p w14:paraId="1FF4A2C5"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0.3</w:t>
            </w:r>
          </w:p>
        </w:tc>
        <w:tc>
          <w:tcPr>
            <w:tcW w:w="960" w:type="dxa"/>
            <w:tcBorders>
              <w:top w:val="nil"/>
              <w:left w:val="nil"/>
              <w:bottom w:val="single" w:sz="8" w:space="0" w:color="000000"/>
              <w:right w:val="single" w:sz="8" w:space="0" w:color="000000"/>
            </w:tcBorders>
            <w:shd w:val="clear" w:color="auto" w:fill="auto"/>
            <w:noWrap/>
            <w:vAlign w:val="bottom"/>
            <w:hideMark/>
          </w:tcPr>
          <w:p w14:paraId="0715318B"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1.33</w:t>
            </w:r>
          </w:p>
        </w:tc>
      </w:tr>
      <w:tr w:rsidR="00515486" w:rsidRPr="004A64F5" w14:paraId="59E15E0F" w14:textId="77777777" w:rsidTr="004D5D22">
        <w:trPr>
          <w:trHeight w:val="270"/>
        </w:trPr>
        <w:tc>
          <w:tcPr>
            <w:tcW w:w="3000" w:type="dxa"/>
            <w:tcBorders>
              <w:top w:val="nil"/>
              <w:left w:val="single" w:sz="8" w:space="0" w:color="000000"/>
              <w:bottom w:val="single" w:sz="8" w:space="0" w:color="000000"/>
              <w:right w:val="single" w:sz="8" w:space="0" w:color="000000"/>
            </w:tcBorders>
            <w:shd w:val="clear" w:color="auto" w:fill="auto"/>
            <w:noWrap/>
            <w:vAlign w:val="bottom"/>
            <w:hideMark/>
          </w:tcPr>
          <w:p w14:paraId="3296F903" w14:textId="77777777" w:rsidR="00515486" w:rsidRPr="004A64F5" w:rsidRDefault="00515486" w:rsidP="004D5D22">
            <w:pPr>
              <w:spacing w:after="0"/>
              <w:jc w:val="both"/>
              <w:rPr>
                <w:rFonts w:eastAsia="Times New Roman" w:cs="Arial"/>
                <w:color w:val="auto"/>
                <w:szCs w:val="20"/>
                <w:lang w:eastAsia="en-GB"/>
              </w:rPr>
            </w:pPr>
            <w:r w:rsidRPr="004A64F5">
              <w:rPr>
                <w:rFonts w:eastAsia="Times New Roman" w:cs="Arial"/>
                <w:color w:val="auto"/>
                <w:szCs w:val="20"/>
                <w:lang w:eastAsia="en-GB"/>
              </w:rPr>
              <w:t>Over 12 months</w:t>
            </w:r>
          </w:p>
        </w:tc>
        <w:tc>
          <w:tcPr>
            <w:tcW w:w="1216" w:type="dxa"/>
            <w:tcBorders>
              <w:top w:val="nil"/>
              <w:left w:val="nil"/>
              <w:bottom w:val="single" w:sz="8" w:space="0" w:color="000000"/>
              <w:right w:val="single" w:sz="8" w:space="0" w:color="000000"/>
            </w:tcBorders>
            <w:shd w:val="clear" w:color="auto" w:fill="auto"/>
            <w:noWrap/>
            <w:vAlign w:val="bottom"/>
            <w:hideMark/>
          </w:tcPr>
          <w:p w14:paraId="64DBB557"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350</w:t>
            </w:r>
          </w:p>
        </w:tc>
        <w:tc>
          <w:tcPr>
            <w:tcW w:w="1216" w:type="dxa"/>
            <w:tcBorders>
              <w:top w:val="nil"/>
              <w:left w:val="nil"/>
              <w:bottom w:val="single" w:sz="8" w:space="0" w:color="000000"/>
              <w:right w:val="single" w:sz="8" w:space="0" w:color="000000"/>
            </w:tcBorders>
            <w:shd w:val="clear" w:color="auto" w:fill="auto"/>
            <w:noWrap/>
            <w:vAlign w:val="bottom"/>
            <w:hideMark/>
          </w:tcPr>
          <w:p w14:paraId="5BC8AEDC"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1.2</w:t>
            </w:r>
          </w:p>
        </w:tc>
        <w:tc>
          <w:tcPr>
            <w:tcW w:w="960" w:type="dxa"/>
            <w:tcBorders>
              <w:top w:val="nil"/>
              <w:left w:val="nil"/>
              <w:bottom w:val="single" w:sz="8" w:space="0" w:color="000000"/>
              <w:right w:val="single" w:sz="8" w:space="0" w:color="000000"/>
            </w:tcBorders>
            <w:shd w:val="clear" w:color="auto" w:fill="auto"/>
            <w:noWrap/>
            <w:vAlign w:val="bottom"/>
            <w:hideMark/>
          </w:tcPr>
          <w:p w14:paraId="3CE9091C"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w:t>
            </w:r>
          </w:p>
        </w:tc>
        <w:tc>
          <w:tcPr>
            <w:tcW w:w="960" w:type="dxa"/>
            <w:tcBorders>
              <w:top w:val="nil"/>
              <w:left w:val="nil"/>
              <w:bottom w:val="single" w:sz="8" w:space="0" w:color="000000"/>
              <w:right w:val="single" w:sz="8" w:space="0" w:color="000000"/>
            </w:tcBorders>
            <w:shd w:val="clear" w:color="auto" w:fill="auto"/>
            <w:noWrap/>
            <w:vAlign w:val="bottom"/>
            <w:hideMark/>
          </w:tcPr>
          <w:p w14:paraId="530F532F"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0.8</w:t>
            </w:r>
          </w:p>
        </w:tc>
        <w:tc>
          <w:tcPr>
            <w:tcW w:w="960" w:type="dxa"/>
            <w:tcBorders>
              <w:top w:val="nil"/>
              <w:left w:val="nil"/>
              <w:bottom w:val="single" w:sz="8" w:space="0" w:color="000000"/>
              <w:right w:val="single" w:sz="8" w:space="0" w:color="000000"/>
            </w:tcBorders>
            <w:shd w:val="clear" w:color="auto" w:fill="auto"/>
            <w:noWrap/>
            <w:vAlign w:val="bottom"/>
            <w:hideMark/>
          </w:tcPr>
          <w:p w14:paraId="0DF70E04" w14:textId="77777777" w:rsidR="00515486" w:rsidRPr="004A64F5" w:rsidRDefault="00515486" w:rsidP="004D5D22">
            <w:pPr>
              <w:spacing w:after="0"/>
              <w:jc w:val="right"/>
              <w:rPr>
                <w:rFonts w:eastAsia="Times New Roman" w:cs="Arial"/>
                <w:color w:val="auto"/>
                <w:szCs w:val="20"/>
                <w:lang w:eastAsia="en-GB"/>
              </w:rPr>
            </w:pPr>
            <w:r w:rsidRPr="004A64F5">
              <w:rPr>
                <w:rFonts w:eastAsia="Times New Roman" w:cs="Arial"/>
                <w:color w:val="auto"/>
                <w:szCs w:val="20"/>
                <w:lang w:eastAsia="en-GB"/>
              </w:rPr>
              <w:t>1.5</w:t>
            </w:r>
          </w:p>
        </w:tc>
      </w:tr>
    </w:tbl>
    <w:p w14:paraId="35E23E8A" w14:textId="77777777" w:rsidR="00515486" w:rsidRDefault="00515486" w:rsidP="00515486">
      <w:pPr>
        <w:pStyle w:val="TableSource"/>
        <w:jc w:val="both"/>
      </w:pPr>
      <w:r>
        <w:t xml:space="preserve">Source: ONS Claimant Count 2013. </w:t>
      </w:r>
      <w:r w:rsidRPr="00597B4C">
        <w:t>Percentages refer to the number of persons claiming JSA as a proportion of the resident population in age group.</w:t>
      </w:r>
    </w:p>
    <w:p w14:paraId="43860CD9" w14:textId="77777777" w:rsidR="00515486" w:rsidRDefault="00515486" w:rsidP="00515486">
      <w:pPr>
        <w:pStyle w:val="Caption"/>
      </w:pPr>
      <w:bookmarkStart w:id="96" w:name="_Ref393961648"/>
      <w:r>
        <w:t xml:space="preserve">Figure </w:t>
      </w:r>
      <w:fldSimple w:instr=" STYLEREF 1 \s  \* MERGEFORMAT ">
        <w:r>
          <w:rPr>
            <w:noProof/>
          </w:rPr>
          <w:t>9</w:t>
        </w:r>
      </w:fldSimple>
      <w:r>
        <w:t>-</w:t>
      </w:r>
      <w:fldSimple w:instr=" SEQ Figure \* ARABIC \s 1  \* MERGEFORMAT ">
        <w:r>
          <w:rPr>
            <w:noProof/>
          </w:rPr>
          <w:t>4</w:t>
        </w:r>
      </w:fldSimple>
      <w:bookmarkEnd w:id="96"/>
      <w:r>
        <w:tab/>
        <w:t>North East Lincolnshire Claimant count by age group (June 2009-2014)</w:t>
      </w:r>
      <w:r>
        <w:rPr>
          <w:noProof/>
          <w:lang w:eastAsia="en-GB"/>
        </w:rPr>
        <w:drawing>
          <wp:inline distT="0" distB="0" distL="0" distR="0" wp14:anchorId="011B4A94" wp14:editId="0F08C14C">
            <wp:extent cx="5943600" cy="308165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A7BD13" w14:textId="77777777" w:rsidR="00515486" w:rsidRDefault="00515486" w:rsidP="00515486">
      <w:pPr>
        <w:pStyle w:val="TableSource"/>
      </w:pPr>
      <w:r>
        <w:t>Source: ONS Claimant Count 2014</w:t>
      </w:r>
    </w:p>
    <w:p w14:paraId="260D2605" w14:textId="77777777" w:rsidR="00515486" w:rsidRDefault="00F70FD0" w:rsidP="00515486">
      <w:r>
        <w:fldChar w:fldCharType="begin"/>
      </w:r>
      <w:r w:rsidR="00515486">
        <w:instrText xml:space="preserve"> REF _Ref393961648 \h </w:instrText>
      </w:r>
      <w:r>
        <w:fldChar w:fldCharType="separate"/>
      </w:r>
      <w:r w:rsidR="00515486">
        <w:t xml:space="preserve">Figure </w:t>
      </w:r>
      <w:r w:rsidR="00515486">
        <w:rPr>
          <w:noProof/>
        </w:rPr>
        <w:t>9</w:t>
      </w:r>
      <w:r w:rsidR="00515486">
        <w:t>-</w:t>
      </w:r>
      <w:r w:rsidR="00515486">
        <w:rPr>
          <w:noProof/>
        </w:rPr>
        <w:t>4</w:t>
      </w:r>
      <w:r>
        <w:fldChar w:fldCharType="end"/>
      </w:r>
      <w:r w:rsidR="00515486">
        <w:t xml:space="preserve"> shows claimant count by age group for the period 2009-2014. This shows that, while the total claimant count rose over the period 2009-2012 and has since begun to fall, the distribution by age group has remained reasonably similar. Since 2012, the claimant count rate in the age group 16-24 has fallen by</w:t>
      </w:r>
      <w:r w:rsidR="002B4FF4">
        <w:t xml:space="preserve"> over 2 percentage points, to around 60% of its 2012 level. A similar, though less significant reduction is observable for the 25-49 age group. Whilst unemployment in the 50-64 age group has remained comparatively low, there has also been less progress since 2012 than in other age groups: unemployment in 2014 stood at around 80% of its 2012 level. This suggests unemployment may be more persistent for this age group, which may be a future cause for concern given the area’s aging population. </w:t>
      </w:r>
    </w:p>
    <w:p w14:paraId="6178566C" w14:textId="77777777" w:rsidR="00515486" w:rsidRDefault="00AA08C5" w:rsidP="00515486">
      <w:pPr>
        <w:pStyle w:val="TableTitle"/>
        <w:numPr>
          <w:ilvl w:val="0"/>
          <w:numId w:val="0"/>
        </w:numPr>
        <w:jc w:val="both"/>
        <w:rPr>
          <w:b w:val="0"/>
        </w:rPr>
      </w:pPr>
      <w:r>
        <w:fldChar w:fldCharType="begin"/>
      </w:r>
      <w:r>
        <w:instrText xml:space="preserve"> REF _Ref393803039 \h  \* MERGEFORMAT </w:instrText>
      </w:r>
      <w:r>
        <w:fldChar w:fldCharType="separate"/>
      </w:r>
      <w:r w:rsidR="00515486" w:rsidRPr="00515486">
        <w:rPr>
          <w:b w:val="0"/>
        </w:rPr>
        <w:t xml:space="preserve">Table </w:t>
      </w:r>
      <w:r w:rsidR="00515486" w:rsidRPr="00515486">
        <w:rPr>
          <w:b w:val="0"/>
          <w:noProof/>
        </w:rPr>
        <w:t>9</w:t>
      </w:r>
      <w:r w:rsidR="00515486" w:rsidRPr="00515486">
        <w:rPr>
          <w:b w:val="0"/>
          <w:noProof/>
        </w:rPr>
        <w:noBreakHyphen/>
        <w:t>3</w:t>
      </w:r>
      <w:r>
        <w:fldChar w:fldCharType="end"/>
      </w:r>
      <w:r w:rsidR="00515486" w:rsidRPr="007534DB">
        <w:rPr>
          <w:b w:val="0"/>
        </w:rPr>
        <w:t xml:space="preserve"> shows</w:t>
      </w:r>
      <w:r w:rsidR="00515486" w:rsidRPr="00C70AA0">
        <w:rPr>
          <w:b w:val="0"/>
        </w:rPr>
        <w:t xml:space="preserve"> the profile of jobs sought by benefit claimants. A lower proportion of North East Lincolnshire’s claimants</w:t>
      </w:r>
      <w:r w:rsidR="00B7443B">
        <w:rPr>
          <w:b w:val="0"/>
        </w:rPr>
        <w:t xml:space="preserve"> are seeking e</w:t>
      </w:r>
      <w:r w:rsidR="00515486">
        <w:rPr>
          <w:b w:val="0"/>
        </w:rPr>
        <w:t xml:space="preserve">lementary (25%) and </w:t>
      </w:r>
      <w:r w:rsidR="00B7443B">
        <w:rPr>
          <w:b w:val="0"/>
        </w:rPr>
        <w:t>sales and customer s</w:t>
      </w:r>
      <w:r w:rsidR="00515486" w:rsidRPr="0050103A">
        <w:rPr>
          <w:b w:val="0"/>
        </w:rPr>
        <w:t>ervice occupations</w:t>
      </w:r>
      <w:r w:rsidR="00515486">
        <w:rPr>
          <w:b w:val="0"/>
        </w:rPr>
        <w:t xml:space="preserve"> (30%) compared with the national average (26% and 37%). A far higher share of claimants are seeking </w:t>
      </w:r>
      <w:r w:rsidR="00B7443B">
        <w:rPr>
          <w:b w:val="0"/>
        </w:rPr>
        <w:t>managerial and senior o</w:t>
      </w:r>
      <w:r w:rsidR="00515486" w:rsidRPr="0050103A">
        <w:rPr>
          <w:b w:val="0"/>
        </w:rPr>
        <w:t>ffic</w:t>
      </w:r>
      <w:r w:rsidR="00515486">
        <w:rPr>
          <w:b w:val="0"/>
        </w:rPr>
        <w:t xml:space="preserve">ial roles in North East Lincolnshire (14%) than the average for England (5.2%). </w:t>
      </w:r>
    </w:p>
    <w:p w14:paraId="60984772" w14:textId="77777777" w:rsidR="00515486" w:rsidRDefault="00515486" w:rsidP="00515486">
      <w:pPr>
        <w:pStyle w:val="TableTitle"/>
        <w:numPr>
          <w:ilvl w:val="0"/>
          <w:numId w:val="0"/>
        </w:numPr>
        <w:ind w:left="1021" w:hanging="1021"/>
        <w:jc w:val="both"/>
      </w:pPr>
      <w:bookmarkStart w:id="97" w:name="_Ref393803039"/>
      <w:r w:rsidRPr="00BC6746">
        <w:t xml:space="preserve">Table </w:t>
      </w:r>
      <w:r w:rsidR="00F70FD0">
        <w:fldChar w:fldCharType="begin"/>
      </w:r>
      <w:r w:rsidR="00F810E1">
        <w:instrText xml:space="preserve"> STYLEREF 1 \s </w:instrText>
      </w:r>
      <w:r w:rsidR="00F70FD0">
        <w:fldChar w:fldCharType="separate"/>
      </w:r>
      <w:r>
        <w:rPr>
          <w:noProof/>
        </w:rPr>
        <w:t>9</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3</w:t>
      </w:r>
      <w:r w:rsidR="00F70FD0">
        <w:rPr>
          <w:noProof/>
        </w:rPr>
        <w:fldChar w:fldCharType="end"/>
      </w:r>
      <w:bookmarkEnd w:id="97"/>
      <w:r w:rsidRPr="00BC6746">
        <w:tab/>
      </w:r>
      <w:r>
        <w:tab/>
        <w:t>Occupations ought by benefit claimants (June 2014)</w:t>
      </w:r>
    </w:p>
    <w:tbl>
      <w:tblPr>
        <w:tblStyle w:val="Atkins14pt"/>
        <w:tblW w:w="9216" w:type="dxa"/>
        <w:tblLook w:val="04A0" w:firstRow="1" w:lastRow="0" w:firstColumn="1" w:lastColumn="0" w:noHBand="0" w:noVBand="1"/>
      </w:tblPr>
      <w:tblGrid>
        <w:gridCol w:w="4770"/>
        <w:gridCol w:w="1247"/>
        <w:gridCol w:w="976"/>
        <w:gridCol w:w="1247"/>
        <w:gridCol w:w="976"/>
      </w:tblGrid>
      <w:tr w:rsidR="00515486" w:rsidRPr="00C70AA0" w14:paraId="0D084F55" w14:textId="77777777" w:rsidTr="004D5D2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4770" w:type="dxa"/>
            <w:noWrap/>
            <w:hideMark/>
          </w:tcPr>
          <w:p w14:paraId="4CF9D4ED" w14:textId="77777777" w:rsidR="00515486" w:rsidRPr="00C70AA0" w:rsidRDefault="00515486" w:rsidP="004D5D22">
            <w:pPr>
              <w:spacing w:after="0"/>
              <w:rPr>
                <w:rFonts w:eastAsia="Times New Roman"/>
                <w:color w:val="auto"/>
              </w:rPr>
            </w:pPr>
            <w:r w:rsidRPr="00C70AA0">
              <w:rPr>
                <w:rFonts w:eastAsia="Times New Roman"/>
                <w:color w:val="auto"/>
              </w:rPr>
              <w:t>Occupation</w:t>
            </w:r>
          </w:p>
        </w:tc>
        <w:tc>
          <w:tcPr>
            <w:tcW w:w="1247" w:type="dxa"/>
            <w:noWrap/>
            <w:hideMark/>
          </w:tcPr>
          <w:p w14:paraId="276A733F" w14:textId="77777777" w:rsidR="00515486" w:rsidRPr="00C70AA0" w:rsidRDefault="00515486" w:rsidP="0083259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C70AA0">
              <w:rPr>
                <w:rFonts w:eastAsia="Times New Roman"/>
                <w:color w:val="auto"/>
              </w:rPr>
              <w:t>North East Lincolnshire</w:t>
            </w:r>
            <w:r>
              <w:rPr>
                <w:rFonts w:eastAsia="Times New Roman"/>
                <w:color w:val="auto"/>
              </w:rPr>
              <w:t xml:space="preserve"> (%)</w:t>
            </w:r>
          </w:p>
        </w:tc>
        <w:tc>
          <w:tcPr>
            <w:tcW w:w="976" w:type="dxa"/>
            <w:noWrap/>
            <w:hideMark/>
          </w:tcPr>
          <w:p w14:paraId="39D407FC" w14:textId="77777777" w:rsidR="00515486" w:rsidRDefault="00515486" w:rsidP="0083259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C70AA0">
              <w:rPr>
                <w:rFonts w:eastAsia="Times New Roman"/>
                <w:color w:val="auto"/>
              </w:rPr>
              <w:t>Kingston upon Hull, City of</w:t>
            </w:r>
          </w:p>
          <w:p w14:paraId="16432F0F" w14:textId="77777777" w:rsidR="00515486" w:rsidRPr="00C70AA0" w:rsidRDefault="00515486" w:rsidP="0083259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p>
        </w:tc>
        <w:tc>
          <w:tcPr>
            <w:tcW w:w="1247" w:type="dxa"/>
            <w:noWrap/>
            <w:hideMark/>
          </w:tcPr>
          <w:p w14:paraId="2A710421" w14:textId="77777777" w:rsidR="00515486" w:rsidRDefault="00515486" w:rsidP="0083259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C70AA0">
              <w:rPr>
                <w:rFonts w:eastAsia="Times New Roman"/>
                <w:color w:val="auto"/>
              </w:rPr>
              <w:t>North Lincolnshire</w:t>
            </w:r>
          </w:p>
          <w:p w14:paraId="4CB829DF" w14:textId="77777777" w:rsidR="00515486" w:rsidRPr="00C70AA0" w:rsidRDefault="00515486" w:rsidP="0083259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p>
        </w:tc>
        <w:tc>
          <w:tcPr>
            <w:tcW w:w="976" w:type="dxa"/>
            <w:noWrap/>
            <w:hideMark/>
          </w:tcPr>
          <w:p w14:paraId="502B3F94" w14:textId="77777777" w:rsidR="00515486" w:rsidRDefault="00515486" w:rsidP="0083259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C70AA0">
              <w:rPr>
                <w:rFonts w:eastAsia="Times New Roman"/>
                <w:color w:val="auto"/>
              </w:rPr>
              <w:t>England</w:t>
            </w:r>
          </w:p>
          <w:p w14:paraId="2632FC5D" w14:textId="77777777" w:rsidR="00515486" w:rsidRPr="00C70AA0" w:rsidRDefault="00515486" w:rsidP="0083259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w:t>
            </w:r>
          </w:p>
        </w:tc>
      </w:tr>
      <w:tr w:rsidR="00515486" w:rsidRPr="00C70AA0" w14:paraId="5086580C"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12D837AA" w14:textId="77777777" w:rsidR="00515486" w:rsidRPr="00C70AA0" w:rsidRDefault="00515486" w:rsidP="004D5D22">
            <w:pPr>
              <w:spacing w:after="0"/>
              <w:rPr>
                <w:rFonts w:eastAsia="Times New Roman"/>
                <w:color w:val="auto"/>
              </w:rPr>
            </w:pPr>
            <w:r w:rsidRPr="00C70AA0">
              <w:rPr>
                <w:rFonts w:eastAsia="Times New Roman"/>
                <w:color w:val="auto"/>
              </w:rPr>
              <w:t>0 : Occupation unknown</w:t>
            </w:r>
          </w:p>
        </w:tc>
        <w:tc>
          <w:tcPr>
            <w:tcW w:w="1247" w:type="dxa"/>
            <w:noWrap/>
            <w:hideMark/>
          </w:tcPr>
          <w:p w14:paraId="0BDC28B0"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2.0</w:t>
            </w:r>
          </w:p>
        </w:tc>
        <w:tc>
          <w:tcPr>
            <w:tcW w:w="976" w:type="dxa"/>
            <w:noWrap/>
            <w:hideMark/>
          </w:tcPr>
          <w:p w14:paraId="181196B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1.3</w:t>
            </w:r>
          </w:p>
        </w:tc>
        <w:tc>
          <w:tcPr>
            <w:tcW w:w="1247" w:type="dxa"/>
            <w:noWrap/>
            <w:hideMark/>
          </w:tcPr>
          <w:p w14:paraId="75CEEB5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1.8</w:t>
            </w:r>
          </w:p>
        </w:tc>
        <w:tc>
          <w:tcPr>
            <w:tcW w:w="976" w:type="dxa"/>
            <w:noWrap/>
            <w:hideMark/>
          </w:tcPr>
          <w:p w14:paraId="1E26C5FE"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2.5</w:t>
            </w:r>
          </w:p>
        </w:tc>
      </w:tr>
      <w:tr w:rsidR="00515486" w:rsidRPr="00C70AA0" w14:paraId="5D1E55CA"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4CEC95BB" w14:textId="77777777" w:rsidR="00515486" w:rsidRPr="00C70AA0" w:rsidRDefault="00515486" w:rsidP="004D5D22">
            <w:pPr>
              <w:spacing w:after="0"/>
              <w:rPr>
                <w:rFonts w:eastAsia="Times New Roman"/>
                <w:color w:val="auto"/>
              </w:rPr>
            </w:pPr>
            <w:r w:rsidRPr="00C70AA0">
              <w:rPr>
                <w:rFonts w:eastAsia="Times New Roman"/>
                <w:color w:val="auto"/>
              </w:rPr>
              <w:t>1 : Managers and Senior Officials</w:t>
            </w:r>
          </w:p>
        </w:tc>
        <w:tc>
          <w:tcPr>
            <w:tcW w:w="1247" w:type="dxa"/>
            <w:noWrap/>
            <w:hideMark/>
          </w:tcPr>
          <w:p w14:paraId="2B390AD1"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14.1</w:t>
            </w:r>
          </w:p>
        </w:tc>
        <w:tc>
          <w:tcPr>
            <w:tcW w:w="976" w:type="dxa"/>
            <w:noWrap/>
            <w:hideMark/>
          </w:tcPr>
          <w:p w14:paraId="4660AC46"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3.3</w:t>
            </w:r>
          </w:p>
        </w:tc>
        <w:tc>
          <w:tcPr>
            <w:tcW w:w="1247" w:type="dxa"/>
            <w:noWrap/>
            <w:hideMark/>
          </w:tcPr>
          <w:p w14:paraId="05BDC3B0"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13.2</w:t>
            </w:r>
          </w:p>
        </w:tc>
        <w:tc>
          <w:tcPr>
            <w:tcW w:w="976" w:type="dxa"/>
            <w:noWrap/>
            <w:hideMark/>
          </w:tcPr>
          <w:p w14:paraId="5C08EAA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5.2</w:t>
            </w:r>
          </w:p>
        </w:tc>
      </w:tr>
      <w:tr w:rsidR="00515486" w:rsidRPr="00C70AA0" w14:paraId="3A7D751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6FCE19C5" w14:textId="77777777" w:rsidR="00515486" w:rsidRPr="00C70AA0" w:rsidRDefault="00515486" w:rsidP="004D5D22">
            <w:pPr>
              <w:spacing w:after="0"/>
              <w:rPr>
                <w:rFonts w:eastAsia="Times New Roman"/>
                <w:color w:val="auto"/>
              </w:rPr>
            </w:pPr>
            <w:r w:rsidRPr="00C70AA0">
              <w:rPr>
                <w:rFonts w:eastAsia="Times New Roman"/>
                <w:color w:val="auto"/>
              </w:rPr>
              <w:t>2 : Professional Occupations</w:t>
            </w:r>
          </w:p>
        </w:tc>
        <w:tc>
          <w:tcPr>
            <w:tcW w:w="1247" w:type="dxa"/>
            <w:noWrap/>
            <w:hideMark/>
          </w:tcPr>
          <w:p w14:paraId="50BF9047"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0.9</w:t>
            </w:r>
          </w:p>
        </w:tc>
        <w:tc>
          <w:tcPr>
            <w:tcW w:w="976" w:type="dxa"/>
            <w:noWrap/>
            <w:hideMark/>
          </w:tcPr>
          <w:p w14:paraId="600EDB6B"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1.0</w:t>
            </w:r>
          </w:p>
        </w:tc>
        <w:tc>
          <w:tcPr>
            <w:tcW w:w="1247" w:type="dxa"/>
            <w:noWrap/>
            <w:hideMark/>
          </w:tcPr>
          <w:p w14:paraId="350479BA"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1.0</w:t>
            </w:r>
          </w:p>
        </w:tc>
        <w:tc>
          <w:tcPr>
            <w:tcW w:w="976" w:type="dxa"/>
            <w:noWrap/>
            <w:hideMark/>
          </w:tcPr>
          <w:p w14:paraId="07BEB6F4"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1.7</w:t>
            </w:r>
          </w:p>
        </w:tc>
      </w:tr>
      <w:tr w:rsidR="00515486" w:rsidRPr="00C70AA0" w14:paraId="4D804467"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7A0129D9" w14:textId="77777777" w:rsidR="00515486" w:rsidRPr="00C70AA0" w:rsidRDefault="00515486" w:rsidP="004D5D22">
            <w:pPr>
              <w:spacing w:after="0"/>
              <w:rPr>
                <w:rFonts w:eastAsia="Times New Roman"/>
                <w:color w:val="auto"/>
              </w:rPr>
            </w:pPr>
            <w:r>
              <w:rPr>
                <w:rFonts w:eastAsia="Times New Roman"/>
                <w:color w:val="auto"/>
              </w:rPr>
              <w:t>3 : Associate Professional &amp;</w:t>
            </w:r>
            <w:r w:rsidRPr="00C70AA0">
              <w:rPr>
                <w:rFonts w:eastAsia="Times New Roman"/>
                <w:color w:val="auto"/>
              </w:rPr>
              <w:t xml:space="preserve"> Technical Occupations</w:t>
            </w:r>
          </w:p>
        </w:tc>
        <w:tc>
          <w:tcPr>
            <w:tcW w:w="1247" w:type="dxa"/>
            <w:noWrap/>
            <w:hideMark/>
          </w:tcPr>
          <w:p w14:paraId="19AF62C5"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2.6</w:t>
            </w:r>
          </w:p>
        </w:tc>
        <w:tc>
          <w:tcPr>
            <w:tcW w:w="976" w:type="dxa"/>
            <w:noWrap/>
            <w:hideMark/>
          </w:tcPr>
          <w:p w14:paraId="786CD9A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2.4</w:t>
            </w:r>
          </w:p>
        </w:tc>
        <w:tc>
          <w:tcPr>
            <w:tcW w:w="1247" w:type="dxa"/>
            <w:noWrap/>
            <w:hideMark/>
          </w:tcPr>
          <w:p w14:paraId="02E6134B"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2.7</w:t>
            </w:r>
          </w:p>
        </w:tc>
        <w:tc>
          <w:tcPr>
            <w:tcW w:w="976" w:type="dxa"/>
            <w:noWrap/>
            <w:hideMark/>
          </w:tcPr>
          <w:p w14:paraId="4F7EC60A"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3.6</w:t>
            </w:r>
          </w:p>
        </w:tc>
      </w:tr>
      <w:tr w:rsidR="00515486" w:rsidRPr="00C70AA0" w14:paraId="7E259CEF"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4CCCFAEF" w14:textId="77777777" w:rsidR="00515486" w:rsidRPr="00C70AA0" w:rsidRDefault="00515486" w:rsidP="004D5D22">
            <w:pPr>
              <w:spacing w:after="0"/>
              <w:rPr>
                <w:rFonts w:eastAsia="Times New Roman"/>
                <w:color w:val="auto"/>
              </w:rPr>
            </w:pPr>
            <w:r w:rsidRPr="00C70AA0">
              <w:rPr>
                <w:rFonts w:eastAsia="Times New Roman"/>
                <w:color w:val="auto"/>
              </w:rPr>
              <w:t>4 : Administrative and Secretarial Occupations</w:t>
            </w:r>
          </w:p>
        </w:tc>
        <w:tc>
          <w:tcPr>
            <w:tcW w:w="1247" w:type="dxa"/>
            <w:noWrap/>
            <w:hideMark/>
          </w:tcPr>
          <w:p w14:paraId="6EC382A8"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3.7</w:t>
            </w:r>
          </w:p>
        </w:tc>
        <w:tc>
          <w:tcPr>
            <w:tcW w:w="976" w:type="dxa"/>
            <w:noWrap/>
            <w:hideMark/>
          </w:tcPr>
          <w:p w14:paraId="5D784D15"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5.7</w:t>
            </w:r>
          </w:p>
        </w:tc>
        <w:tc>
          <w:tcPr>
            <w:tcW w:w="1247" w:type="dxa"/>
            <w:noWrap/>
            <w:hideMark/>
          </w:tcPr>
          <w:p w14:paraId="6B3207C0"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5.5</w:t>
            </w:r>
          </w:p>
        </w:tc>
        <w:tc>
          <w:tcPr>
            <w:tcW w:w="976" w:type="dxa"/>
            <w:noWrap/>
            <w:hideMark/>
          </w:tcPr>
          <w:p w14:paraId="79604AE1"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8.8</w:t>
            </w:r>
          </w:p>
        </w:tc>
      </w:tr>
      <w:tr w:rsidR="00515486" w:rsidRPr="00C70AA0" w14:paraId="7799D503"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04027F21" w14:textId="77777777" w:rsidR="00515486" w:rsidRPr="00C70AA0" w:rsidRDefault="00515486" w:rsidP="004D5D22">
            <w:pPr>
              <w:spacing w:after="0"/>
              <w:rPr>
                <w:rFonts w:eastAsia="Times New Roman"/>
                <w:color w:val="auto"/>
              </w:rPr>
            </w:pPr>
            <w:r w:rsidRPr="00C70AA0">
              <w:rPr>
                <w:rFonts w:eastAsia="Times New Roman"/>
                <w:color w:val="auto"/>
              </w:rPr>
              <w:t>5 : Skilled Trades Occupations</w:t>
            </w:r>
          </w:p>
        </w:tc>
        <w:tc>
          <w:tcPr>
            <w:tcW w:w="1247" w:type="dxa"/>
            <w:noWrap/>
            <w:hideMark/>
          </w:tcPr>
          <w:p w14:paraId="6ED3C3AB"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4.9</w:t>
            </w:r>
          </w:p>
        </w:tc>
        <w:tc>
          <w:tcPr>
            <w:tcW w:w="976" w:type="dxa"/>
            <w:noWrap/>
            <w:hideMark/>
          </w:tcPr>
          <w:p w14:paraId="4D06572E"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6.9</w:t>
            </w:r>
          </w:p>
        </w:tc>
        <w:tc>
          <w:tcPr>
            <w:tcW w:w="1247" w:type="dxa"/>
            <w:noWrap/>
            <w:hideMark/>
          </w:tcPr>
          <w:p w14:paraId="074B5475"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5.8</w:t>
            </w:r>
          </w:p>
        </w:tc>
        <w:tc>
          <w:tcPr>
            <w:tcW w:w="976" w:type="dxa"/>
            <w:noWrap/>
            <w:hideMark/>
          </w:tcPr>
          <w:p w14:paraId="6FF3D0B0"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5.5</w:t>
            </w:r>
          </w:p>
        </w:tc>
      </w:tr>
      <w:tr w:rsidR="00515486" w:rsidRPr="00C70AA0" w14:paraId="235C1E2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638DD5A4" w14:textId="77777777" w:rsidR="00515486" w:rsidRPr="00C70AA0" w:rsidRDefault="00515486" w:rsidP="004D5D22">
            <w:pPr>
              <w:spacing w:after="0"/>
              <w:rPr>
                <w:rFonts w:eastAsia="Times New Roman"/>
                <w:color w:val="auto"/>
              </w:rPr>
            </w:pPr>
            <w:r w:rsidRPr="00C70AA0">
              <w:rPr>
                <w:rFonts w:eastAsia="Times New Roman"/>
                <w:color w:val="auto"/>
              </w:rPr>
              <w:t>6 : Personal Service Occupations</w:t>
            </w:r>
          </w:p>
        </w:tc>
        <w:tc>
          <w:tcPr>
            <w:tcW w:w="1247" w:type="dxa"/>
            <w:noWrap/>
            <w:hideMark/>
          </w:tcPr>
          <w:p w14:paraId="5349D0AA"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4.3</w:t>
            </w:r>
          </w:p>
        </w:tc>
        <w:tc>
          <w:tcPr>
            <w:tcW w:w="976" w:type="dxa"/>
            <w:noWrap/>
            <w:hideMark/>
          </w:tcPr>
          <w:p w14:paraId="51D6ECAA"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4.3</w:t>
            </w:r>
          </w:p>
        </w:tc>
        <w:tc>
          <w:tcPr>
            <w:tcW w:w="1247" w:type="dxa"/>
            <w:noWrap/>
            <w:hideMark/>
          </w:tcPr>
          <w:p w14:paraId="3D42069B"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4.8</w:t>
            </w:r>
          </w:p>
        </w:tc>
        <w:tc>
          <w:tcPr>
            <w:tcW w:w="976" w:type="dxa"/>
            <w:noWrap/>
            <w:hideMark/>
          </w:tcPr>
          <w:p w14:paraId="290441C6"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4.7</w:t>
            </w:r>
          </w:p>
        </w:tc>
      </w:tr>
      <w:tr w:rsidR="00515486" w:rsidRPr="00C70AA0" w14:paraId="3964F3E9"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1FFC7942" w14:textId="77777777" w:rsidR="00515486" w:rsidRPr="00C70AA0" w:rsidRDefault="00515486" w:rsidP="004D5D22">
            <w:pPr>
              <w:spacing w:after="0"/>
              <w:rPr>
                <w:rFonts w:eastAsia="Times New Roman"/>
                <w:color w:val="auto"/>
              </w:rPr>
            </w:pPr>
            <w:r w:rsidRPr="00C70AA0">
              <w:rPr>
                <w:rFonts w:eastAsia="Times New Roman"/>
                <w:color w:val="auto"/>
              </w:rPr>
              <w:t>7 : Sales and Customer Service occupations</w:t>
            </w:r>
          </w:p>
        </w:tc>
        <w:tc>
          <w:tcPr>
            <w:tcW w:w="1247" w:type="dxa"/>
            <w:noWrap/>
            <w:hideMark/>
          </w:tcPr>
          <w:p w14:paraId="33C4A554"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29.9</w:t>
            </w:r>
          </w:p>
        </w:tc>
        <w:tc>
          <w:tcPr>
            <w:tcW w:w="976" w:type="dxa"/>
            <w:noWrap/>
            <w:hideMark/>
          </w:tcPr>
          <w:p w14:paraId="1A0764E1"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35.0</w:t>
            </w:r>
          </w:p>
        </w:tc>
        <w:tc>
          <w:tcPr>
            <w:tcW w:w="1247" w:type="dxa"/>
            <w:noWrap/>
            <w:hideMark/>
          </w:tcPr>
          <w:p w14:paraId="28B5CBA7"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28.3</w:t>
            </w:r>
          </w:p>
        </w:tc>
        <w:tc>
          <w:tcPr>
            <w:tcW w:w="976" w:type="dxa"/>
            <w:noWrap/>
            <w:hideMark/>
          </w:tcPr>
          <w:p w14:paraId="61529D2F"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36.5</w:t>
            </w:r>
          </w:p>
        </w:tc>
      </w:tr>
      <w:tr w:rsidR="00515486" w:rsidRPr="00C70AA0" w14:paraId="429D2A8C"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70EDF155" w14:textId="77777777" w:rsidR="00515486" w:rsidRPr="00C70AA0" w:rsidRDefault="00515486" w:rsidP="004D5D22">
            <w:pPr>
              <w:spacing w:after="0"/>
              <w:rPr>
                <w:rFonts w:eastAsia="Times New Roman"/>
                <w:color w:val="auto"/>
              </w:rPr>
            </w:pPr>
            <w:r w:rsidRPr="00C70AA0">
              <w:rPr>
                <w:rFonts w:eastAsia="Times New Roman"/>
                <w:color w:val="auto"/>
              </w:rPr>
              <w:t>8 : Process, Plant and Machine Operatives</w:t>
            </w:r>
          </w:p>
        </w:tc>
        <w:tc>
          <w:tcPr>
            <w:tcW w:w="1247" w:type="dxa"/>
            <w:noWrap/>
            <w:hideMark/>
          </w:tcPr>
          <w:p w14:paraId="735032DA"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12.8</w:t>
            </w:r>
          </w:p>
        </w:tc>
        <w:tc>
          <w:tcPr>
            <w:tcW w:w="976" w:type="dxa"/>
            <w:noWrap/>
            <w:hideMark/>
          </w:tcPr>
          <w:p w14:paraId="66BBC177"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10.1</w:t>
            </w:r>
          </w:p>
        </w:tc>
        <w:tc>
          <w:tcPr>
            <w:tcW w:w="1247" w:type="dxa"/>
            <w:noWrap/>
            <w:hideMark/>
          </w:tcPr>
          <w:p w14:paraId="4BF9DE34"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8.8</w:t>
            </w:r>
          </w:p>
        </w:tc>
        <w:tc>
          <w:tcPr>
            <w:tcW w:w="976" w:type="dxa"/>
            <w:noWrap/>
            <w:hideMark/>
          </w:tcPr>
          <w:p w14:paraId="4BCE40EA"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5.5</w:t>
            </w:r>
          </w:p>
        </w:tc>
      </w:tr>
      <w:tr w:rsidR="00515486" w:rsidRPr="00C70AA0" w14:paraId="226686D2"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22761906" w14:textId="77777777" w:rsidR="00515486" w:rsidRPr="00C70AA0" w:rsidRDefault="00515486" w:rsidP="004D5D22">
            <w:pPr>
              <w:spacing w:after="0"/>
              <w:rPr>
                <w:rFonts w:eastAsia="Times New Roman"/>
                <w:color w:val="auto"/>
              </w:rPr>
            </w:pPr>
            <w:r w:rsidRPr="00C70AA0">
              <w:rPr>
                <w:rFonts w:eastAsia="Times New Roman"/>
                <w:color w:val="auto"/>
              </w:rPr>
              <w:t>9 : Elementary Occupations</w:t>
            </w:r>
          </w:p>
        </w:tc>
        <w:tc>
          <w:tcPr>
            <w:tcW w:w="1247" w:type="dxa"/>
            <w:noWrap/>
            <w:hideMark/>
          </w:tcPr>
          <w:p w14:paraId="27AABEB1"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24.9</w:t>
            </w:r>
          </w:p>
        </w:tc>
        <w:tc>
          <w:tcPr>
            <w:tcW w:w="976" w:type="dxa"/>
            <w:noWrap/>
            <w:hideMark/>
          </w:tcPr>
          <w:p w14:paraId="5C625907"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30.1</w:t>
            </w:r>
          </w:p>
        </w:tc>
        <w:tc>
          <w:tcPr>
            <w:tcW w:w="1247" w:type="dxa"/>
            <w:noWrap/>
            <w:hideMark/>
          </w:tcPr>
          <w:p w14:paraId="43FE3B6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28.3</w:t>
            </w:r>
          </w:p>
        </w:tc>
        <w:tc>
          <w:tcPr>
            <w:tcW w:w="976" w:type="dxa"/>
            <w:noWrap/>
            <w:hideMark/>
          </w:tcPr>
          <w:p w14:paraId="0B38F047"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26.0</w:t>
            </w:r>
          </w:p>
        </w:tc>
      </w:tr>
    </w:tbl>
    <w:p w14:paraId="524EF483" w14:textId="77777777" w:rsidR="00515486" w:rsidRPr="00FF0C09" w:rsidRDefault="00515486" w:rsidP="00515486">
      <w:pPr>
        <w:pStyle w:val="TableSource"/>
      </w:pPr>
      <w:r>
        <w:t>Source: ONS 2014</w:t>
      </w:r>
    </w:p>
    <w:p w14:paraId="3A0737B5" w14:textId="77777777" w:rsidR="00515486" w:rsidRDefault="00AA08C5" w:rsidP="00515486">
      <w:pPr>
        <w:pStyle w:val="TableTitle"/>
        <w:numPr>
          <w:ilvl w:val="0"/>
          <w:numId w:val="0"/>
        </w:numPr>
        <w:jc w:val="both"/>
      </w:pPr>
      <w:r>
        <w:fldChar w:fldCharType="begin"/>
      </w:r>
      <w:r>
        <w:instrText xml:space="preserve"> REF _Ref393705427 \h  \* MERGEFORMAT </w:instrText>
      </w:r>
      <w:r>
        <w:fldChar w:fldCharType="separate"/>
      </w:r>
      <w:r w:rsidR="00515486" w:rsidRPr="00515486">
        <w:rPr>
          <w:b w:val="0"/>
        </w:rPr>
        <w:t xml:space="preserve">Table </w:t>
      </w:r>
      <w:r w:rsidR="00515486" w:rsidRPr="00515486">
        <w:rPr>
          <w:b w:val="0"/>
          <w:noProof/>
        </w:rPr>
        <w:t>9</w:t>
      </w:r>
      <w:r w:rsidR="00515486" w:rsidRPr="00515486">
        <w:rPr>
          <w:b w:val="0"/>
          <w:noProof/>
        </w:rPr>
        <w:noBreakHyphen/>
        <w:t>4</w:t>
      </w:r>
      <w:r>
        <w:fldChar w:fldCharType="end"/>
      </w:r>
      <w:r w:rsidR="00515486" w:rsidRPr="0094041D">
        <w:rPr>
          <w:b w:val="0"/>
        </w:rPr>
        <w:t xml:space="preserve"> shows</w:t>
      </w:r>
      <w:r w:rsidR="00515486" w:rsidRPr="00B64FD5">
        <w:rPr>
          <w:b w:val="0"/>
        </w:rPr>
        <w:t xml:space="preserve"> the numbers of vacancies notified to employment service job centres.  It demonstrates that </w:t>
      </w:r>
      <w:r w:rsidR="00515486">
        <w:rPr>
          <w:b w:val="0"/>
        </w:rPr>
        <w:t>although there are large proportions of vacancies at ‘</w:t>
      </w:r>
      <w:r w:rsidR="00515486" w:rsidRPr="00B64FD5">
        <w:rPr>
          <w:b w:val="0"/>
        </w:rPr>
        <w:t>Sales and Customer Service</w:t>
      </w:r>
      <w:r w:rsidR="00515486">
        <w:rPr>
          <w:b w:val="0"/>
        </w:rPr>
        <w:t>’ (16.8%), ‘</w:t>
      </w:r>
      <w:r w:rsidR="00515486" w:rsidRPr="00B64FD5">
        <w:rPr>
          <w:b w:val="0"/>
        </w:rPr>
        <w:t>Process, Plant and Machine</w:t>
      </w:r>
      <w:r w:rsidR="00515486">
        <w:rPr>
          <w:b w:val="0"/>
        </w:rPr>
        <w:t>’ (24.3%) and ‘</w:t>
      </w:r>
      <w:r w:rsidR="00515486" w:rsidRPr="00B64FD5">
        <w:rPr>
          <w:b w:val="0"/>
        </w:rPr>
        <w:t>Elementary</w:t>
      </w:r>
      <w:r w:rsidR="00515486">
        <w:rPr>
          <w:b w:val="0"/>
        </w:rPr>
        <w:t>’</w:t>
      </w:r>
      <w:r w:rsidR="00515486" w:rsidRPr="00B64FD5">
        <w:rPr>
          <w:b w:val="0"/>
        </w:rPr>
        <w:t xml:space="preserve"> Occupations</w:t>
      </w:r>
      <w:r w:rsidR="00515486">
        <w:rPr>
          <w:b w:val="0"/>
        </w:rPr>
        <w:t xml:space="preserve"> (12.8%) in North East Lincolnshire. There is a low proportion of vacancies at ‘Manager and Senor Official’ (3%). This suggests that North East Lincolnshire has a distinct job creation need which, if met, could address unemployment for a significant number in the local area. </w:t>
      </w:r>
    </w:p>
    <w:p w14:paraId="41F0E6BB" w14:textId="77777777" w:rsidR="00515486" w:rsidRPr="004A04EC" w:rsidRDefault="00515486" w:rsidP="00515486">
      <w:pPr>
        <w:pStyle w:val="TableTitle"/>
        <w:numPr>
          <w:ilvl w:val="0"/>
          <w:numId w:val="0"/>
        </w:numPr>
        <w:ind w:left="1021" w:hanging="1021"/>
        <w:jc w:val="both"/>
      </w:pPr>
      <w:bookmarkStart w:id="98" w:name="_Ref393705427"/>
      <w:r w:rsidRPr="00BC6746">
        <w:t xml:space="preserve">Table </w:t>
      </w:r>
      <w:r w:rsidR="00F70FD0">
        <w:fldChar w:fldCharType="begin"/>
      </w:r>
      <w:r w:rsidR="00F810E1">
        <w:instrText xml:space="preserve"> STYLEREF 1 \s </w:instrText>
      </w:r>
      <w:r w:rsidR="00F70FD0">
        <w:fldChar w:fldCharType="separate"/>
      </w:r>
      <w:r>
        <w:rPr>
          <w:noProof/>
        </w:rPr>
        <w:t>9</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4</w:t>
      </w:r>
      <w:r w:rsidR="00F70FD0">
        <w:rPr>
          <w:noProof/>
        </w:rPr>
        <w:fldChar w:fldCharType="end"/>
      </w:r>
      <w:bookmarkEnd w:id="98"/>
      <w:r w:rsidRPr="00BC6746">
        <w:tab/>
      </w:r>
      <w:r>
        <w:t>Distribution of notified vacancies by occupation - November 2012</w:t>
      </w:r>
    </w:p>
    <w:tbl>
      <w:tblPr>
        <w:tblStyle w:val="Atkins14pt"/>
        <w:tblW w:w="9803" w:type="dxa"/>
        <w:tblLayout w:type="fixed"/>
        <w:tblLook w:val="04A0" w:firstRow="1" w:lastRow="0" w:firstColumn="1" w:lastColumn="0" w:noHBand="0" w:noVBand="1"/>
      </w:tblPr>
      <w:tblGrid>
        <w:gridCol w:w="4962"/>
        <w:gridCol w:w="806"/>
        <w:gridCol w:w="807"/>
        <w:gridCol w:w="807"/>
        <w:gridCol w:w="807"/>
        <w:gridCol w:w="807"/>
        <w:gridCol w:w="807"/>
      </w:tblGrid>
      <w:tr w:rsidR="00515486" w:rsidRPr="002E6270" w14:paraId="6277AC08" w14:textId="77777777" w:rsidTr="004D5D22">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4962" w:type="dxa"/>
            <w:hideMark/>
          </w:tcPr>
          <w:p w14:paraId="51D074D1" w14:textId="77777777" w:rsidR="00515486" w:rsidRPr="002E6270" w:rsidRDefault="00515486" w:rsidP="004D5D22">
            <w:pPr>
              <w:spacing w:after="0"/>
              <w:rPr>
                <w:rFonts w:eastAsia="Times New Roman"/>
                <w:bCs/>
                <w:color w:val="auto"/>
              </w:rPr>
            </w:pPr>
            <w:r w:rsidRPr="002E6270">
              <w:rPr>
                <w:rFonts w:eastAsia="Times New Roman"/>
                <w:bCs/>
                <w:color w:val="auto"/>
              </w:rPr>
              <w:t>Occupation</w:t>
            </w:r>
          </w:p>
        </w:tc>
        <w:tc>
          <w:tcPr>
            <w:tcW w:w="1613" w:type="dxa"/>
            <w:gridSpan w:val="2"/>
            <w:hideMark/>
          </w:tcPr>
          <w:p w14:paraId="451E4A72" w14:textId="77777777" w:rsidR="00515486" w:rsidRPr="002E6270"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2E6270">
              <w:rPr>
                <w:rFonts w:eastAsia="Times New Roman"/>
                <w:bCs/>
                <w:color w:val="auto"/>
              </w:rPr>
              <w:t>North East Lincolnshire</w:t>
            </w:r>
          </w:p>
        </w:tc>
        <w:tc>
          <w:tcPr>
            <w:tcW w:w="1614" w:type="dxa"/>
            <w:gridSpan w:val="2"/>
            <w:hideMark/>
          </w:tcPr>
          <w:p w14:paraId="361ACD0F" w14:textId="77777777" w:rsidR="00515486" w:rsidRPr="002E6270"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2E6270">
              <w:rPr>
                <w:rFonts w:eastAsia="Times New Roman"/>
                <w:bCs/>
                <w:color w:val="auto"/>
              </w:rPr>
              <w:t>North Lincolnshire</w:t>
            </w:r>
          </w:p>
        </w:tc>
        <w:tc>
          <w:tcPr>
            <w:tcW w:w="1614" w:type="dxa"/>
            <w:gridSpan w:val="2"/>
            <w:hideMark/>
          </w:tcPr>
          <w:p w14:paraId="3D398387" w14:textId="77777777" w:rsidR="00515486" w:rsidRPr="002E6270" w:rsidRDefault="00515486" w:rsidP="004D5D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color w:val="auto"/>
              </w:rPr>
            </w:pPr>
            <w:r w:rsidRPr="002E6270">
              <w:rPr>
                <w:rFonts w:eastAsia="Times New Roman"/>
                <w:bCs/>
                <w:color w:val="auto"/>
              </w:rPr>
              <w:t>Kingston upon Hull, City of</w:t>
            </w:r>
          </w:p>
        </w:tc>
      </w:tr>
      <w:tr w:rsidR="00515486" w:rsidRPr="002E6270" w14:paraId="24A05928"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40F8E84" w14:textId="77777777" w:rsidR="00515486" w:rsidRPr="002E6270" w:rsidRDefault="00515486" w:rsidP="004D5D22">
            <w:pPr>
              <w:spacing w:after="0"/>
              <w:rPr>
                <w:rFonts w:eastAsia="Times New Roman"/>
                <w:color w:val="auto"/>
              </w:rPr>
            </w:pPr>
          </w:p>
        </w:tc>
        <w:tc>
          <w:tcPr>
            <w:tcW w:w="806" w:type="dxa"/>
            <w:hideMark/>
          </w:tcPr>
          <w:p w14:paraId="03DB2F1B" w14:textId="77777777" w:rsidR="00515486" w:rsidRPr="002E6270" w:rsidRDefault="00832590"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Pr>
                <w:rFonts w:eastAsia="Times New Roman"/>
                <w:b/>
                <w:bCs/>
                <w:color w:val="auto"/>
              </w:rPr>
              <w:t>No.</w:t>
            </w:r>
          </w:p>
        </w:tc>
        <w:tc>
          <w:tcPr>
            <w:tcW w:w="807" w:type="dxa"/>
            <w:hideMark/>
          </w:tcPr>
          <w:p w14:paraId="0AAAC76C" w14:textId="77777777" w:rsidR="00515486" w:rsidRPr="002E6270"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sidRPr="002E6270">
              <w:rPr>
                <w:rFonts w:eastAsia="Times New Roman"/>
                <w:b/>
                <w:bCs/>
                <w:color w:val="auto"/>
              </w:rPr>
              <w:t>%</w:t>
            </w:r>
          </w:p>
        </w:tc>
        <w:tc>
          <w:tcPr>
            <w:tcW w:w="807" w:type="dxa"/>
            <w:hideMark/>
          </w:tcPr>
          <w:p w14:paraId="54B13EF1" w14:textId="77777777" w:rsidR="00515486" w:rsidRPr="002E6270" w:rsidRDefault="00832590"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Pr>
                <w:rFonts w:eastAsia="Times New Roman"/>
                <w:b/>
                <w:bCs/>
                <w:color w:val="auto"/>
              </w:rPr>
              <w:t>No.</w:t>
            </w:r>
          </w:p>
        </w:tc>
        <w:tc>
          <w:tcPr>
            <w:tcW w:w="807" w:type="dxa"/>
            <w:hideMark/>
          </w:tcPr>
          <w:p w14:paraId="2EC8930C" w14:textId="77777777" w:rsidR="00515486" w:rsidRPr="002E6270"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sidRPr="002E6270">
              <w:rPr>
                <w:rFonts w:eastAsia="Times New Roman"/>
                <w:b/>
                <w:bCs/>
                <w:color w:val="auto"/>
              </w:rPr>
              <w:t>%</w:t>
            </w:r>
          </w:p>
        </w:tc>
        <w:tc>
          <w:tcPr>
            <w:tcW w:w="807" w:type="dxa"/>
            <w:hideMark/>
          </w:tcPr>
          <w:p w14:paraId="5FBDF1A0" w14:textId="77777777" w:rsidR="00515486" w:rsidRPr="002E6270" w:rsidRDefault="00832590"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Pr>
                <w:rFonts w:eastAsia="Times New Roman"/>
                <w:b/>
                <w:bCs/>
                <w:color w:val="auto"/>
              </w:rPr>
              <w:t>No.</w:t>
            </w:r>
          </w:p>
        </w:tc>
        <w:tc>
          <w:tcPr>
            <w:tcW w:w="807" w:type="dxa"/>
            <w:hideMark/>
          </w:tcPr>
          <w:p w14:paraId="14EB5ECB" w14:textId="77777777" w:rsidR="00515486" w:rsidRPr="002E6270"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sidRPr="002E6270">
              <w:rPr>
                <w:rFonts w:eastAsia="Times New Roman"/>
                <w:b/>
                <w:bCs/>
                <w:color w:val="auto"/>
              </w:rPr>
              <w:t>%</w:t>
            </w:r>
          </w:p>
        </w:tc>
      </w:tr>
      <w:tr w:rsidR="00515486" w:rsidRPr="002E6270" w14:paraId="7D08A3CA"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36890AFB" w14:textId="77777777" w:rsidR="00515486" w:rsidRPr="002E6270" w:rsidRDefault="00515486" w:rsidP="004D5D22">
            <w:pPr>
              <w:spacing w:after="0"/>
              <w:rPr>
                <w:rFonts w:eastAsia="Times New Roman"/>
                <w:color w:val="auto"/>
              </w:rPr>
            </w:pPr>
            <w:r w:rsidRPr="002E6270">
              <w:rPr>
                <w:rFonts w:eastAsia="Times New Roman"/>
                <w:color w:val="auto"/>
              </w:rPr>
              <w:t>1 : Managers and Senior Officials</w:t>
            </w:r>
          </w:p>
        </w:tc>
        <w:tc>
          <w:tcPr>
            <w:tcW w:w="806" w:type="dxa"/>
            <w:noWrap/>
            <w:hideMark/>
          </w:tcPr>
          <w:p w14:paraId="4277028B"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20</w:t>
            </w:r>
          </w:p>
        </w:tc>
        <w:tc>
          <w:tcPr>
            <w:tcW w:w="807" w:type="dxa"/>
            <w:noWrap/>
            <w:hideMark/>
          </w:tcPr>
          <w:p w14:paraId="6AA973A6"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w:t>
            </w:r>
            <w:r>
              <w:rPr>
                <w:rFonts w:eastAsia="Times New Roman"/>
                <w:color w:val="auto"/>
              </w:rPr>
              <w:t>.0</w:t>
            </w:r>
          </w:p>
        </w:tc>
        <w:tc>
          <w:tcPr>
            <w:tcW w:w="807" w:type="dxa"/>
            <w:noWrap/>
            <w:hideMark/>
          </w:tcPr>
          <w:p w14:paraId="01C68964"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20</w:t>
            </w:r>
          </w:p>
        </w:tc>
        <w:tc>
          <w:tcPr>
            <w:tcW w:w="807" w:type="dxa"/>
            <w:noWrap/>
            <w:hideMark/>
          </w:tcPr>
          <w:p w14:paraId="38916BE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w:t>
            </w:r>
            <w:r>
              <w:rPr>
                <w:rFonts w:eastAsia="Times New Roman"/>
                <w:color w:val="auto"/>
              </w:rPr>
              <w:t>.0</w:t>
            </w:r>
          </w:p>
        </w:tc>
        <w:tc>
          <w:tcPr>
            <w:tcW w:w="807" w:type="dxa"/>
            <w:noWrap/>
            <w:hideMark/>
          </w:tcPr>
          <w:p w14:paraId="3DE4C3E6"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60</w:t>
            </w:r>
          </w:p>
        </w:tc>
        <w:tc>
          <w:tcPr>
            <w:tcW w:w="807" w:type="dxa"/>
            <w:noWrap/>
            <w:hideMark/>
          </w:tcPr>
          <w:p w14:paraId="0C3C36A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4.3</w:t>
            </w:r>
          </w:p>
        </w:tc>
      </w:tr>
      <w:tr w:rsidR="00515486" w:rsidRPr="002E6270" w14:paraId="0013D8AF"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F806C66" w14:textId="77777777" w:rsidR="00515486" w:rsidRPr="002E6270" w:rsidRDefault="00515486" w:rsidP="004D5D22">
            <w:pPr>
              <w:spacing w:after="0"/>
              <w:rPr>
                <w:rFonts w:eastAsia="Times New Roman"/>
                <w:color w:val="auto"/>
              </w:rPr>
            </w:pPr>
            <w:r w:rsidRPr="002E6270">
              <w:rPr>
                <w:rFonts w:eastAsia="Times New Roman"/>
                <w:color w:val="auto"/>
              </w:rPr>
              <w:t>2 : Professional Occupations</w:t>
            </w:r>
          </w:p>
        </w:tc>
        <w:tc>
          <w:tcPr>
            <w:tcW w:w="806" w:type="dxa"/>
            <w:noWrap/>
            <w:hideMark/>
          </w:tcPr>
          <w:p w14:paraId="0CCB742D"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20</w:t>
            </w:r>
          </w:p>
        </w:tc>
        <w:tc>
          <w:tcPr>
            <w:tcW w:w="807" w:type="dxa"/>
            <w:noWrap/>
            <w:hideMark/>
          </w:tcPr>
          <w:p w14:paraId="7434A42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2.7</w:t>
            </w:r>
          </w:p>
        </w:tc>
        <w:tc>
          <w:tcPr>
            <w:tcW w:w="807" w:type="dxa"/>
            <w:noWrap/>
            <w:hideMark/>
          </w:tcPr>
          <w:p w14:paraId="228998A0"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20</w:t>
            </w:r>
          </w:p>
        </w:tc>
        <w:tc>
          <w:tcPr>
            <w:tcW w:w="807" w:type="dxa"/>
            <w:noWrap/>
            <w:hideMark/>
          </w:tcPr>
          <w:p w14:paraId="13B0F7BD"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1.6</w:t>
            </w:r>
          </w:p>
        </w:tc>
        <w:tc>
          <w:tcPr>
            <w:tcW w:w="807" w:type="dxa"/>
            <w:noWrap/>
            <w:hideMark/>
          </w:tcPr>
          <w:p w14:paraId="071CB75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40</w:t>
            </w:r>
          </w:p>
        </w:tc>
        <w:tc>
          <w:tcPr>
            <w:tcW w:w="807" w:type="dxa"/>
            <w:noWrap/>
            <w:hideMark/>
          </w:tcPr>
          <w:p w14:paraId="73B19E5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w:t>
            </w:r>
          </w:p>
        </w:tc>
      </w:tr>
      <w:tr w:rsidR="00515486" w:rsidRPr="002E6270" w14:paraId="19A26B44"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46C4EE0" w14:textId="77777777" w:rsidR="00515486" w:rsidRPr="002E6270" w:rsidRDefault="00515486" w:rsidP="004D5D22">
            <w:pPr>
              <w:spacing w:after="0"/>
              <w:rPr>
                <w:rFonts w:eastAsia="Times New Roman"/>
                <w:color w:val="auto"/>
              </w:rPr>
            </w:pPr>
            <w:r w:rsidRPr="002E6270">
              <w:rPr>
                <w:rFonts w:eastAsia="Times New Roman"/>
                <w:color w:val="auto"/>
              </w:rPr>
              <w:t xml:space="preserve">3 : Associate Professional </w:t>
            </w:r>
            <w:r>
              <w:rPr>
                <w:rFonts w:eastAsia="Times New Roman"/>
                <w:color w:val="auto"/>
              </w:rPr>
              <w:t xml:space="preserve">&amp; </w:t>
            </w:r>
            <w:r w:rsidRPr="002E6270">
              <w:rPr>
                <w:rFonts w:eastAsia="Times New Roman"/>
                <w:color w:val="auto"/>
              </w:rPr>
              <w:t>Technical Occupations</w:t>
            </w:r>
          </w:p>
        </w:tc>
        <w:tc>
          <w:tcPr>
            <w:tcW w:w="806" w:type="dxa"/>
            <w:noWrap/>
            <w:hideMark/>
          </w:tcPr>
          <w:p w14:paraId="1A1A9BAE"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60</w:t>
            </w:r>
          </w:p>
        </w:tc>
        <w:tc>
          <w:tcPr>
            <w:tcW w:w="807" w:type="dxa"/>
            <w:noWrap/>
            <w:hideMark/>
          </w:tcPr>
          <w:p w14:paraId="09D31B1B"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9.5</w:t>
            </w:r>
          </w:p>
        </w:tc>
        <w:tc>
          <w:tcPr>
            <w:tcW w:w="807" w:type="dxa"/>
            <w:noWrap/>
            <w:hideMark/>
          </w:tcPr>
          <w:p w14:paraId="02C38145"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140</w:t>
            </w:r>
          </w:p>
        </w:tc>
        <w:tc>
          <w:tcPr>
            <w:tcW w:w="807" w:type="dxa"/>
            <w:noWrap/>
            <w:hideMark/>
          </w:tcPr>
          <w:p w14:paraId="2142E6AA"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12.9</w:t>
            </w:r>
          </w:p>
        </w:tc>
        <w:tc>
          <w:tcPr>
            <w:tcW w:w="807" w:type="dxa"/>
            <w:noWrap/>
            <w:hideMark/>
          </w:tcPr>
          <w:p w14:paraId="1E97CAB1"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180</w:t>
            </w:r>
          </w:p>
        </w:tc>
        <w:tc>
          <w:tcPr>
            <w:tcW w:w="807" w:type="dxa"/>
            <w:noWrap/>
            <w:hideMark/>
          </w:tcPr>
          <w:p w14:paraId="4047B2C8"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12.5</w:t>
            </w:r>
          </w:p>
        </w:tc>
      </w:tr>
      <w:tr w:rsidR="00515486" w:rsidRPr="002E6270" w14:paraId="6BF6C2F1"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06F9C38F" w14:textId="77777777" w:rsidR="00515486" w:rsidRPr="002E6270" w:rsidRDefault="00515486" w:rsidP="004D5D22">
            <w:pPr>
              <w:spacing w:after="0"/>
              <w:rPr>
                <w:rFonts w:eastAsia="Times New Roman"/>
                <w:color w:val="auto"/>
              </w:rPr>
            </w:pPr>
            <w:r w:rsidRPr="002E6270">
              <w:rPr>
                <w:rFonts w:eastAsia="Times New Roman"/>
                <w:color w:val="auto"/>
              </w:rPr>
              <w:t>4 : Administrative and Secretarial Occupations</w:t>
            </w:r>
          </w:p>
        </w:tc>
        <w:tc>
          <w:tcPr>
            <w:tcW w:w="806" w:type="dxa"/>
            <w:noWrap/>
            <w:hideMark/>
          </w:tcPr>
          <w:p w14:paraId="36CFECBD"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40</w:t>
            </w:r>
          </w:p>
        </w:tc>
        <w:tc>
          <w:tcPr>
            <w:tcW w:w="807" w:type="dxa"/>
            <w:noWrap/>
            <w:hideMark/>
          </w:tcPr>
          <w:p w14:paraId="61B9D371"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6</w:t>
            </w:r>
            <w:r>
              <w:rPr>
                <w:rFonts w:eastAsia="Times New Roman"/>
                <w:color w:val="auto"/>
              </w:rPr>
              <w:t>.0</w:t>
            </w:r>
          </w:p>
        </w:tc>
        <w:tc>
          <w:tcPr>
            <w:tcW w:w="807" w:type="dxa"/>
            <w:noWrap/>
            <w:hideMark/>
          </w:tcPr>
          <w:p w14:paraId="30F18C8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40</w:t>
            </w:r>
          </w:p>
        </w:tc>
        <w:tc>
          <w:tcPr>
            <w:tcW w:w="807" w:type="dxa"/>
            <w:noWrap/>
            <w:hideMark/>
          </w:tcPr>
          <w:p w14:paraId="3DA85E19"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4.1</w:t>
            </w:r>
          </w:p>
        </w:tc>
        <w:tc>
          <w:tcPr>
            <w:tcW w:w="807" w:type="dxa"/>
            <w:noWrap/>
            <w:hideMark/>
          </w:tcPr>
          <w:p w14:paraId="7F2EBD1F"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120</w:t>
            </w:r>
          </w:p>
        </w:tc>
        <w:tc>
          <w:tcPr>
            <w:tcW w:w="807" w:type="dxa"/>
            <w:noWrap/>
            <w:hideMark/>
          </w:tcPr>
          <w:p w14:paraId="3F1A388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7.9</w:t>
            </w:r>
          </w:p>
        </w:tc>
      </w:tr>
      <w:tr w:rsidR="00515486" w:rsidRPr="002E6270" w14:paraId="3F468B9D"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74A19115" w14:textId="77777777" w:rsidR="00515486" w:rsidRPr="002E6270" w:rsidRDefault="00515486" w:rsidP="004D5D22">
            <w:pPr>
              <w:spacing w:after="0"/>
              <w:rPr>
                <w:rFonts w:eastAsia="Times New Roman"/>
                <w:color w:val="auto"/>
              </w:rPr>
            </w:pPr>
            <w:r w:rsidRPr="002E6270">
              <w:rPr>
                <w:rFonts w:eastAsia="Times New Roman"/>
                <w:color w:val="auto"/>
              </w:rPr>
              <w:t>5 : Skilled Trades Occupations</w:t>
            </w:r>
          </w:p>
        </w:tc>
        <w:tc>
          <w:tcPr>
            <w:tcW w:w="806" w:type="dxa"/>
            <w:noWrap/>
            <w:hideMark/>
          </w:tcPr>
          <w:p w14:paraId="7547C471"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120</w:t>
            </w:r>
          </w:p>
        </w:tc>
        <w:tc>
          <w:tcPr>
            <w:tcW w:w="807" w:type="dxa"/>
            <w:noWrap/>
            <w:hideMark/>
          </w:tcPr>
          <w:p w14:paraId="5D481FF4"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19</w:t>
            </w:r>
            <w:r>
              <w:rPr>
                <w:rFonts w:eastAsia="Times New Roman"/>
                <w:color w:val="auto"/>
              </w:rPr>
              <w:t>.0</w:t>
            </w:r>
          </w:p>
        </w:tc>
        <w:tc>
          <w:tcPr>
            <w:tcW w:w="807" w:type="dxa"/>
            <w:noWrap/>
            <w:hideMark/>
          </w:tcPr>
          <w:p w14:paraId="32FECC0D"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80</w:t>
            </w:r>
          </w:p>
        </w:tc>
        <w:tc>
          <w:tcPr>
            <w:tcW w:w="807" w:type="dxa"/>
            <w:noWrap/>
            <w:hideMark/>
          </w:tcPr>
          <w:p w14:paraId="73E6E496"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7.6</w:t>
            </w:r>
          </w:p>
        </w:tc>
        <w:tc>
          <w:tcPr>
            <w:tcW w:w="807" w:type="dxa"/>
            <w:noWrap/>
            <w:hideMark/>
          </w:tcPr>
          <w:p w14:paraId="7BDC54D6"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160</w:t>
            </w:r>
          </w:p>
        </w:tc>
        <w:tc>
          <w:tcPr>
            <w:tcW w:w="807" w:type="dxa"/>
            <w:noWrap/>
            <w:hideMark/>
          </w:tcPr>
          <w:p w14:paraId="4EAF89CE"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11.1</w:t>
            </w:r>
          </w:p>
        </w:tc>
      </w:tr>
      <w:tr w:rsidR="00515486" w:rsidRPr="002E6270" w14:paraId="0B0DBCA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1066CF78" w14:textId="77777777" w:rsidR="00515486" w:rsidRPr="002E6270" w:rsidRDefault="00515486" w:rsidP="004D5D22">
            <w:pPr>
              <w:spacing w:after="0"/>
              <w:rPr>
                <w:rFonts w:eastAsia="Times New Roman"/>
                <w:color w:val="auto"/>
              </w:rPr>
            </w:pPr>
            <w:r w:rsidRPr="002E6270">
              <w:rPr>
                <w:rFonts w:eastAsia="Times New Roman"/>
                <w:color w:val="auto"/>
              </w:rPr>
              <w:t>6 : Personal Service Occupations</w:t>
            </w:r>
          </w:p>
        </w:tc>
        <w:tc>
          <w:tcPr>
            <w:tcW w:w="806" w:type="dxa"/>
            <w:noWrap/>
            <w:hideMark/>
          </w:tcPr>
          <w:p w14:paraId="5331E25E"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40</w:t>
            </w:r>
          </w:p>
        </w:tc>
        <w:tc>
          <w:tcPr>
            <w:tcW w:w="807" w:type="dxa"/>
            <w:noWrap/>
            <w:hideMark/>
          </w:tcPr>
          <w:p w14:paraId="3BC61DB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6</w:t>
            </w:r>
            <w:r>
              <w:rPr>
                <w:rFonts w:eastAsia="Times New Roman"/>
                <w:color w:val="auto"/>
              </w:rPr>
              <w:t>.0</w:t>
            </w:r>
          </w:p>
        </w:tc>
        <w:tc>
          <w:tcPr>
            <w:tcW w:w="807" w:type="dxa"/>
            <w:noWrap/>
            <w:hideMark/>
          </w:tcPr>
          <w:p w14:paraId="3A6DFE9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50</w:t>
            </w:r>
          </w:p>
        </w:tc>
        <w:tc>
          <w:tcPr>
            <w:tcW w:w="807" w:type="dxa"/>
            <w:noWrap/>
            <w:hideMark/>
          </w:tcPr>
          <w:p w14:paraId="28CBF6C4"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4.5</w:t>
            </w:r>
          </w:p>
        </w:tc>
        <w:tc>
          <w:tcPr>
            <w:tcW w:w="807" w:type="dxa"/>
            <w:noWrap/>
            <w:hideMark/>
          </w:tcPr>
          <w:p w14:paraId="33C67ADF"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100</w:t>
            </w:r>
          </w:p>
        </w:tc>
        <w:tc>
          <w:tcPr>
            <w:tcW w:w="807" w:type="dxa"/>
            <w:noWrap/>
            <w:hideMark/>
          </w:tcPr>
          <w:p w14:paraId="6064834B"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6.8</w:t>
            </w:r>
          </w:p>
        </w:tc>
      </w:tr>
      <w:tr w:rsidR="00515486" w:rsidRPr="002E6270" w14:paraId="1FD883BA"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2909FA94" w14:textId="77777777" w:rsidR="00515486" w:rsidRPr="002E6270" w:rsidRDefault="00515486" w:rsidP="004D5D22">
            <w:pPr>
              <w:spacing w:after="0"/>
              <w:rPr>
                <w:rFonts w:eastAsia="Times New Roman"/>
                <w:color w:val="auto"/>
              </w:rPr>
            </w:pPr>
            <w:r w:rsidRPr="002E6270">
              <w:rPr>
                <w:rFonts w:eastAsia="Times New Roman"/>
                <w:color w:val="auto"/>
              </w:rPr>
              <w:t>7 : Sales and Customer Service occupations</w:t>
            </w:r>
          </w:p>
        </w:tc>
        <w:tc>
          <w:tcPr>
            <w:tcW w:w="806" w:type="dxa"/>
            <w:noWrap/>
            <w:hideMark/>
          </w:tcPr>
          <w:p w14:paraId="7EDEB8EF"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110</w:t>
            </w:r>
          </w:p>
        </w:tc>
        <w:tc>
          <w:tcPr>
            <w:tcW w:w="807" w:type="dxa"/>
            <w:noWrap/>
            <w:hideMark/>
          </w:tcPr>
          <w:p w14:paraId="4169995E"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16.8</w:t>
            </w:r>
          </w:p>
        </w:tc>
        <w:tc>
          <w:tcPr>
            <w:tcW w:w="807" w:type="dxa"/>
            <w:noWrap/>
            <w:hideMark/>
          </w:tcPr>
          <w:p w14:paraId="0B2D7E66"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160</w:t>
            </w:r>
          </w:p>
        </w:tc>
        <w:tc>
          <w:tcPr>
            <w:tcW w:w="807" w:type="dxa"/>
            <w:noWrap/>
            <w:hideMark/>
          </w:tcPr>
          <w:p w14:paraId="6B56BAF6"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15.4</w:t>
            </w:r>
          </w:p>
        </w:tc>
        <w:tc>
          <w:tcPr>
            <w:tcW w:w="807" w:type="dxa"/>
            <w:noWrap/>
            <w:hideMark/>
          </w:tcPr>
          <w:p w14:paraId="794F5A2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270</w:t>
            </w:r>
          </w:p>
        </w:tc>
        <w:tc>
          <w:tcPr>
            <w:tcW w:w="807" w:type="dxa"/>
            <w:noWrap/>
            <w:hideMark/>
          </w:tcPr>
          <w:p w14:paraId="7441EAC5"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18.6</w:t>
            </w:r>
          </w:p>
        </w:tc>
      </w:tr>
      <w:tr w:rsidR="00515486" w:rsidRPr="002E6270" w14:paraId="64533390"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042294C" w14:textId="77777777" w:rsidR="00515486" w:rsidRPr="002E6270" w:rsidRDefault="00515486" w:rsidP="004D5D22">
            <w:pPr>
              <w:spacing w:after="0"/>
              <w:rPr>
                <w:rFonts w:eastAsia="Times New Roman"/>
                <w:color w:val="auto"/>
              </w:rPr>
            </w:pPr>
            <w:r w:rsidRPr="002E6270">
              <w:rPr>
                <w:rFonts w:eastAsia="Times New Roman"/>
                <w:color w:val="auto"/>
              </w:rPr>
              <w:t>8 : Process, Plant and Machine Operatives</w:t>
            </w:r>
          </w:p>
        </w:tc>
        <w:tc>
          <w:tcPr>
            <w:tcW w:w="806" w:type="dxa"/>
            <w:noWrap/>
            <w:hideMark/>
          </w:tcPr>
          <w:p w14:paraId="15372154"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160</w:t>
            </w:r>
          </w:p>
        </w:tc>
        <w:tc>
          <w:tcPr>
            <w:tcW w:w="807" w:type="dxa"/>
            <w:noWrap/>
            <w:hideMark/>
          </w:tcPr>
          <w:p w14:paraId="7F064963"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24.3</w:t>
            </w:r>
          </w:p>
        </w:tc>
        <w:tc>
          <w:tcPr>
            <w:tcW w:w="807" w:type="dxa"/>
            <w:noWrap/>
            <w:hideMark/>
          </w:tcPr>
          <w:p w14:paraId="2F3A4BCF"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300</w:t>
            </w:r>
          </w:p>
        </w:tc>
        <w:tc>
          <w:tcPr>
            <w:tcW w:w="807" w:type="dxa"/>
            <w:noWrap/>
            <w:hideMark/>
          </w:tcPr>
          <w:p w14:paraId="6A7B0CF4"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29</w:t>
            </w:r>
          </w:p>
        </w:tc>
        <w:tc>
          <w:tcPr>
            <w:tcW w:w="807" w:type="dxa"/>
            <w:noWrap/>
            <w:hideMark/>
          </w:tcPr>
          <w:p w14:paraId="0DACD4CB"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230</w:t>
            </w:r>
          </w:p>
        </w:tc>
        <w:tc>
          <w:tcPr>
            <w:tcW w:w="807" w:type="dxa"/>
            <w:noWrap/>
            <w:hideMark/>
          </w:tcPr>
          <w:p w14:paraId="3A6C35A8"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15.5</w:t>
            </w:r>
          </w:p>
        </w:tc>
      </w:tr>
      <w:tr w:rsidR="00515486" w:rsidRPr="002E6270" w14:paraId="7E3EDC75"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6EE0ABB" w14:textId="77777777" w:rsidR="00515486" w:rsidRPr="002E6270" w:rsidRDefault="00515486" w:rsidP="004D5D22">
            <w:pPr>
              <w:spacing w:after="0"/>
              <w:rPr>
                <w:rFonts w:eastAsia="Times New Roman"/>
                <w:color w:val="auto"/>
              </w:rPr>
            </w:pPr>
            <w:r w:rsidRPr="002E6270">
              <w:rPr>
                <w:rFonts w:eastAsia="Times New Roman"/>
                <w:color w:val="auto"/>
              </w:rPr>
              <w:t>9 : Elementary Occupations</w:t>
            </w:r>
          </w:p>
        </w:tc>
        <w:tc>
          <w:tcPr>
            <w:tcW w:w="806" w:type="dxa"/>
            <w:noWrap/>
            <w:hideMark/>
          </w:tcPr>
          <w:p w14:paraId="551E8598"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80</w:t>
            </w:r>
          </w:p>
        </w:tc>
        <w:tc>
          <w:tcPr>
            <w:tcW w:w="807" w:type="dxa"/>
            <w:noWrap/>
            <w:hideMark/>
          </w:tcPr>
          <w:p w14:paraId="0EF7F40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12.8</w:t>
            </w:r>
          </w:p>
        </w:tc>
        <w:tc>
          <w:tcPr>
            <w:tcW w:w="807" w:type="dxa"/>
            <w:noWrap/>
            <w:hideMark/>
          </w:tcPr>
          <w:p w14:paraId="5958B7C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240</w:t>
            </w:r>
          </w:p>
        </w:tc>
        <w:tc>
          <w:tcPr>
            <w:tcW w:w="807" w:type="dxa"/>
            <w:noWrap/>
            <w:hideMark/>
          </w:tcPr>
          <w:p w14:paraId="3B8E6ECF"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23</w:t>
            </w:r>
          </w:p>
        </w:tc>
        <w:tc>
          <w:tcPr>
            <w:tcW w:w="807" w:type="dxa"/>
            <w:noWrap/>
            <w:hideMark/>
          </w:tcPr>
          <w:p w14:paraId="623DD32A"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300</w:t>
            </w:r>
          </w:p>
        </w:tc>
        <w:tc>
          <w:tcPr>
            <w:tcW w:w="807" w:type="dxa"/>
            <w:noWrap/>
            <w:hideMark/>
          </w:tcPr>
          <w:p w14:paraId="78DAD589"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20.2</w:t>
            </w:r>
          </w:p>
        </w:tc>
      </w:tr>
      <w:tr w:rsidR="00515486" w:rsidRPr="002E6270" w14:paraId="27858925" w14:textId="77777777" w:rsidTr="004D5D22">
        <w:trPr>
          <w:trHeight w:val="255"/>
        </w:trPr>
        <w:tc>
          <w:tcPr>
            <w:cnfStyle w:val="001000000000" w:firstRow="0" w:lastRow="0" w:firstColumn="1" w:lastColumn="0" w:oddVBand="0" w:evenVBand="0" w:oddHBand="0" w:evenHBand="0" w:firstRowFirstColumn="0" w:firstRowLastColumn="0" w:lastRowFirstColumn="0" w:lastRowLastColumn="0"/>
            <w:tcW w:w="4962" w:type="dxa"/>
            <w:noWrap/>
            <w:hideMark/>
          </w:tcPr>
          <w:p w14:paraId="4C9C5FBA" w14:textId="77777777" w:rsidR="00515486" w:rsidRPr="002E6270" w:rsidRDefault="00515486" w:rsidP="004D5D22">
            <w:pPr>
              <w:spacing w:after="0"/>
              <w:rPr>
                <w:rFonts w:eastAsia="Times New Roman"/>
                <w:color w:val="auto"/>
              </w:rPr>
            </w:pPr>
            <w:r w:rsidRPr="002E6270">
              <w:rPr>
                <w:rFonts w:eastAsia="Times New Roman"/>
                <w:color w:val="auto"/>
              </w:rPr>
              <w:t>Column Total</w:t>
            </w:r>
          </w:p>
        </w:tc>
        <w:tc>
          <w:tcPr>
            <w:tcW w:w="806" w:type="dxa"/>
            <w:noWrap/>
            <w:hideMark/>
          </w:tcPr>
          <w:p w14:paraId="261139B7"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650</w:t>
            </w:r>
          </w:p>
        </w:tc>
        <w:tc>
          <w:tcPr>
            <w:tcW w:w="807" w:type="dxa"/>
            <w:noWrap/>
            <w:hideMark/>
          </w:tcPr>
          <w:p w14:paraId="7DDFDE78"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100</w:t>
            </w:r>
          </w:p>
        </w:tc>
        <w:tc>
          <w:tcPr>
            <w:tcW w:w="807" w:type="dxa"/>
            <w:noWrap/>
            <w:hideMark/>
          </w:tcPr>
          <w:p w14:paraId="10669C41"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1050</w:t>
            </w:r>
          </w:p>
        </w:tc>
        <w:tc>
          <w:tcPr>
            <w:tcW w:w="807" w:type="dxa"/>
            <w:noWrap/>
            <w:hideMark/>
          </w:tcPr>
          <w:p w14:paraId="4B852A6D"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100</w:t>
            </w:r>
          </w:p>
        </w:tc>
        <w:tc>
          <w:tcPr>
            <w:tcW w:w="807" w:type="dxa"/>
            <w:noWrap/>
            <w:hideMark/>
          </w:tcPr>
          <w:p w14:paraId="4EB97602"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1470</w:t>
            </w:r>
          </w:p>
        </w:tc>
        <w:tc>
          <w:tcPr>
            <w:tcW w:w="807" w:type="dxa"/>
            <w:noWrap/>
            <w:hideMark/>
          </w:tcPr>
          <w:p w14:paraId="3BF0FF79" w14:textId="77777777" w:rsidR="00515486" w:rsidRPr="009405C4" w:rsidRDefault="00515486" w:rsidP="0083259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405C4">
              <w:rPr>
                <w:rFonts w:eastAsia="Times New Roman"/>
                <w:color w:val="auto"/>
              </w:rPr>
              <w:t>100</w:t>
            </w:r>
          </w:p>
        </w:tc>
      </w:tr>
    </w:tbl>
    <w:p w14:paraId="48EB0F28" w14:textId="77777777" w:rsidR="00515486" w:rsidRDefault="00515486" w:rsidP="00515486">
      <w:pPr>
        <w:pStyle w:val="TableSource"/>
        <w:jc w:val="both"/>
      </w:pPr>
      <w:r>
        <w:t>Source: Jobcentre Plus Vacancy Statistics 2014</w:t>
      </w:r>
    </w:p>
    <w:p w14:paraId="7CB14CA4" w14:textId="77777777" w:rsidR="00515486" w:rsidRDefault="00515486" w:rsidP="00515486">
      <w:pPr>
        <w:pStyle w:val="Heading2"/>
        <w:numPr>
          <w:ilvl w:val="1"/>
          <w:numId w:val="4"/>
        </w:numPr>
      </w:pPr>
      <w:bookmarkStart w:id="99" w:name="_Toc394327706"/>
      <w:r>
        <w:t>Youth Unemployment</w:t>
      </w:r>
      <w:bookmarkEnd w:id="99"/>
    </w:p>
    <w:p w14:paraId="38D62AFC" w14:textId="77777777" w:rsidR="00515486" w:rsidRPr="004279DC" w:rsidRDefault="00515486" w:rsidP="00515486">
      <w:pPr>
        <w:jc w:val="both"/>
      </w:pPr>
      <w:r>
        <w:t xml:space="preserve">Youth unemployment can have many impacts upon </w:t>
      </w:r>
      <w:r w:rsidRPr="003F1C64">
        <w:t>young people in the long term with links between unemployment and long-term reductions in wages, increased chances of subsequent periods of unemployment, and poorer health outcomes.</w:t>
      </w:r>
    </w:p>
    <w:p w14:paraId="0B3BE5AF" w14:textId="77777777" w:rsidR="00515486" w:rsidRDefault="00515486" w:rsidP="00515486">
      <w:pPr>
        <w:jc w:val="both"/>
      </w:pPr>
      <w:r>
        <w:t xml:space="preserve">Following the evidence on claimant count data in section </w:t>
      </w:r>
      <w:r w:rsidR="00F70FD0">
        <w:fldChar w:fldCharType="begin"/>
      </w:r>
      <w:r>
        <w:instrText xml:space="preserve"> REF _Ref393877615 \r \h </w:instrText>
      </w:r>
      <w:r w:rsidR="00F70FD0">
        <w:fldChar w:fldCharType="separate"/>
      </w:r>
      <w:r>
        <w:t>9.2</w:t>
      </w:r>
      <w:r w:rsidR="00F70FD0">
        <w:fldChar w:fldCharType="end"/>
      </w:r>
      <w:r>
        <w:t xml:space="preserve">, </w:t>
      </w:r>
      <w:r w:rsidR="00F70FD0">
        <w:fldChar w:fldCharType="begin"/>
      </w:r>
      <w:r>
        <w:instrText xml:space="preserve"> REF _Ref393706194 \h </w:instrText>
      </w:r>
      <w:r w:rsidR="00F70FD0">
        <w:fldChar w:fldCharType="separate"/>
      </w:r>
      <w:r w:rsidRPr="00BC6746">
        <w:t xml:space="preserve">Table </w:t>
      </w:r>
      <w:r>
        <w:rPr>
          <w:noProof/>
        </w:rPr>
        <w:t>9</w:t>
      </w:r>
      <w:r w:rsidRPr="00BC6746">
        <w:noBreakHyphen/>
      </w:r>
      <w:r>
        <w:rPr>
          <w:noProof/>
        </w:rPr>
        <w:t>5</w:t>
      </w:r>
      <w:r w:rsidR="00F70FD0">
        <w:fldChar w:fldCharType="end"/>
      </w:r>
      <w:r>
        <w:t xml:space="preserve"> indicates that 7% of 16-18 year olds in North East Lincolnshire are not in employment, education or training (NEET). This is higher than the national rate (6.7%) and the rate for the Yorkshire and the Humber region (6.3%), and nearby North Lincolnshire (5.7%). Though not as significant an issue as in Hull, this suggests improvements could be made.  </w:t>
      </w:r>
      <w:r w:rsidR="00B7443B">
        <w:t>Box 1 provides</w:t>
      </w:r>
      <w:r w:rsidR="00F810E1">
        <w:t xml:space="preserve"> more detail on youth unemployment and economic activity in North East Lincolnshire. </w:t>
      </w:r>
    </w:p>
    <w:p w14:paraId="13E71FC7" w14:textId="77777777" w:rsidR="00515486" w:rsidRPr="005C7083" w:rsidRDefault="00515486" w:rsidP="00515486">
      <w:pPr>
        <w:pStyle w:val="TableTitle"/>
        <w:numPr>
          <w:ilvl w:val="0"/>
          <w:numId w:val="0"/>
        </w:numPr>
        <w:ind w:left="1021" w:hanging="1021"/>
        <w:jc w:val="both"/>
      </w:pPr>
      <w:bookmarkStart w:id="100" w:name="_Ref393706194"/>
      <w:r w:rsidRPr="00BC6746">
        <w:t xml:space="preserve">Table </w:t>
      </w:r>
      <w:r w:rsidR="00F70FD0">
        <w:fldChar w:fldCharType="begin"/>
      </w:r>
      <w:r w:rsidR="00F810E1">
        <w:instrText xml:space="preserve"> STYLEREF 1 \s </w:instrText>
      </w:r>
      <w:r w:rsidR="00F70FD0">
        <w:fldChar w:fldCharType="separate"/>
      </w:r>
      <w:r>
        <w:rPr>
          <w:noProof/>
        </w:rPr>
        <w:t>9</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5</w:t>
      </w:r>
      <w:r w:rsidR="00F70FD0">
        <w:rPr>
          <w:noProof/>
        </w:rPr>
        <w:fldChar w:fldCharType="end"/>
      </w:r>
      <w:bookmarkEnd w:id="100"/>
      <w:r w:rsidRPr="00BC6746">
        <w:tab/>
      </w:r>
      <w:r>
        <w:t>16-18 year olds not in employment, education or training (NEET)</w:t>
      </w:r>
    </w:p>
    <w:tbl>
      <w:tblPr>
        <w:tblStyle w:val="Atkins14pt"/>
        <w:tblW w:w="0" w:type="auto"/>
        <w:tblLayout w:type="fixed"/>
        <w:tblLook w:val="04A0" w:firstRow="1" w:lastRow="0" w:firstColumn="1" w:lastColumn="0" w:noHBand="0" w:noVBand="1"/>
      </w:tblPr>
      <w:tblGrid>
        <w:gridCol w:w="3544"/>
        <w:gridCol w:w="2480"/>
        <w:gridCol w:w="2481"/>
      </w:tblGrid>
      <w:tr w:rsidR="00515486" w:rsidRPr="005C7083" w14:paraId="75AE6BCC" w14:textId="77777777" w:rsidTr="004D5D2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3544" w:type="dxa"/>
            <w:noWrap/>
            <w:hideMark/>
          </w:tcPr>
          <w:p w14:paraId="24BAC76C" w14:textId="77777777" w:rsidR="00515486" w:rsidRPr="008F07E2" w:rsidRDefault="00515486" w:rsidP="004D5D22">
            <w:pPr>
              <w:pStyle w:val="TableHeading"/>
              <w:jc w:val="both"/>
              <w:rPr>
                <w:color w:val="auto"/>
              </w:rPr>
            </w:pPr>
            <w:r w:rsidRPr="008F07E2">
              <w:rPr>
                <w:color w:val="auto"/>
              </w:rPr>
              <w:t>Geography</w:t>
            </w:r>
          </w:p>
        </w:tc>
        <w:tc>
          <w:tcPr>
            <w:tcW w:w="2480" w:type="dxa"/>
            <w:hideMark/>
          </w:tcPr>
          <w:p w14:paraId="2C814191" w14:textId="77777777" w:rsidR="00515486" w:rsidRPr="008F07E2" w:rsidRDefault="00515486" w:rsidP="00832590">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Number</w:t>
            </w:r>
          </w:p>
        </w:tc>
        <w:tc>
          <w:tcPr>
            <w:tcW w:w="2481" w:type="dxa"/>
            <w:noWrap/>
            <w:hideMark/>
          </w:tcPr>
          <w:p w14:paraId="75BD2E84" w14:textId="77777777" w:rsidR="00515486" w:rsidRPr="008F07E2" w:rsidRDefault="00515486" w:rsidP="00832590">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Proportion of age group</w:t>
            </w:r>
          </w:p>
        </w:tc>
      </w:tr>
      <w:tr w:rsidR="00515486" w:rsidRPr="005C7083" w14:paraId="1E7C5266"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F6A560A" w14:textId="77777777" w:rsidR="00515486" w:rsidRPr="008F07E2" w:rsidRDefault="00515486" w:rsidP="004D5D22">
            <w:pPr>
              <w:pStyle w:val="TableText"/>
              <w:jc w:val="both"/>
              <w:rPr>
                <w:color w:val="auto"/>
              </w:rPr>
            </w:pPr>
            <w:r w:rsidRPr="008F07E2">
              <w:rPr>
                <w:color w:val="auto"/>
              </w:rPr>
              <w:t>North East Lincolnshire</w:t>
            </w:r>
          </w:p>
        </w:tc>
        <w:tc>
          <w:tcPr>
            <w:tcW w:w="2480" w:type="dxa"/>
            <w:noWrap/>
            <w:hideMark/>
          </w:tcPr>
          <w:p w14:paraId="6D738AE2"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440</w:t>
            </w:r>
          </w:p>
        </w:tc>
        <w:tc>
          <w:tcPr>
            <w:tcW w:w="2481" w:type="dxa"/>
            <w:noWrap/>
            <w:hideMark/>
          </w:tcPr>
          <w:p w14:paraId="04A3E45C"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7.0%</w:t>
            </w:r>
          </w:p>
        </w:tc>
      </w:tr>
      <w:tr w:rsidR="00515486" w:rsidRPr="005C7083" w14:paraId="2CAFB7DA"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271D6A4" w14:textId="77777777" w:rsidR="00515486" w:rsidRPr="008F07E2" w:rsidRDefault="00515486" w:rsidP="004D5D22">
            <w:pPr>
              <w:pStyle w:val="TableText"/>
              <w:jc w:val="both"/>
              <w:rPr>
                <w:color w:val="auto"/>
              </w:rPr>
            </w:pPr>
            <w:r w:rsidRPr="008F07E2">
              <w:rPr>
                <w:color w:val="auto"/>
              </w:rPr>
              <w:t>Kingston upon Hull</w:t>
            </w:r>
          </w:p>
        </w:tc>
        <w:tc>
          <w:tcPr>
            <w:tcW w:w="2480" w:type="dxa"/>
            <w:noWrap/>
            <w:hideMark/>
          </w:tcPr>
          <w:p w14:paraId="04442547"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1,020</w:t>
            </w:r>
          </w:p>
        </w:tc>
        <w:tc>
          <w:tcPr>
            <w:tcW w:w="2481" w:type="dxa"/>
            <w:noWrap/>
            <w:hideMark/>
          </w:tcPr>
          <w:p w14:paraId="4556C426"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10.3%</w:t>
            </w:r>
          </w:p>
        </w:tc>
      </w:tr>
      <w:tr w:rsidR="00515486" w:rsidRPr="005C7083" w14:paraId="5FB688E6"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C2CFC10" w14:textId="77777777" w:rsidR="00515486" w:rsidRPr="008F07E2" w:rsidRDefault="00515486" w:rsidP="004D5D22">
            <w:pPr>
              <w:pStyle w:val="TableText"/>
              <w:jc w:val="both"/>
              <w:rPr>
                <w:color w:val="auto"/>
              </w:rPr>
            </w:pPr>
            <w:r w:rsidRPr="008F07E2">
              <w:rPr>
                <w:color w:val="auto"/>
              </w:rPr>
              <w:t>North Lincolnshire</w:t>
            </w:r>
          </w:p>
        </w:tc>
        <w:tc>
          <w:tcPr>
            <w:tcW w:w="2480" w:type="dxa"/>
            <w:noWrap/>
            <w:hideMark/>
          </w:tcPr>
          <w:p w14:paraId="14CED1CC"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350</w:t>
            </w:r>
          </w:p>
        </w:tc>
        <w:tc>
          <w:tcPr>
            <w:tcW w:w="2481" w:type="dxa"/>
            <w:noWrap/>
            <w:hideMark/>
          </w:tcPr>
          <w:p w14:paraId="5D534CCF"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5.7%</w:t>
            </w:r>
          </w:p>
        </w:tc>
      </w:tr>
      <w:tr w:rsidR="00515486" w:rsidRPr="005C7083" w14:paraId="50512ADE"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8AEC860" w14:textId="77777777" w:rsidR="00515486" w:rsidRPr="008F07E2" w:rsidRDefault="00515486" w:rsidP="004D5D22">
            <w:pPr>
              <w:pStyle w:val="TableText"/>
              <w:jc w:val="both"/>
              <w:rPr>
                <w:color w:val="auto"/>
              </w:rPr>
            </w:pPr>
            <w:r w:rsidRPr="008F07E2">
              <w:rPr>
                <w:color w:val="auto"/>
              </w:rPr>
              <w:t>Yorkshire and the Humber</w:t>
            </w:r>
          </w:p>
        </w:tc>
        <w:tc>
          <w:tcPr>
            <w:tcW w:w="2480" w:type="dxa"/>
            <w:noWrap/>
            <w:hideMark/>
          </w:tcPr>
          <w:p w14:paraId="644A0F7F"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10,660</w:t>
            </w:r>
          </w:p>
        </w:tc>
        <w:tc>
          <w:tcPr>
            <w:tcW w:w="2481" w:type="dxa"/>
            <w:noWrap/>
            <w:hideMark/>
          </w:tcPr>
          <w:p w14:paraId="08416876"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6.3%</w:t>
            </w:r>
          </w:p>
        </w:tc>
      </w:tr>
      <w:tr w:rsidR="00515486" w:rsidRPr="005C7083" w14:paraId="40072C20"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4E662BC" w14:textId="77777777" w:rsidR="00515486" w:rsidRPr="008F07E2" w:rsidRDefault="00515486" w:rsidP="004D5D22">
            <w:pPr>
              <w:pStyle w:val="TableText"/>
              <w:jc w:val="both"/>
              <w:rPr>
                <w:color w:val="auto"/>
              </w:rPr>
            </w:pPr>
            <w:r w:rsidRPr="008F07E2">
              <w:rPr>
                <w:color w:val="auto"/>
              </w:rPr>
              <w:t>England</w:t>
            </w:r>
            <w:r w:rsidRPr="008F07E2">
              <w:rPr>
                <w:color w:val="auto"/>
              </w:rPr>
              <w:tab/>
            </w:r>
            <w:r w:rsidRPr="008F07E2">
              <w:rPr>
                <w:color w:val="auto"/>
              </w:rPr>
              <w:tab/>
            </w:r>
          </w:p>
        </w:tc>
        <w:tc>
          <w:tcPr>
            <w:tcW w:w="2480" w:type="dxa"/>
            <w:noWrap/>
            <w:hideMark/>
          </w:tcPr>
          <w:p w14:paraId="2566A934"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122,000</w:t>
            </w:r>
          </w:p>
        </w:tc>
        <w:tc>
          <w:tcPr>
            <w:tcW w:w="2481" w:type="dxa"/>
            <w:noWrap/>
            <w:hideMark/>
          </w:tcPr>
          <w:p w14:paraId="6E7600BC" w14:textId="77777777" w:rsidR="00515486" w:rsidRPr="008F07E2"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6.7%</w:t>
            </w:r>
          </w:p>
        </w:tc>
      </w:tr>
    </w:tbl>
    <w:p w14:paraId="6E349CF7" w14:textId="77777777" w:rsidR="00515486" w:rsidRDefault="00515486" w:rsidP="00515486">
      <w:pPr>
        <w:pStyle w:val="TableSource"/>
        <w:jc w:val="both"/>
      </w:pPr>
      <w:r>
        <w:t>Source:</w:t>
      </w:r>
      <w:r w:rsidR="00B7443B">
        <w:t xml:space="preserve"> Department for Education, 2012</w:t>
      </w:r>
    </w:p>
    <w:p w14:paraId="7376ABA9" w14:textId="3C333960" w:rsidR="00515486" w:rsidRDefault="00AA08C5" w:rsidP="00515486">
      <w:pPr>
        <w:pStyle w:val="Heading2"/>
        <w:numPr>
          <w:ilvl w:val="1"/>
          <w:numId w:val="4"/>
        </w:numPr>
      </w:pPr>
      <w:r>
        <w:rPr>
          <w:noProof/>
          <w:lang w:eastAsia="en-GB"/>
        </w:rPr>
        <mc:AlternateContent>
          <mc:Choice Requires="wps">
            <w:drawing>
              <wp:anchor distT="45720" distB="45720" distL="114300" distR="114300" simplePos="0" relativeHeight="251659264" behindDoc="0" locked="0" layoutInCell="1" allowOverlap="1" wp14:anchorId="5DEC368F" wp14:editId="3292938C">
                <wp:simplePos x="0" y="0"/>
                <wp:positionH relativeFrom="margin">
                  <wp:posOffset>93980</wp:posOffset>
                </wp:positionH>
                <wp:positionV relativeFrom="paragraph">
                  <wp:posOffset>-43815</wp:posOffset>
                </wp:positionV>
                <wp:extent cx="5924550" cy="6353175"/>
                <wp:effectExtent l="4445"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35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61509" w14:textId="77777777" w:rsidR="00DF796E" w:rsidRDefault="00DF796E" w:rsidP="00F810E1">
                            <w:pPr>
                              <w:pStyle w:val="Heading2"/>
                              <w:numPr>
                                <w:ilvl w:val="0"/>
                                <w:numId w:val="0"/>
                              </w:numPr>
                              <w:ind w:left="1021" w:hanging="1021"/>
                            </w:pPr>
                            <w:bookmarkStart w:id="101" w:name="_Toc394070941"/>
                            <w:bookmarkStart w:id="102" w:name="_Toc394327708"/>
                            <w:r>
                              <w:t xml:space="preserve">Box 1: </w:t>
                            </w:r>
                            <w:r w:rsidRPr="00D857E0">
                              <w:t>Of North East Lincolnshire’s 18,7</w:t>
                            </w:r>
                            <w:r>
                              <w:t>00</w:t>
                            </w:r>
                            <w:r w:rsidRPr="00D857E0">
                              <w:t xml:space="preserve"> young people aged 16-24</w:t>
                            </w:r>
                            <w:bookmarkEnd w:id="101"/>
                            <w:bookmarkEnd w:id="102"/>
                          </w:p>
                          <w:p w14:paraId="20A1CC65" w14:textId="77777777" w:rsidR="00DF796E" w:rsidRDefault="00DF796E" w:rsidP="00F810E1">
                            <w:r>
                              <w:rPr>
                                <w:noProof/>
                                <w:lang w:eastAsia="en-GB"/>
                              </w:rPr>
                              <w:drawing>
                                <wp:inline distT="0" distB="0" distL="0" distR="0" wp14:anchorId="2A01C1B1" wp14:editId="20706889">
                                  <wp:extent cx="5383033" cy="351447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2AF529" w14:textId="77777777" w:rsidR="00DF796E" w:rsidRDefault="00DF796E" w:rsidP="00F810E1">
                            <w:r w:rsidRPr="00F810E1">
                              <w:rPr>
                                <w:noProof/>
                                <w:lang w:eastAsia="en-GB"/>
                              </w:rPr>
                              <w:drawing>
                                <wp:inline distT="0" distB="0" distL="0" distR="0" wp14:anchorId="13672351" wp14:editId="76C2A234">
                                  <wp:extent cx="4820091" cy="122598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6370" cy="1227579"/>
                                          </a:xfrm>
                                          <a:prstGeom prst="rect">
                                            <a:avLst/>
                                          </a:prstGeom>
                                          <a:noFill/>
                                          <a:ln>
                                            <a:noFill/>
                                          </a:ln>
                                        </pic:spPr>
                                      </pic:pic>
                                    </a:graphicData>
                                  </a:graphic>
                                </wp:inline>
                              </w:drawing>
                            </w:r>
                          </w:p>
                          <w:p w14:paraId="5D0C281E" w14:textId="77777777" w:rsidR="00DF796E" w:rsidRDefault="00DF796E" w:rsidP="00F810E1"/>
                          <w:p w14:paraId="366BFB6A" w14:textId="77777777" w:rsidR="00DF796E" w:rsidRDefault="00DF796E" w:rsidP="00F810E1"/>
                          <w:p w14:paraId="6798D64A" w14:textId="77777777" w:rsidR="00DF796E" w:rsidRDefault="00DF796E" w:rsidP="00F810E1"/>
                          <w:p w14:paraId="6D61CB58" w14:textId="77777777" w:rsidR="00DF796E" w:rsidRDefault="00DF796E" w:rsidP="00F810E1"/>
                          <w:p w14:paraId="5BC2CF7A" w14:textId="77777777" w:rsidR="00DF796E" w:rsidRDefault="00DF796E" w:rsidP="00F810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EC368F" id="_x0000_t202" coordsize="21600,21600" o:spt="202" path="m,l,21600r21600,l21600,xe">
                <v:stroke joinstyle="miter"/>
                <v:path gradientshapeok="t" o:connecttype="rect"/>
              </v:shapetype>
              <v:shape id="Text Box 2" o:spid="_x0000_s1026" type="#_x0000_t202" style="position:absolute;left:0;text-align:left;margin-left:7.4pt;margin-top:-3.45pt;width:466.5pt;height:50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" stroked="f">
                <v:textbox>
                  <w:txbxContent>
                    <w:p w14:paraId="49461509" w14:textId="77777777" w:rsidR="00DF796E" w:rsidRDefault="00DF796E" w:rsidP="00F810E1">
                      <w:pPr>
                        <w:pStyle w:val="Heading2"/>
                        <w:numPr>
                          <w:ilvl w:val="0"/>
                          <w:numId w:val="0"/>
                        </w:numPr>
                        <w:ind w:left="1021" w:hanging="1021"/>
                      </w:pPr>
                      <w:bookmarkStart w:id="103" w:name="_Toc394070941"/>
                      <w:bookmarkStart w:id="104" w:name="_Toc394327708"/>
                      <w:r>
                        <w:t xml:space="preserve">Box 1: </w:t>
                      </w:r>
                      <w:r w:rsidRPr="00D857E0">
                        <w:t>Of North East Lincolnshire’s 18,7</w:t>
                      </w:r>
                      <w:r>
                        <w:t>00</w:t>
                      </w:r>
                      <w:r w:rsidRPr="00D857E0">
                        <w:t xml:space="preserve"> young people aged 16-24</w:t>
                      </w:r>
                      <w:bookmarkEnd w:id="103"/>
                      <w:bookmarkEnd w:id="104"/>
                    </w:p>
                    <w:p w14:paraId="20A1CC65" w14:textId="77777777" w:rsidR="00DF796E" w:rsidRDefault="00DF796E" w:rsidP="00F810E1">
                      <w:r>
                        <w:rPr>
                          <w:noProof/>
                          <w:lang w:eastAsia="en-GB"/>
                        </w:rPr>
                        <w:drawing>
                          <wp:inline distT="0" distB="0" distL="0" distR="0" wp14:anchorId="2A01C1B1" wp14:editId="20706889">
                            <wp:extent cx="5383033" cy="351447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2AF529" w14:textId="77777777" w:rsidR="00DF796E" w:rsidRDefault="00DF796E" w:rsidP="00F810E1">
                      <w:r w:rsidRPr="00F810E1">
                        <w:rPr>
                          <w:noProof/>
                          <w:lang w:eastAsia="en-GB"/>
                        </w:rPr>
                        <w:drawing>
                          <wp:inline distT="0" distB="0" distL="0" distR="0" wp14:anchorId="13672351" wp14:editId="76C2A234">
                            <wp:extent cx="4820091" cy="122598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6370" cy="1227579"/>
                                    </a:xfrm>
                                    <a:prstGeom prst="rect">
                                      <a:avLst/>
                                    </a:prstGeom>
                                    <a:noFill/>
                                    <a:ln>
                                      <a:noFill/>
                                    </a:ln>
                                  </pic:spPr>
                                </pic:pic>
                              </a:graphicData>
                            </a:graphic>
                          </wp:inline>
                        </w:drawing>
                      </w:r>
                    </w:p>
                    <w:p w14:paraId="5D0C281E" w14:textId="77777777" w:rsidR="00DF796E" w:rsidRDefault="00DF796E" w:rsidP="00F810E1"/>
                    <w:p w14:paraId="366BFB6A" w14:textId="77777777" w:rsidR="00DF796E" w:rsidRDefault="00DF796E" w:rsidP="00F810E1"/>
                    <w:p w14:paraId="6798D64A" w14:textId="77777777" w:rsidR="00DF796E" w:rsidRDefault="00DF796E" w:rsidP="00F810E1"/>
                    <w:p w14:paraId="6D61CB58" w14:textId="77777777" w:rsidR="00DF796E" w:rsidRDefault="00DF796E" w:rsidP="00F810E1"/>
                    <w:p w14:paraId="5BC2CF7A" w14:textId="77777777" w:rsidR="00DF796E" w:rsidRDefault="00DF796E" w:rsidP="00F810E1"/>
                  </w:txbxContent>
                </v:textbox>
                <w10:wrap type="square" anchorx="margin"/>
              </v:shape>
            </w:pict>
          </mc:Fallback>
        </mc:AlternateContent>
      </w:r>
      <w:bookmarkStart w:id="103" w:name="_Toc394327707"/>
      <w:r w:rsidR="00515486">
        <w:t>Self Employment</w:t>
      </w:r>
      <w:bookmarkEnd w:id="103"/>
    </w:p>
    <w:p w14:paraId="2AA45D05" w14:textId="77777777" w:rsidR="00515486" w:rsidRDefault="00F70FD0" w:rsidP="00515486">
      <w:pPr>
        <w:jc w:val="both"/>
      </w:pPr>
      <w:r>
        <w:fldChar w:fldCharType="begin"/>
      </w:r>
      <w:r w:rsidR="00515486">
        <w:instrText xml:space="preserve"> REF _Ref393461682 \h </w:instrText>
      </w:r>
      <w:r>
        <w:fldChar w:fldCharType="separate"/>
      </w:r>
      <w:r w:rsidR="00832590">
        <w:t xml:space="preserve">Figure </w:t>
      </w:r>
      <w:r w:rsidR="00832590">
        <w:rPr>
          <w:noProof/>
        </w:rPr>
        <w:t>9</w:t>
      </w:r>
      <w:r w:rsidR="00832590">
        <w:t>-</w:t>
      </w:r>
      <w:r w:rsidR="00832590">
        <w:rPr>
          <w:noProof/>
        </w:rPr>
        <w:t>5</w:t>
      </w:r>
      <w:r>
        <w:fldChar w:fldCharType="end"/>
      </w:r>
      <w:r w:rsidR="00515486">
        <w:t xml:space="preserve"> demonstrates that rates of self-employment have been historically low in North East Lincolnshire, and in other areas in the sub-region compared to the national level. While this has some positive implications – self-employment represents a less secure income than being an employee – it also suggests the local workforce is more dependent on opportunities created by employers, as there may be a relatively low level of demand for appropriate services, such as construction</w:t>
      </w:r>
      <w:r w:rsidR="00515486">
        <w:rPr>
          <w:rStyle w:val="FootnoteReference"/>
        </w:rPr>
        <w:footnoteReference w:id="7"/>
      </w:r>
      <w:r w:rsidR="00515486">
        <w:t xml:space="preserve">. It may also reflect inadequate support for entrepreneurship locally. Combined with the area’s relatively high level of unemployment, this suggests the workforce is less resilient to economic downturns than elsewhere. </w:t>
      </w:r>
    </w:p>
    <w:p w14:paraId="7E914E92" w14:textId="77777777" w:rsidR="00832590" w:rsidRDefault="00832590">
      <w:pPr>
        <w:spacing w:after="200" w:line="276" w:lineRule="auto"/>
        <w:rPr>
          <w:b/>
          <w:bCs/>
          <w:szCs w:val="18"/>
        </w:rPr>
      </w:pPr>
      <w:bookmarkStart w:id="104" w:name="_Ref393461682"/>
      <w:r>
        <w:br w:type="page"/>
      </w:r>
    </w:p>
    <w:p w14:paraId="27803B5D" w14:textId="77777777" w:rsidR="00515486" w:rsidRDefault="00515486" w:rsidP="00515486">
      <w:pPr>
        <w:pStyle w:val="Caption"/>
      </w:pPr>
      <w:r>
        <w:t xml:space="preserve">Figure </w:t>
      </w:r>
      <w:fldSimple w:instr=" STYLEREF 1 \s  \* MERGEFORMAT ">
        <w:r>
          <w:rPr>
            <w:noProof/>
          </w:rPr>
          <w:t>9</w:t>
        </w:r>
      </w:fldSimple>
      <w:r>
        <w:t>-</w:t>
      </w:r>
      <w:fldSimple w:instr=" SEQ Figure \* ARABIC \s 1  \* MERGEFORMAT ">
        <w:r>
          <w:rPr>
            <w:noProof/>
          </w:rPr>
          <w:t>5</w:t>
        </w:r>
      </w:fldSimple>
      <w:bookmarkEnd w:id="104"/>
      <w:r>
        <w:tab/>
        <w:t xml:space="preserve">Self-employment rate, 2005-2013 </w:t>
      </w:r>
    </w:p>
    <w:p w14:paraId="7D72303B" w14:textId="77777777" w:rsidR="00515486" w:rsidRDefault="00515486" w:rsidP="00515486">
      <w:pPr>
        <w:jc w:val="both"/>
      </w:pPr>
      <w:r>
        <w:rPr>
          <w:noProof/>
          <w:lang w:eastAsia="en-GB"/>
        </w:rPr>
        <w:drawing>
          <wp:inline distT="0" distB="0" distL="0" distR="0" wp14:anchorId="49F5E8E6" wp14:editId="79F492B9">
            <wp:extent cx="5546785" cy="3243532"/>
            <wp:effectExtent l="0" t="0" r="0" b="0"/>
            <wp:docPr id="2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B13249" w14:textId="77777777" w:rsidR="00515486" w:rsidRDefault="00515486" w:rsidP="00515486">
      <w:pPr>
        <w:pStyle w:val="TableSource"/>
        <w:jc w:val="both"/>
        <w:rPr>
          <w:rFonts w:eastAsiaTheme="majorEastAsia" w:cs="Times New Roman"/>
          <w:b/>
          <w:bCs/>
          <w:color w:val="394A58" w:themeColor="accent2"/>
          <w:sz w:val="48"/>
          <w:szCs w:val="28"/>
        </w:rPr>
      </w:pPr>
      <w:r>
        <w:t>Source: Annual Population Survey</w:t>
      </w:r>
      <w:r>
        <w:rPr>
          <w:rFonts w:eastAsiaTheme="majorEastAsia"/>
        </w:rPr>
        <w:br w:type="page"/>
      </w:r>
    </w:p>
    <w:p w14:paraId="48E2CEE5" w14:textId="77777777" w:rsidR="00515486" w:rsidRDefault="00515486" w:rsidP="00515486">
      <w:pPr>
        <w:pStyle w:val="Heading1"/>
        <w:numPr>
          <w:ilvl w:val="0"/>
          <w:numId w:val="4"/>
        </w:numPr>
        <w:rPr>
          <w:rFonts w:eastAsiaTheme="majorEastAsia"/>
        </w:rPr>
      </w:pPr>
      <w:bookmarkStart w:id="105" w:name="_Toc394327709"/>
      <w:r>
        <w:rPr>
          <w:rFonts w:eastAsiaTheme="majorEastAsia"/>
        </w:rPr>
        <w:t>Deprivation</w:t>
      </w:r>
      <w:bookmarkEnd w:id="105"/>
    </w:p>
    <w:p w14:paraId="4027FFC2" w14:textId="77777777" w:rsidR="00515486" w:rsidRDefault="00515486" w:rsidP="00515486">
      <w:pPr>
        <w:jc w:val="both"/>
      </w:pPr>
      <w:r w:rsidRPr="00D57CCC">
        <w:t>Deprivation is a multifaceted concept which is linked to economic activity, health, income</w:t>
      </w:r>
      <w:r>
        <w:t xml:space="preserve"> </w:t>
      </w:r>
      <w:r w:rsidRPr="00D57CCC">
        <w:t xml:space="preserve">and education. </w:t>
      </w:r>
      <w:r>
        <w:t>The Index of Multiple Deprivation (IMD) is the most commonly used measure of deprivation and provides a ranking of deprivation for areas across England. The IMD covers seven distinct domains; Income Deprivation, Employment Deprivation, Health Deprivation and Disability, Education Skills and Training Deprivation, Barriers to Housing and Services, Living Environment Deprivation, and Crime.</w:t>
      </w:r>
    </w:p>
    <w:p w14:paraId="598B83C7" w14:textId="77777777" w:rsidR="00515486" w:rsidRPr="00D57CCC" w:rsidRDefault="00515486" w:rsidP="00515486">
      <w:pPr>
        <w:jc w:val="both"/>
      </w:pPr>
      <w:r w:rsidRPr="00D57CCC">
        <w:t xml:space="preserve">North East Lincolnshire </w:t>
      </w:r>
      <w:r>
        <w:t xml:space="preserve">is </w:t>
      </w:r>
      <w:r w:rsidRPr="00D57CCC">
        <w:t xml:space="preserve">the 46th most deprived local authority area in England. </w:t>
      </w:r>
      <w:r>
        <w:t>Within North East Lincolnshire, t</w:t>
      </w:r>
      <w:r w:rsidRPr="00D57CCC">
        <w:t xml:space="preserve">here are </w:t>
      </w:r>
      <w:r>
        <w:t xml:space="preserve">107 </w:t>
      </w:r>
      <w:r w:rsidRPr="00D57CCC">
        <w:t xml:space="preserve">Lower Super Output Areas </w:t>
      </w:r>
      <w:r>
        <w:t xml:space="preserve">with 10 of these </w:t>
      </w:r>
      <w:r w:rsidRPr="00D57CCC">
        <w:t xml:space="preserve">ranked </w:t>
      </w:r>
      <w:r>
        <w:t xml:space="preserve">in the top 4% of </w:t>
      </w:r>
      <w:r w:rsidRPr="00D57CCC">
        <w:t>deprived areas in England</w:t>
      </w:r>
      <w:r>
        <w:rPr>
          <w:rStyle w:val="FootnoteReference"/>
        </w:rPr>
        <w:footnoteReference w:id="8"/>
      </w:r>
      <w:r w:rsidRPr="00D57CCC">
        <w:t>.</w:t>
      </w:r>
    </w:p>
    <w:p w14:paraId="584B3C03" w14:textId="77777777" w:rsidR="00515486" w:rsidRDefault="00515486" w:rsidP="00515486">
      <w:pPr>
        <w:autoSpaceDE w:val="0"/>
        <w:autoSpaceDN w:val="0"/>
        <w:adjustRightInd w:val="0"/>
        <w:spacing w:after="0"/>
        <w:jc w:val="both"/>
      </w:pPr>
      <w:r w:rsidRPr="00D57CCC">
        <w:t xml:space="preserve">There are specific deprivation issues affecting </w:t>
      </w:r>
      <w:r>
        <w:t>North East Lincolnshire</w:t>
      </w:r>
      <w:r w:rsidRPr="00D57CCC">
        <w:t>, with particular challenges with regard to access to services, transport, limited employment opportunities and difficulties accessing education and training.</w:t>
      </w:r>
      <w:r>
        <w:t xml:space="preserve"> We have discussed employment, income and skills elsewhere in this economic assessment. However, it is worthwhile exploring health deprivation because of its significance to economic activity and linkages to quality of life and future prosperity. </w:t>
      </w:r>
    </w:p>
    <w:p w14:paraId="594A2D4F" w14:textId="77777777" w:rsidR="00515486" w:rsidRDefault="00515486" w:rsidP="00515486">
      <w:pPr>
        <w:pStyle w:val="Heading2"/>
        <w:numPr>
          <w:ilvl w:val="1"/>
          <w:numId w:val="4"/>
        </w:numPr>
      </w:pPr>
      <w:bookmarkStart w:id="106" w:name="_Toc394327710"/>
      <w:r>
        <w:t>Health</w:t>
      </w:r>
      <w:bookmarkEnd w:id="106"/>
    </w:p>
    <w:p w14:paraId="0DB910F6" w14:textId="77777777" w:rsidR="00515486" w:rsidRDefault="00515486" w:rsidP="00515486">
      <w:pPr>
        <w:autoSpaceDE w:val="0"/>
        <w:autoSpaceDN w:val="0"/>
        <w:adjustRightInd w:val="0"/>
        <w:spacing w:after="0"/>
        <w:jc w:val="both"/>
      </w:pPr>
    </w:p>
    <w:p w14:paraId="0FCC5801" w14:textId="77777777" w:rsidR="00515486" w:rsidRDefault="00515486" w:rsidP="00515486">
      <w:pPr>
        <w:jc w:val="both"/>
      </w:pPr>
      <w:r>
        <w:t>A Department of Health profile in 2012</w:t>
      </w:r>
      <w:r>
        <w:rPr>
          <w:rStyle w:val="FootnoteReference"/>
        </w:rPr>
        <w:footnoteReference w:id="9"/>
      </w:r>
      <w:r>
        <w:t xml:space="preserve">  for North East Lincolnshire states that t</w:t>
      </w:r>
      <w:r w:rsidRPr="009A0BC2">
        <w:t xml:space="preserve">he </w:t>
      </w:r>
      <w:r>
        <w:t>‘</w:t>
      </w:r>
      <w:r w:rsidRPr="009A0BC2">
        <w:t>health of the people in North East Lincolnshire is generally worse than the E</w:t>
      </w:r>
      <w:r>
        <w:t>ngland average’. The profile also highlights the following points about the Local Population’s health:</w:t>
      </w:r>
    </w:p>
    <w:p w14:paraId="2D58DF67" w14:textId="77777777" w:rsidR="00515486" w:rsidRDefault="00515486" w:rsidP="00515486">
      <w:pPr>
        <w:pStyle w:val="ListParagraph"/>
        <w:numPr>
          <w:ilvl w:val="0"/>
          <w:numId w:val="18"/>
        </w:numPr>
        <w:jc w:val="both"/>
      </w:pPr>
      <w:r>
        <w:t>Early death rates from cancer and from heart disease and stroke have fallen since 2002 but remain worse than the England average.</w:t>
      </w:r>
    </w:p>
    <w:p w14:paraId="457F3F5F" w14:textId="77777777" w:rsidR="00515486" w:rsidRDefault="00515486" w:rsidP="00515486">
      <w:pPr>
        <w:pStyle w:val="ListParagraph"/>
        <w:numPr>
          <w:ilvl w:val="0"/>
          <w:numId w:val="18"/>
        </w:numPr>
        <w:jc w:val="both"/>
      </w:pPr>
      <w:r>
        <w:t>Rates of road injuries and deaths, smoking related deaths and hospital stays for alcohol related harm are worse than the England average.</w:t>
      </w:r>
    </w:p>
    <w:p w14:paraId="3DAEE7E5" w14:textId="77777777" w:rsidR="00515486" w:rsidRDefault="00515486" w:rsidP="00515486">
      <w:pPr>
        <w:jc w:val="both"/>
      </w:pPr>
      <w:r>
        <w:t>Life expectancy is lower than</w:t>
      </w:r>
      <w:r w:rsidRPr="009A0BC2">
        <w:t xml:space="preserve"> </w:t>
      </w:r>
      <w:r>
        <w:t>the average for England</w:t>
      </w:r>
      <w:r w:rsidRPr="009A0BC2">
        <w:t>.</w:t>
      </w:r>
      <w:r>
        <w:t xml:space="preserve"> In 2011 the life expectancy of a North East Lincolnshire male (77.7 years) was slightly lower than male life expectancy regionally (78.1) and nationally (78.6). This is also the case for females, with the overall life expectancy in North East Lincolnshire (81.8) being below the national (82.6) and regional (82) figure.</w:t>
      </w:r>
    </w:p>
    <w:p w14:paraId="7A03017F" w14:textId="77777777" w:rsidR="00515486" w:rsidRPr="00C743A7" w:rsidRDefault="00515486" w:rsidP="00515486">
      <w:pPr>
        <w:pStyle w:val="TableTitle"/>
        <w:numPr>
          <w:ilvl w:val="0"/>
          <w:numId w:val="0"/>
        </w:numPr>
        <w:ind w:left="1021" w:hanging="1021"/>
      </w:pPr>
      <w:r w:rsidRPr="00BC6746">
        <w:t xml:space="preserve">Table </w:t>
      </w:r>
      <w:r w:rsidR="00F70FD0">
        <w:fldChar w:fldCharType="begin"/>
      </w:r>
      <w:r w:rsidR="00F810E1">
        <w:instrText xml:space="preserve"> STYLEREF 1 \s </w:instrText>
      </w:r>
      <w:r w:rsidR="00F70FD0">
        <w:fldChar w:fldCharType="separate"/>
      </w:r>
      <w:r>
        <w:rPr>
          <w:noProof/>
        </w:rPr>
        <w:t>10</w:t>
      </w:r>
      <w:r w:rsidR="00F70FD0">
        <w:rPr>
          <w:noProof/>
        </w:rPr>
        <w:fldChar w:fldCharType="end"/>
      </w:r>
      <w:r w:rsidRPr="00BC6746">
        <w:noBreakHyphen/>
      </w:r>
      <w:r w:rsidR="00F70FD0">
        <w:fldChar w:fldCharType="begin"/>
      </w:r>
      <w:r w:rsidR="00F810E1">
        <w:instrText xml:space="preserve"> SEQ Table \* ARABIC \s 1 </w:instrText>
      </w:r>
      <w:r w:rsidR="00F70FD0">
        <w:fldChar w:fldCharType="separate"/>
      </w:r>
      <w:r>
        <w:rPr>
          <w:noProof/>
        </w:rPr>
        <w:t>1</w:t>
      </w:r>
      <w:r w:rsidR="00F70FD0">
        <w:rPr>
          <w:noProof/>
        </w:rPr>
        <w:fldChar w:fldCharType="end"/>
      </w:r>
      <w:r w:rsidRPr="00BC6746">
        <w:tab/>
      </w:r>
      <w:r>
        <w:t>Life expectancy by gender</w:t>
      </w:r>
    </w:p>
    <w:tbl>
      <w:tblPr>
        <w:tblStyle w:val="Atkins14pt"/>
        <w:tblW w:w="7490" w:type="dxa"/>
        <w:tblLook w:val="04A0" w:firstRow="1" w:lastRow="0" w:firstColumn="1" w:lastColumn="0" w:noHBand="0" w:noVBand="1"/>
      </w:tblPr>
      <w:tblGrid>
        <w:gridCol w:w="5370"/>
        <w:gridCol w:w="1060"/>
        <w:gridCol w:w="1060"/>
      </w:tblGrid>
      <w:tr w:rsidR="00515486" w:rsidRPr="00C743A7" w14:paraId="67900046" w14:textId="77777777" w:rsidTr="004D5D2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5370" w:type="dxa"/>
            <w:noWrap/>
            <w:hideMark/>
          </w:tcPr>
          <w:p w14:paraId="605D6603" w14:textId="77777777" w:rsidR="00515486" w:rsidRPr="00951448" w:rsidRDefault="00515486" w:rsidP="004D5D22">
            <w:pPr>
              <w:pStyle w:val="TableHeading"/>
              <w:rPr>
                <w:color w:val="auto"/>
                <w:lang w:eastAsia="en-GB"/>
              </w:rPr>
            </w:pPr>
            <w:r w:rsidRPr="00951448">
              <w:rPr>
                <w:color w:val="auto"/>
              </w:rPr>
              <w:t>Area</w:t>
            </w:r>
          </w:p>
        </w:tc>
        <w:tc>
          <w:tcPr>
            <w:tcW w:w="1060" w:type="dxa"/>
          </w:tcPr>
          <w:p w14:paraId="7A1F6B1C" w14:textId="77777777" w:rsidR="00515486" w:rsidRPr="00951448" w:rsidRDefault="00515486" w:rsidP="00832590">
            <w:pPr>
              <w:pStyle w:val="TableHeading"/>
              <w:jc w:val="center"/>
              <w:cnfStyle w:val="100000000000" w:firstRow="1" w:lastRow="0" w:firstColumn="0" w:lastColumn="0" w:oddVBand="0" w:evenVBand="0" w:oddHBand="0" w:evenHBand="0" w:firstRowFirstColumn="0" w:firstRowLastColumn="0" w:lastRowFirstColumn="0" w:lastRowLastColumn="0"/>
              <w:rPr>
                <w:color w:val="auto"/>
                <w:lang w:eastAsia="en-GB"/>
              </w:rPr>
            </w:pPr>
            <w:r w:rsidRPr="00951448">
              <w:rPr>
                <w:color w:val="auto"/>
              </w:rPr>
              <w:t>Male</w:t>
            </w:r>
          </w:p>
        </w:tc>
        <w:tc>
          <w:tcPr>
            <w:tcW w:w="1060" w:type="dxa"/>
          </w:tcPr>
          <w:p w14:paraId="225D1233" w14:textId="77777777" w:rsidR="00515486" w:rsidRPr="00951448" w:rsidRDefault="00515486" w:rsidP="00832590">
            <w:pPr>
              <w:pStyle w:val="TableHeading"/>
              <w:jc w:val="center"/>
              <w:cnfStyle w:val="100000000000" w:firstRow="1" w:lastRow="0" w:firstColumn="0" w:lastColumn="0" w:oddVBand="0" w:evenVBand="0" w:oddHBand="0" w:evenHBand="0" w:firstRowFirstColumn="0" w:firstRowLastColumn="0" w:lastRowFirstColumn="0" w:lastRowLastColumn="0"/>
              <w:rPr>
                <w:color w:val="auto"/>
              </w:rPr>
            </w:pPr>
            <w:r w:rsidRPr="00951448">
              <w:rPr>
                <w:color w:val="auto"/>
              </w:rPr>
              <w:t>Female</w:t>
            </w:r>
          </w:p>
        </w:tc>
      </w:tr>
      <w:tr w:rsidR="00515486" w:rsidRPr="00C743A7" w14:paraId="5F2E1996"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5370" w:type="dxa"/>
            <w:noWrap/>
            <w:hideMark/>
          </w:tcPr>
          <w:p w14:paraId="1A675DCA" w14:textId="77777777" w:rsidR="00515486" w:rsidRPr="00951448" w:rsidRDefault="00515486" w:rsidP="004D5D22">
            <w:pPr>
              <w:pStyle w:val="TableText"/>
              <w:rPr>
                <w:color w:val="auto"/>
              </w:rPr>
            </w:pPr>
            <w:r w:rsidRPr="00951448">
              <w:rPr>
                <w:color w:val="auto"/>
              </w:rPr>
              <w:t>North East Lincolnshire</w:t>
            </w:r>
          </w:p>
        </w:tc>
        <w:tc>
          <w:tcPr>
            <w:tcW w:w="1060" w:type="dxa"/>
            <w:noWrap/>
            <w:hideMark/>
          </w:tcPr>
          <w:p w14:paraId="0A85D87E"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77.7</w:t>
            </w:r>
          </w:p>
        </w:tc>
        <w:tc>
          <w:tcPr>
            <w:tcW w:w="1060" w:type="dxa"/>
            <w:noWrap/>
            <w:hideMark/>
          </w:tcPr>
          <w:p w14:paraId="4BCEFF89"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81.8</w:t>
            </w:r>
          </w:p>
        </w:tc>
      </w:tr>
      <w:tr w:rsidR="00515486" w:rsidRPr="00C743A7" w14:paraId="1A2C6561"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5370" w:type="dxa"/>
            <w:noWrap/>
            <w:hideMark/>
          </w:tcPr>
          <w:p w14:paraId="06988223" w14:textId="77777777" w:rsidR="00515486" w:rsidRPr="00951448" w:rsidRDefault="00515486" w:rsidP="004D5D22">
            <w:pPr>
              <w:pStyle w:val="TableText"/>
              <w:rPr>
                <w:color w:val="auto"/>
              </w:rPr>
            </w:pPr>
            <w:r w:rsidRPr="00951448">
              <w:rPr>
                <w:color w:val="auto"/>
              </w:rPr>
              <w:t>Kingston upon Hull</w:t>
            </w:r>
          </w:p>
        </w:tc>
        <w:tc>
          <w:tcPr>
            <w:tcW w:w="1060" w:type="dxa"/>
            <w:noWrap/>
            <w:hideMark/>
          </w:tcPr>
          <w:p w14:paraId="23C528BF"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75.9</w:t>
            </w:r>
          </w:p>
        </w:tc>
        <w:tc>
          <w:tcPr>
            <w:tcW w:w="1060" w:type="dxa"/>
            <w:noWrap/>
            <w:hideMark/>
          </w:tcPr>
          <w:p w14:paraId="5DB8EB6C"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80.4</w:t>
            </w:r>
          </w:p>
        </w:tc>
      </w:tr>
      <w:tr w:rsidR="00515486" w:rsidRPr="00C743A7" w14:paraId="41B6A1ED"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5370" w:type="dxa"/>
            <w:noWrap/>
            <w:hideMark/>
          </w:tcPr>
          <w:p w14:paraId="3439F73B" w14:textId="77777777" w:rsidR="00515486" w:rsidRPr="00951448" w:rsidRDefault="00515486" w:rsidP="004D5D22">
            <w:pPr>
              <w:pStyle w:val="TableText"/>
              <w:rPr>
                <w:color w:val="auto"/>
              </w:rPr>
            </w:pPr>
            <w:r w:rsidRPr="00951448">
              <w:rPr>
                <w:color w:val="auto"/>
              </w:rPr>
              <w:t>North Lincolnshire</w:t>
            </w:r>
          </w:p>
        </w:tc>
        <w:tc>
          <w:tcPr>
            <w:tcW w:w="1060" w:type="dxa"/>
            <w:noWrap/>
            <w:hideMark/>
          </w:tcPr>
          <w:p w14:paraId="2ECE66BB"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78.5</w:t>
            </w:r>
          </w:p>
        </w:tc>
        <w:tc>
          <w:tcPr>
            <w:tcW w:w="1060" w:type="dxa"/>
            <w:noWrap/>
            <w:hideMark/>
          </w:tcPr>
          <w:p w14:paraId="3F47D4AC"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82.2</w:t>
            </w:r>
          </w:p>
        </w:tc>
      </w:tr>
      <w:tr w:rsidR="00515486" w:rsidRPr="00C743A7" w14:paraId="6A52EFA6"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5370" w:type="dxa"/>
            <w:noWrap/>
            <w:hideMark/>
          </w:tcPr>
          <w:p w14:paraId="166ED9F7" w14:textId="77777777" w:rsidR="00515486" w:rsidRPr="00951448" w:rsidRDefault="00515486" w:rsidP="004D5D22">
            <w:pPr>
              <w:pStyle w:val="TableText"/>
              <w:rPr>
                <w:color w:val="auto"/>
              </w:rPr>
            </w:pPr>
            <w:r w:rsidRPr="00951448">
              <w:rPr>
                <w:color w:val="auto"/>
              </w:rPr>
              <w:t>Yorkshire and the Humber</w:t>
            </w:r>
          </w:p>
        </w:tc>
        <w:tc>
          <w:tcPr>
            <w:tcW w:w="1060" w:type="dxa"/>
            <w:noWrap/>
            <w:hideMark/>
          </w:tcPr>
          <w:p w14:paraId="35AC9C8B"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78.1</w:t>
            </w:r>
          </w:p>
        </w:tc>
        <w:tc>
          <w:tcPr>
            <w:tcW w:w="1060" w:type="dxa"/>
            <w:noWrap/>
            <w:hideMark/>
          </w:tcPr>
          <w:p w14:paraId="39FE42BC"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82.0</w:t>
            </w:r>
          </w:p>
        </w:tc>
      </w:tr>
      <w:tr w:rsidR="00515486" w:rsidRPr="00C743A7" w14:paraId="7ECC6B17"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5370" w:type="dxa"/>
            <w:noWrap/>
            <w:hideMark/>
          </w:tcPr>
          <w:p w14:paraId="0AC0ACD8" w14:textId="77777777" w:rsidR="00515486" w:rsidRPr="00951448" w:rsidRDefault="00515486" w:rsidP="004D5D22">
            <w:pPr>
              <w:pStyle w:val="TableText"/>
              <w:rPr>
                <w:color w:val="auto"/>
              </w:rPr>
            </w:pPr>
            <w:r w:rsidRPr="00951448">
              <w:rPr>
                <w:color w:val="auto"/>
              </w:rPr>
              <w:t>England</w:t>
            </w:r>
          </w:p>
        </w:tc>
        <w:tc>
          <w:tcPr>
            <w:tcW w:w="1060" w:type="dxa"/>
            <w:noWrap/>
            <w:hideMark/>
          </w:tcPr>
          <w:p w14:paraId="1CB37F69"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78.6</w:t>
            </w:r>
          </w:p>
        </w:tc>
        <w:tc>
          <w:tcPr>
            <w:tcW w:w="1060" w:type="dxa"/>
            <w:noWrap/>
            <w:hideMark/>
          </w:tcPr>
          <w:p w14:paraId="2D2BA7AD" w14:textId="77777777" w:rsidR="00515486" w:rsidRPr="00951448" w:rsidRDefault="00515486" w:rsidP="00832590">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951448">
              <w:rPr>
                <w:color w:val="auto"/>
              </w:rPr>
              <w:t>82.6</w:t>
            </w:r>
          </w:p>
        </w:tc>
      </w:tr>
    </w:tbl>
    <w:p w14:paraId="033549FE" w14:textId="77777777" w:rsidR="00515486" w:rsidRDefault="00515486" w:rsidP="00515486">
      <w:pPr>
        <w:pStyle w:val="TableSource"/>
      </w:pPr>
      <w:r>
        <w:t>Source: Department of Health. Estimates based on</w:t>
      </w:r>
      <w:r w:rsidRPr="00C743A7">
        <w:t xml:space="preserve"> 2009-11</w:t>
      </w:r>
      <w:r>
        <w:t xml:space="preserve"> data.</w:t>
      </w:r>
    </w:p>
    <w:p w14:paraId="2E6459D6" w14:textId="77777777" w:rsidR="00515486" w:rsidRDefault="00515486" w:rsidP="00515486">
      <w:pPr>
        <w:jc w:val="both"/>
      </w:pPr>
      <w:r>
        <w:t xml:space="preserve">There is a growing body of evidence that sport can deliver benefits across a wide range of public policy agendas including: physical and psychological health, social participation and increased likelihood of lifelong learning, and reduction of crime and community cohesion. </w:t>
      </w:r>
    </w:p>
    <w:p w14:paraId="5AD721F0" w14:textId="77777777" w:rsidR="00515486" w:rsidRDefault="00515486" w:rsidP="00515486">
      <w:pPr>
        <w:jc w:val="both"/>
      </w:pPr>
      <w:r>
        <w:t xml:space="preserve">North East Lincolnshire has important sporting assets including several outdoor and indoor facilities, gyms and swimming pools. Recent improvements to swimming facilities and a potential new stadium for Grimsby Town FC could place sport at the heart of local communities in North East Lincolnshire. This is important given that data from Sport England Active People’s Survey suggests that residents in North East Lincolnshire in 2011/12 are less active than many of the neighbouring local authorities, the regional and national average </w:t>
      </w:r>
      <w:r w:rsidRPr="0094041D">
        <w:t>(</w:t>
      </w:r>
      <w:r w:rsidR="00AA08C5">
        <w:fldChar w:fldCharType="begin"/>
      </w:r>
      <w:r w:rsidR="00AA08C5">
        <w:instrText xml:space="preserve"> REF _Ref393872527 \h  \* MERGEFORMAT </w:instrText>
      </w:r>
      <w:r w:rsidR="00AA08C5">
        <w:fldChar w:fldCharType="separate"/>
      </w:r>
      <w:r w:rsidRPr="00515486">
        <w:t xml:space="preserve">Table </w:t>
      </w:r>
      <w:r w:rsidRPr="00515486">
        <w:rPr>
          <w:noProof/>
        </w:rPr>
        <w:t>10-2</w:t>
      </w:r>
      <w:r w:rsidR="00AA08C5">
        <w:fldChar w:fldCharType="end"/>
      </w:r>
      <w:r w:rsidRPr="0094041D">
        <w:t>).</w:t>
      </w:r>
      <w:r>
        <w:t xml:space="preserve"> However, participation has varied since data was collected and further understanding of how sport participation can be encouraged is needed. </w:t>
      </w:r>
    </w:p>
    <w:p w14:paraId="0A3DD1B4" w14:textId="77777777" w:rsidR="00515486" w:rsidRPr="00CA4912" w:rsidRDefault="00515486" w:rsidP="00515486">
      <w:pPr>
        <w:rPr>
          <w:b/>
        </w:rPr>
      </w:pPr>
      <w:bookmarkStart w:id="107" w:name="_Ref393872527"/>
      <w:r w:rsidRPr="00CA4912">
        <w:rPr>
          <w:b/>
        </w:rPr>
        <w:t xml:space="preserve">Table </w:t>
      </w:r>
      <w:fldSimple w:instr=" STYLEREF 1 \s  \* MERGEFORMAT ">
        <w:r w:rsidRPr="00515486">
          <w:rPr>
            <w:b/>
            <w:noProof/>
          </w:rPr>
          <w:t>10</w:t>
        </w:r>
      </w:fldSimple>
      <w:r w:rsidRPr="00CA4912">
        <w:rPr>
          <w:b/>
        </w:rPr>
        <w:t>-</w:t>
      </w:r>
      <w:fldSimple w:instr=" SEQ Table \* ARABIC \s 1  \* MERGEFORMAT ">
        <w:r w:rsidRPr="00515486">
          <w:rPr>
            <w:b/>
            <w:noProof/>
          </w:rPr>
          <w:t>2</w:t>
        </w:r>
      </w:fldSimple>
      <w:bookmarkEnd w:id="107"/>
      <w:r w:rsidRPr="00CA4912">
        <w:rPr>
          <w:b/>
        </w:rPr>
        <w:tab/>
        <w:t xml:space="preserve">Adults (Aged 16+) Participating in Sport At Least Once Per Week </w:t>
      </w:r>
    </w:p>
    <w:tbl>
      <w:tblPr>
        <w:tblStyle w:val="Atkins14pt"/>
        <w:tblW w:w="7794" w:type="dxa"/>
        <w:tblLook w:val="04A0" w:firstRow="1" w:lastRow="0" w:firstColumn="1" w:lastColumn="0" w:noHBand="0" w:noVBand="1"/>
      </w:tblPr>
      <w:tblGrid>
        <w:gridCol w:w="1060"/>
        <w:gridCol w:w="1247"/>
        <w:gridCol w:w="1060"/>
        <w:gridCol w:w="1247"/>
        <w:gridCol w:w="1060"/>
        <w:gridCol w:w="1060"/>
        <w:gridCol w:w="1060"/>
      </w:tblGrid>
      <w:tr w:rsidR="00515486" w:rsidRPr="004A04EC" w14:paraId="2B58A11E" w14:textId="77777777" w:rsidTr="004D5D22">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1060" w:type="dxa"/>
            <w:noWrap/>
            <w:hideMark/>
          </w:tcPr>
          <w:p w14:paraId="00A28DE2" w14:textId="77777777" w:rsidR="00515486" w:rsidRPr="008F07E2" w:rsidRDefault="00515486" w:rsidP="004D5D22">
            <w:pPr>
              <w:pStyle w:val="TableHeading"/>
              <w:rPr>
                <w:color w:val="auto"/>
              </w:rPr>
            </w:pPr>
            <w:r w:rsidRPr="008F07E2">
              <w:rPr>
                <w:color w:val="auto"/>
              </w:rPr>
              <w:t>Year</w:t>
            </w:r>
          </w:p>
        </w:tc>
        <w:tc>
          <w:tcPr>
            <w:tcW w:w="1247" w:type="dxa"/>
            <w:noWrap/>
            <w:hideMark/>
          </w:tcPr>
          <w:p w14:paraId="7729C002" w14:textId="77777777" w:rsidR="00515486" w:rsidRPr="008F07E2" w:rsidRDefault="00515486" w:rsidP="004D5D2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North East Lincolnshire</w:t>
            </w:r>
          </w:p>
        </w:tc>
        <w:tc>
          <w:tcPr>
            <w:tcW w:w="1060" w:type="dxa"/>
            <w:noWrap/>
            <w:hideMark/>
          </w:tcPr>
          <w:p w14:paraId="17B813AD" w14:textId="77777777" w:rsidR="00515486" w:rsidRPr="008F07E2" w:rsidRDefault="00515486" w:rsidP="004D5D2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Kingston upon Hull</w:t>
            </w:r>
          </w:p>
        </w:tc>
        <w:tc>
          <w:tcPr>
            <w:tcW w:w="1247" w:type="dxa"/>
            <w:noWrap/>
            <w:hideMark/>
          </w:tcPr>
          <w:p w14:paraId="0BD7981C" w14:textId="77777777" w:rsidR="00515486" w:rsidRPr="008F07E2" w:rsidRDefault="00515486" w:rsidP="004D5D2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North Lincolnshire</w:t>
            </w:r>
          </w:p>
        </w:tc>
        <w:tc>
          <w:tcPr>
            <w:tcW w:w="1060" w:type="dxa"/>
            <w:noWrap/>
            <w:hideMark/>
          </w:tcPr>
          <w:p w14:paraId="68F32FDA" w14:textId="77777777" w:rsidR="00515486" w:rsidRPr="008F07E2" w:rsidRDefault="00515486" w:rsidP="004D5D2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East Riding of Yorkshire</w:t>
            </w:r>
          </w:p>
        </w:tc>
        <w:tc>
          <w:tcPr>
            <w:tcW w:w="1060" w:type="dxa"/>
            <w:noWrap/>
            <w:hideMark/>
          </w:tcPr>
          <w:p w14:paraId="547FBB8D" w14:textId="77777777" w:rsidR="00515486" w:rsidRPr="008F07E2" w:rsidRDefault="00515486" w:rsidP="004D5D2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Yorkshire and the Humber</w:t>
            </w:r>
          </w:p>
        </w:tc>
        <w:tc>
          <w:tcPr>
            <w:tcW w:w="1060" w:type="dxa"/>
            <w:noWrap/>
            <w:hideMark/>
          </w:tcPr>
          <w:p w14:paraId="434AE5A4" w14:textId="77777777" w:rsidR="00515486" w:rsidRPr="008F07E2" w:rsidRDefault="00515486" w:rsidP="004D5D22">
            <w:pPr>
              <w:pStyle w:val="TableHeading"/>
              <w:cnfStyle w:val="100000000000" w:firstRow="1" w:lastRow="0" w:firstColumn="0" w:lastColumn="0" w:oddVBand="0" w:evenVBand="0" w:oddHBand="0" w:evenHBand="0" w:firstRowFirstColumn="0" w:firstRowLastColumn="0" w:lastRowFirstColumn="0" w:lastRowLastColumn="0"/>
              <w:rPr>
                <w:color w:val="auto"/>
              </w:rPr>
            </w:pPr>
            <w:r w:rsidRPr="008F07E2">
              <w:rPr>
                <w:color w:val="auto"/>
              </w:rPr>
              <w:t>England</w:t>
            </w:r>
          </w:p>
        </w:tc>
      </w:tr>
      <w:tr w:rsidR="00515486" w:rsidRPr="004A04EC" w14:paraId="652EE520"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0229BBE4" w14:textId="77777777" w:rsidR="00515486" w:rsidRPr="008F07E2" w:rsidRDefault="00515486" w:rsidP="004D5D22">
            <w:pPr>
              <w:pStyle w:val="TableText"/>
              <w:rPr>
                <w:color w:val="auto"/>
              </w:rPr>
            </w:pPr>
            <w:r w:rsidRPr="008F07E2">
              <w:rPr>
                <w:color w:val="auto"/>
              </w:rPr>
              <w:t>2005/06</w:t>
            </w:r>
          </w:p>
        </w:tc>
        <w:tc>
          <w:tcPr>
            <w:tcW w:w="1247" w:type="dxa"/>
            <w:noWrap/>
            <w:hideMark/>
          </w:tcPr>
          <w:p w14:paraId="1619D1F4"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29.9%</w:t>
            </w:r>
          </w:p>
        </w:tc>
        <w:tc>
          <w:tcPr>
            <w:tcW w:w="1060" w:type="dxa"/>
            <w:noWrap/>
            <w:hideMark/>
          </w:tcPr>
          <w:p w14:paraId="779832FD"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31.3%</w:t>
            </w:r>
          </w:p>
        </w:tc>
        <w:tc>
          <w:tcPr>
            <w:tcW w:w="1247" w:type="dxa"/>
            <w:noWrap/>
            <w:hideMark/>
          </w:tcPr>
          <w:p w14:paraId="24E91158"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33.0%</w:t>
            </w:r>
          </w:p>
        </w:tc>
        <w:tc>
          <w:tcPr>
            <w:tcW w:w="1060" w:type="dxa"/>
            <w:noWrap/>
            <w:hideMark/>
          </w:tcPr>
          <w:p w14:paraId="1C4B1325"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35.2%</w:t>
            </w:r>
          </w:p>
        </w:tc>
        <w:tc>
          <w:tcPr>
            <w:tcW w:w="1060" w:type="dxa"/>
            <w:noWrap/>
            <w:hideMark/>
          </w:tcPr>
          <w:p w14:paraId="072A326F"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33.1%</w:t>
            </w:r>
          </w:p>
        </w:tc>
        <w:tc>
          <w:tcPr>
            <w:tcW w:w="1060" w:type="dxa"/>
            <w:noWrap/>
            <w:hideMark/>
          </w:tcPr>
          <w:p w14:paraId="78DD8471"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34.2%</w:t>
            </w:r>
          </w:p>
        </w:tc>
      </w:tr>
      <w:tr w:rsidR="00515486" w:rsidRPr="004A04EC" w14:paraId="6892E7B2"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318E30D" w14:textId="77777777" w:rsidR="00515486" w:rsidRPr="008F07E2" w:rsidRDefault="00515486" w:rsidP="004D5D22">
            <w:pPr>
              <w:pStyle w:val="TableText"/>
              <w:rPr>
                <w:color w:val="auto"/>
              </w:rPr>
            </w:pPr>
            <w:r w:rsidRPr="008F07E2">
              <w:rPr>
                <w:color w:val="auto"/>
              </w:rPr>
              <w:t>2007/08</w:t>
            </w:r>
          </w:p>
        </w:tc>
        <w:tc>
          <w:tcPr>
            <w:tcW w:w="1247" w:type="dxa"/>
            <w:noWrap/>
            <w:hideMark/>
          </w:tcPr>
          <w:p w14:paraId="7CCB4F2C"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33.2%</w:t>
            </w:r>
          </w:p>
        </w:tc>
        <w:tc>
          <w:tcPr>
            <w:tcW w:w="1060" w:type="dxa"/>
            <w:noWrap/>
            <w:hideMark/>
          </w:tcPr>
          <w:p w14:paraId="1EA948F1"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32.5%</w:t>
            </w:r>
          </w:p>
        </w:tc>
        <w:tc>
          <w:tcPr>
            <w:tcW w:w="1247" w:type="dxa"/>
            <w:noWrap/>
            <w:hideMark/>
          </w:tcPr>
          <w:p w14:paraId="5F600610"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34.7%</w:t>
            </w:r>
          </w:p>
        </w:tc>
        <w:tc>
          <w:tcPr>
            <w:tcW w:w="1060" w:type="dxa"/>
            <w:noWrap/>
            <w:hideMark/>
          </w:tcPr>
          <w:p w14:paraId="01D57CB7"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35.1%</w:t>
            </w:r>
          </w:p>
        </w:tc>
        <w:tc>
          <w:tcPr>
            <w:tcW w:w="1060" w:type="dxa"/>
            <w:noWrap/>
            <w:hideMark/>
          </w:tcPr>
          <w:p w14:paraId="761E3758"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35.5%</w:t>
            </w:r>
          </w:p>
        </w:tc>
        <w:tc>
          <w:tcPr>
            <w:tcW w:w="1060" w:type="dxa"/>
            <w:noWrap/>
            <w:hideMark/>
          </w:tcPr>
          <w:p w14:paraId="003E1406"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35.8%</w:t>
            </w:r>
          </w:p>
        </w:tc>
      </w:tr>
      <w:tr w:rsidR="00515486" w:rsidRPr="004A04EC" w14:paraId="1852A1DA"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66CF765F" w14:textId="77777777" w:rsidR="00515486" w:rsidRPr="008F07E2" w:rsidRDefault="00515486" w:rsidP="004D5D22">
            <w:pPr>
              <w:pStyle w:val="TableText"/>
              <w:rPr>
                <w:color w:val="auto"/>
              </w:rPr>
            </w:pPr>
            <w:r w:rsidRPr="008F07E2">
              <w:rPr>
                <w:color w:val="auto"/>
              </w:rPr>
              <w:t>2008/09</w:t>
            </w:r>
          </w:p>
        </w:tc>
        <w:tc>
          <w:tcPr>
            <w:tcW w:w="1247" w:type="dxa"/>
            <w:noWrap/>
            <w:hideMark/>
          </w:tcPr>
          <w:p w14:paraId="3FFD1984"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32.4%</w:t>
            </w:r>
          </w:p>
        </w:tc>
        <w:tc>
          <w:tcPr>
            <w:tcW w:w="1060" w:type="dxa"/>
            <w:noWrap/>
            <w:hideMark/>
          </w:tcPr>
          <w:p w14:paraId="6BC8B238"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32.0%</w:t>
            </w:r>
          </w:p>
        </w:tc>
        <w:tc>
          <w:tcPr>
            <w:tcW w:w="1247" w:type="dxa"/>
            <w:noWrap/>
            <w:hideMark/>
          </w:tcPr>
          <w:p w14:paraId="0D6A034F"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34.1%</w:t>
            </w:r>
          </w:p>
        </w:tc>
        <w:tc>
          <w:tcPr>
            <w:tcW w:w="1060" w:type="dxa"/>
            <w:noWrap/>
            <w:hideMark/>
          </w:tcPr>
          <w:p w14:paraId="370DB602"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31.5%</w:t>
            </w:r>
          </w:p>
        </w:tc>
        <w:tc>
          <w:tcPr>
            <w:tcW w:w="1060" w:type="dxa"/>
            <w:noWrap/>
            <w:hideMark/>
          </w:tcPr>
          <w:p w14:paraId="240C2912"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34.0%</w:t>
            </w:r>
          </w:p>
        </w:tc>
        <w:tc>
          <w:tcPr>
            <w:tcW w:w="1060" w:type="dxa"/>
            <w:noWrap/>
            <w:hideMark/>
          </w:tcPr>
          <w:p w14:paraId="01904FD0"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35.7%</w:t>
            </w:r>
          </w:p>
        </w:tc>
      </w:tr>
      <w:tr w:rsidR="00515486" w:rsidRPr="004A04EC" w14:paraId="4DD6BB08"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3517E005" w14:textId="77777777" w:rsidR="00515486" w:rsidRPr="008F07E2" w:rsidRDefault="00515486" w:rsidP="004D5D22">
            <w:pPr>
              <w:pStyle w:val="TableText"/>
              <w:rPr>
                <w:color w:val="auto"/>
              </w:rPr>
            </w:pPr>
            <w:r w:rsidRPr="008F07E2">
              <w:rPr>
                <w:color w:val="auto"/>
              </w:rPr>
              <w:t>2009/10</w:t>
            </w:r>
          </w:p>
        </w:tc>
        <w:tc>
          <w:tcPr>
            <w:tcW w:w="1247" w:type="dxa"/>
            <w:noWrap/>
            <w:hideMark/>
          </w:tcPr>
          <w:p w14:paraId="6FF9EB27"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31.9%</w:t>
            </w:r>
          </w:p>
        </w:tc>
        <w:tc>
          <w:tcPr>
            <w:tcW w:w="1060" w:type="dxa"/>
            <w:noWrap/>
            <w:hideMark/>
          </w:tcPr>
          <w:p w14:paraId="61BF3CBA"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31.1%</w:t>
            </w:r>
          </w:p>
        </w:tc>
        <w:tc>
          <w:tcPr>
            <w:tcW w:w="1247" w:type="dxa"/>
            <w:noWrap/>
            <w:hideMark/>
          </w:tcPr>
          <w:p w14:paraId="0089900E"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29.2%</w:t>
            </w:r>
          </w:p>
        </w:tc>
        <w:tc>
          <w:tcPr>
            <w:tcW w:w="1060" w:type="dxa"/>
            <w:noWrap/>
            <w:hideMark/>
          </w:tcPr>
          <w:p w14:paraId="38680C74"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34.0%</w:t>
            </w:r>
          </w:p>
        </w:tc>
        <w:tc>
          <w:tcPr>
            <w:tcW w:w="1060" w:type="dxa"/>
            <w:noWrap/>
            <w:hideMark/>
          </w:tcPr>
          <w:p w14:paraId="0AB28DCB"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35.2%</w:t>
            </w:r>
          </w:p>
        </w:tc>
        <w:tc>
          <w:tcPr>
            <w:tcW w:w="1060" w:type="dxa"/>
            <w:noWrap/>
            <w:hideMark/>
          </w:tcPr>
          <w:p w14:paraId="7EF666E7"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35.3%</w:t>
            </w:r>
          </w:p>
        </w:tc>
      </w:tr>
      <w:tr w:rsidR="00515486" w:rsidRPr="004A04EC" w14:paraId="21642789"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1D1F959" w14:textId="77777777" w:rsidR="00515486" w:rsidRPr="008F07E2" w:rsidRDefault="00515486" w:rsidP="004D5D22">
            <w:pPr>
              <w:pStyle w:val="TableText"/>
              <w:rPr>
                <w:color w:val="auto"/>
              </w:rPr>
            </w:pPr>
            <w:r w:rsidRPr="008F07E2">
              <w:rPr>
                <w:color w:val="auto"/>
              </w:rPr>
              <w:t>2010/11</w:t>
            </w:r>
          </w:p>
        </w:tc>
        <w:tc>
          <w:tcPr>
            <w:tcW w:w="1247" w:type="dxa"/>
            <w:noWrap/>
            <w:hideMark/>
          </w:tcPr>
          <w:p w14:paraId="2F57A433"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36.0%</w:t>
            </w:r>
          </w:p>
        </w:tc>
        <w:tc>
          <w:tcPr>
            <w:tcW w:w="1060" w:type="dxa"/>
            <w:noWrap/>
            <w:hideMark/>
          </w:tcPr>
          <w:p w14:paraId="5042FC56"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33.3%</w:t>
            </w:r>
          </w:p>
        </w:tc>
        <w:tc>
          <w:tcPr>
            <w:tcW w:w="1247" w:type="dxa"/>
            <w:noWrap/>
            <w:hideMark/>
          </w:tcPr>
          <w:p w14:paraId="34D757D8"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32.3%</w:t>
            </w:r>
          </w:p>
        </w:tc>
        <w:tc>
          <w:tcPr>
            <w:tcW w:w="1060" w:type="dxa"/>
            <w:noWrap/>
            <w:hideMark/>
          </w:tcPr>
          <w:p w14:paraId="4451C2D3"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31.4%</w:t>
            </w:r>
          </w:p>
        </w:tc>
        <w:tc>
          <w:tcPr>
            <w:tcW w:w="1060" w:type="dxa"/>
            <w:noWrap/>
            <w:hideMark/>
          </w:tcPr>
          <w:p w14:paraId="0FABEBD3"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34.6%</w:t>
            </w:r>
          </w:p>
        </w:tc>
        <w:tc>
          <w:tcPr>
            <w:tcW w:w="1060" w:type="dxa"/>
            <w:noWrap/>
            <w:hideMark/>
          </w:tcPr>
          <w:p w14:paraId="5182C8F4"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34.8%</w:t>
            </w:r>
          </w:p>
        </w:tc>
      </w:tr>
      <w:tr w:rsidR="00515486" w:rsidRPr="004A04EC" w14:paraId="70BF8567"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A4D8604" w14:textId="77777777" w:rsidR="00515486" w:rsidRPr="008F07E2" w:rsidRDefault="00515486" w:rsidP="004D5D22">
            <w:pPr>
              <w:pStyle w:val="TableText"/>
              <w:rPr>
                <w:color w:val="auto"/>
              </w:rPr>
            </w:pPr>
            <w:r w:rsidRPr="008F07E2">
              <w:rPr>
                <w:color w:val="auto"/>
              </w:rPr>
              <w:t>2011/12</w:t>
            </w:r>
          </w:p>
        </w:tc>
        <w:tc>
          <w:tcPr>
            <w:tcW w:w="1247" w:type="dxa"/>
            <w:noWrap/>
            <w:hideMark/>
          </w:tcPr>
          <w:p w14:paraId="2B1B19BA"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31.8%</w:t>
            </w:r>
          </w:p>
        </w:tc>
        <w:tc>
          <w:tcPr>
            <w:tcW w:w="1060" w:type="dxa"/>
            <w:noWrap/>
            <w:hideMark/>
          </w:tcPr>
          <w:p w14:paraId="49B6B8FB"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34.1%</w:t>
            </w:r>
          </w:p>
        </w:tc>
        <w:tc>
          <w:tcPr>
            <w:tcW w:w="1247" w:type="dxa"/>
            <w:noWrap/>
            <w:hideMark/>
          </w:tcPr>
          <w:p w14:paraId="01E348CF"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30.0%</w:t>
            </w:r>
          </w:p>
        </w:tc>
        <w:tc>
          <w:tcPr>
            <w:tcW w:w="1060" w:type="dxa"/>
            <w:noWrap/>
            <w:hideMark/>
          </w:tcPr>
          <w:p w14:paraId="076CD597"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38.3%</w:t>
            </w:r>
          </w:p>
        </w:tc>
        <w:tc>
          <w:tcPr>
            <w:tcW w:w="1060" w:type="dxa"/>
            <w:noWrap/>
            <w:hideMark/>
          </w:tcPr>
          <w:p w14:paraId="754AB1A9"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36.3%</w:t>
            </w:r>
          </w:p>
        </w:tc>
        <w:tc>
          <w:tcPr>
            <w:tcW w:w="1060" w:type="dxa"/>
            <w:noWrap/>
            <w:hideMark/>
          </w:tcPr>
          <w:p w14:paraId="4D8E8CE1"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36.0%</w:t>
            </w:r>
          </w:p>
        </w:tc>
      </w:tr>
      <w:tr w:rsidR="00515486" w:rsidRPr="004A04EC" w14:paraId="71BBE599" w14:textId="77777777" w:rsidTr="004D5D22">
        <w:trPr>
          <w:trHeight w:val="240"/>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E6DAF4F" w14:textId="77777777" w:rsidR="00515486" w:rsidRPr="008F07E2" w:rsidRDefault="00515486" w:rsidP="004D5D22">
            <w:pPr>
              <w:pStyle w:val="TableText"/>
              <w:rPr>
                <w:color w:val="auto"/>
              </w:rPr>
            </w:pPr>
            <w:r w:rsidRPr="008F07E2">
              <w:rPr>
                <w:color w:val="auto"/>
              </w:rPr>
              <w:t>2012/13</w:t>
            </w:r>
          </w:p>
        </w:tc>
        <w:tc>
          <w:tcPr>
            <w:tcW w:w="1247" w:type="dxa"/>
            <w:noWrap/>
            <w:hideMark/>
          </w:tcPr>
          <w:p w14:paraId="50EB634F"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33.9%</w:t>
            </w:r>
          </w:p>
        </w:tc>
        <w:tc>
          <w:tcPr>
            <w:tcW w:w="1060" w:type="dxa"/>
            <w:noWrap/>
            <w:hideMark/>
          </w:tcPr>
          <w:p w14:paraId="714DA00B"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34.2%</w:t>
            </w:r>
          </w:p>
        </w:tc>
        <w:tc>
          <w:tcPr>
            <w:tcW w:w="1247" w:type="dxa"/>
            <w:noWrap/>
            <w:hideMark/>
          </w:tcPr>
          <w:p w14:paraId="4A01B7BD"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30.7%</w:t>
            </w:r>
          </w:p>
        </w:tc>
        <w:tc>
          <w:tcPr>
            <w:tcW w:w="1060" w:type="dxa"/>
            <w:noWrap/>
            <w:hideMark/>
          </w:tcPr>
          <w:p w14:paraId="3EF29D4F"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37.6%</w:t>
            </w:r>
          </w:p>
        </w:tc>
        <w:tc>
          <w:tcPr>
            <w:tcW w:w="1060" w:type="dxa"/>
            <w:noWrap/>
            <w:hideMark/>
          </w:tcPr>
          <w:p w14:paraId="7C89BCC2"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36.2%</w:t>
            </w:r>
          </w:p>
        </w:tc>
        <w:tc>
          <w:tcPr>
            <w:tcW w:w="1060" w:type="dxa"/>
            <w:noWrap/>
            <w:hideMark/>
          </w:tcPr>
          <w:p w14:paraId="4B1B4F3E" w14:textId="77777777" w:rsidR="00515486" w:rsidRPr="008F07E2" w:rsidRDefault="00515486" w:rsidP="004D5D22">
            <w:pPr>
              <w:pStyle w:val="TableText"/>
              <w:cnfStyle w:val="000000000000" w:firstRow="0" w:lastRow="0" w:firstColumn="0" w:lastColumn="0" w:oddVBand="0" w:evenVBand="0" w:oddHBand="0" w:evenHBand="0" w:firstRowFirstColumn="0" w:firstRowLastColumn="0" w:lastRowFirstColumn="0" w:lastRowLastColumn="0"/>
              <w:rPr>
                <w:color w:val="auto"/>
              </w:rPr>
            </w:pPr>
            <w:r w:rsidRPr="008F07E2">
              <w:rPr>
                <w:color w:val="auto"/>
              </w:rPr>
              <w:t>35.7%</w:t>
            </w:r>
          </w:p>
        </w:tc>
      </w:tr>
    </w:tbl>
    <w:p w14:paraId="506403E2" w14:textId="77777777" w:rsidR="00515486" w:rsidRPr="004A04EC" w:rsidRDefault="00515486" w:rsidP="00515486">
      <w:pPr>
        <w:pStyle w:val="TableSource"/>
      </w:pPr>
      <w:r>
        <w:t>Source: Sport England Active People Survey 2013 – note no data for 2006/07</w:t>
      </w:r>
    </w:p>
    <w:p w14:paraId="27F5E51F" w14:textId="77777777" w:rsidR="00515486" w:rsidRDefault="00515486" w:rsidP="00515486">
      <w:pPr>
        <w:spacing w:after="200" w:line="276" w:lineRule="auto"/>
        <w:rPr>
          <w:rFonts w:eastAsiaTheme="majorEastAsia" w:cs="Times New Roman"/>
          <w:b/>
          <w:bCs/>
          <w:color w:val="394A58" w:themeColor="accent2"/>
          <w:sz w:val="48"/>
          <w:szCs w:val="28"/>
        </w:rPr>
      </w:pPr>
    </w:p>
    <w:p w14:paraId="1F639EF2" w14:textId="77777777" w:rsidR="00865226" w:rsidRPr="00CA72B7" w:rsidRDefault="00865226" w:rsidP="00801682"/>
    <w:p w14:paraId="4BD564BB" w14:textId="77777777" w:rsidR="00FD458C" w:rsidRPr="00CA72B7" w:rsidRDefault="00FD458C" w:rsidP="00FD458C">
      <w:pPr>
        <w:sectPr w:rsidR="00FD458C" w:rsidRPr="00CA72B7" w:rsidSect="00CA72B7">
          <w:footerReference w:type="default" r:id="rId49"/>
          <w:headerReference w:type="first" r:id="rId50"/>
          <w:pgSz w:w="11906" w:h="16838" w:code="9"/>
          <w:pgMar w:top="964" w:right="1134" w:bottom="964" w:left="1134" w:header="510" w:footer="340" w:gutter="0"/>
          <w:cols w:space="708"/>
          <w:docGrid w:linePitch="360"/>
        </w:sectPr>
      </w:pPr>
    </w:p>
    <w:p w14:paraId="54864A53" w14:textId="77777777" w:rsidR="00E33DFA" w:rsidRPr="00CA72B7" w:rsidRDefault="00CA72B7" w:rsidP="00E33DFA">
      <w:pPr>
        <w:pStyle w:val="NormalNoSpace"/>
        <w:rPr>
          <w:b/>
        </w:rPr>
      </w:pPr>
      <w:bookmarkStart w:id="108" w:name="ContactName"/>
      <w:r w:rsidRPr="00CA72B7">
        <w:rPr>
          <w:b/>
        </w:rPr>
        <w:t>Richard Coburn</w:t>
      </w:r>
      <w:bookmarkEnd w:id="108"/>
    </w:p>
    <w:p w14:paraId="3EDE3DAD" w14:textId="77777777" w:rsidR="00515486" w:rsidRDefault="00515486" w:rsidP="00515486">
      <w:pPr>
        <w:spacing w:after="0"/>
      </w:pPr>
      <w:r>
        <w:t>Atkins,</w:t>
      </w:r>
    </w:p>
    <w:p w14:paraId="6EF0E26C" w14:textId="77777777" w:rsidR="00515486" w:rsidRDefault="00515486" w:rsidP="00515486">
      <w:pPr>
        <w:spacing w:after="0"/>
      </w:pPr>
      <w:r w:rsidRPr="00515486">
        <w:t xml:space="preserve">Euston Tower, </w:t>
      </w:r>
    </w:p>
    <w:p w14:paraId="2A2B3B80" w14:textId="77777777" w:rsidR="00515486" w:rsidRDefault="00515486" w:rsidP="00515486">
      <w:pPr>
        <w:spacing w:after="0"/>
      </w:pPr>
      <w:r w:rsidRPr="00515486">
        <w:t xml:space="preserve">286 Euston Road, </w:t>
      </w:r>
    </w:p>
    <w:p w14:paraId="5796777D" w14:textId="77777777" w:rsidR="00515486" w:rsidRDefault="00515486" w:rsidP="00515486">
      <w:pPr>
        <w:spacing w:after="0"/>
      </w:pPr>
      <w:r w:rsidRPr="00515486">
        <w:t xml:space="preserve">London, </w:t>
      </w:r>
    </w:p>
    <w:p w14:paraId="4272D605" w14:textId="77777777" w:rsidR="0032443C" w:rsidRDefault="00515486" w:rsidP="00515486">
      <w:pPr>
        <w:spacing w:after="0"/>
      </w:pPr>
      <w:r w:rsidRPr="00515486">
        <w:t>NW1 3AT</w:t>
      </w:r>
    </w:p>
    <w:p w14:paraId="4A894EF7" w14:textId="77777777" w:rsidR="00515486" w:rsidRPr="00CA72B7" w:rsidRDefault="00515486" w:rsidP="00515486">
      <w:pPr>
        <w:spacing w:after="0"/>
      </w:pPr>
    </w:p>
    <w:p w14:paraId="10A728B5" w14:textId="77777777" w:rsidR="00E33DFA" w:rsidRPr="00CA72B7" w:rsidRDefault="00CA72B7" w:rsidP="00715E21">
      <w:pPr>
        <w:pStyle w:val="NormalNoSpace"/>
        <w:rPr>
          <w:b/>
        </w:rPr>
      </w:pPr>
      <w:bookmarkStart w:id="109" w:name="AtkinsContactInformation"/>
      <w:r w:rsidRPr="00CA72B7">
        <w:rPr>
          <w:b/>
        </w:rPr>
        <w:t>richard.coburn@atkinsglobal.com</w:t>
      </w:r>
      <w:bookmarkEnd w:id="109"/>
    </w:p>
    <w:sectPr w:rsidR="00E33DFA" w:rsidRPr="00CA72B7" w:rsidSect="00CA72B7">
      <w:headerReference w:type="default" r:id="rId51"/>
      <w:footerReference w:type="default" r:id="rId52"/>
      <w:headerReference w:type="first" r:id="rId53"/>
      <w:footerReference w:type="first" r:id="rId54"/>
      <w:pgSz w:w="11906" w:h="16838" w:code="9"/>
      <w:pgMar w:top="964" w:right="1134" w:bottom="964" w:left="1134" w:header="51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B1CBB" w14:textId="77777777" w:rsidR="00DF796E" w:rsidRPr="00CA72B7" w:rsidRDefault="00DF796E" w:rsidP="00DC0958">
      <w:pPr>
        <w:spacing w:after="0"/>
      </w:pPr>
      <w:r w:rsidRPr="00CA72B7">
        <w:separator/>
      </w:r>
    </w:p>
  </w:endnote>
  <w:endnote w:type="continuationSeparator" w:id="0">
    <w:p w14:paraId="14325118" w14:textId="77777777" w:rsidR="00DF796E" w:rsidRPr="00CA72B7" w:rsidRDefault="00DF796E" w:rsidP="00DC0958">
      <w:pPr>
        <w:spacing w:after="0"/>
      </w:pPr>
      <w:r w:rsidRPr="00CA72B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91CE4" w14:textId="77777777" w:rsidR="00DF796E" w:rsidRPr="00CA72B7" w:rsidRDefault="00DF796E" w:rsidP="006E7873">
    <w:pPr>
      <w:pStyle w:val="Footer"/>
    </w:pPr>
  </w:p>
  <w:p w14:paraId="3B760BA8" w14:textId="77777777" w:rsidR="00DF796E" w:rsidRPr="00CA72B7" w:rsidRDefault="00DF796E" w:rsidP="006E7873">
    <w:pPr>
      <w:pStyle w:val="Footer"/>
    </w:pPr>
  </w:p>
  <w:tbl>
    <w:tblPr>
      <w:tblStyle w:val="TableGrid"/>
      <w:tblW w:w="5000" w:type="pct"/>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4"/>
      <w:gridCol w:w="1984"/>
    </w:tblGrid>
    <w:tr w:rsidR="00DF796E" w:rsidRPr="00CA72B7" w14:paraId="71742B21" w14:textId="77777777" w:rsidTr="00EA436B">
      <w:tc>
        <w:tcPr>
          <w:tcW w:w="3971" w:type="pct"/>
          <w:vAlign w:val="bottom"/>
        </w:tcPr>
        <w:p w14:paraId="3AA9F8AD" w14:textId="77777777" w:rsidR="00DF796E" w:rsidRPr="00CA72B7" w:rsidRDefault="00AA08C5" w:rsidP="00002A21">
          <w:pPr>
            <w:pStyle w:val="FooterBold"/>
          </w:pPr>
          <w:fldSimple w:instr=" DOCVARIABLE  Confidential  \* MERGEFORMAT ">
            <w:r w:rsidR="00DF796E">
              <w:t xml:space="preserve"> </w:t>
            </w:r>
          </w:fldSimple>
        </w:p>
        <w:p w14:paraId="25B5EAFA" w14:textId="77777777" w:rsidR="00DF796E" w:rsidRPr="00CA72B7" w:rsidRDefault="00DF796E" w:rsidP="00002A21">
          <w:pPr>
            <w:pStyle w:val="Footer"/>
          </w:pPr>
          <w:r w:rsidRPr="00CA72B7">
            <w:rPr>
              <w:b/>
            </w:rPr>
            <w:t>Atkins</w:t>
          </w:r>
          <w:r w:rsidRPr="00CA72B7">
            <w:t xml:space="preserve">   </w:t>
          </w:r>
          <w:fldSimple w:instr=" DOCVARIABLE  DocFooter  \* MERGEFORMAT ">
            <w:r>
              <w:t>North East Lincolnshire Economic Baseline | Version 1.0 | 25 July 2014 | 001</w:t>
            </w:r>
          </w:fldSimple>
        </w:p>
      </w:tc>
      <w:tc>
        <w:tcPr>
          <w:tcW w:w="1029" w:type="pct"/>
          <w:vAlign w:val="bottom"/>
        </w:tcPr>
        <w:p w14:paraId="4F044266" w14:textId="77777777" w:rsidR="00DF796E" w:rsidRPr="00CA72B7" w:rsidRDefault="00DF796E" w:rsidP="005625D4">
          <w:pPr>
            <w:pStyle w:val="Footer"/>
            <w:jc w:val="right"/>
            <w:rPr>
              <w:szCs w:val="18"/>
            </w:rPr>
          </w:pPr>
        </w:p>
      </w:tc>
    </w:tr>
  </w:tbl>
  <w:p w14:paraId="10A7764B" w14:textId="77777777" w:rsidR="00DF796E" w:rsidRPr="00CA72B7" w:rsidRDefault="00DF796E" w:rsidP="005625D4">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E893C" w14:textId="77777777" w:rsidR="00DF796E" w:rsidRPr="00CA72B7" w:rsidRDefault="00DF796E" w:rsidP="006E7873">
    <w:pPr>
      <w:pStyle w:val="Footer"/>
    </w:pPr>
  </w:p>
  <w:p w14:paraId="700387F4" w14:textId="77777777" w:rsidR="00DF796E" w:rsidRPr="00CA72B7" w:rsidRDefault="00DF796E" w:rsidP="006E7873">
    <w:pPr>
      <w:pStyle w:val="Footer"/>
    </w:pPr>
  </w:p>
  <w:tbl>
    <w:tblPr>
      <w:tblStyle w:val="TableGrid"/>
      <w:tblW w:w="5000" w:type="pct"/>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4"/>
      <w:gridCol w:w="1984"/>
    </w:tblGrid>
    <w:tr w:rsidR="00DF796E" w:rsidRPr="00CA72B7" w14:paraId="6C5166B5" w14:textId="77777777" w:rsidTr="00EA436B">
      <w:tc>
        <w:tcPr>
          <w:tcW w:w="3971" w:type="pct"/>
          <w:vAlign w:val="bottom"/>
        </w:tcPr>
        <w:p w14:paraId="52838E94" w14:textId="77777777" w:rsidR="00DF796E" w:rsidRPr="00CA72B7" w:rsidRDefault="00AA08C5" w:rsidP="00002A21">
          <w:pPr>
            <w:pStyle w:val="FooterBold"/>
          </w:pPr>
          <w:fldSimple w:instr=" DOCVARIABLE  Confidential  \* MERGEFORMAT ">
            <w:r w:rsidR="00DF796E">
              <w:t xml:space="preserve"> </w:t>
            </w:r>
          </w:fldSimple>
        </w:p>
        <w:p w14:paraId="1C01B62F" w14:textId="77777777" w:rsidR="00DF796E" w:rsidRPr="00CA72B7" w:rsidRDefault="00DF796E" w:rsidP="00002A21">
          <w:pPr>
            <w:pStyle w:val="Footer"/>
          </w:pPr>
          <w:r w:rsidRPr="00CA72B7">
            <w:rPr>
              <w:b/>
            </w:rPr>
            <w:t>Atkins</w:t>
          </w:r>
          <w:r w:rsidRPr="00CA72B7">
            <w:t xml:space="preserve">   </w:t>
          </w:r>
          <w:fldSimple w:instr=" DOCVARIABLE  DocFooter  \* MERGEFORMAT ">
            <w:r>
              <w:t>North East Lincolnshire Economic Baseline | Version 1.0 | 25 July 2014 | 001</w:t>
            </w:r>
          </w:fldSimple>
        </w:p>
      </w:tc>
      <w:tc>
        <w:tcPr>
          <w:tcW w:w="1029" w:type="pct"/>
          <w:vAlign w:val="bottom"/>
        </w:tcPr>
        <w:p w14:paraId="08B6EA91" w14:textId="77777777" w:rsidR="00DF796E" w:rsidRPr="00CA72B7" w:rsidRDefault="00DF796E" w:rsidP="005625D4">
          <w:pPr>
            <w:pStyle w:val="Footer"/>
            <w:jc w:val="right"/>
            <w:rPr>
              <w:szCs w:val="18"/>
            </w:rPr>
          </w:pPr>
          <w:r>
            <w:rPr>
              <w:szCs w:val="18"/>
            </w:rPr>
            <w:fldChar w:fldCharType="begin"/>
          </w:r>
          <w:r>
            <w:rPr>
              <w:szCs w:val="18"/>
            </w:rPr>
            <w:instrText xml:space="preserve"> PAGE  \* MERGEFORMAT </w:instrText>
          </w:r>
          <w:r>
            <w:rPr>
              <w:szCs w:val="18"/>
            </w:rPr>
            <w:fldChar w:fldCharType="separate"/>
          </w:r>
          <w:r w:rsidR="00484239">
            <w:rPr>
              <w:noProof/>
              <w:szCs w:val="18"/>
            </w:rPr>
            <w:t>9</w:t>
          </w:r>
          <w:r>
            <w:rPr>
              <w:szCs w:val="18"/>
            </w:rPr>
            <w:fldChar w:fldCharType="end"/>
          </w:r>
        </w:p>
      </w:tc>
    </w:tr>
  </w:tbl>
  <w:p w14:paraId="09DE2A23" w14:textId="77777777" w:rsidR="00DF796E" w:rsidRPr="00CA72B7" w:rsidRDefault="00DF796E" w:rsidP="005625D4">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34D5F" w14:textId="77777777" w:rsidR="00DF796E" w:rsidRPr="00CA72B7" w:rsidRDefault="00DF796E" w:rsidP="00E33D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4AF40" w14:textId="77777777" w:rsidR="00DF796E" w:rsidRPr="00CA72B7" w:rsidRDefault="00DF796E" w:rsidP="00CA72B7">
    <w:pPr>
      <w:pStyle w:val="Footer"/>
    </w:pPr>
    <w:bookmarkStart w:id="110" w:name="AtkinsCopyright"/>
    <w:r w:rsidRPr="00CA72B7">
      <w:t>© Atkins Ltd except where stated otherwise.</w:t>
    </w:r>
    <w:bookmarkEnd w:id="110"/>
  </w:p>
  <w:p w14:paraId="50041060" w14:textId="77777777" w:rsidR="00DF796E" w:rsidRPr="00CA72B7" w:rsidRDefault="00DF796E" w:rsidP="00CA72B7">
    <w:pPr>
      <w:pStyle w:val="Footer"/>
    </w:pPr>
  </w:p>
  <w:p w14:paraId="46F522E5" w14:textId="77777777" w:rsidR="00DF796E" w:rsidRPr="00CA72B7" w:rsidRDefault="00DF796E" w:rsidP="00CA72B7">
    <w:pPr>
      <w:pStyle w:val="Footer"/>
    </w:pPr>
    <w:bookmarkStart w:id="111" w:name="AtkinsCopyrightText"/>
    <w:r w:rsidRPr="00CA72B7">
      <w:t>The Atkins logo, ‘Carbon Critical Design’ and the strapline</w:t>
    </w:r>
    <w:r w:rsidRPr="00CA72B7">
      <w:br/>
      <w:t>‘Plan Design Enable’ are trademarks of Atkins Ltd.</w:t>
    </w:r>
    <w:bookmarkEnd w:id="111"/>
  </w:p>
  <w:p w14:paraId="454873DF" w14:textId="77777777" w:rsidR="00DF796E" w:rsidRPr="00CA72B7" w:rsidRDefault="00DF796E" w:rsidP="00CA72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0BDFB" w14:textId="77777777" w:rsidR="00DF796E" w:rsidRPr="00CA72B7" w:rsidRDefault="00DF796E" w:rsidP="00DC0958">
      <w:pPr>
        <w:spacing w:after="0"/>
      </w:pPr>
      <w:r w:rsidRPr="00CA72B7">
        <w:separator/>
      </w:r>
    </w:p>
  </w:footnote>
  <w:footnote w:type="continuationSeparator" w:id="0">
    <w:p w14:paraId="1238B735" w14:textId="77777777" w:rsidR="00DF796E" w:rsidRPr="00CA72B7" w:rsidRDefault="00DF796E" w:rsidP="00DC0958">
      <w:pPr>
        <w:spacing w:after="0"/>
      </w:pPr>
      <w:r w:rsidRPr="00CA72B7">
        <w:continuationSeparator/>
      </w:r>
    </w:p>
  </w:footnote>
  <w:footnote w:id="1">
    <w:p w14:paraId="59DA2AAE" w14:textId="77777777" w:rsidR="00DF796E" w:rsidRDefault="00DF796E" w:rsidP="00515486">
      <w:pPr>
        <w:pStyle w:val="FootnoteText"/>
      </w:pPr>
      <w:r w:rsidRPr="00DE745A">
        <w:rPr>
          <w:rStyle w:val="FootnoteReference"/>
          <w:sz w:val="16"/>
        </w:rPr>
        <w:footnoteRef/>
      </w:r>
      <w:r w:rsidRPr="00DE745A">
        <w:rPr>
          <w:sz w:val="16"/>
        </w:rPr>
        <w:t xml:space="preserve"> Nomenclature of Territorial Units for Statistics</w:t>
      </w:r>
    </w:p>
  </w:footnote>
  <w:footnote w:id="2">
    <w:p w14:paraId="21A43905" w14:textId="77777777" w:rsidR="00DF796E" w:rsidRDefault="00DF796E" w:rsidP="00515486">
      <w:pPr>
        <w:pStyle w:val="FootnoteText"/>
      </w:pPr>
      <w:r w:rsidRPr="00316A0B">
        <w:rPr>
          <w:rStyle w:val="FootnoteReference"/>
          <w:sz w:val="16"/>
        </w:rPr>
        <w:footnoteRef/>
      </w:r>
      <w:r w:rsidRPr="00316A0B">
        <w:rPr>
          <w:sz w:val="16"/>
        </w:rPr>
        <w:t xml:space="preserve"> Latest data available.</w:t>
      </w:r>
    </w:p>
  </w:footnote>
  <w:footnote w:id="3">
    <w:p w14:paraId="342C2632" w14:textId="77777777" w:rsidR="00DF796E" w:rsidRPr="0076703C" w:rsidRDefault="00DF796E" w:rsidP="00515486">
      <w:pPr>
        <w:rPr>
          <w:lang w:val="en-US"/>
        </w:rPr>
      </w:pPr>
      <w:r w:rsidRPr="001D44F7">
        <w:rPr>
          <w:rStyle w:val="FootnoteReference"/>
          <w:sz w:val="16"/>
        </w:rPr>
        <w:footnoteRef/>
      </w:r>
      <w:r w:rsidRPr="001D44F7">
        <w:rPr>
          <w:sz w:val="16"/>
        </w:rPr>
        <w:t xml:space="preserve"> Grimsby Telegraph. 26</w:t>
      </w:r>
      <w:r w:rsidRPr="001D44F7">
        <w:rPr>
          <w:sz w:val="16"/>
          <w:vertAlign w:val="superscript"/>
        </w:rPr>
        <w:t>th</w:t>
      </w:r>
      <w:r w:rsidRPr="001D44F7">
        <w:rPr>
          <w:sz w:val="16"/>
        </w:rPr>
        <w:t xml:space="preserve"> March 2010. ‘Food Town heroes scoop top award’. Available at: </w:t>
      </w:r>
      <w:hyperlink r:id="rId1" w:history="1">
        <w:r w:rsidRPr="001D44F7">
          <w:rPr>
            <w:rStyle w:val="Hyperlink"/>
            <w:sz w:val="16"/>
          </w:rPr>
          <w:t>http://www.grimsbytelegraph.co.uk/Food-Town-heroes-scoop-award/story-11548325-detail/story.html</w:t>
        </w:r>
      </w:hyperlink>
      <w:r w:rsidRPr="001D44F7">
        <w:rPr>
          <w:sz w:val="16"/>
        </w:rPr>
        <w:t xml:space="preserve"> </w:t>
      </w:r>
    </w:p>
  </w:footnote>
  <w:footnote w:id="4">
    <w:p w14:paraId="1CC21A8B" w14:textId="77777777" w:rsidR="00DF796E" w:rsidRDefault="00DF796E" w:rsidP="00515486">
      <w:pPr>
        <w:pStyle w:val="FootnoteText"/>
      </w:pPr>
      <w:r w:rsidRPr="00B50AD0">
        <w:rPr>
          <w:rStyle w:val="FootnoteReference"/>
          <w:sz w:val="16"/>
        </w:rPr>
        <w:footnoteRef/>
      </w:r>
      <w:r w:rsidRPr="00B50AD0">
        <w:rPr>
          <w:sz w:val="16"/>
        </w:rPr>
        <w:t xml:space="preserve"> </w:t>
      </w:r>
      <w:r>
        <w:rPr>
          <w:sz w:val="16"/>
        </w:rPr>
        <w:t xml:space="preserve">Although </w:t>
      </w:r>
      <w:r w:rsidRPr="00B50AD0">
        <w:rPr>
          <w:sz w:val="16"/>
        </w:rPr>
        <w:t xml:space="preserve">Grimsby Institute of Further &amp; Higher Education </w:t>
      </w:r>
      <w:r>
        <w:rPr>
          <w:sz w:val="16"/>
        </w:rPr>
        <w:t>and other colleges in North Lincolnshire offer</w:t>
      </w:r>
      <w:r w:rsidRPr="00B50AD0">
        <w:rPr>
          <w:sz w:val="16"/>
        </w:rPr>
        <w:t xml:space="preserve"> university courses</w:t>
      </w:r>
      <w:r>
        <w:rPr>
          <w:sz w:val="16"/>
        </w:rPr>
        <w:t xml:space="preserve">, this is through a ‘Higher Education in Further Education’ model which is more selective of the courses on offer and </w:t>
      </w:r>
      <w:r w:rsidRPr="00B50AD0">
        <w:rPr>
          <w:sz w:val="16"/>
        </w:rPr>
        <w:t>is far smaller than Hull and Lincoln University’s course offer.</w:t>
      </w:r>
      <w:r>
        <w:rPr>
          <w:sz w:val="16"/>
        </w:rPr>
        <w:t xml:space="preserve"> There is also less research funding and opportunities for progression. However, the ‘HE in FE’ model does have significant advantages including; lower costs, more vocational focus and attracting more people from diverse backgrounds.</w:t>
      </w:r>
    </w:p>
  </w:footnote>
  <w:footnote w:id="5">
    <w:p w14:paraId="5D80F9D2" w14:textId="77777777" w:rsidR="00DF796E" w:rsidRPr="002E3D29" w:rsidRDefault="00DF796E" w:rsidP="00515486">
      <w:pPr>
        <w:pStyle w:val="FootnoteText"/>
        <w:rPr>
          <w:sz w:val="16"/>
          <w:szCs w:val="16"/>
        </w:rPr>
      </w:pPr>
      <w:r w:rsidRPr="00BD25DC">
        <w:rPr>
          <w:sz w:val="16"/>
          <w:szCs w:val="22"/>
          <w:vertAlign w:val="superscript"/>
        </w:rPr>
        <w:footnoteRef/>
      </w:r>
      <w:r w:rsidRPr="00BD25DC">
        <w:rPr>
          <w:sz w:val="16"/>
          <w:szCs w:val="22"/>
          <w:vertAlign w:val="superscript"/>
        </w:rPr>
        <w:t xml:space="preserve"> </w:t>
      </w:r>
      <w:r w:rsidRPr="00BD25DC">
        <w:rPr>
          <w:sz w:val="16"/>
          <w:szCs w:val="22"/>
        </w:rPr>
        <w:t>Wilson, Rob A., and Terence Hogarth. "Tackling the Low Skills Equilibrium: A review of issues and some new evidence." (2003).</w:t>
      </w:r>
    </w:p>
  </w:footnote>
  <w:footnote w:id="6">
    <w:p w14:paraId="37FCD763" w14:textId="77777777" w:rsidR="00DF796E" w:rsidRDefault="00DF796E" w:rsidP="00515486">
      <w:pPr>
        <w:pStyle w:val="FootnoteText"/>
      </w:pPr>
      <w:r w:rsidRPr="00275919">
        <w:rPr>
          <w:sz w:val="16"/>
          <w:szCs w:val="22"/>
          <w:vertAlign w:val="superscript"/>
        </w:rPr>
        <w:footnoteRef/>
      </w:r>
      <w:r w:rsidRPr="00275919">
        <w:rPr>
          <w:sz w:val="16"/>
          <w:szCs w:val="22"/>
          <w:vertAlign w:val="superscript"/>
        </w:rPr>
        <w:t xml:space="preserve"> </w:t>
      </w:r>
      <w:r w:rsidRPr="00275919">
        <w:rPr>
          <w:sz w:val="16"/>
          <w:szCs w:val="22"/>
        </w:rPr>
        <w:t xml:space="preserve">Page 4 - </w:t>
      </w:r>
      <w:r w:rsidRPr="00BD25DC">
        <w:rPr>
          <w:sz w:val="16"/>
          <w:szCs w:val="22"/>
        </w:rPr>
        <w:t>Wilson, Rob A., and Terence Hogarth. "Tackling the Low Skills Equilibrium: A review of issues and some new evidence." (2003).</w:t>
      </w:r>
    </w:p>
  </w:footnote>
  <w:footnote w:id="7">
    <w:p w14:paraId="79DFD298" w14:textId="77777777" w:rsidR="00DF796E" w:rsidRPr="001A1E48" w:rsidRDefault="00DF796E" w:rsidP="00515486">
      <w:pPr>
        <w:rPr>
          <w:lang w:val="en-US"/>
        </w:rPr>
      </w:pPr>
      <w:r w:rsidRPr="00884D1B">
        <w:rPr>
          <w:rStyle w:val="FootnoteReference"/>
          <w:sz w:val="16"/>
        </w:rPr>
        <w:footnoteRef/>
      </w:r>
      <w:r w:rsidRPr="00884D1B">
        <w:rPr>
          <w:sz w:val="16"/>
        </w:rPr>
        <w:t xml:space="preserve"> The 2011 UK Census indicates that 42% of all workers in the construction industry are self-employed.</w:t>
      </w:r>
    </w:p>
  </w:footnote>
  <w:footnote w:id="8">
    <w:p w14:paraId="1A9F050F" w14:textId="77777777" w:rsidR="00DF796E" w:rsidRPr="00884D1B" w:rsidRDefault="00DF796E" w:rsidP="00515486">
      <w:pPr>
        <w:pStyle w:val="FootnoteText"/>
        <w:rPr>
          <w:sz w:val="16"/>
          <w:szCs w:val="16"/>
        </w:rPr>
      </w:pPr>
      <w:r w:rsidRPr="00884D1B">
        <w:rPr>
          <w:rStyle w:val="FootnoteReference"/>
          <w:sz w:val="16"/>
          <w:szCs w:val="16"/>
        </w:rPr>
        <w:footnoteRef/>
      </w:r>
      <w:r w:rsidRPr="00884D1B">
        <w:rPr>
          <w:sz w:val="16"/>
          <w:szCs w:val="16"/>
        </w:rPr>
        <w:t xml:space="preserve"> E01013142, E01013209, E01013205, E01013210, E01013208, E01013212, E01013136, E01013137, E01013138 and E01013139.</w:t>
      </w:r>
    </w:p>
  </w:footnote>
  <w:footnote w:id="9">
    <w:p w14:paraId="6191E365" w14:textId="77777777" w:rsidR="00DF796E" w:rsidRDefault="00DF796E" w:rsidP="00515486">
      <w:pPr>
        <w:pStyle w:val="FootnoteText"/>
      </w:pPr>
      <w:r w:rsidRPr="00884D1B">
        <w:rPr>
          <w:rStyle w:val="FootnoteReference"/>
          <w:sz w:val="16"/>
          <w:szCs w:val="16"/>
        </w:rPr>
        <w:footnoteRef/>
      </w:r>
      <w:r w:rsidRPr="00884D1B">
        <w:rPr>
          <w:sz w:val="16"/>
          <w:szCs w:val="16"/>
        </w:rPr>
        <w:t xml:space="preserve"> </w:t>
      </w:r>
      <w:hyperlink r:id="rId2" w:history="1">
        <w:r w:rsidRPr="00884D1B">
          <w:rPr>
            <w:rStyle w:val="Hyperlink"/>
            <w:sz w:val="16"/>
            <w:szCs w:val="16"/>
          </w:rPr>
          <w:t>http://www.apho.org.uk/</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C0883" w14:textId="77777777" w:rsidR="00DF796E" w:rsidRPr="00CA72B7" w:rsidRDefault="00DF796E" w:rsidP="00CA72B7">
    <w:pPr>
      <w:pStyle w:val="Header"/>
    </w:pPr>
    <w:r>
      <w:rPr>
        <w:noProof/>
        <w:lang w:eastAsia="en-GB"/>
      </w:rPr>
      <w:drawing>
        <wp:anchor distT="0" distB="0" distL="114300" distR="114300" simplePos="0" relativeHeight="251651064" behindDoc="1" locked="0" layoutInCell="1" allowOverlap="1" wp14:anchorId="6ADA5652" wp14:editId="552E7ABA">
          <wp:simplePos x="0" y="0"/>
          <wp:positionH relativeFrom="page">
            <wp:posOffset>1734820</wp:posOffset>
          </wp:positionH>
          <wp:positionV relativeFrom="page">
            <wp:posOffset>3297555</wp:posOffset>
          </wp:positionV>
          <wp:extent cx="6610195" cy="4633200"/>
          <wp:effectExtent l="19050" t="0" r="155" b="0"/>
          <wp:wrapNone/>
          <wp:docPr id="11" name="Custo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610195" cy="4633200"/>
                  </a:xfrm>
                  <a:prstGeom prst="rect">
                    <a:avLst/>
                  </a:prstGeom>
                </pic:spPr>
              </pic:pic>
            </a:graphicData>
          </a:graphic>
        </wp:anchor>
      </w:drawing>
    </w:r>
    <w:r>
      <w:rPr>
        <w:noProof/>
        <w:lang w:eastAsia="en-GB"/>
      </w:rPr>
      <w:drawing>
        <wp:anchor distT="0" distB="0" distL="114300" distR="114300" simplePos="0" relativeHeight="251653114" behindDoc="1" locked="0" layoutInCell="1" allowOverlap="1" wp14:anchorId="732723FC" wp14:editId="3F9C6266">
          <wp:simplePos x="0" y="0"/>
          <wp:positionH relativeFrom="page">
            <wp:posOffset>0</wp:posOffset>
          </wp:positionH>
          <wp:positionV relativeFrom="page">
            <wp:posOffset>-3810</wp:posOffset>
          </wp:positionV>
          <wp:extent cx="7560309" cy="10700340"/>
          <wp:effectExtent l="19050" t="0" r="2541" b="0"/>
          <wp:wrapNone/>
          <wp:docPr id="9" name="FrontPa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0309" cy="1070034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DF796E" w:rsidRPr="00CA72B7" w14:paraId="7633DC53" w14:textId="77777777" w:rsidTr="009D5CB3">
      <w:tc>
        <w:tcPr>
          <w:tcW w:w="9854" w:type="dxa"/>
          <w:shd w:val="clear" w:color="auto" w:fill="auto"/>
        </w:tcPr>
        <w:p w14:paraId="6C2F85FB" w14:textId="77777777" w:rsidR="00DF796E" w:rsidRPr="00CA72B7" w:rsidRDefault="00AA08C5" w:rsidP="005C2FF5">
          <w:pPr>
            <w:pStyle w:val="Header"/>
          </w:pPr>
          <w:fldSimple w:instr=" DOCVARIABLE  DocProjectTitle  \* MERGEFORMAT ">
            <w:r w:rsidR="00DF796E" w:rsidRPr="00CA72B7">
              <w:rPr>
                <w:bCs/>
              </w:rPr>
              <w:t>North</w:t>
            </w:r>
            <w:r w:rsidR="00DF796E">
              <w:t xml:space="preserve"> East Lincolnshire </w:t>
            </w:r>
          </w:fldSimple>
        </w:p>
      </w:tc>
    </w:tr>
    <w:tr w:rsidR="00DF796E" w:rsidRPr="00CA72B7" w14:paraId="7632DFC5" w14:textId="77777777" w:rsidTr="004733A1">
      <w:trPr>
        <w:trHeight w:val="274"/>
      </w:trPr>
      <w:tc>
        <w:tcPr>
          <w:tcW w:w="9854" w:type="dxa"/>
          <w:tcBorders>
            <w:bottom w:val="single" w:sz="4" w:space="0" w:color="BFBFBF" w:themeColor="background1" w:themeShade="BF"/>
          </w:tcBorders>
          <w:shd w:val="clear" w:color="auto" w:fill="auto"/>
        </w:tcPr>
        <w:p w14:paraId="3E985CF4" w14:textId="77777777" w:rsidR="00DF796E" w:rsidRPr="00CA72B7" w:rsidRDefault="00AA08C5" w:rsidP="005C2FF5">
          <w:pPr>
            <w:pStyle w:val="Header"/>
          </w:pPr>
          <w:fldSimple w:instr=" DOCVARIABLE  DocReportTitle  \* MERGEFORMAT ">
            <w:r w:rsidR="00DF796E" w:rsidRPr="00CA72B7">
              <w:rPr>
                <w:bCs/>
              </w:rPr>
              <w:t>Economic</w:t>
            </w:r>
            <w:r w:rsidR="00DF796E">
              <w:t xml:space="preserve"> Baseline</w:t>
            </w:r>
          </w:fldSimple>
        </w:p>
      </w:tc>
    </w:tr>
  </w:tbl>
  <w:p w14:paraId="18BF6E52" w14:textId="77777777" w:rsidR="00DF796E" w:rsidRPr="00CA72B7" w:rsidRDefault="00DF796E" w:rsidP="009D5C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73A99" w14:textId="77777777" w:rsidR="00DF796E" w:rsidRPr="00CA72B7" w:rsidRDefault="00DF796E" w:rsidP="00DB06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86AD0" w14:textId="77777777" w:rsidR="00DF796E" w:rsidRPr="00CA72B7" w:rsidRDefault="00DF796E" w:rsidP="004E12F4">
    <w:pPr>
      <w:pStyle w:val="Header"/>
      <w:rPr>
        <w:b/>
      </w:rPr>
    </w:pPr>
    <w:r w:rsidRPr="00CA72B7">
      <w:rPr>
        <w:b/>
        <w:noProof/>
        <w:lang w:eastAsia="en-GB"/>
      </w:rPr>
      <w:drawing>
        <wp:anchor distT="0" distB="0" distL="114300" distR="114300" simplePos="0" relativeHeight="251671552" behindDoc="1" locked="0" layoutInCell="0" allowOverlap="1" wp14:anchorId="6D77B39A" wp14:editId="2431FEE7">
          <wp:simplePos x="0" y="0"/>
          <wp:positionH relativeFrom="page">
            <wp:posOffset>0</wp:posOffset>
          </wp:positionH>
          <wp:positionV relativeFrom="page">
            <wp:posOffset>512064</wp:posOffset>
          </wp:positionV>
          <wp:extent cx="7581443" cy="10270541"/>
          <wp:effectExtent l="19050" t="0" r="457" b="0"/>
          <wp:wrapNone/>
          <wp:docPr id="5" name="Picture 4" descr="G:\Atkins\8755 Bid templates\8755 Design files\Production\Colourway 1\Contents\Contents Pages 2 4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tkins\8755 Bid templates\8755 Design files\Production\Colourway 1\Contents\Contents Pages 2 4 copy.gif"/>
                  <pic:cNvPicPr>
                    <a:picLocks noChangeAspect="1" noChangeArrowheads="1"/>
                  </pic:cNvPicPr>
                </pic:nvPicPr>
                <pic:blipFill>
                  <a:blip r:embed="rId1" cstate="print"/>
                  <a:srcRect t="4263"/>
                  <a:stretch>
                    <a:fillRect/>
                  </a:stretch>
                </pic:blipFill>
                <pic:spPr bwMode="auto">
                  <a:xfrm>
                    <a:off x="0" y="0"/>
                    <a:ext cx="7581900" cy="1026795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A7EE5" w14:textId="77777777" w:rsidR="00DF796E" w:rsidRPr="00CA72B7" w:rsidRDefault="00DF796E" w:rsidP="006E78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05B5" w14:textId="77777777" w:rsidR="00DF796E" w:rsidRPr="00CA72B7" w:rsidRDefault="00DF796E" w:rsidP="00CA72B7">
    <w:pPr>
      <w:pStyle w:val="Header"/>
    </w:pPr>
    <w:r>
      <w:rPr>
        <w:noProof/>
        <w:lang w:eastAsia="en-GB"/>
      </w:rPr>
      <w:drawing>
        <wp:anchor distT="0" distB="0" distL="114300" distR="114300" simplePos="0" relativeHeight="251652089" behindDoc="1" locked="0" layoutInCell="1" allowOverlap="1" wp14:anchorId="2D0CA362" wp14:editId="58E4BAAB">
          <wp:simplePos x="0" y="0"/>
          <wp:positionH relativeFrom="page">
            <wp:posOffset>0</wp:posOffset>
          </wp:positionH>
          <wp:positionV relativeFrom="page">
            <wp:posOffset>-4445</wp:posOffset>
          </wp:positionV>
          <wp:extent cx="7560309" cy="10701633"/>
          <wp:effectExtent l="19050" t="0" r="2541" b="0"/>
          <wp:wrapNone/>
          <wp:docPr id="10" name="BackPa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0309" cy="1070163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1A9410"/>
    <w:lvl w:ilvl="0">
      <w:start w:val="1"/>
      <w:numFmt w:val="decimal"/>
      <w:pStyle w:val="ListNumber5"/>
      <w:lvlText w:val="%1."/>
      <w:lvlJc w:val="left"/>
      <w:pPr>
        <w:tabs>
          <w:tab w:val="num" w:pos="1492"/>
        </w:tabs>
        <w:ind w:left="1492" w:hanging="360"/>
      </w:pPr>
    </w:lvl>
  </w:abstractNum>
  <w:abstractNum w:abstractNumId="1">
    <w:nsid w:val="FFFFFF7E"/>
    <w:multiLevelType w:val="singleLevel"/>
    <w:tmpl w:val="A1CED374"/>
    <w:lvl w:ilvl="0">
      <w:start w:val="1"/>
      <w:numFmt w:val="lowerRoman"/>
      <w:pStyle w:val="ListNumber3"/>
      <w:lvlText w:val="%1."/>
      <w:lvlJc w:val="left"/>
      <w:pPr>
        <w:ind w:left="926" w:hanging="360"/>
      </w:pPr>
      <w:rPr>
        <w:rFonts w:hint="default"/>
      </w:rPr>
    </w:lvl>
  </w:abstractNum>
  <w:abstractNum w:abstractNumId="2">
    <w:nsid w:val="FFFFFF83"/>
    <w:multiLevelType w:val="singleLevel"/>
    <w:tmpl w:val="0F8835B8"/>
    <w:lvl w:ilvl="0">
      <w:start w:val="1"/>
      <w:numFmt w:val="bullet"/>
      <w:pStyle w:val="ListBullet2"/>
      <w:lvlText w:val="-"/>
      <w:lvlJc w:val="left"/>
      <w:pPr>
        <w:ind w:left="700" w:hanging="360"/>
      </w:pPr>
      <w:rPr>
        <w:rFonts w:ascii="Arial" w:hAnsi="Arial" w:hint="default"/>
        <w:color w:val="auto"/>
      </w:rPr>
    </w:lvl>
  </w:abstractNum>
  <w:abstractNum w:abstractNumId="3">
    <w:nsid w:val="FFFFFF88"/>
    <w:multiLevelType w:val="singleLevel"/>
    <w:tmpl w:val="6658DD72"/>
    <w:lvl w:ilvl="0">
      <w:start w:val="1"/>
      <w:numFmt w:val="decimal"/>
      <w:pStyle w:val="ListNumber"/>
      <w:lvlText w:val="%1."/>
      <w:lvlJc w:val="left"/>
      <w:pPr>
        <w:tabs>
          <w:tab w:val="num" w:pos="340"/>
        </w:tabs>
        <w:ind w:left="340" w:hanging="340"/>
      </w:pPr>
      <w:rPr>
        <w:rFonts w:hint="default"/>
      </w:rPr>
    </w:lvl>
  </w:abstractNum>
  <w:abstractNum w:abstractNumId="4">
    <w:nsid w:val="FFFFFF89"/>
    <w:multiLevelType w:val="singleLevel"/>
    <w:tmpl w:val="CD20E732"/>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0573DD1"/>
    <w:multiLevelType w:val="hybridMultilevel"/>
    <w:tmpl w:val="65083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22242D"/>
    <w:multiLevelType w:val="hybridMultilevel"/>
    <w:tmpl w:val="F168CE5A"/>
    <w:lvl w:ilvl="0" w:tplc="A9940E04">
      <w:start w:val="1"/>
      <w:numFmt w:val="decimal"/>
      <w:pStyle w:val="TableTitle"/>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C6591E"/>
    <w:multiLevelType w:val="hybridMultilevel"/>
    <w:tmpl w:val="52C4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1752B5"/>
    <w:multiLevelType w:val="hybridMultilevel"/>
    <w:tmpl w:val="3DF42656"/>
    <w:lvl w:ilvl="0" w:tplc="A784F374">
      <w:start w:val="1"/>
      <w:numFmt w:val="decimal"/>
      <w:pStyle w:val="ListParagraph"/>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340318C2"/>
    <w:multiLevelType w:val="hybridMultilevel"/>
    <w:tmpl w:val="151050BA"/>
    <w:lvl w:ilvl="0" w:tplc="6DAA9EB6">
      <w:start w:val="1"/>
      <w:numFmt w:val="bullet"/>
      <w:lvlText w:val="•"/>
      <w:lvlJc w:val="left"/>
      <w:pPr>
        <w:tabs>
          <w:tab w:val="num" w:pos="720"/>
        </w:tabs>
        <w:ind w:left="720" w:hanging="360"/>
      </w:pPr>
      <w:rPr>
        <w:rFonts w:ascii="Times New Roman" w:hAnsi="Times New Roman" w:hint="default"/>
      </w:rPr>
    </w:lvl>
    <w:lvl w:ilvl="1" w:tplc="5608F72C" w:tentative="1">
      <w:start w:val="1"/>
      <w:numFmt w:val="bullet"/>
      <w:lvlText w:val="•"/>
      <w:lvlJc w:val="left"/>
      <w:pPr>
        <w:tabs>
          <w:tab w:val="num" w:pos="1440"/>
        </w:tabs>
        <w:ind w:left="1440" w:hanging="360"/>
      </w:pPr>
      <w:rPr>
        <w:rFonts w:ascii="Times New Roman" w:hAnsi="Times New Roman" w:hint="default"/>
      </w:rPr>
    </w:lvl>
    <w:lvl w:ilvl="2" w:tplc="EB444978" w:tentative="1">
      <w:start w:val="1"/>
      <w:numFmt w:val="bullet"/>
      <w:lvlText w:val="•"/>
      <w:lvlJc w:val="left"/>
      <w:pPr>
        <w:tabs>
          <w:tab w:val="num" w:pos="2160"/>
        </w:tabs>
        <w:ind w:left="2160" w:hanging="360"/>
      </w:pPr>
      <w:rPr>
        <w:rFonts w:ascii="Times New Roman" w:hAnsi="Times New Roman" w:hint="default"/>
      </w:rPr>
    </w:lvl>
    <w:lvl w:ilvl="3" w:tplc="D8AA8012" w:tentative="1">
      <w:start w:val="1"/>
      <w:numFmt w:val="bullet"/>
      <w:lvlText w:val="•"/>
      <w:lvlJc w:val="left"/>
      <w:pPr>
        <w:tabs>
          <w:tab w:val="num" w:pos="2880"/>
        </w:tabs>
        <w:ind w:left="2880" w:hanging="360"/>
      </w:pPr>
      <w:rPr>
        <w:rFonts w:ascii="Times New Roman" w:hAnsi="Times New Roman" w:hint="default"/>
      </w:rPr>
    </w:lvl>
    <w:lvl w:ilvl="4" w:tplc="B56A3D34" w:tentative="1">
      <w:start w:val="1"/>
      <w:numFmt w:val="bullet"/>
      <w:lvlText w:val="•"/>
      <w:lvlJc w:val="left"/>
      <w:pPr>
        <w:tabs>
          <w:tab w:val="num" w:pos="3600"/>
        </w:tabs>
        <w:ind w:left="3600" w:hanging="360"/>
      </w:pPr>
      <w:rPr>
        <w:rFonts w:ascii="Times New Roman" w:hAnsi="Times New Roman" w:hint="default"/>
      </w:rPr>
    </w:lvl>
    <w:lvl w:ilvl="5" w:tplc="519C459E" w:tentative="1">
      <w:start w:val="1"/>
      <w:numFmt w:val="bullet"/>
      <w:lvlText w:val="•"/>
      <w:lvlJc w:val="left"/>
      <w:pPr>
        <w:tabs>
          <w:tab w:val="num" w:pos="4320"/>
        </w:tabs>
        <w:ind w:left="4320" w:hanging="360"/>
      </w:pPr>
      <w:rPr>
        <w:rFonts w:ascii="Times New Roman" w:hAnsi="Times New Roman" w:hint="default"/>
      </w:rPr>
    </w:lvl>
    <w:lvl w:ilvl="6" w:tplc="366E6850" w:tentative="1">
      <w:start w:val="1"/>
      <w:numFmt w:val="bullet"/>
      <w:lvlText w:val="•"/>
      <w:lvlJc w:val="left"/>
      <w:pPr>
        <w:tabs>
          <w:tab w:val="num" w:pos="5040"/>
        </w:tabs>
        <w:ind w:left="5040" w:hanging="360"/>
      </w:pPr>
      <w:rPr>
        <w:rFonts w:ascii="Times New Roman" w:hAnsi="Times New Roman" w:hint="default"/>
      </w:rPr>
    </w:lvl>
    <w:lvl w:ilvl="7" w:tplc="6602F7FE" w:tentative="1">
      <w:start w:val="1"/>
      <w:numFmt w:val="bullet"/>
      <w:lvlText w:val="•"/>
      <w:lvlJc w:val="left"/>
      <w:pPr>
        <w:tabs>
          <w:tab w:val="num" w:pos="5760"/>
        </w:tabs>
        <w:ind w:left="5760" w:hanging="360"/>
      </w:pPr>
      <w:rPr>
        <w:rFonts w:ascii="Times New Roman" w:hAnsi="Times New Roman" w:hint="default"/>
      </w:rPr>
    </w:lvl>
    <w:lvl w:ilvl="8" w:tplc="676ACA8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48C118A"/>
    <w:multiLevelType w:val="hybridMultilevel"/>
    <w:tmpl w:val="3520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1E4E8C"/>
    <w:multiLevelType w:val="hybridMultilevel"/>
    <w:tmpl w:val="6FCA2DA8"/>
    <w:lvl w:ilvl="0" w:tplc="C2EC914A">
      <w:start w:val="1"/>
      <w:numFmt w:val="decimal"/>
      <w:pStyle w:val="FigureTitle"/>
      <w:lvlText w:val="Figur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146415C"/>
    <w:multiLevelType w:val="hybridMultilevel"/>
    <w:tmpl w:val="6FCAF562"/>
    <w:lvl w:ilvl="0" w:tplc="EE9675E0">
      <w:start w:val="1"/>
      <w:numFmt w:val="lowerRoman"/>
      <w:pStyle w:val="ListNumber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5BA03DB"/>
    <w:multiLevelType w:val="hybridMultilevel"/>
    <w:tmpl w:val="3F2E226C"/>
    <w:lvl w:ilvl="0" w:tplc="C8FE6978">
      <w:start w:val="1"/>
      <w:numFmt w:val="lowerLetter"/>
      <w:pStyle w:val="ListNumber2"/>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42954DE"/>
    <w:multiLevelType w:val="hybridMultilevel"/>
    <w:tmpl w:val="2A16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18205B"/>
    <w:multiLevelType w:val="hybridMultilevel"/>
    <w:tmpl w:val="EC4A6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0E123E"/>
    <w:multiLevelType w:val="multilevel"/>
    <w:tmpl w:val="53D6C540"/>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2014"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17">
    <w:nsid w:val="735D1444"/>
    <w:multiLevelType w:val="hybridMultilevel"/>
    <w:tmpl w:val="6358C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4A345F"/>
    <w:multiLevelType w:val="multilevel"/>
    <w:tmpl w:val="DE921A2A"/>
    <w:lvl w:ilvl="0">
      <w:start w:val="1"/>
      <w:numFmt w:val="decimal"/>
      <w:pStyle w:val="ListNumb1"/>
      <w:lvlText w:val="%1."/>
      <w:lvlJc w:val="left"/>
      <w:pPr>
        <w:ind w:left="340" w:hanging="340"/>
      </w:pPr>
      <w:rPr>
        <w:rFonts w:hint="default"/>
      </w:rPr>
    </w:lvl>
    <w:lvl w:ilvl="1">
      <w:start w:val="1"/>
      <w:numFmt w:val="lowerLetter"/>
      <w:pStyle w:val="ListNumb2"/>
      <w:lvlText w:val="%2."/>
      <w:lvlJc w:val="left"/>
      <w:pPr>
        <w:ind w:left="680" w:hanging="340"/>
      </w:pPr>
      <w:rPr>
        <w:rFonts w:hint="default"/>
      </w:rPr>
    </w:lvl>
    <w:lvl w:ilvl="2">
      <w:start w:val="1"/>
      <w:numFmt w:val="lowerRoman"/>
      <w:pStyle w:val="ListNumb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0"/>
  </w:num>
  <w:num w:numId="4">
    <w:abstractNumId w:val="16"/>
  </w:num>
  <w:num w:numId="5">
    <w:abstractNumId w:val="6"/>
  </w:num>
  <w:num w:numId="6">
    <w:abstractNumId w:val="11"/>
  </w:num>
  <w:num w:numId="7">
    <w:abstractNumId w:val="13"/>
  </w:num>
  <w:num w:numId="8">
    <w:abstractNumId w:val="12"/>
  </w:num>
  <w:num w:numId="9">
    <w:abstractNumId w:val="16"/>
  </w:num>
  <w:num w:numId="10">
    <w:abstractNumId w:val="4"/>
  </w:num>
  <w:num w:numId="11">
    <w:abstractNumId w:val="2"/>
  </w:num>
  <w:num w:numId="12">
    <w:abstractNumId w:val="18"/>
  </w:num>
  <w:num w:numId="13">
    <w:abstractNumId w:val="8"/>
  </w:num>
  <w:num w:numId="14">
    <w:abstractNumId w:val="15"/>
  </w:num>
  <w:num w:numId="15">
    <w:abstractNumId w:val="10"/>
  </w:num>
  <w:num w:numId="16">
    <w:abstractNumId w:val="5"/>
  </w:num>
  <w:num w:numId="17">
    <w:abstractNumId w:val="7"/>
  </w:num>
  <w:num w:numId="18">
    <w:abstractNumId w:val="14"/>
  </w:num>
  <w:num w:numId="19">
    <w:abstractNumId w:val="9"/>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680"/>
  <w:drawingGridHorizontalSpacing w:val="100"/>
  <w:displayHorizontalDrawingGridEvery w:val="2"/>
  <w:characterSpacingControl w:val="doNotCompress"/>
  <w:hdrShapeDefaults>
    <o:shapedefaults v:ext="edit" spidmax="352257" fill="f" fillcolor="white" stroke="f">
      <v:fill color="white" on="f"/>
      <v:stroke on="f"/>
      <v:textbox inset="0,0,0,0"/>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ditionalInformation" w:val=" "/>
    <w:docVar w:name="ClientName" w:val="North East Lincolnshire Council"/>
    <w:docVar w:name="Confidential" w:val=" "/>
    <w:docVar w:name="CurrentTemplateVersion" w:val="2.1"/>
    <w:docVar w:name="DocDate" w:val="25 July 2014"/>
    <w:docVar w:name="DocDateSubmission" w:val="25 July 2014"/>
    <w:docVar w:name="DocFooter" w:val="North East Lincolnshire Economic Baseline | Version 1.0 | 25 July 2014 | 001"/>
    <w:docVar w:name="DocJobNumber" w:val="001"/>
    <w:docVar w:name="DocName" w:val="North East Lincolnshire Economic Baseline"/>
    <w:docVar w:name="DocProjectTitle" w:val="North East Lincolnshire "/>
    <w:docVar w:name="DocReference" w:val="5127325"/>
    <w:docVar w:name="DocReportTitle" w:val="Economic Baseline"/>
    <w:docVar w:name="DocTemplateName" w:val="Atkins Report.dotm"/>
    <w:docVar w:name="DocumentDate" w:val="Date"/>
    <w:docVar w:name="DocVersion" w:val="Version 1.0"/>
    <w:docVar w:name="InitialTemplateVersion" w:val="2.1"/>
    <w:docVar w:name="PageNumbering" w:val="Standard"/>
    <w:docVar w:name="PageSize" w:val="A4"/>
    <w:docVar w:name="TitlePageExists" w:val="True"/>
    <w:docVar w:name="TitlePageImage" w:val="Custom"/>
  </w:docVars>
  <w:rsids>
    <w:rsidRoot w:val="00515486"/>
    <w:rsid w:val="00002A21"/>
    <w:rsid w:val="000062F3"/>
    <w:rsid w:val="00006B70"/>
    <w:rsid w:val="0001122C"/>
    <w:rsid w:val="0001158B"/>
    <w:rsid w:val="00017172"/>
    <w:rsid w:val="00022632"/>
    <w:rsid w:val="00026032"/>
    <w:rsid w:val="00027605"/>
    <w:rsid w:val="00030A94"/>
    <w:rsid w:val="00034249"/>
    <w:rsid w:val="00040F19"/>
    <w:rsid w:val="00041DBA"/>
    <w:rsid w:val="00041EE2"/>
    <w:rsid w:val="0004439E"/>
    <w:rsid w:val="00044BE5"/>
    <w:rsid w:val="00050B9A"/>
    <w:rsid w:val="00054108"/>
    <w:rsid w:val="00055F1F"/>
    <w:rsid w:val="00065AD0"/>
    <w:rsid w:val="00066AB0"/>
    <w:rsid w:val="0007479F"/>
    <w:rsid w:val="00080C64"/>
    <w:rsid w:val="00081745"/>
    <w:rsid w:val="0008502D"/>
    <w:rsid w:val="00087F03"/>
    <w:rsid w:val="00092536"/>
    <w:rsid w:val="00094A83"/>
    <w:rsid w:val="00096E5D"/>
    <w:rsid w:val="000A2C39"/>
    <w:rsid w:val="000A5538"/>
    <w:rsid w:val="000B20DF"/>
    <w:rsid w:val="000B2F76"/>
    <w:rsid w:val="000B44DE"/>
    <w:rsid w:val="000B58D8"/>
    <w:rsid w:val="000B7506"/>
    <w:rsid w:val="000C05ED"/>
    <w:rsid w:val="000C0D1D"/>
    <w:rsid w:val="000D0563"/>
    <w:rsid w:val="000D076F"/>
    <w:rsid w:val="000D1596"/>
    <w:rsid w:val="000D5ED0"/>
    <w:rsid w:val="000D6826"/>
    <w:rsid w:val="000D7A5C"/>
    <w:rsid w:val="000D7A68"/>
    <w:rsid w:val="000E1698"/>
    <w:rsid w:val="000E1D59"/>
    <w:rsid w:val="000E46A2"/>
    <w:rsid w:val="000E5DBD"/>
    <w:rsid w:val="000E6097"/>
    <w:rsid w:val="000F17C6"/>
    <w:rsid w:val="000F74C0"/>
    <w:rsid w:val="000F7640"/>
    <w:rsid w:val="000F7EFF"/>
    <w:rsid w:val="00100A9E"/>
    <w:rsid w:val="00107D47"/>
    <w:rsid w:val="001122BA"/>
    <w:rsid w:val="001134B0"/>
    <w:rsid w:val="0011708A"/>
    <w:rsid w:val="001231D8"/>
    <w:rsid w:val="00130510"/>
    <w:rsid w:val="00131467"/>
    <w:rsid w:val="00131877"/>
    <w:rsid w:val="00132D1E"/>
    <w:rsid w:val="0013569E"/>
    <w:rsid w:val="00144AA4"/>
    <w:rsid w:val="001503C7"/>
    <w:rsid w:val="00150951"/>
    <w:rsid w:val="00151182"/>
    <w:rsid w:val="0015373B"/>
    <w:rsid w:val="00162A1A"/>
    <w:rsid w:val="00163B84"/>
    <w:rsid w:val="001659D4"/>
    <w:rsid w:val="00172D20"/>
    <w:rsid w:val="00176D51"/>
    <w:rsid w:val="0018389C"/>
    <w:rsid w:val="0019757D"/>
    <w:rsid w:val="001A1ABA"/>
    <w:rsid w:val="001A3F1A"/>
    <w:rsid w:val="001A42CC"/>
    <w:rsid w:val="001B0840"/>
    <w:rsid w:val="001B1371"/>
    <w:rsid w:val="001B27EC"/>
    <w:rsid w:val="001B40C5"/>
    <w:rsid w:val="001B7A46"/>
    <w:rsid w:val="001C2D92"/>
    <w:rsid w:val="001C558B"/>
    <w:rsid w:val="001D1694"/>
    <w:rsid w:val="001D285A"/>
    <w:rsid w:val="001D2E56"/>
    <w:rsid w:val="001D5466"/>
    <w:rsid w:val="001E2997"/>
    <w:rsid w:val="001E585D"/>
    <w:rsid w:val="001F3092"/>
    <w:rsid w:val="001F3653"/>
    <w:rsid w:val="001F4A00"/>
    <w:rsid w:val="001F4E30"/>
    <w:rsid w:val="001F578E"/>
    <w:rsid w:val="001F7158"/>
    <w:rsid w:val="00207F63"/>
    <w:rsid w:val="002118C1"/>
    <w:rsid w:val="00211D4A"/>
    <w:rsid w:val="00215393"/>
    <w:rsid w:val="00215CE6"/>
    <w:rsid w:val="002215B8"/>
    <w:rsid w:val="00223F3F"/>
    <w:rsid w:val="00230926"/>
    <w:rsid w:val="00233269"/>
    <w:rsid w:val="0023565F"/>
    <w:rsid w:val="00236B17"/>
    <w:rsid w:val="002423BB"/>
    <w:rsid w:val="00242DAD"/>
    <w:rsid w:val="00247229"/>
    <w:rsid w:val="0025293C"/>
    <w:rsid w:val="002618E5"/>
    <w:rsid w:val="00261E3D"/>
    <w:rsid w:val="00263261"/>
    <w:rsid w:val="002651B9"/>
    <w:rsid w:val="00265B2B"/>
    <w:rsid w:val="00272BB6"/>
    <w:rsid w:val="00275A2F"/>
    <w:rsid w:val="00281E00"/>
    <w:rsid w:val="00283A3A"/>
    <w:rsid w:val="00287BD5"/>
    <w:rsid w:val="00293DF6"/>
    <w:rsid w:val="00293F2D"/>
    <w:rsid w:val="002B1956"/>
    <w:rsid w:val="002B21A0"/>
    <w:rsid w:val="002B4944"/>
    <w:rsid w:val="002B4FF4"/>
    <w:rsid w:val="002B528A"/>
    <w:rsid w:val="002C0E1A"/>
    <w:rsid w:val="002C1BF3"/>
    <w:rsid w:val="002C2147"/>
    <w:rsid w:val="002C2B8D"/>
    <w:rsid w:val="002C599A"/>
    <w:rsid w:val="002C5BE9"/>
    <w:rsid w:val="002C6EB4"/>
    <w:rsid w:val="002D03EE"/>
    <w:rsid w:val="002D07CB"/>
    <w:rsid w:val="002D0DF4"/>
    <w:rsid w:val="002D27A5"/>
    <w:rsid w:val="002D3BD7"/>
    <w:rsid w:val="002D4CD7"/>
    <w:rsid w:val="002E3680"/>
    <w:rsid w:val="002F3016"/>
    <w:rsid w:val="002F36E4"/>
    <w:rsid w:val="002F4D55"/>
    <w:rsid w:val="0030104F"/>
    <w:rsid w:val="0030395B"/>
    <w:rsid w:val="00315598"/>
    <w:rsid w:val="00316A04"/>
    <w:rsid w:val="00317BE8"/>
    <w:rsid w:val="0032126E"/>
    <w:rsid w:val="00321608"/>
    <w:rsid w:val="00322BB8"/>
    <w:rsid w:val="0032443C"/>
    <w:rsid w:val="00324E6B"/>
    <w:rsid w:val="00325DE0"/>
    <w:rsid w:val="00325DEF"/>
    <w:rsid w:val="00327102"/>
    <w:rsid w:val="003305FE"/>
    <w:rsid w:val="00343177"/>
    <w:rsid w:val="00350276"/>
    <w:rsid w:val="00352D47"/>
    <w:rsid w:val="003530D9"/>
    <w:rsid w:val="00355493"/>
    <w:rsid w:val="00356F8F"/>
    <w:rsid w:val="0036064E"/>
    <w:rsid w:val="0036142A"/>
    <w:rsid w:val="00362CD2"/>
    <w:rsid w:val="00370268"/>
    <w:rsid w:val="0037770A"/>
    <w:rsid w:val="00381126"/>
    <w:rsid w:val="00390073"/>
    <w:rsid w:val="00391C94"/>
    <w:rsid w:val="0039290E"/>
    <w:rsid w:val="00393152"/>
    <w:rsid w:val="00394B5F"/>
    <w:rsid w:val="003A0277"/>
    <w:rsid w:val="003A02E4"/>
    <w:rsid w:val="003A0FEB"/>
    <w:rsid w:val="003A24FB"/>
    <w:rsid w:val="003A3BB0"/>
    <w:rsid w:val="003A3E73"/>
    <w:rsid w:val="003A6681"/>
    <w:rsid w:val="003B0447"/>
    <w:rsid w:val="003B1BD8"/>
    <w:rsid w:val="003C0F6F"/>
    <w:rsid w:val="003C2CAE"/>
    <w:rsid w:val="003D1D9A"/>
    <w:rsid w:val="003D7686"/>
    <w:rsid w:val="003E146E"/>
    <w:rsid w:val="003E48BB"/>
    <w:rsid w:val="003E5492"/>
    <w:rsid w:val="003E7E39"/>
    <w:rsid w:val="003F4906"/>
    <w:rsid w:val="003F5C7E"/>
    <w:rsid w:val="003F7345"/>
    <w:rsid w:val="00400A45"/>
    <w:rsid w:val="00403F5A"/>
    <w:rsid w:val="00404847"/>
    <w:rsid w:val="00415199"/>
    <w:rsid w:val="0042289D"/>
    <w:rsid w:val="00424A99"/>
    <w:rsid w:val="004316D9"/>
    <w:rsid w:val="0043386E"/>
    <w:rsid w:val="00434465"/>
    <w:rsid w:val="00441F6F"/>
    <w:rsid w:val="00445313"/>
    <w:rsid w:val="00446ACF"/>
    <w:rsid w:val="00450550"/>
    <w:rsid w:val="00454A95"/>
    <w:rsid w:val="00457BFD"/>
    <w:rsid w:val="004616EC"/>
    <w:rsid w:val="00463F08"/>
    <w:rsid w:val="00464A19"/>
    <w:rsid w:val="00467BA0"/>
    <w:rsid w:val="00470A9D"/>
    <w:rsid w:val="004733A1"/>
    <w:rsid w:val="00484088"/>
    <w:rsid w:val="00484239"/>
    <w:rsid w:val="00485B0A"/>
    <w:rsid w:val="00493671"/>
    <w:rsid w:val="00495183"/>
    <w:rsid w:val="00496FDB"/>
    <w:rsid w:val="004A411D"/>
    <w:rsid w:val="004A4578"/>
    <w:rsid w:val="004A4698"/>
    <w:rsid w:val="004A489A"/>
    <w:rsid w:val="004B35CA"/>
    <w:rsid w:val="004C029C"/>
    <w:rsid w:val="004C1403"/>
    <w:rsid w:val="004C2DB9"/>
    <w:rsid w:val="004C787C"/>
    <w:rsid w:val="004D07AE"/>
    <w:rsid w:val="004D1435"/>
    <w:rsid w:val="004D1D0F"/>
    <w:rsid w:val="004D2299"/>
    <w:rsid w:val="004D5D22"/>
    <w:rsid w:val="004D7664"/>
    <w:rsid w:val="004E0E4C"/>
    <w:rsid w:val="004E12F4"/>
    <w:rsid w:val="004E653E"/>
    <w:rsid w:val="004F052C"/>
    <w:rsid w:val="004F0BE2"/>
    <w:rsid w:val="004F263A"/>
    <w:rsid w:val="004F3F27"/>
    <w:rsid w:val="00502D87"/>
    <w:rsid w:val="00506EAF"/>
    <w:rsid w:val="005122E6"/>
    <w:rsid w:val="00515486"/>
    <w:rsid w:val="00515D63"/>
    <w:rsid w:val="00524B47"/>
    <w:rsid w:val="0052511D"/>
    <w:rsid w:val="0052633E"/>
    <w:rsid w:val="00532346"/>
    <w:rsid w:val="00532C70"/>
    <w:rsid w:val="005339A2"/>
    <w:rsid w:val="005368FE"/>
    <w:rsid w:val="005406DE"/>
    <w:rsid w:val="00544B29"/>
    <w:rsid w:val="00544B67"/>
    <w:rsid w:val="005467A0"/>
    <w:rsid w:val="005508AD"/>
    <w:rsid w:val="0055233B"/>
    <w:rsid w:val="0055347E"/>
    <w:rsid w:val="00553F8E"/>
    <w:rsid w:val="00556912"/>
    <w:rsid w:val="005625D4"/>
    <w:rsid w:val="0057082A"/>
    <w:rsid w:val="00570ECA"/>
    <w:rsid w:val="0058109B"/>
    <w:rsid w:val="00581E5E"/>
    <w:rsid w:val="00583CB3"/>
    <w:rsid w:val="00585A4C"/>
    <w:rsid w:val="005919F6"/>
    <w:rsid w:val="005963DB"/>
    <w:rsid w:val="00596C1F"/>
    <w:rsid w:val="00597565"/>
    <w:rsid w:val="005A3F57"/>
    <w:rsid w:val="005A4218"/>
    <w:rsid w:val="005B11B0"/>
    <w:rsid w:val="005B16BC"/>
    <w:rsid w:val="005B251C"/>
    <w:rsid w:val="005B5A60"/>
    <w:rsid w:val="005C0BCB"/>
    <w:rsid w:val="005C2FF5"/>
    <w:rsid w:val="005C59C3"/>
    <w:rsid w:val="005C6C63"/>
    <w:rsid w:val="005C7092"/>
    <w:rsid w:val="005C7921"/>
    <w:rsid w:val="005C7CCD"/>
    <w:rsid w:val="005D01AF"/>
    <w:rsid w:val="005D0DB2"/>
    <w:rsid w:val="005D2C21"/>
    <w:rsid w:val="005D48FF"/>
    <w:rsid w:val="005E25BC"/>
    <w:rsid w:val="005E31EF"/>
    <w:rsid w:val="005E77A9"/>
    <w:rsid w:val="005F07D6"/>
    <w:rsid w:val="005F36B2"/>
    <w:rsid w:val="005F45E2"/>
    <w:rsid w:val="00600103"/>
    <w:rsid w:val="00600968"/>
    <w:rsid w:val="00601ED6"/>
    <w:rsid w:val="00602544"/>
    <w:rsid w:val="0060319B"/>
    <w:rsid w:val="00604B50"/>
    <w:rsid w:val="006061F1"/>
    <w:rsid w:val="00610E66"/>
    <w:rsid w:val="00616ED2"/>
    <w:rsid w:val="00617F1A"/>
    <w:rsid w:val="00626201"/>
    <w:rsid w:val="0062687A"/>
    <w:rsid w:val="00633587"/>
    <w:rsid w:val="00636214"/>
    <w:rsid w:val="006408EF"/>
    <w:rsid w:val="006420C7"/>
    <w:rsid w:val="00642CBD"/>
    <w:rsid w:val="00647F25"/>
    <w:rsid w:val="00650B43"/>
    <w:rsid w:val="0065136D"/>
    <w:rsid w:val="006515B6"/>
    <w:rsid w:val="006540B5"/>
    <w:rsid w:val="0065437D"/>
    <w:rsid w:val="0066220D"/>
    <w:rsid w:val="006631B4"/>
    <w:rsid w:val="00663C01"/>
    <w:rsid w:val="00667464"/>
    <w:rsid w:val="00675D59"/>
    <w:rsid w:val="00676F6C"/>
    <w:rsid w:val="006774B7"/>
    <w:rsid w:val="00681C5E"/>
    <w:rsid w:val="00685877"/>
    <w:rsid w:val="0068655F"/>
    <w:rsid w:val="006867A2"/>
    <w:rsid w:val="00686FB9"/>
    <w:rsid w:val="006905F0"/>
    <w:rsid w:val="00691145"/>
    <w:rsid w:val="006916EE"/>
    <w:rsid w:val="00693AB0"/>
    <w:rsid w:val="00697FF9"/>
    <w:rsid w:val="006A35F2"/>
    <w:rsid w:val="006A4545"/>
    <w:rsid w:val="006A4EB4"/>
    <w:rsid w:val="006A6AC2"/>
    <w:rsid w:val="006A7C57"/>
    <w:rsid w:val="006B0C27"/>
    <w:rsid w:val="006B1464"/>
    <w:rsid w:val="006B20B3"/>
    <w:rsid w:val="006B3871"/>
    <w:rsid w:val="006B484A"/>
    <w:rsid w:val="006B7B36"/>
    <w:rsid w:val="006C597F"/>
    <w:rsid w:val="006C6B83"/>
    <w:rsid w:val="006C7D7A"/>
    <w:rsid w:val="006E095D"/>
    <w:rsid w:val="006E3373"/>
    <w:rsid w:val="006E4437"/>
    <w:rsid w:val="006E45B4"/>
    <w:rsid w:val="006E7873"/>
    <w:rsid w:val="00705133"/>
    <w:rsid w:val="00705634"/>
    <w:rsid w:val="00710387"/>
    <w:rsid w:val="00710493"/>
    <w:rsid w:val="00714977"/>
    <w:rsid w:val="0071592B"/>
    <w:rsid w:val="00715E21"/>
    <w:rsid w:val="00716CE3"/>
    <w:rsid w:val="00717FCF"/>
    <w:rsid w:val="0072581E"/>
    <w:rsid w:val="0073166E"/>
    <w:rsid w:val="007331BA"/>
    <w:rsid w:val="00740C01"/>
    <w:rsid w:val="007439E7"/>
    <w:rsid w:val="00744554"/>
    <w:rsid w:val="00747120"/>
    <w:rsid w:val="00747271"/>
    <w:rsid w:val="0074774F"/>
    <w:rsid w:val="00750871"/>
    <w:rsid w:val="00753A2F"/>
    <w:rsid w:val="00755378"/>
    <w:rsid w:val="007560EE"/>
    <w:rsid w:val="00756A76"/>
    <w:rsid w:val="00757E6F"/>
    <w:rsid w:val="00760B9B"/>
    <w:rsid w:val="00763A3E"/>
    <w:rsid w:val="00774A81"/>
    <w:rsid w:val="007805CB"/>
    <w:rsid w:val="00780C09"/>
    <w:rsid w:val="00781041"/>
    <w:rsid w:val="0079390D"/>
    <w:rsid w:val="00794368"/>
    <w:rsid w:val="00795073"/>
    <w:rsid w:val="007969B7"/>
    <w:rsid w:val="00796A78"/>
    <w:rsid w:val="007A14CB"/>
    <w:rsid w:val="007A5DF1"/>
    <w:rsid w:val="007B2993"/>
    <w:rsid w:val="007B2CEF"/>
    <w:rsid w:val="007C0068"/>
    <w:rsid w:val="007C1E90"/>
    <w:rsid w:val="007C4781"/>
    <w:rsid w:val="007C77C1"/>
    <w:rsid w:val="007D5C06"/>
    <w:rsid w:val="007F10EF"/>
    <w:rsid w:val="007F6E71"/>
    <w:rsid w:val="00800EAC"/>
    <w:rsid w:val="00801682"/>
    <w:rsid w:val="008029B5"/>
    <w:rsid w:val="0080735E"/>
    <w:rsid w:val="008121A6"/>
    <w:rsid w:val="008126AD"/>
    <w:rsid w:val="00815EA9"/>
    <w:rsid w:val="008177BD"/>
    <w:rsid w:val="00820BFF"/>
    <w:rsid w:val="00823858"/>
    <w:rsid w:val="00827E17"/>
    <w:rsid w:val="00831033"/>
    <w:rsid w:val="00832590"/>
    <w:rsid w:val="00836DF5"/>
    <w:rsid w:val="00837FFA"/>
    <w:rsid w:val="00841914"/>
    <w:rsid w:val="008447F3"/>
    <w:rsid w:val="00846892"/>
    <w:rsid w:val="008468B6"/>
    <w:rsid w:val="00847B5D"/>
    <w:rsid w:val="00851E96"/>
    <w:rsid w:val="0085298B"/>
    <w:rsid w:val="00855736"/>
    <w:rsid w:val="00856F05"/>
    <w:rsid w:val="008578B6"/>
    <w:rsid w:val="00863168"/>
    <w:rsid w:val="00865226"/>
    <w:rsid w:val="00865775"/>
    <w:rsid w:val="00871A25"/>
    <w:rsid w:val="0087276F"/>
    <w:rsid w:val="00872D79"/>
    <w:rsid w:val="00880743"/>
    <w:rsid w:val="008812E1"/>
    <w:rsid w:val="00884789"/>
    <w:rsid w:val="00884E96"/>
    <w:rsid w:val="00894CD3"/>
    <w:rsid w:val="00895D45"/>
    <w:rsid w:val="008A0BA5"/>
    <w:rsid w:val="008A35ED"/>
    <w:rsid w:val="008A64DD"/>
    <w:rsid w:val="008A72CC"/>
    <w:rsid w:val="008A78C7"/>
    <w:rsid w:val="008B2AF9"/>
    <w:rsid w:val="008B4017"/>
    <w:rsid w:val="008B45A6"/>
    <w:rsid w:val="008B4F37"/>
    <w:rsid w:val="008C59E5"/>
    <w:rsid w:val="008D65D8"/>
    <w:rsid w:val="008D7A64"/>
    <w:rsid w:val="008D7E12"/>
    <w:rsid w:val="008E17B2"/>
    <w:rsid w:val="008E2187"/>
    <w:rsid w:val="008E236D"/>
    <w:rsid w:val="008E3B2E"/>
    <w:rsid w:val="008E3CFE"/>
    <w:rsid w:val="008F6947"/>
    <w:rsid w:val="008F725D"/>
    <w:rsid w:val="008F77F1"/>
    <w:rsid w:val="009012FB"/>
    <w:rsid w:val="0090290A"/>
    <w:rsid w:val="00905C5F"/>
    <w:rsid w:val="00906EE5"/>
    <w:rsid w:val="00907201"/>
    <w:rsid w:val="0090784B"/>
    <w:rsid w:val="00910711"/>
    <w:rsid w:val="00920012"/>
    <w:rsid w:val="00922B14"/>
    <w:rsid w:val="009230F4"/>
    <w:rsid w:val="009271AB"/>
    <w:rsid w:val="00930D54"/>
    <w:rsid w:val="00945C71"/>
    <w:rsid w:val="009470BB"/>
    <w:rsid w:val="00951673"/>
    <w:rsid w:val="009527AC"/>
    <w:rsid w:val="00954D3D"/>
    <w:rsid w:val="00961EB8"/>
    <w:rsid w:val="00966568"/>
    <w:rsid w:val="00972FEF"/>
    <w:rsid w:val="00974617"/>
    <w:rsid w:val="00980218"/>
    <w:rsid w:val="00992C92"/>
    <w:rsid w:val="00997C2C"/>
    <w:rsid w:val="009A4D7B"/>
    <w:rsid w:val="009A53F2"/>
    <w:rsid w:val="009B4D3C"/>
    <w:rsid w:val="009C015A"/>
    <w:rsid w:val="009C131A"/>
    <w:rsid w:val="009C1DAC"/>
    <w:rsid w:val="009C5684"/>
    <w:rsid w:val="009D5CB3"/>
    <w:rsid w:val="009D6ED1"/>
    <w:rsid w:val="009D7556"/>
    <w:rsid w:val="009F001A"/>
    <w:rsid w:val="00A00F7F"/>
    <w:rsid w:val="00A06679"/>
    <w:rsid w:val="00A0709D"/>
    <w:rsid w:val="00A07F99"/>
    <w:rsid w:val="00A13549"/>
    <w:rsid w:val="00A157BE"/>
    <w:rsid w:val="00A247E8"/>
    <w:rsid w:val="00A31AA5"/>
    <w:rsid w:val="00A32F6F"/>
    <w:rsid w:val="00A336A7"/>
    <w:rsid w:val="00A33B6C"/>
    <w:rsid w:val="00A36F5E"/>
    <w:rsid w:val="00A43FE8"/>
    <w:rsid w:val="00A46353"/>
    <w:rsid w:val="00A50138"/>
    <w:rsid w:val="00A52357"/>
    <w:rsid w:val="00A5294B"/>
    <w:rsid w:val="00A54DAE"/>
    <w:rsid w:val="00A54FAD"/>
    <w:rsid w:val="00A574D8"/>
    <w:rsid w:val="00A57A4C"/>
    <w:rsid w:val="00A605C3"/>
    <w:rsid w:val="00A7078D"/>
    <w:rsid w:val="00A7107B"/>
    <w:rsid w:val="00A83822"/>
    <w:rsid w:val="00A83876"/>
    <w:rsid w:val="00A83AD6"/>
    <w:rsid w:val="00A876BC"/>
    <w:rsid w:val="00A92935"/>
    <w:rsid w:val="00A93321"/>
    <w:rsid w:val="00A97370"/>
    <w:rsid w:val="00AA08C5"/>
    <w:rsid w:val="00AA299F"/>
    <w:rsid w:val="00AA7469"/>
    <w:rsid w:val="00AB224D"/>
    <w:rsid w:val="00AB74F2"/>
    <w:rsid w:val="00AD12E0"/>
    <w:rsid w:val="00AD26F1"/>
    <w:rsid w:val="00AD63AE"/>
    <w:rsid w:val="00AE3B82"/>
    <w:rsid w:val="00AF0D7C"/>
    <w:rsid w:val="00AF2874"/>
    <w:rsid w:val="00AF41FA"/>
    <w:rsid w:val="00AF6C04"/>
    <w:rsid w:val="00AF7358"/>
    <w:rsid w:val="00B021A0"/>
    <w:rsid w:val="00B10262"/>
    <w:rsid w:val="00B166A1"/>
    <w:rsid w:val="00B17831"/>
    <w:rsid w:val="00B235F1"/>
    <w:rsid w:val="00B2697B"/>
    <w:rsid w:val="00B31C59"/>
    <w:rsid w:val="00B36236"/>
    <w:rsid w:val="00B369DA"/>
    <w:rsid w:val="00B46A93"/>
    <w:rsid w:val="00B50C53"/>
    <w:rsid w:val="00B63132"/>
    <w:rsid w:val="00B64C4D"/>
    <w:rsid w:val="00B6612D"/>
    <w:rsid w:val="00B7202B"/>
    <w:rsid w:val="00B730CF"/>
    <w:rsid w:val="00B7443B"/>
    <w:rsid w:val="00B76FF2"/>
    <w:rsid w:val="00B775D2"/>
    <w:rsid w:val="00B80320"/>
    <w:rsid w:val="00B80498"/>
    <w:rsid w:val="00B8194E"/>
    <w:rsid w:val="00B82258"/>
    <w:rsid w:val="00B942B6"/>
    <w:rsid w:val="00B9456A"/>
    <w:rsid w:val="00B955C7"/>
    <w:rsid w:val="00BA0855"/>
    <w:rsid w:val="00BA3455"/>
    <w:rsid w:val="00BA6F68"/>
    <w:rsid w:val="00BA7726"/>
    <w:rsid w:val="00BB13FF"/>
    <w:rsid w:val="00BC4B99"/>
    <w:rsid w:val="00BC589A"/>
    <w:rsid w:val="00BC5AC6"/>
    <w:rsid w:val="00BC6EAB"/>
    <w:rsid w:val="00BD3975"/>
    <w:rsid w:val="00BE00BB"/>
    <w:rsid w:val="00BE3518"/>
    <w:rsid w:val="00BE5D4A"/>
    <w:rsid w:val="00BE773A"/>
    <w:rsid w:val="00BE7CA1"/>
    <w:rsid w:val="00BF2B1B"/>
    <w:rsid w:val="00BF2DCC"/>
    <w:rsid w:val="00C000A2"/>
    <w:rsid w:val="00C0180B"/>
    <w:rsid w:val="00C02E1D"/>
    <w:rsid w:val="00C0458D"/>
    <w:rsid w:val="00C06D3B"/>
    <w:rsid w:val="00C06DAE"/>
    <w:rsid w:val="00C176D6"/>
    <w:rsid w:val="00C213C2"/>
    <w:rsid w:val="00C26207"/>
    <w:rsid w:val="00C30A5C"/>
    <w:rsid w:val="00C317C0"/>
    <w:rsid w:val="00C352BC"/>
    <w:rsid w:val="00C44951"/>
    <w:rsid w:val="00C44A31"/>
    <w:rsid w:val="00C50E34"/>
    <w:rsid w:val="00C61881"/>
    <w:rsid w:val="00C62B4A"/>
    <w:rsid w:val="00C6448A"/>
    <w:rsid w:val="00C64DCA"/>
    <w:rsid w:val="00C706A3"/>
    <w:rsid w:val="00C830DD"/>
    <w:rsid w:val="00C856E4"/>
    <w:rsid w:val="00C862D8"/>
    <w:rsid w:val="00C87FC1"/>
    <w:rsid w:val="00C94033"/>
    <w:rsid w:val="00C94EB0"/>
    <w:rsid w:val="00C95A68"/>
    <w:rsid w:val="00C9677D"/>
    <w:rsid w:val="00CA5F47"/>
    <w:rsid w:val="00CA7111"/>
    <w:rsid w:val="00CA72B7"/>
    <w:rsid w:val="00CA7B57"/>
    <w:rsid w:val="00CA7D99"/>
    <w:rsid w:val="00CB1B65"/>
    <w:rsid w:val="00CB2E2A"/>
    <w:rsid w:val="00CB3076"/>
    <w:rsid w:val="00CB3507"/>
    <w:rsid w:val="00CB55BB"/>
    <w:rsid w:val="00CC09B5"/>
    <w:rsid w:val="00CC3707"/>
    <w:rsid w:val="00CC5B5C"/>
    <w:rsid w:val="00CC5E4B"/>
    <w:rsid w:val="00CC7A08"/>
    <w:rsid w:val="00CC7EBE"/>
    <w:rsid w:val="00CD05DB"/>
    <w:rsid w:val="00CE15C5"/>
    <w:rsid w:val="00CE45EE"/>
    <w:rsid w:val="00CE4679"/>
    <w:rsid w:val="00CE7965"/>
    <w:rsid w:val="00CF178F"/>
    <w:rsid w:val="00CF2118"/>
    <w:rsid w:val="00CF33EC"/>
    <w:rsid w:val="00D0111C"/>
    <w:rsid w:val="00D03CC4"/>
    <w:rsid w:val="00D048DD"/>
    <w:rsid w:val="00D052EB"/>
    <w:rsid w:val="00D07E5A"/>
    <w:rsid w:val="00D12377"/>
    <w:rsid w:val="00D14000"/>
    <w:rsid w:val="00D16C02"/>
    <w:rsid w:val="00D21E12"/>
    <w:rsid w:val="00D21F89"/>
    <w:rsid w:val="00D22B43"/>
    <w:rsid w:val="00D237C9"/>
    <w:rsid w:val="00D25CAE"/>
    <w:rsid w:val="00D26FF6"/>
    <w:rsid w:val="00D27DAC"/>
    <w:rsid w:val="00D32AEC"/>
    <w:rsid w:val="00D330CF"/>
    <w:rsid w:val="00D345FA"/>
    <w:rsid w:val="00D357C2"/>
    <w:rsid w:val="00D46809"/>
    <w:rsid w:val="00D47D0F"/>
    <w:rsid w:val="00D50749"/>
    <w:rsid w:val="00D51495"/>
    <w:rsid w:val="00D517C8"/>
    <w:rsid w:val="00D55D6F"/>
    <w:rsid w:val="00D5607A"/>
    <w:rsid w:val="00D564B4"/>
    <w:rsid w:val="00D569EE"/>
    <w:rsid w:val="00D57579"/>
    <w:rsid w:val="00D57757"/>
    <w:rsid w:val="00D62F49"/>
    <w:rsid w:val="00D6315A"/>
    <w:rsid w:val="00D70913"/>
    <w:rsid w:val="00D71C6A"/>
    <w:rsid w:val="00D764C1"/>
    <w:rsid w:val="00D87B9C"/>
    <w:rsid w:val="00D90F3E"/>
    <w:rsid w:val="00D91249"/>
    <w:rsid w:val="00D92DA6"/>
    <w:rsid w:val="00D935CC"/>
    <w:rsid w:val="00DA5380"/>
    <w:rsid w:val="00DA700E"/>
    <w:rsid w:val="00DB0605"/>
    <w:rsid w:val="00DC0958"/>
    <w:rsid w:val="00DD3969"/>
    <w:rsid w:val="00DE2921"/>
    <w:rsid w:val="00DE3D4F"/>
    <w:rsid w:val="00DE60B7"/>
    <w:rsid w:val="00DF3676"/>
    <w:rsid w:val="00DF796E"/>
    <w:rsid w:val="00E022AC"/>
    <w:rsid w:val="00E03CF7"/>
    <w:rsid w:val="00E07757"/>
    <w:rsid w:val="00E10E36"/>
    <w:rsid w:val="00E1166D"/>
    <w:rsid w:val="00E12302"/>
    <w:rsid w:val="00E125E2"/>
    <w:rsid w:val="00E13EFD"/>
    <w:rsid w:val="00E1773F"/>
    <w:rsid w:val="00E20A8B"/>
    <w:rsid w:val="00E22B2F"/>
    <w:rsid w:val="00E24CA0"/>
    <w:rsid w:val="00E25968"/>
    <w:rsid w:val="00E26DA5"/>
    <w:rsid w:val="00E27DF5"/>
    <w:rsid w:val="00E33DFA"/>
    <w:rsid w:val="00E36397"/>
    <w:rsid w:val="00E36C4F"/>
    <w:rsid w:val="00E40FFD"/>
    <w:rsid w:val="00E417DD"/>
    <w:rsid w:val="00E432FB"/>
    <w:rsid w:val="00E62601"/>
    <w:rsid w:val="00E66AB6"/>
    <w:rsid w:val="00E71769"/>
    <w:rsid w:val="00E73400"/>
    <w:rsid w:val="00E739F6"/>
    <w:rsid w:val="00E75D94"/>
    <w:rsid w:val="00E84F8D"/>
    <w:rsid w:val="00E87686"/>
    <w:rsid w:val="00E90BFF"/>
    <w:rsid w:val="00E96F09"/>
    <w:rsid w:val="00E973A0"/>
    <w:rsid w:val="00EA0150"/>
    <w:rsid w:val="00EA10D7"/>
    <w:rsid w:val="00EA436B"/>
    <w:rsid w:val="00EA482E"/>
    <w:rsid w:val="00EA500B"/>
    <w:rsid w:val="00EB1F4E"/>
    <w:rsid w:val="00EB2074"/>
    <w:rsid w:val="00EB2355"/>
    <w:rsid w:val="00EB380D"/>
    <w:rsid w:val="00EB4EC6"/>
    <w:rsid w:val="00EB5D5B"/>
    <w:rsid w:val="00EB7D2C"/>
    <w:rsid w:val="00EB7F12"/>
    <w:rsid w:val="00EC0BE9"/>
    <w:rsid w:val="00EC5C90"/>
    <w:rsid w:val="00EC7C1B"/>
    <w:rsid w:val="00ED436E"/>
    <w:rsid w:val="00ED7223"/>
    <w:rsid w:val="00ED7748"/>
    <w:rsid w:val="00EE7311"/>
    <w:rsid w:val="00EE7D9D"/>
    <w:rsid w:val="00EF543C"/>
    <w:rsid w:val="00EF6B26"/>
    <w:rsid w:val="00EF7C54"/>
    <w:rsid w:val="00F01FA1"/>
    <w:rsid w:val="00F020B3"/>
    <w:rsid w:val="00F02A7A"/>
    <w:rsid w:val="00F0407F"/>
    <w:rsid w:val="00F06050"/>
    <w:rsid w:val="00F100C3"/>
    <w:rsid w:val="00F14769"/>
    <w:rsid w:val="00F15EB5"/>
    <w:rsid w:val="00F1665D"/>
    <w:rsid w:val="00F17DB4"/>
    <w:rsid w:val="00F25B82"/>
    <w:rsid w:val="00F27ADF"/>
    <w:rsid w:val="00F338DA"/>
    <w:rsid w:val="00F40094"/>
    <w:rsid w:val="00F4197F"/>
    <w:rsid w:val="00F4383F"/>
    <w:rsid w:val="00F46556"/>
    <w:rsid w:val="00F476A6"/>
    <w:rsid w:val="00F511B6"/>
    <w:rsid w:val="00F53882"/>
    <w:rsid w:val="00F60A10"/>
    <w:rsid w:val="00F63348"/>
    <w:rsid w:val="00F63C5C"/>
    <w:rsid w:val="00F64C34"/>
    <w:rsid w:val="00F70FD0"/>
    <w:rsid w:val="00F810E1"/>
    <w:rsid w:val="00F81615"/>
    <w:rsid w:val="00F81BA0"/>
    <w:rsid w:val="00F81CF8"/>
    <w:rsid w:val="00F832A6"/>
    <w:rsid w:val="00F8338F"/>
    <w:rsid w:val="00F96E3A"/>
    <w:rsid w:val="00FA08A2"/>
    <w:rsid w:val="00FA403D"/>
    <w:rsid w:val="00FA4283"/>
    <w:rsid w:val="00FB03FE"/>
    <w:rsid w:val="00FB1BCC"/>
    <w:rsid w:val="00FB6B23"/>
    <w:rsid w:val="00FC1AB9"/>
    <w:rsid w:val="00FD3CEE"/>
    <w:rsid w:val="00FD3CF2"/>
    <w:rsid w:val="00FD458C"/>
    <w:rsid w:val="00FD7E5D"/>
    <w:rsid w:val="00FE23E1"/>
    <w:rsid w:val="00FE26AD"/>
    <w:rsid w:val="00FE274B"/>
    <w:rsid w:val="00FE4E46"/>
    <w:rsid w:val="00FE5179"/>
    <w:rsid w:val="00FF11DC"/>
    <w:rsid w:val="00FF5B7F"/>
    <w:rsid w:val="00FF5DA3"/>
    <w:rsid w:val="00FF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2257" fill="f" fillcolor="white" stroke="f">
      <v:fill color="white" on="f"/>
      <v:stroke on="f"/>
      <v:textbox inset="0,0,0,0"/>
      <o:colormenu v:ext="edit" strokecolor="none"/>
    </o:shapedefaults>
    <o:shapelayout v:ext="edit">
      <o:idmap v:ext="edit" data="1"/>
    </o:shapelayout>
  </w:shapeDefaults>
  <w:decimalSymbol w:val="."/>
  <w:listSeparator w:val=","/>
  <w14:docId w14:val="7B62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9" w:qFormat="1"/>
    <w:lsdException w:name="heading 7" w:uiPriority="19" w:qFormat="1"/>
    <w:lsdException w:name="heading 8" w:uiPriority="19"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lsdException w:name="List Bullet 2" w:uiPriority="2"/>
    <w:lsdException w:name="Title" w:semiHidden="0" w:uiPriority="29" w:unhideWhenUsed="0" w:qFormat="1"/>
    <w:lsdException w:name="Default Paragraph Font" w:uiPriority="1"/>
    <w:lsdException w:name="Body Text" w:uiPriority="29" w:qFormat="1"/>
    <w:lsdException w:name="Subtitle" w:uiPriority="29" w:unhideWhenUsed="0" w:qFormat="1"/>
    <w:lsdException w:name="Strong" w:semiHidden="0" w:uiPriority="29" w:unhideWhenUsed="0" w:qFormat="1"/>
    <w:lsdException w:name="Emphasis" w:semiHidden="0" w:uiPriority="29"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9" w:unhideWhenUsed="0" w:qFormat="1"/>
    <w:lsdException w:name="Intense Emphasis" w:semiHidden="0" w:uiPriority="2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BB8"/>
    <w:pPr>
      <w:spacing w:after="240" w:line="240" w:lineRule="auto"/>
    </w:pPr>
    <w:rPr>
      <w:rFonts w:ascii="Arial" w:hAnsi="Arial"/>
      <w:color w:val="394A58" w:themeColor="text2"/>
      <w:sz w:val="20"/>
    </w:rPr>
  </w:style>
  <w:style w:type="paragraph" w:styleId="Heading1">
    <w:name w:val="heading 1"/>
    <w:basedOn w:val="Normal"/>
    <w:next w:val="Heading2"/>
    <w:link w:val="Heading1Char"/>
    <w:uiPriority w:val="1"/>
    <w:qFormat/>
    <w:rsid w:val="00894CD3"/>
    <w:pPr>
      <w:keepNext/>
      <w:keepLines/>
      <w:numPr>
        <w:numId w:val="9"/>
      </w:numPr>
      <w:spacing w:after="360"/>
      <w:outlineLvl w:val="0"/>
    </w:pPr>
    <w:rPr>
      <w:rFonts w:eastAsia="Times New Roman" w:cs="Times New Roman"/>
      <w:b/>
      <w:bCs/>
      <w:color w:val="394A58" w:themeColor="accent2"/>
      <w:sz w:val="48"/>
      <w:szCs w:val="28"/>
    </w:rPr>
  </w:style>
  <w:style w:type="paragraph" w:styleId="Heading2">
    <w:name w:val="heading 2"/>
    <w:basedOn w:val="Normal"/>
    <w:link w:val="Heading2Char"/>
    <w:uiPriority w:val="1"/>
    <w:unhideWhenUsed/>
    <w:qFormat/>
    <w:rsid w:val="0011708A"/>
    <w:pPr>
      <w:keepNext/>
      <w:keepLines/>
      <w:numPr>
        <w:ilvl w:val="1"/>
        <w:numId w:val="9"/>
      </w:numPr>
      <w:spacing w:before="360" w:after="40"/>
      <w:outlineLvl w:val="1"/>
    </w:pPr>
    <w:rPr>
      <w:rFonts w:eastAsia="Times New Roman" w:cs="Times New Roman"/>
      <w:b/>
      <w:bCs/>
      <w:color w:val="156570" w:themeColor="background2"/>
      <w:sz w:val="30"/>
      <w:szCs w:val="26"/>
    </w:rPr>
  </w:style>
  <w:style w:type="paragraph" w:styleId="Heading3">
    <w:name w:val="heading 3"/>
    <w:basedOn w:val="Normal"/>
    <w:link w:val="Heading3Char"/>
    <w:uiPriority w:val="1"/>
    <w:unhideWhenUsed/>
    <w:qFormat/>
    <w:rsid w:val="0011708A"/>
    <w:pPr>
      <w:keepNext/>
      <w:keepLines/>
      <w:numPr>
        <w:ilvl w:val="2"/>
        <w:numId w:val="9"/>
      </w:numPr>
      <w:spacing w:before="240" w:after="40"/>
      <w:outlineLvl w:val="2"/>
    </w:pPr>
    <w:rPr>
      <w:rFonts w:eastAsia="Times New Roman" w:cs="Times New Roman"/>
      <w:b/>
      <w:bCs/>
      <w:color w:val="156570" w:themeColor="background2"/>
      <w:sz w:val="26"/>
    </w:rPr>
  </w:style>
  <w:style w:type="paragraph" w:styleId="Heading4">
    <w:name w:val="heading 4"/>
    <w:basedOn w:val="Normal"/>
    <w:link w:val="Heading4Char"/>
    <w:uiPriority w:val="1"/>
    <w:unhideWhenUsed/>
    <w:qFormat/>
    <w:rsid w:val="0011708A"/>
    <w:pPr>
      <w:keepNext/>
      <w:keepLines/>
      <w:numPr>
        <w:ilvl w:val="3"/>
        <w:numId w:val="9"/>
      </w:numPr>
      <w:spacing w:before="240" w:after="40"/>
      <w:outlineLvl w:val="3"/>
    </w:pPr>
    <w:rPr>
      <w:rFonts w:eastAsia="Times New Roman" w:cs="Times New Roman"/>
      <w:b/>
      <w:bCs/>
      <w:iCs/>
      <w:color w:val="156570" w:themeColor="background2"/>
      <w:sz w:val="22"/>
    </w:rPr>
  </w:style>
  <w:style w:type="paragraph" w:styleId="Heading5">
    <w:name w:val="heading 5"/>
    <w:basedOn w:val="Normal"/>
    <w:link w:val="Heading5Char"/>
    <w:uiPriority w:val="1"/>
    <w:unhideWhenUsed/>
    <w:qFormat/>
    <w:rsid w:val="0011708A"/>
    <w:pPr>
      <w:keepNext/>
      <w:keepLines/>
      <w:numPr>
        <w:ilvl w:val="4"/>
        <w:numId w:val="9"/>
      </w:numPr>
      <w:spacing w:before="240" w:after="40"/>
      <w:outlineLvl w:val="4"/>
    </w:pPr>
    <w:rPr>
      <w:rFonts w:eastAsia="Times New Roman" w:cs="Times New Roman"/>
      <w:b/>
      <w:color w:val="156570" w:themeColor="background2"/>
      <w:sz w:val="22"/>
    </w:rPr>
  </w:style>
  <w:style w:type="paragraph" w:styleId="Heading6">
    <w:name w:val="heading 6"/>
    <w:basedOn w:val="Normal"/>
    <w:next w:val="Heading7"/>
    <w:link w:val="Heading6Char"/>
    <w:uiPriority w:val="19"/>
    <w:unhideWhenUsed/>
    <w:qFormat/>
    <w:rsid w:val="00CE7965"/>
    <w:pPr>
      <w:keepNext/>
      <w:keepLines/>
      <w:pageBreakBefore/>
      <w:numPr>
        <w:ilvl w:val="5"/>
        <w:numId w:val="9"/>
      </w:numPr>
      <w:tabs>
        <w:tab w:val="left" w:pos="2948"/>
      </w:tabs>
      <w:spacing w:after="360"/>
      <w:ind w:left="2948" w:hanging="2948"/>
      <w:outlineLvl w:val="5"/>
    </w:pPr>
    <w:rPr>
      <w:rFonts w:eastAsia="Times New Roman" w:cs="Times New Roman"/>
      <w:b/>
      <w:iCs/>
      <w:color w:val="394A58" w:themeColor="accent2"/>
      <w:sz w:val="48"/>
    </w:rPr>
  </w:style>
  <w:style w:type="paragraph" w:styleId="Heading7">
    <w:name w:val="heading 7"/>
    <w:basedOn w:val="Normal"/>
    <w:link w:val="Heading7Char"/>
    <w:uiPriority w:val="19"/>
    <w:unhideWhenUsed/>
    <w:qFormat/>
    <w:rsid w:val="0011708A"/>
    <w:pPr>
      <w:keepNext/>
      <w:keepLines/>
      <w:numPr>
        <w:ilvl w:val="6"/>
        <w:numId w:val="9"/>
      </w:numPr>
      <w:spacing w:before="360" w:after="40"/>
      <w:outlineLvl w:val="6"/>
    </w:pPr>
    <w:rPr>
      <w:rFonts w:eastAsia="Times New Roman" w:cs="Times New Roman"/>
      <w:b/>
      <w:iCs/>
      <w:color w:val="156570" w:themeColor="background2"/>
      <w:sz w:val="30"/>
    </w:rPr>
  </w:style>
  <w:style w:type="paragraph" w:styleId="Heading8">
    <w:name w:val="heading 8"/>
    <w:basedOn w:val="Normal"/>
    <w:link w:val="Heading8Char"/>
    <w:uiPriority w:val="19"/>
    <w:unhideWhenUsed/>
    <w:qFormat/>
    <w:rsid w:val="0011708A"/>
    <w:pPr>
      <w:keepNext/>
      <w:keepLines/>
      <w:numPr>
        <w:ilvl w:val="7"/>
        <w:numId w:val="9"/>
      </w:numPr>
      <w:spacing w:before="240" w:after="40"/>
      <w:outlineLvl w:val="7"/>
    </w:pPr>
    <w:rPr>
      <w:rFonts w:eastAsia="Times New Roman" w:cs="Times New Roman"/>
      <w:b/>
      <w:color w:val="156570" w:themeColor="background2"/>
      <w:sz w:val="26"/>
      <w:szCs w:val="20"/>
    </w:rPr>
  </w:style>
  <w:style w:type="paragraph" w:styleId="Heading9">
    <w:name w:val="heading 9"/>
    <w:basedOn w:val="Normal"/>
    <w:link w:val="Heading9Char"/>
    <w:uiPriority w:val="19"/>
    <w:unhideWhenUsed/>
    <w:qFormat/>
    <w:rsid w:val="0011708A"/>
    <w:pPr>
      <w:keepNext/>
      <w:keepLines/>
      <w:numPr>
        <w:ilvl w:val="8"/>
        <w:numId w:val="9"/>
      </w:numPr>
      <w:spacing w:before="240" w:after="40"/>
      <w:outlineLvl w:val="8"/>
    </w:pPr>
    <w:rPr>
      <w:rFonts w:eastAsia="Times New Roman" w:cs="Times New Roman"/>
      <w:b/>
      <w:iCs/>
      <w:color w:val="156570" w:themeColor="background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4CD3"/>
    <w:rPr>
      <w:rFonts w:ascii="Arial" w:eastAsia="Times New Roman" w:hAnsi="Arial" w:cs="Times New Roman"/>
      <w:b/>
      <w:bCs/>
      <w:color w:val="394A58" w:themeColor="accent2"/>
      <w:sz w:val="48"/>
      <w:szCs w:val="28"/>
    </w:rPr>
  </w:style>
  <w:style w:type="character" w:customStyle="1" w:styleId="Heading2Char">
    <w:name w:val="Heading 2 Char"/>
    <w:basedOn w:val="DefaultParagraphFont"/>
    <w:link w:val="Heading2"/>
    <w:uiPriority w:val="1"/>
    <w:rsid w:val="00215393"/>
    <w:rPr>
      <w:rFonts w:ascii="Arial" w:eastAsia="Times New Roman" w:hAnsi="Arial" w:cs="Times New Roman"/>
      <w:b/>
      <w:bCs/>
      <w:color w:val="156570" w:themeColor="background2"/>
      <w:sz w:val="30"/>
      <w:szCs w:val="26"/>
    </w:rPr>
  </w:style>
  <w:style w:type="character" w:customStyle="1" w:styleId="Heading3Char">
    <w:name w:val="Heading 3 Char"/>
    <w:basedOn w:val="DefaultParagraphFont"/>
    <w:link w:val="Heading3"/>
    <w:uiPriority w:val="1"/>
    <w:rsid w:val="00215393"/>
    <w:rPr>
      <w:rFonts w:ascii="Arial" w:eastAsia="Times New Roman" w:hAnsi="Arial" w:cs="Times New Roman"/>
      <w:b/>
      <w:bCs/>
      <w:color w:val="156570" w:themeColor="background2"/>
      <w:sz w:val="26"/>
    </w:rPr>
  </w:style>
  <w:style w:type="character" w:customStyle="1" w:styleId="Heading4Char">
    <w:name w:val="Heading 4 Char"/>
    <w:basedOn w:val="DefaultParagraphFont"/>
    <w:link w:val="Heading4"/>
    <w:uiPriority w:val="1"/>
    <w:rsid w:val="00215393"/>
    <w:rPr>
      <w:rFonts w:ascii="Arial" w:eastAsia="Times New Roman" w:hAnsi="Arial" w:cs="Times New Roman"/>
      <w:b/>
      <w:bCs/>
      <w:iCs/>
      <w:color w:val="156570" w:themeColor="background2"/>
    </w:rPr>
  </w:style>
  <w:style w:type="character" w:customStyle="1" w:styleId="Heading5Char">
    <w:name w:val="Heading 5 Char"/>
    <w:basedOn w:val="DefaultParagraphFont"/>
    <w:link w:val="Heading5"/>
    <w:uiPriority w:val="1"/>
    <w:rsid w:val="00215393"/>
    <w:rPr>
      <w:rFonts w:ascii="Arial" w:eastAsia="Times New Roman" w:hAnsi="Arial" w:cs="Times New Roman"/>
      <w:b/>
      <w:color w:val="156570" w:themeColor="background2"/>
    </w:rPr>
  </w:style>
  <w:style w:type="paragraph" w:customStyle="1" w:styleId="DocTitle">
    <w:name w:val="DocTitle"/>
    <w:basedOn w:val="Normal"/>
    <w:uiPriority w:val="29"/>
    <w:semiHidden/>
    <w:qFormat/>
    <w:rsid w:val="00E13EFD"/>
    <w:pPr>
      <w:spacing w:after="0"/>
      <w:ind w:right="1701"/>
    </w:pPr>
    <w:rPr>
      <w:b/>
      <w:sz w:val="48"/>
    </w:rPr>
  </w:style>
  <w:style w:type="paragraph" w:customStyle="1" w:styleId="DocSubTitle">
    <w:name w:val="DocSubTitle"/>
    <w:basedOn w:val="DocTitle"/>
    <w:uiPriority w:val="29"/>
    <w:semiHidden/>
    <w:qFormat/>
    <w:rsid w:val="00980218"/>
    <w:rPr>
      <w:b w:val="0"/>
    </w:rPr>
  </w:style>
  <w:style w:type="paragraph" w:customStyle="1" w:styleId="DocType">
    <w:name w:val="DocType"/>
    <w:basedOn w:val="DocTitle"/>
    <w:uiPriority w:val="29"/>
    <w:semiHidden/>
    <w:qFormat/>
    <w:rsid w:val="00CC7A08"/>
    <w:rPr>
      <w:sz w:val="22"/>
    </w:rPr>
  </w:style>
  <w:style w:type="paragraph" w:customStyle="1" w:styleId="DocDate">
    <w:name w:val="DocDate"/>
    <w:basedOn w:val="DocType"/>
    <w:uiPriority w:val="29"/>
    <w:semiHidden/>
    <w:qFormat/>
    <w:rsid w:val="00980218"/>
    <w:pPr>
      <w:spacing w:before="360"/>
    </w:pPr>
  </w:style>
  <w:style w:type="paragraph" w:styleId="Header">
    <w:name w:val="header"/>
    <w:basedOn w:val="Normal"/>
    <w:link w:val="HeaderChar"/>
    <w:uiPriority w:val="99"/>
    <w:semiHidden/>
    <w:rsid w:val="00815EA9"/>
    <w:pPr>
      <w:tabs>
        <w:tab w:val="center" w:pos="4513"/>
        <w:tab w:val="right" w:pos="9026"/>
      </w:tabs>
      <w:spacing w:after="0"/>
    </w:pPr>
  </w:style>
  <w:style w:type="character" w:customStyle="1" w:styleId="HeaderChar">
    <w:name w:val="Header Char"/>
    <w:basedOn w:val="DefaultParagraphFont"/>
    <w:link w:val="Header"/>
    <w:uiPriority w:val="99"/>
    <w:semiHidden/>
    <w:rsid w:val="00215393"/>
    <w:rPr>
      <w:rFonts w:ascii="Arial" w:hAnsi="Arial"/>
      <w:color w:val="394A58" w:themeColor="text2"/>
      <w:sz w:val="20"/>
    </w:rPr>
  </w:style>
  <w:style w:type="paragraph" w:styleId="Footer">
    <w:name w:val="footer"/>
    <w:basedOn w:val="Normal"/>
    <w:link w:val="FooterChar"/>
    <w:uiPriority w:val="99"/>
    <w:semiHidden/>
    <w:rsid w:val="004C787C"/>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215393"/>
    <w:rPr>
      <w:rFonts w:ascii="Arial" w:hAnsi="Arial"/>
      <w:color w:val="394A58" w:themeColor="text2"/>
      <w:sz w:val="18"/>
    </w:rPr>
  </w:style>
  <w:style w:type="paragraph" w:customStyle="1" w:styleId="Heading1NoNumb">
    <w:name w:val="Heading 1NoNumb"/>
    <w:basedOn w:val="Heading1"/>
    <w:next w:val="Normal"/>
    <w:uiPriority w:val="23"/>
    <w:qFormat/>
    <w:rsid w:val="00781041"/>
    <w:pPr>
      <w:numPr>
        <w:numId w:val="0"/>
      </w:numPr>
    </w:pPr>
  </w:style>
  <w:style w:type="paragraph" w:customStyle="1" w:styleId="Heading2NoNumb">
    <w:name w:val="Heading 2NoNumb"/>
    <w:basedOn w:val="Heading2"/>
    <w:next w:val="Normal"/>
    <w:uiPriority w:val="23"/>
    <w:qFormat/>
    <w:rsid w:val="00781041"/>
    <w:pPr>
      <w:numPr>
        <w:ilvl w:val="0"/>
        <w:numId w:val="0"/>
      </w:numPr>
    </w:pPr>
  </w:style>
  <w:style w:type="paragraph" w:customStyle="1" w:styleId="Heading3NoNumb">
    <w:name w:val="Heading 3NoNumb"/>
    <w:basedOn w:val="Heading3"/>
    <w:next w:val="Normal"/>
    <w:uiPriority w:val="23"/>
    <w:qFormat/>
    <w:rsid w:val="00781041"/>
    <w:pPr>
      <w:numPr>
        <w:ilvl w:val="0"/>
        <w:numId w:val="0"/>
      </w:numPr>
    </w:pPr>
  </w:style>
  <w:style w:type="paragraph" w:customStyle="1" w:styleId="Heading4NoNumb">
    <w:name w:val="Heading 4NoNumb"/>
    <w:basedOn w:val="Heading4"/>
    <w:next w:val="Normal"/>
    <w:uiPriority w:val="23"/>
    <w:qFormat/>
    <w:rsid w:val="00781041"/>
    <w:pPr>
      <w:numPr>
        <w:ilvl w:val="0"/>
        <w:numId w:val="0"/>
      </w:numPr>
    </w:pPr>
  </w:style>
  <w:style w:type="paragraph" w:customStyle="1" w:styleId="Heading5NoNumb">
    <w:name w:val="Heading 5NoNumb"/>
    <w:basedOn w:val="Heading5"/>
    <w:next w:val="Normal"/>
    <w:uiPriority w:val="23"/>
    <w:qFormat/>
    <w:rsid w:val="00781041"/>
    <w:pPr>
      <w:numPr>
        <w:ilvl w:val="0"/>
        <w:numId w:val="0"/>
      </w:numPr>
    </w:pPr>
  </w:style>
  <w:style w:type="paragraph" w:customStyle="1" w:styleId="Heading1NoTOC">
    <w:name w:val="Heading 1NoTOC"/>
    <w:basedOn w:val="Heading1"/>
    <w:next w:val="Normal"/>
    <w:uiPriority w:val="24"/>
    <w:qFormat/>
    <w:rsid w:val="00017172"/>
    <w:pPr>
      <w:numPr>
        <w:numId w:val="0"/>
      </w:numPr>
    </w:pPr>
  </w:style>
  <w:style w:type="paragraph" w:styleId="NoSpacing">
    <w:name w:val="No Spacing"/>
    <w:link w:val="NoSpacingChar"/>
    <w:uiPriority w:val="29"/>
    <w:semiHidden/>
    <w:qFormat/>
    <w:rsid w:val="00E1773F"/>
    <w:pPr>
      <w:spacing w:after="0" w:line="240" w:lineRule="auto"/>
      <w:contextualSpacing/>
    </w:pPr>
    <w:rPr>
      <w:rFonts w:eastAsia="Batang" w:cs="Arial"/>
      <w:color w:val="394A58"/>
      <w:sz w:val="20"/>
      <w:szCs w:val="20"/>
      <w:lang w:eastAsia="ko-KR"/>
    </w:rPr>
  </w:style>
  <w:style w:type="paragraph" w:styleId="BodyText">
    <w:name w:val="Body Text"/>
    <w:link w:val="BodyTextChar"/>
    <w:uiPriority w:val="29"/>
    <w:semiHidden/>
    <w:qFormat/>
    <w:rsid w:val="00E1773F"/>
    <w:pPr>
      <w:spacing w:after="240" w:line="240" w:lineRule="auto"/>
    </w:pPr>
    <w:rPr>
      <w:rFonts w:ascii="Arial" w:eastAsia="Batang" w:hAnsi="Arial" w:cs="Arial"/>
      <w:color w:val="394A58"/>
      <w:sz w:val="20"/>
      <w:szCs w:val="20"/>
      <w:lang w:eastAsia="ko-KR"/>
    </w:rPr>
  </w:style>
  <w:style w:type="character" w:customStyle="1" w:styleId="BodyTextChar">
    <w:name w:val="Body Text Char"/>
    <w:basedOn w:val="DefaultParagraphFont"/>
    <w:link w:val="BodyText"/>
    <w:uiPriority w:val="29"/>
    <w:semiHidden/>
    <w:rsid w:val="00215393"/>
    <w:rPr>
      <w:rFonts w:ascii="Arial" w:eastAsia="Batang" w:hAnsi="Arial" w:cs="Arial"/>
      <w:color w:val="394A58"/>
      <w:sz w:val="20"/>
      <w:szCs w:val="20"/>
      <w:lang w:eastAsia="ko-KR"/>
    </w:rPr>
  </w:style>
  <w:style w:type="character" w:customStyle="1" w:styleId="NoSpacingChar">
    <w:name w:val="No Spacing Char"/>
    <w:basedOn w:val="DefaultParagraphFont"/>
    <w:link w:val="NoSpacing"/>
    <w:uiPriority w:val="29"/>
    <w:semiHidden/>
    <w:rsid w:val="00215393"/>
    <w:rPr>
      <w:rFonts w:eastAsia="Batang" w:cs="Arial"/>
      <w:color w:val="394A58"/>
      <w:sz w:val="20"/>
      <w:szCs w:val="20"/>
      <w:lang w:eastAsia="ko-KR"/>
    </w:rPr>
  </w:style>
  <w:style w:type="table" w:customStyle="1" w:styleId="Atkins14pt">
    <w:name w:val="Atkins_1/4pt"/>
    <w:basedOn w:val="TableNormal"/>
    <w:uiPriority w:val="99"/>
    <w:qFormat/>
    <w:rsid w:val="00A157BE"/>
    <w:pPr>
      <w:spacing w:after="0" w:line="240" w:lineRule="auto"/>
    </w:pPr>
    <w:rPr>
      <w:rFonts w:ascii="Arial" w:eastAsia="Batang" w:hAnsi="Arial" w:cs="Arial"/>
      <w:sz w:val="20"/>
      <w:szCs w:val="20"/>
      <w:lang w:eastAsia="en-GB"/>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57" w:type="dxa"/>
        <w:bottom w:w="0"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IntroHeading">
    <w:name w:val="IntroHeading"/>
    <w:basedOn w:val="Normal"/>
    <w:next w:val="Normal"/>
    <w:uiPriority w:val="29"/>
    <w:semiHidden/>
    <w:qFormat/>
    <w:rsid w:val="0090784B"/>
    <w:pPr>
      <w:spacing w:before="1080" w:after="120"/>
      <w:ind w:right="1418"/>
    </w:pPr>
    <w:rPr>
      <w:b/>
      <w:color w:val="FFFFFF" w:themeColor="background1"/>
      <w:sz w:val="48"/>
    </w:rPr>
  </w:style>
  <w:style w:type="paragraph" w:customStyle="1" w:styleId="IntroText">
    <w:name w:val="IntroText"/>
    <w:basedOn w:val="IntroHeading"/>
    <w:uiPriority w:val="29"/>
    <w:semiHidden/>
    <w:qFormat/>
    <w:rsid w:val="00FD458C"/>
    <w:pPr>
      <w:spacing w:before="0"/>
    </w:pPr>
    <w:rPr>
      <w:b w:val="0"/>
    </w:rPr>
  </w:style>
  <w:style w:type="paragraph" w:customStyle="1" w:styleId="QuoteLarge">
    <w:name w:val="Quote Large"/>
    <w:basedOn w:val="Normal"/>
    <w:next w:val="Normal"/>
    <w:uiPriority w:val="29"/>
    <w:qFormat/>
    <w:rsid w:val="00FD458C"/>
    <w:pPr>
      <w:spacing w:before="240" w:after="480"/>
    </w:pPr>
    <w:rPr>
      <w:sz w:val="48"/>
    </w:rPr>
  </w:style>
  <w:style w:type="character" w:customStyle="1" w:styleId="Heading6Char">
    <w:name w:val="Heading 6 Char"/>
    <w:basedOn w:val="DefaultParagraphFont"/>
    <w:link w:val="Heading6"/>
    <w:uiPriority w:val="19"/>
    <w:rsid w:val="00E07757"/>
    <w:rPr>
      <w:rFonts w:ascii="Arial" w:eastAsia="Times New Roman" w:hAnsi="Arial" w:cs="Times New Roman"/>
      <w:b/>
      <w:iCs/>
      <w:color w:val="394A58" w:themeColor="accent2"/>
      <w:sz w:val="48"/>
    </w:rPr>
  </w:style>
  <w:style w:type="character" w:customStyle="1" w:styleId="Heading7Char">
    <w:name w:val="Heading 7 Char"/>
    <w:basedOn w:val="DefaultParagraphFont"/>
    <w:link w:val="Heading7"/>
    <w:uiPriority w:val="19"/>
    <w:rsid w:val="00E07757"/>
    <w:rPr>
      <w:rFonts w:ascii="Arial" w:eastAsia="Times New Roman" w:hAnsi="Arial" w:cs="Times New Roman"/>
      <w:b/>
      <w:iCs/>
      <w:color w:val="156570" w:themeColor="background2"/>
      <w:sz w:val="30"/>
    </w:rPr>
  </w:style>
  <w:style w:type="character" w:customStyle="1" w:styleId="Heading8Char">
    <w:name w:val="Heading 8 Char"/>
    <w:basedOn w:val="DefaultParagraphFont"/>
    <w:link w:val="Heading8"/>
    <w:uiPriority w:val="19"/>
    <w:rsid w:val="00E07757"/>
    <w:rPr>
      <w:rFonts w:ascii="Arial" w:eastAsia="Times New Roman" w:hAnsi="Arial" w:cs="Times New Roman"/>
      <w:b/>
      <w:color w:val="156570" w:themeColor="background2"/>
      <w:sz w:val="26"/>
      <w:szCs w:val="20"/>
    </w:rPr>
  </w:style>
  <w:style w:type="character" w:customStyle="1" w:styleId="Heading9Char">
    <w:name w:val="Heading 9 Char"/>
    <w:basedOn w:val="DefaultParagraphFont"/>
    <w:link w:val="Heading9"/>
    <w:uiPriority w:val="19"/>
    <w:rsid w:val="00E07757"/>
    <w:rPr>
      <w:rFonts w:ascii="Arial" w:eastAsia="Times New Roman" w:hAnsi="Arial" w:cs="Times New Roman"/>
      <w:b/>
      <w:iCs/>
      <w:color w:val="156570" w:themeColor="background2"/>
      <w:szCs w:val="20"/>
    </w:rPr>
  </w:style>
  <w:style w:type="paragraph" w:styleId="TOC2">
    <w:name w:val="toc 2"/>
    <w:basedOn w:val="Normal"/>
    <w:next w:val="Normal"/>
    <w:autoRedefine/>
    <w:uiPriority w:val="39"/>
    <w:rsid w:val="00E75D94"/>
    <w:pPr>
      <w:tabs>
        <w:tab w:val="right" w:pos="9639"/>
      </w:tabs>
      <w:spacing w:before="120" w:after="0"/>
    </w:pPr>
    <w:rPr>
      <w:b/>
      <w:color w:val="394A58" w:themeColor="accent2"/>
    </w:rPr>
  </w:style>
  <w:style w:type="paragraph" w:styleId="TOC3">
    <w:name w:val="toc 3"/>
    <w:basedOn w:val="Normal"/>
    <w:next w:val="Normal"/>
    <w:autoRedefine/>
    <w:uiPriority w:val="39"/>
    <w:rsid w:val="00B955C7"/>
    <w:pPr>
      <w:tabs>
        <w:tab w:val="left" w:pos="680"/>
        <w:tab w:val="right" w:pos="9639"/>
      </w:tabs>
      <w:spacing w:after="40"/>
      <w:ind w:right="284"/>
    </w:pPr>
  </w:style>
  <w:style w:type="character" w:styleId="Hyperlink">
    <w:name w:val="Hyperlink"/>
    <w:basedOn w:val="DefaultParagraphFont"/>
    <w:uiPriority w:val="99"/>
    <w:rsid w:val="004C1403"/>
    <w:rPr>
      <w:color w:val="394A58" w:themeColor="text2"/>
      <w:u w:val="single"/>
    </w:rPr>
  </w:style>
  <w:style w:type="paragraph" w:styleId="TOC1">
    <w:name w:val="toc 1"/>
    <w:basedOn w:val="Normal"/>
    <w:next w:val="Normal"/>
    <w:autoRedefine/>
    <w:uiPriority w:val="39"/>
    <w:rsid w:val="002618E5"/>
    <w:pPr>
      <w:tabs>
        <w:tab w:val="left" w:pos="680"/>
        <w:tab w:val="left" w:pos="1540"/>
        <w:tab w:val="right" w:pos="9639"/>
      </w:tabs>
      <w:spacing w:before="120" w:after="0"/>
      <w:ind w:right="284"/>
    </w:pPr>
    <w:rPr>
      <w:b/>
      <w:color w:val="394A58" w:themeColor="accent2"/>
    </w:rPr>
  </w:style>
  <w:style w:type="paragraph" w:styleId="TOC4">
    <w:name w:val="toc 4"/>
    <w:basedOn w:val="Normal"/>
    <w:next w:val="Normal"/>
    <w:autoRedefine/>
    <w:uiPriority w:val="39"/>
    <w:rsid w:val="00B7202B"/>
    <w:pPr>
      <w:tabs>
        <w:tab w:val="right" w:pos="9639"/>
      </w:tabs>
      <w:spacing w:after="40"/>
      <w:ind w:right="284"/>
    </w:pPr>
  </w:style>
  <w:style w:type="paragraph" w:customStyle="1" w:styleId="TableText">
    <w:name w:val="TableText"/>
    <w:basedOn w:val="BodyText"/>
    <w:uiPriority w:val="16"/>
    <w:qFormat/>
    <w:rsid w:val="00C02E1D"/>
    <w:pPr>
      <w:spacing w:before="40" w:after="40"/>
    </w:pPr>
    <w:rPr>
      <w:color w:val="394A58" w:themeColor="text2"/>
    </w:rPr>
  </w:style>
  <w:style w:type="paragraph" w:customStyle="1" w:styleId="TableHeading">
    <w:name w:val="TableHeading"/>
    <w:basedOn w:val="TableText"/>
    <w:uiPriority w:val="16"/>
    <w:qFormat/>
    <w:rsid w:val="00131877"/>
    <w:pPr>
      <w:spacing w:before="60" w:after="60"/>
    </w:pPr>
    <w:rPr>
      <w:b/>
    </w:rPr>
  </w:style>
  <w:style w:type="table" w:styleId="TableGrid">
    <w:name w:val="Table Grid"/>
    <w:basedOn w:val="TableNormal"/>
    <w:uiPriority w:val="59"/>
    <w:rsid w:val="00544B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itle">
    <w:name w:val="TableTitle"/>
    <w:basedOn w:val="Normal"/>
    <w:uiPriority w:val="15"/>
    <w:qFormat/>
    <w:rsid w:val="000F17C6"/>
    <w:pPr>
      <w:numPr>
        <w:numId w:val="5"/>
      </w:numPr>
      <w:spacing w:before="240" w:after="120"/>
      <w:ind w:left="1021" w:hanging="1021"/>
    </w:pPr>
    <w:rPr>
      <w:b/>
    </w:rPr>
  </w:style>
  <w:style w:type="paragraph" w:customStyle="1" w:styleId="NormalNoSpace">
    <w:name w:val="NormalNoSpace"/>
    <w:basedOn w:val="Normal"/>
    <w:qFormat/>
    <w:rsid w:val="0011708A"/>
    <w:pPr>
      <w:spacing w:after="0"/>
    </w:pPr>
  </w:style>
  <w:style w:type="paragraph" w:styleId="TOC5">
    <w:name w:val="toc 5"/>
    <w:basedOn w:val="Normal"/>
    <w:next w:val="Normal"/>
    <w:autoRedefine/>
    <w:uiPriority w:val="39"/>
    <w:rsid w:val="009C5684"/>
    <w:pPr>
      <w:tabs>
        <w:tab w:val="left" w:pos="1134"/>
        <w:tab w:val="right" w:pos="9639"/>
      </w:tabs>
      <w:spacing w:after="40"/>
      <w:ind w:left="680" w:right="284" w:hanging="680"/>
    </w:pPr>
  </w:style>
  <w:style w:type="paragraph" w:customStyle="1" w:styleId="FigureTitle">
    <w:name w:val="FigureTitle"/>
    <w:basedOn w:val="Normal"/>
    <w:next w:val="Normal"/>
    <w:uiPriority w:val="11"/>
    <w:qFormat/>
    <w:rsid w:val="000F17C6"/>
    <w:pPr>
      <w:numPr>
        <w:numId w:val="6"/>
      </w:numPr>
    </w:pPr>
    <w:rPr>
      <w:b/>
    </w:rPr>
  </w:style>
  <w:style w:type="paragraph" w:customStyle="1" w:styleId="ListBulletLast">
    <w:name w:val="List Bullet Last"/>
    <w:basedOn w:val="ListBullet"/>
    <w:next w:val="Normal"/>
    <w:uiPriority w:val="2"/>
    <w:qFormat/>
    <w:rsid w:val="00CE4679"/>
    <w:pPr>
      <w:spacing w:after="240"/>
    </w:pPr>
  </w:style>
  <w:style w:type="paragraph" w:customStyle="1" w:styleId="ListBullet2Last">
    <w:name w:val="List Bullet 2 Last"/>
    <w:basedOn w:val="ListBullet2"/>
    <w:next w:val="Normal"/>
    <w:uiPriority w:val="2"/>
    <w:qFormat/>
    <w:rsid w:val="00CE4679"/>
    <w:pPr>
      <w:spacing w:after="240"/>
    </w:pPr>
  </w:style>
  <w:style w:type="paragraph" w:styleId="ListNumber">
    <w:name w:val="List Number"/>
    <w:basedOn w:val="Normal"/>
    <w:uiPriority w:val="99"/>
    <w:semiHidden/>
    <w:rsid w:val="00B10262"/>
    <w:pPr>
      <w:numPr>
        <w:numId w:val="1"/>
      </w:numPr>
      <w:spacing w:after="0"/>
      <w:contextualSpacing/>
    </w:pPr>
  </w:style>
  <w:style w:type="paragraph" w:styleId="ListNumber2">
    <w:name w:val="List Number 2"/>
    <w:basedOn w:val="Normal"/>
    <w:uiPriority w:val="99"/>
    <w:semiHidden/>
    <w:rsid w:val="00080C64"/>
    <w:pPr>
      <w:numPr>
        <w:numId w:val="7"/>
      </w:numPr>
      <w:spacing w:after="0"/>
      <w:contextualSpacing/>
    </w:pPr>
  </w:style>
  <w:style w:type="paragraph" w:styleId="BalloonText">
    <w:name w:val="Balloon Text"/>
    <w:basedOn w:val="Normal"/>
    <w:link w:val="BalloonTextChar"/>
    <w:uiPriority w:val="99"/>
    <w:semiHidden/>
    <w:unhideWhenUsed/>
    <w:rsid w:val="005625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5D4"/>
    <w:rPr>
      <w:rFonts w:ascii="Tahoma" w:hAnsi="Tahoma" w:cs="Tahoma"/>
      <w:color w:val="394A58" w:themeColor="text2"/>
      <w:sz w:val="16"/>
      <w:szCs w:val="16"/>
    </w:rPr>
  </w:style>
  <w:style w:type="paragraph" w:customStyle="1" w:styleId="SubHeading">
    <w:name w:val="SubHeading"/>
    <w:basedOn w:val="Normal"/>
    <w:next w:val="Normal"/>
    <w:uiPriority w:val="1"/>
    <w:qFormat/>
    <w:rsid w:val="0011708A"/>
    <w:pPr>
      <w:keepNext/>
      <w:spacing w:before="240" w:after="40"/>
    </w:pPr>
    <w:rPr>
      <w:b/>
    </w:rPr>
  </w:style>
  <w:style w:type="paragraph" w:customStyle="1" w:styleId="Introduction">
    <w:name w:val="Introduction"/>
    <w:basedOn w:val="Normal"/>
    <w:uiPriority w:val="29"/>
    <w:semiHidden/>
    <w:qFormat/>
    <w:rsid w:val="00600103"/>
    <w:rPr>
      <w:sz w:val="24"/>
    </w:rPr>
  </w:style>
  <w:style w:type="paragraph" w:styleId="ListBullet">
    <w:name w:val="List Bullet"/>
    <w:basedOn w:val="Normal"/>
    <w:uiPriority w:val="2"/>
    <w:rsid w:val="0011708A"/>
    <w:pPr>
      <w:numPr>
        <w:numId w:val="10"/>
      </w:numPr>
      <w:spacing w:after="0"/>
    </w:pPr>
  </w:style>
  <w:style w:type="paragraph" w:styleId="ListBullet2">
    <w:name w:val="List Bullet 2"/>
    <w:basedOn w:val="Normal"/>
    <w:uiPriority w:val="2"/>
    <w:rsid w:val="0011708A"/>
    <w:pPr>
      <w:numPr>
        <w:numId w:val="11"/>
      </w:numPr>
      <w:spacing w:after="0"/>
    </w:pPr>
  </w:style>
  <w:style w:type="paragraph" w:customStyle="1" w:styleId="ListNumb1">
    <w:name w:val="ListNumb1"/>
    <w:basedOn w:val="Normal"/>
    <w:uiPriority w:val="4"/>
    <w:qFormat/>
    <w:rsid w:val="0011708A"/>
    <w:pPr>
      <w:numPr>
        <w:numId w:val="12"/>
      </w:numPr>
      <w:spacing w:after="0"/>
    </w:pPr>
  </w:style>
  <w:style w:type="paragraph" w:customStyle="1" w:styleId="ListNumb2">
    <w:name w:val="ListNumb2"/>
    <w:basedOn w:val="Normal"/>
    <w:uiPriority w:val="4"/>
    <w:qFormat/>
    <w:rsid w:val="0011708A"/>
    <w:pPr>
      <w:numPr>
        <w:ilvl w:val="1"/>
        <w:numId w:val="12"/>
      </w:numPr>
      <w:spacing w:after="0"/>
    </w:pPr>
  </w:style>
  <w:style w:type="paragraph" w:styleId="ListNumber5">
    <w:name w:val="List Number 5"/>
    <w:basedOn w:val="Normal"/>
    <w:uiPriority w:val="99"/>
    <w:semiHidden/>
    <w:rsid w:val="00080C64"/>
    <w:pPr>
      <w:numPr>
        <w:numId w:val="3"/>
      </w:numPr>
      <w:contextualSpacing/>
    </w:pPr>
  </w:style>
  <w:style w:type="paragraph" w:styleId="ListNumber4">
    <w:name w:val="List Number 4"/>
    <w:basedOn w:val="Normal"/>
    <w:uiPriority w:val="99"/>
    <w:semiHidden/>
    <w:rsid w:val="00080C64"/>
    <w:pPr>
      <w:numPr>
        <w:numId w:val="8"/>
      </w:numPr>
      <w:contextualSpacing/>
    </w:pPr>
  </w:style>
  <w:style w:type="paragraph" w:styleId="ListNumber3">
    <w:name w:val="List Number 3"/>
    <w:basedOn w:val="Normal"/>
    <w:uiPriority w:val="99"/>
    <w:semiHidden/>
    <w:rsid w:val="00080C64"/>
    <w:pPr>
      <w:numPr>
        <w:numId w:val="2"/>
      </w:numPr>
      <w:contextualSpacing/>
    </w:pPr>
  </w:style>
  <w:style w:type="paragraph" w:customStyle="1" w:styleId="ListNumb3">
    <w:name w:val="ListNumb3"/>
    <w:basedOn w:val="Normal"/>
    <w:uiPriority w:val="4"/>
    <w:unhideWhenUsed/>
    <w:qFormat/>
    <w:rsid w:val="0011708A"/>
    <w:pPr>
      <w:numPr>
        <w:ilvl w:val="2"/>
        <w:numId w:val="12"/>
      </w:numPr>
      <w:spacing w:after="0"/>
      <w:ind w:left="1020" w:hanging="340"/>
    </w:pPr>
  </w:style>
  <w:style w:type="paragraph" w:customStyle="1" w:styleId="ListNumb1Last">
    <w:name w:val="ListNumb1Last"/>
    <w:basedOn w:val="ListNumb1"/>
    <w:next w:val="Normal"/>
    <w:uiPriority w:val="4"/>
    <w:qFormat/>
    <w:rsid w:val="004D1435"/>
    <w:pPr>
      <w:spacing w:after="240"/>
    </w:pPr>
  </w:style>
  <w:style w:type="paragraph" w:customStyle="1" w:styleId="ListNumb2Last">
    <w:name w:val="ListNumb2Last"/>
    <w:basedOn w:val="ListNumb2"/>
    <w:next w:val="Normal"/>
    <w:uiPriority w:val="4"/>
    <w:qFormat/>
    <w:rsid w:val="004D1435"/>
    <w:pPr>
      <w:spacing w:after="240"/>
    </w:pPr>
  </w:style>
  <w:style w:type="paragraph" w:customStyle="1" w:styleId="ListNumb3Last">
    <w:name w:val="ListNumb3Last"/>
    <w:basedOn w:val="ListNumb3"/>
    <w:next w:val="Normal"/>
    <w:uiPriority w:val="4"/>
    <w:unhideWhenUsed/>
    <w:qFormat/>
    <w:rsid w:val="004D1435"/>
    <w:pPr>
      <w:spacing w:after="240"/>
    </w:pPr>
  </w:style>
  <w:style w:type="paragraph" w:customStyle="1" w:styleId="PictureText">
    <w:name w:val="PictureText"/>
    <w:basedOn w:val="Normal"/>
    <w:uiPriority w:val="29"/>
    <w:semiHidden/>
    <w:qFormat/>
    <w:rsid w:val="002D4CD7"/>
    <w:pPr>
      <w:spacing w:before="120" w:after="120"/>
    </w:pPr>
    <w:rPr>
      <w:color w:val="156570" w:themeColor="background2"/>
      <w:sz w:val="16"/>
    </w:rPr>
  </w:style>
  <w:style w:type="paragraph" w:customStyle="1" w:styleId="Heading2NoTOC">
    <w:name w:val="Heading 2NoTOC"/>
    <w:basedOn w:val="Heading2"/>
    <w:uiPriority w:val="29"/>
    <w:qFormat/>
    <w:rsid w:val="00B7202B"/>
    <w:pPr>
      <w:numPr>
        <w:ilvl w:val="0"/>
        <w:numId w:val="0"/>
      </w:numPr>
    </w:pPr>
  </w:style>
  <w:style w:type="paragraph" w:styleId="TOC6">
    <w:name w:val="toc 6"/>
    <w:basedOn w:val="Normal"/>
    <w:next w:val="Normal"/>
    <w:autoRedefine/>
    <w:uiPriority w:val="39"/>
    <w:rsid w:val="00B955C7"/>
    <w:pPr>
      <w:tabs>
        <w:tab w:val="right" w:pos="9639"/>
      </w:tabs>
      <w:spacing w:before="240" w:after="0"/>
      <w:ind w:right="284"/>
    </w:pPr>
    <w:rPr>
      <w:b/>
      <w:color w:val="156570" w:themeColor="background2"/>
      <w:sz w:val="22"/>
    </w:rPr>
  </w:style>
  <w:style w:type="paragraph" w:customStyle="1" w:styleId="FooterBold">
    <w:name w:val="FooterBold"/>
    <w:basedOn w:val="Footer"/>
    <w:uiPriority w:val="29"/>
    <w:semiHidden/>
    <w:rsid w:val="00350276"/>
    <w:pPr>
      <w:spacing w:before="80"/>
    </w:pPr>
    <w:rPr>
      <w:b/>
      <w:color w:val="156570" w:themeColor="background2"/>
    </w:rPr>
  </w:style>
  <w:style w:type="paragraph" w:customStyle="1" w:styleId="TableSource">
    <w:name w:val="TableSource"/>
    <w:basedOn w:val="Normal"/>
    <w:next w:val="Normal"/>
    <w:uiPriority w:val="17"/>
    <w:qFormat/>
    <w:rsid w:val="00FD7E5D"/>
    <w:pPr>
      <w:spacing w:before="120"/>
    </w:pPr>
    <w:rPr>
      <w:sz w:val="16"/>
    </w:rPr>
  </w:style>
  <w:style w:type="paragraph" w:customStyle="1" w:styleId="ClientName">
    <w:name w:val="ClientName"/>
    <w:basedOn w:val="DocSubTitle"/>
    <w:rsid w:val="00676F6C"/>
    <w:rPr>
      <w:sz w:val="32"/>
    </w:rPr>
  </w:style>
  <w:style w:type="paragraph" w:styleId="ListParagraph">
    <w:name w:val="List Paragraph"/>
    <w:basedOn w:val="Normal"/>
    <w:uiPriority w:val="34"/>
    <w:semiHidden/>
    <w:qFormat/>
    <w:rsid w:val="00322BB8"/>
    <w:pPr>
      <w:numPr>
        <w:numId w:val="13"/>
      </w:numPr>
      <w:ind w:left="357" w:hanging="357"/>
      <w:contextualSpacing/>
      <w:outlineLvl w:val="1"/>
    </w:pPr>
  </w:style>
  <w:style w:type="paragraph" w:customStyle="1" w:styleId="NormalParagraphNumbered">
    <w:name w:val="Normal Paragraph Numbered"/>
    <w:basedOn w:val="Heading2"/>
    <w:qFormat/>
    <w:rsid w:val="005C2FF5"/>
    <w:pPr>
      <w:keepNext w:val="0"/>
      <w:keepLines w:val="0"/>
      <w:spacing w:before="0" w:after="240"/>
    </w:pPr>
    <w:rPr>
      <w:b w:val="0"/>
      <w:color w:val="auto"/>
      <w:sz w:val="20"/>
    </w:rPr>
  </w:style>
  <w:style w:type="paragraph" w:styleId="BlockText">
    <w:name w:val="Block Text"/>
    <w:basedOn w:val="Normal"/>
    <w:uiPriority w:val="99"/>
    <w:semiHidden/>
    <w:unhideWhenUsed/>
    <w:rsid w:val="004C1403"/>
    <w:pPr>
      <w:pBdr>
        <w:top w:val="single" w:sz="2" w:space="10" w:color="394A58" w:themeColor="text2" w:shadow="1"/>
        <w:left w:val="single" w:sz="2" w:space="10" w:color="394A58" w:themeColor="text2" w:shadow="1"/>
        <w:bottom w:val="single" w:sz="2" w:space="10" w:color="394A58" w:themeColor="text2" w:shadow="1"/>
        <w:right w:val="single" w:sz="2" w:space="10" w:color="394A58" w:themeColor="text2" w:shadow="1"/>
      </w:pBdr>
      <w:ind w:left="1152" w:right="1152"/>
    </w:pPr>
    <w:rPr>
      <w:rFonts w:asciiTheme="minorHAnsi" w:eastAsiaTheme="minorEastAsia" w:hAnsiTheme="minorHAnsi"/>
      <w:i/>
      <w:iCs/>
    </w:rPr>
  </w:style>
  <w:style w:type="paragraph" w:styleId="Caption">
    <w:name w:val="caption"/>
    <w:basedOn w:val="Normal"/>
    <w:next w:val="Normal"/>
    <w:uiPriority w:val="35"/>
    <w:unhideWhenUsed/>
    <w:qFormat/>
    <w:rsid w:val="00851E96"/>
    <w:pPr>
      <w:spacing w:after="200"/>
    </w:pPr>
    <w:rPr>
      <w:b/>
      <w:bCs/>
      <w:szCs w:val="18"/>
    </w:rPr>
  </w:style>
  <w:style w:type="character" w:styleId="FollowedHyperlink">
    <w:name w:val="FollowedHyperlink"/>
    <w:basedOn w:val="DefaultParagraphFont"/>
    <w:uiPriority w:val="99"/>
    <w:semiHidden/>
    <w:unhideWhenUsed/>
    <w:rsid w:val="004C1403"/>
    <w:rPr>
      <w:color w:val="394A58" w:themeColor="text2"/>
      <w:u w:val="single"/>
    </w:rPr>
  </w:style>
  <w:style w:type="character" w:styleId="IntenseEmphasis">
    <w:name w:val="Intense Emphasis"/>
    <w:basedOn w:val="DefaultParagraphFont"/>
    <w:uiPriority w:val="29"/>
    <w:semiHidden/>
    <w:qFormat/>
    <w:rsid w:val="004C1403"/>
    <w:rPr>
      <w:b/>
      <w:bCs/>
      <w:i/>
      <w:iCs/>
      <w:color w:val="394A58" w:themeColor="text2"/>
    </w:rPr>
  </w:style>
  <w:style w:type="paragraph" w:styleId="IntenseQuote">
    <w:name w:val="Intense Quote"/>
    <w:basedOn w:val="Normal"/>
    <w:next w:val="Normal"/>
    <w:link w:val="IntenseQuoteChar"/>
    <w:uiPriority w:val="30"/>
    <w:semiHidden/>
    <w:qFormat/>
    <w:rsid w:val="004C1403"/>
    <w:pPr>
      <w:pBdr>
        <w:bottom w:val="single" w:sz="4" w:space="4" w:color="394A58" w:themeColor="text2"/>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4C1403"/>
    <w:rPr>
      <w:rFonts w:ascii="Arial" w:hAnsi="Arial"/>
      <w:b/>
      <w:bCs/>
      <w:i/>
      <w:iCs/>
      <w:color w:val="394A58" w:themeColor="text2"/>
      <w:sz w:val="20"/>
    </w:rPr>
  </w:style>
  <w:style w:type="paragraph" w:styleId="Subtitle">
    <w:name w:val="Subtitle"/>
    <w:basedOn w:val="Normal"/>
    <w:next w:val="Normal"/>
    <w:link w:val="SubtitleChar"/>
    <w:uiPriority w:val="29"/>
    <w:semiHidden/>
    <w:qFormat/>
    <w:rsid w:val="004C1403"/>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29"/>
    <w:semiHidden/>
    <w:rsid w:val="004C1403"/>
    <w:rPr>
      <w:rFonts w:asciiTheme="majorHAnsi" w:eastAsiaTheme="majorEastAsia" w:hAnsiTheme="majorHAnsi" w:cstheme="majorBidi"/>
      <w:i/>
      <w:iCs/>
      <w:color w:val="394A58" w:themeColor="text2"/>
      <w:spacing w:val="15"/>
      <w:sz w:val="24"/>
      <w:szCs w:val="24"/>
    </w:rPr>
  </w:style>
  <w:style w:type="paragraph" w:styleId="TOCHeading">
    <w:name w:val="TOC Heading"/>
    <w:basedOn w:val="Heading1"/>
    <w:next w:val="Normal"/>
    <w:uiPriority w:val="39"/>
    <w:semiHidden/>
    <w:unhideWhenUsed/>
    <w:qFormat/>
    <w:rsid w:val="004C1403"/>
    <w:pPr>
      <w:numPr>
        <w:numId w:val="0"/>
      </w:numPr>
      <w:spacing w:before="480" w:after="0"/>
      <w:outlineLvl w:val="9"/>
    </w:pPr>
    <w:rPr>
      <w:rFonts w:asciiTheme="majorHAnsi" w:eastAsiaTheme="majorEastAsia" w:hAnsiTheme="majorHAnsi" w:cstheme="majorBidi"/>
      <w:color w:val="394A58" w:themeColor="text2"/>
      <w:sz w:val="28"/>
    </w:rPr>
  </w:style>
  <w:style w:type="paragraph" w:styleId="TableofFigures">
    <w:name w:val="table of figures"/>
    <w:basedOn w:val="Normal"/>
    <w:next w:val="Normal"/>
    <w:uiPriority w:val="99"/>
    <w:unhideWhenUsed/>
    <w:rsid w:val="00D564B4"/>
    <w:pPr>
      <w:spacing w:after="0"/>
    </w:pPr>
  </w:style>
  <w:style w:type="paragraph" w:styleId="DocumentMap">
    <w:name w:val="Document Map"/>
    <w:basedOn w:val="Normal"/>
    <w:link w:val="DocumentMapChar"/>
    <w:uiPriority w:val="99"/>
    <w:semiHidden/>
    <w:unhideWhenUsed/>
    <w:rsid w:val="00CA72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A72B7"/>
    <w:rPr>
      <w:rFonts w:ascii="Tahoma" w:hAnsi="Tahoma" w:cs="Tahoma"/>
      <w:color w:val="394A58" w:themeColor="text2"/>
      <w:sz w:val="16"/>
      <w:szCs w:val="16"/>
    </w:rPr>
  </w:style>
  <w:style w:type="paragraph" w:styleId="CommentText">
    <w:name w:val="annotation text"/>
    <w:basedOn w:val="Normal"/>
    <w:link w:val="CommentTextChar"/>
    <w:uiPriority w:val="99"/>
    <w:semiHidden/>
    <w:unhideWhenUsed/>
    <w:rsid w:val="00515486"/>
    <w:rPr>
      <w:sz w:val="24"/>
      <w:szCs w:val="24"/>
    </w:rPr>
  </w:style>
  <w:style w:type="character" w:customStyle="1" w:styleId="CommentTextChar">
    <w:name w:val="Comment Text Char"/>
    <w:basedOn w:val="DefaultParagraphFont"/>
    <w:link w:val="CommentText"/>
    <w:uiPriority w:val="99"/>
    <w:semiHidden/>
    <w:rsid w:val="00515486"/>
    <w:rPr>
      <w:rFonts w:ascii="Arial" w:hAnsi="Arial"/>
      <w:color w:val="394A58" w:themeColor="text2"/>
      <w:sz w:val="24"/>
      <w:szCs w:val="24"/>
    </w:rPr>
  </w:style>
  <w:style w:type="character" w:styleId="CommentReference">
    <w:name w:val="annotation reference"/>
    <w:uiPriority w:val="99"/>
    <w:semiHidden/>
    <w:unhideWhenUsed/>
    <w:rsid w:val="00515486"/>
    <w:rPr>
      <w:sz w:val="16"/>
      <w:szCs w:val="16"/>
    </w:rPr>
  </w:style>
  <w:style w:type="paragraph" w:styleId="CommentSubject">
    <w:name w:val="annotation subject"/>
    <w:basedOn w:val="CommentText"/>
    <w:next w:val="CommentText"/>
    <w:link w:val="CommentSubjectChar"/>
    <w:uiPriority w:val="99"/>
    <w:semiHidden/>
    <w:unhideWhenUsed/>
    <w:rsid w:val="00515486"/>
    <w:rPr>
      <w:b/>
      <w:bCs/>
      <w:sz w:val="20"/>
      <w:szCs w:val="20"/>
    </w:rPr>
  </w:style>
  <w:style w:type="character" w:customStyle="1" w:styleId="CommentSubjectChar">
    <w:name w:val="Comment Subject Char"/>
    <w:basedOn w:val="CommentTextChar"/>
    <w:link w:val="CommentSubject"/>
    <w:uiPriority w:val="99"/>
    <w:semiHidden/>
    <w:rsid w:val="00515486"/>
    <w:rPr>
      <w:rFonts w:ascii="Arial" w:hAnsi="Arial"/>
      <w:b/>
      <w:bCs/>
      <w:color w:val="394A58" w:themeColor="text2"/>
      <w:sz w:val="20"/>
      <w:szCs w:val="20"/>
    </w:rPr>
  </w:style>
  <w:style w:type="paragraph" w:styleId="FootnoteText">
    <w:name w:val="footnote text"/>
    <w:basedOn w:val="Normal"/>
    <w:link w:val="FootnoteTextChar"/>
    <w:uiPriority w:val="99"/>
    <w:unhideWhenUsed/>
    <w:rsid w:val="00515486"/>
    <w:pPr>
      <w:spacing w:after="0"/>
    </w:pPr>
    <w:rPr>
      <w:sz w:val="24"/>
      <w:szCs w:val="24"/>
    </w:rPr>
  </w:style>
  <w:style w:type="character" w:customStyle="1" w:styleId="FootnoteTextChar">
    <w:name w:val="Footnote Text Char"/>
    <w:basedOn w:val="DefaultParagraphFont"/>
    <w:link w:val="FootnoteText"/>
    <w:uiPriority w:val="99"/>
    <w:rsid w:val="00515486"/>
    <w:rPr>
      <w:rFonts w:ascii="Arial" w:hAnsi="Arial"/>
      <w:color w:val="394A58" w:themeColor="text2"/>
      <w:sz w:val="24"/>
      <w:szCs w:val="24"/>
    </w:rPr>
  </w:style>
  <w:style w:type="character" w:styleId="FootnoteReference">
    <w:name w:val="footnote reference"/>
    <w:basedOn w:val="DefaultParagraphFont"/>
    <w:uiPriority w:val="99"/>
    <w:unhideWhenUsed/>
    <w:rsid w:val="00515486"/>
    <w:rPr>
      <w:vertAlign w:val="superscript"/>
    </w:rPr>
  </w:style>
  <w:style w:type="character" w:customStyle="1" w:styleId="apple-converted-space">
    <w:name w:val="apple-converted-space"/>
    <w:basedOn w:val="DefaultParagraphFont"/>
    <w:rsid w:val="005154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9" w:qFormat="1"/>
    <w:lsdException w:name="heading 7" w:uiPriority="19" w:qFormat="1"/>
    <w:lsdException w:name="heading 8" w:uiPriority="19" w:qFormat="1"/>
    <w:lsdException w:name="heading 9" w:uiPriority="1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
    <w:lsdException w:name="List Bullet 2" w:uiPriority="2"/>
    <w:lsdException w:name="Title" w:semiHidden="0" w:uiPriority="29" w:unhideWhenUsed="0" w:qFormat="1"/>
    <w:lsdException w:name="Default Paragraph Font" w:uiPriority="1"/>
    <w:lsdException w:name="Body Text" w:uiPriority="29" w:qFormat="1"/>
    <w:lsdException w:name="Subtitle" w:uiPriority="29" w:unhideWhenUsed="0" w:qFormat="1"/>
    <w:lsdException w:name="Strong" w:semiHidden="0" w:uiPriority="29" w:unhideWhenUsed="0" w:qFormat="1"/>
    <w:lsdException w:name="Emphasis" w:semiHidden="0" w:uiPriority="29"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9" w:unhideWhenUsed="0" w:qFormat="1"/>
    <w:lsdException w:name="Intense Emphasis" w:semiHidden="0" w:uiPriority="2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BB8"/>
    <w:pPr>
      <w:spacing w:after="240" w:line="240" w:lineRule="auto"/>
    </w:pPr>
    <w:rPr>
      <w:rFonts w:ascii="Arial" w:hAnsi="Arial"/>
      <w:color w:val="394A58" w:themeColor="text2"/>
      <w:sz w:val="20"/>
    </w:rPr>
  </w:style>
  <w:style w:type="paragraph" w:styleId="Heading1">
    <w:name w:val="heading 1"/>
    <w:basedOn w:val="Normal"/>
    <w:next w:val="Heading2"/>
    <w:link w:val="Heading1Char"/>
    <w:uiPriority w:val="1"/>
    <w:qFormat/>
    <w:rsid w:val="00894CD3"/>
    <w:pPr>
      <w:keepNext/>
      <w:keepLines/>
      <w:numPr>
        <w:numId w:val="9"/>
      </w:numPr>
      <w:spacing w:after="360"/>
      <w:outlineLvl w:val="0"/>
    </w:pPr>
    <w:rPr>
      <w:rFonts w:eastAsia="Times New Roman" w:cs="Times New Roman"/>
      <w:b/>
      <w:bCs/>
      <w:color w:val="394A58" w:themeColor="accent2"/>
      <w:sz w:val="48"/>
      <w:szCs w:val="28"/>
    </w:rPr>
  </w:style>
  <w:style w:type="paragraph" w:styleId="Heading2">
    <w:name w:val="heading 2"/>
    <w:basedOn w:val="Normal"/>
    <w:link w:val="Heading2Char"/>
    <w:uiPriority w:val="1"/>
    <w:unhideWhenUsed/>
    <w:qFormat/>
    <w:rsid w:val="0011708A"/>
    <w:pPr>
      <w:keepNext/>
      <w:keepLines/>
      <w:numPr>
        <w:ilvl w:val="1"/>
        <w:numId w:val="9"/>
      </w:numPr>
      <w:spacing w:before="360" w:after="40"/>
      <w:outlineLvl w:val="1"/>
    </w:pPr>
    <w:rPr>
      <w:rFonts w:eastAsia="Times New Roman" w:cs="Times New Roman"/>
      <w:b/>
      <w:bCs/>
      <w:color w:val="156570" w:themeColor="background2"/>
      <w:sz w:val="30"/>
      <w:szCs w:val="26"/>
    </w:rPr>
  </w:style>
  <w:style w:type="paragraph" w:styleId="Heading3">
    <w:name w:val="heading 3"/>
    <w:basedOn w:val="Normal"/>
    <w:link w:val="Heading3Char"/>
    <w:uiPriority w:val="1"/>
    <w:unhideWhenUsed/>
    <w:qFormat/>
    <w:rsid w:val="0011708A"/>
    <w:pPr>
      <w:keepNext/>
      <w:keepLines/>
      <w:numPr>
        <w:ilvl w:val="2"/>
        <w:numId w:val="9"/>
      </w:numPr>
      <w:spacing w:before="240" w:after="40"/>
      <w:outlineLvl w:val="2"/>
    </w:pPr>
    <w:rPr>
      <w:rFonts w:eastAsia="Times New Roman" w:cs="Times New Roman"/>
      <w:b/>
      <w:bCs/>
      <w:color w:val="156570" w:themeColor="background2"/>
      <w:sz w:val="26"/>
    </w:rPr>
  </w:style>
  <w:style w:type="paragraph" w:styleId="Heading4">
    <w:name w:val="heading 4"/>
    <w:basedOn w:val="Normal"/>
    <w:link w:val="Heading4Char"/>
    <w:uiPriority w:val="1"/>
    <w:unhideWhenUsed/>
    <w:qFormat/>
    <w:rsid w:val="0011708A"/>
    <w:pPr>
      <w:keepNext/>
      <w:keepLines/>
      <w:numPr>
        <w:ilvl w:val="3"/>
        <w:numId w:val="9"/>
      </w:numPr>
      <w:spacing w:before="240" w:after="40"/>
      <w:outlineLvl w:val="3"/>
    </w:pPr>
    <w:rPr>
      <w:rFonts w:eastAsia="Times New Roman" w:cs="Times New Roman"/>
      <w:b/>
      <w:bCs/>
      <w:iCs/>
      <w:color w:val="156570" w:themeColor="background2"/>
      <w:sz w:val="22"/>
    </w:rPr>
  </w:style>
  <w:style w:type="paragraph" w:styleId="Heading5">
    <w:name w:val="heading 5"/>
    <w:basedOn w:val="Normal"/>
    <w:link w:val="Heading5Char"/>
    <w:uiPriority w:val="1"/>
    <w:unhideWhenUsed/>
    <w:qFormat/>
    <w:rsid w:val="0011708A"/>
    <w:pPr>
      <w:keepNext/>
      <w:keepLines/>
      <w:numPr>
        <w:ilvl w:val="4"/>
        <w:numId w:val="9"/>
      </w:numPr>
      <w:spacing w:before="240" w:after="40"/>
      <w:outlineLvl w:val="4"/>
    </w:pPr>
    <w:rPr>
      <w:rFonts w:eastAsia="Times New Roman" w:cs="Times New Roman"/>
      <w:b/>
      <w:color w:val="156570" w:themeColor="background2"/>
      <w:sz w:val="22"/>
    </w:rPr>
  </w:style>
  <w:style w:type="paragraph" w:styleId="Heading6">
    <w:name w:val="heading 6"/>
    <w:basedOn w:val="Normal"/>
    <w:next w:val="Heading7"/>
    <w:link w:val="Heading6Char"/>
    <w:uiPriority w:val="19"/>
    <w:unhideWhenUsed/>
    <w:qFormat/>
    <w:rsid w:val="00CE7965"/>
    <w:pPr>
      <w:keepNext/>
      <w:keepLines/>
      <w:pageBreakBefore/>
      <w:numPr>
        <w:ilvl w:val="5"/>
        <w:numId w:val="9"/>
      </w:numPr>
      <w:tabs>
        <w:tab w:val="left" w:pos="2948"/>
      </w:tabs>
      <w:spacing w:after="360"/>
      <w:ind w:left="2948" w:hanging="2948"/>
      <w:outlineLvl w:val="5"/>
    </w:pPr>
    <w:rPr>
      <w:rFonts w:eastAsia="Times New Roman" w:cs="Times New Roman"/>
      <w:b/>
      <w:iCs/>
      <w:color w:val="394A58" w:themeColor="accent2"/>
      <w:sz w:val="48"/>
    </w:rPr>
  </w:style>
  <w:style w:type="paragraph" w:styleId="Heading7">
    <w:name w:val="heading 7"/>
    <w:basedOn w:val="Normal"/>
    <w:link w:val="Heading7Char"/>
    <w:uiPriority w:val="19"/>
    <w:unhideWhenUsed/>
    <w:qFormat/>
    <w:rsid w:val="0011708A"/>
    <w:pPr>
      <w:keepNext/>
      <w:keepLines/>
      <w:numPr>
        <w:ilvl w:val="6"/>
        <w:numId w:val="9"/>
      </w:numPr>
      <w:spacing w:before="360" w:after="40"/>
      <w:outlineLvl w:val="6"/>
    </w:pPr>
    <w:rPr>
      <w:rFonts w:eastAsia="Times New Roman" w:cs="Times New Roman"/>
      <w:b/>
      <w:iCs/>
      <w:color w:val="156570" w:themeColor="background2"/>
      <w:sz w:val="30"/>
    </w:rPr>
  </w:style>
  <w:style w:type="paragraph" w:styleId="Heading8">
    <w:name w:val="heading 8"/>
    <w:basedOn w:val="Normal"/>
    <w:link w:val="Heading8Char"/>
    <w:uiPriority w:val="19"/>
    <w:unhideWhenUsed/>
    <w:qFormat/>
    <w:rsid w:val="0011708A"/>
    <w:pPr>
      <w:keepNext/>
      <w:keepLines/>
      <w:numPr>
        <w:ilvl w:val="7"/>
        <w:numId w:val="9"/>
      </w:numPr>
      <w:spacing w:before="240" w:after="40"/>
      <w:outlineLvl w:val="7"/>
    </w:pPr>
    <w:rPr>
      <w:rFonts w:eastAsia="Times New Roman" w:cs="Times New Roman"/>
      <w:b/>
      <w:color w:val="156570" w:themeColor="background2"/>
      <w:sz w:val="26"/>
      <w:szCs w:val="20"/>
    </w:rPr>
  </w:style>
  <w:style w:type="paragraph" w:styleId="Heading9">
    <w:name w:val="heading 9"/>
    <w:basedOn w:val="Normal"/>
    <w:link w:val="Heading9Char"/>
    <w:uiPriority w:val="19"/>
    <w:unhideWhenUsed/>
    <w:qFormat/>
    <w:rsid w:val="0011708A"/>
    <w:pPr>
      <w:keepNext/>
      <w:keepLines/>
      <w:numPr>
        <w:ilvl w:val="8"/>
        <w:numId w:val="9"/>
      </w:numPr>
      <w:spacing w:before="240" w:after="40"/>
      <w:outlineLvl w:val="8"/>
    </w:pPr>
    <w:rPr>
      <w:rFonts w:eastAsia="Times New Roman" w:cs="Times New Roman"/>
      <w:b/>
      <w:iCs/>
      <w:color w:val="156570" w:themeColor="background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4CD3"/>
    <w:rPr>
      <w:rFonts w:ascii="Arial" w:eastAsia="Times New Roman" w:hAnsi="Arial" w:cs="Times New Roman"/>
      <w:b/>
      <w:bCs/>
      <w:color w:val="394A58" w:themeColor="accent2"/>
      <w:sz w:val="48"/>
      <w:szCs w:val="28"/>
    </w:rPr>
  </w:style>
  <w:style w:type="character" w:customStyle="1" w:styleId="Heading2Char">
    <w:name w:val="Heading 2 Char"/>
    <w:basedOn w:val="DefaultParagraphFont"/>
    <w:link w:val="Heading2"/>
    <w:uiPriority w:val="1"/>
    <w:rsid w:val="00215393"/>
    <w:rPr>
      <w:rFonts w:ascii="Arial" w:eastAsia="Times New Roman" w:hAnsi="Arial" w:cs="Times New Roman"/>
      <w:b/>
      <w:bCs/>
      <w:color w:val="156570" w:themeColor="background2"/>
      <w:sz w:val="30"/>
      <w:szCs w:val="26"/>
    </w:rPr>
  </w:style>
  <w:style w:type="character" w:customStyle="1" w:styleId="Heading3Char">
    <w:name w:val="Heading 3 Char"/>
    <w:basedOn w:val="DefaultParagraphFont"/>
    <w:link w:val="Heading3"/>
    <w:uiPriority w:val="1"/>
    <w:rsid w:val="00215393"/>
    <w:rPr>
      <w:rFonts w:ascii="Arial" w:eastAsia="Times New Roman" w:hAnsi="Arial" w:cs="Times New Roman"/>
      <w:b/>
      <w:bCs/>
      <w:color w:val="156570" w:themeColor="background2"/>
      <w:sz w:val="26"/>
    </w:rPr>
  </w:style>
  <w:style w:type="character" w:customStyle="1" w:styleId="Heading4Char">
    <w:name w:val="Heading 4 Char"/>
    <w:basedOn w:val="DefaultParagraphFont"/>
    <w:link w:val="Heading4"/>
    <w:uiPriority w:val="1"/>
    <w:rsid w:val="00215393"/>
    <w:rPr>
      <w:rFonts w:ascii="Arial" w:eastAsia="Times New Roman" w:hAnsi="Arial" w:cs="Times New Roman"/>
      <w:b/>
      <w:bCs/>
      <w:iCs/>
      <w:color w:val="156570" w:themeColor="background2"/>
    </w:rPr>
  </w:style>
  <w:style w:type="character" w:customStyle="1" w:styleId="Heading5Char">
    <w:name w:val="Heading 5 Char"/>
    <w:basedOn w:val="DefaultParagraphFont"/>
    <w:link w:val="Heading5"/>
    <w:uiPriority w:val="1"/>
    <w:rsid w:val="00215393"/>
    <w:rPr>
      <w:rFonts w:ascii="Arial" w:eastAsia="Times New Roman" w:hAnsi="Arial" w:cs="Times New Roman"/>
      <w:b/>
      <w:color w:val="156570" w:themeColor="background2"/>
    </w:rPr>
  </w:style>
  <w:style w:type="paragraph" w:customStyle="1" w:styleId="DocTitle">
    <w:name w:val="DocTitle"/>
    <w:basedOn w:val="Normal"/>
    <w:uiPriority w:val="29"/>
    <w:semiHidden/>
    <w:qFormat/>
    <w:rsid w:val="00E13EFD"/>
    <w:pPr>
      <w:spacing w:after="0"/>
      <w:ind w:right="1701"/>
    </w:pPr>
    <w:rPr>
      <w:b/>
      <w:sz w:val="48"/>
    </w:rPr>
  </w:style>
  <w:style w:type="paragraph" w:customStyle="1" w:styleId="DocSubTitle">
    <w:name w:val="DocSubTitle"/>
    <w:basedOn w:val="DocTitle"/>
    <w:uiPriority w:val="29"/>
    <w:semiHidden/>
    <w:qFormat/>
    <w:rsid w:val="00980218"/>
    <w:rPr>
      <w:b w:val="0"/>
    </w:rPr>
  </w:style>
  <w:style w:type="paragraph" w:customStyle="1" w:styleId="DocType">
    <w:name w:val="DocType"/>
    <w:basedOn w:val="DocTitle"/>
    <w:uiPriority w:val="29"/>
    <w:semiHidden/>
    <w:qFormat/>
    <w:rsid w:val="00CC7A08"/>
    <w:rPr>
      <w:sz w:val="22"/>
    </w:rPr>
  </w:style>
  <w:style w:type="paragraph" w:customStyle="1" w:styleId="DocDate">
    <w:name w:val="DocDate"/>
    <w:basedOn w:val="DocType"/>
    <w:uiPriority w:val="29"/>
    <w:semiHidden/>
    <w:qFormat/>
    <w:rsid w:val="00980218"/>
    <w:pPr>
      <w:spacing w:before="360"/>
    </w:pPr>
  </w:style>
  <w:style w:type="paragraph" w:styleId="Header">
    <w:name w:val="header"/>
    <w:basedOn w:val="Normal"/>
    <w:link w:val="HeaderChar"/>
    <w:uiPriority w:val="99"/>
    <w:semiHidden/>
    <w:rsid w:val="00815EA9"/>
    <w:pPr>
      <w:tabs>
        <w:tab w:val="center" w:pos="4513"/>
        <w:tab w:val="right" w:pos="9026"/>
      </w:tabs>
      <w:spacing w:after="0"/>
    </w:pPr>
  </w:style>
  <w:style w:type="character" w:customStyle="1" w:styleId="HeaderChar">
    <w:name w:val="Header Char"/>
    <w:basedOn w:val="DefaultParagraphFont"/>
    <w:link w:val="Header"/>
    <w:uiPriority w:val="99"/>
    <w:semiHidden/>
    <w:rsid w:val="00215393"/>
    <w:rPr>
      <w:rFonts w:ascii="Arial" w:hAnsi="Arial"/>
      <w:color w:val="394A58" w:themeColor="text2"/>
      <w:sz w:val="20"/>
    </w:rPr>
  </w:style>
  <w:style w:type="paragraph" w:styleId="Footer">
    <w:name w:val="footer"/>
    <w:basedOn w:val="Normal"/>
    <w:link w:val="FooterChar"/>
    <w:uiPriority w:val="99"/>
    <w:semiHidden/>
    <w:rsid w:val="004C787C"/>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215393"/>
    <w:rPr>
      <w:rFonts w:ascii="Arial" w:hAnsi="Arial"/>
      <w:color w:val="394A58" w:themeColor="text2"/>
      <w:sz w:val="18"/>
    </w:rPr>
  </w:style>
  <w:style w:type="paragraph" w:customStyle="1" w:styleId="Heading1NoNumb">
    <w:name w:val="Heading 1NoNumb"/>
    <w:basedOn w:val="Heading1"/>
    <w:next w:val="Normal"/>
    <w:uiPriority w:val="23"/>
    <w:qFormat/>
    <w:rsid w:val="00781041"/>
    <w:pPr>
      <w:numPr>
        <w:numId w:val="0"/>
      </w:numPr>
    </w:pPr>
  </w:style>
  <w:style w:type="paragraph" w:customStyle="1" w:styleId="Heading2NoNumb">
    <w:name w:val="Heading 2NoNumb"/>
    <w:basedOn w:val="Heading2"/>
    <w:next w:val="Normal"/>
    <w:uiPriority w:val="23"/>
    <w:qFormat/>
    <w:rsid w:val="00781041"/>
    <w:pPr>
      <w:numPr>
        <w:ilvl w:val="0"/>
        <w:numId w:val="0"/>
      </w:numPr>
    </w:pPr>
  </w:style>
  <w:style w:type="paragraph" w:customStyle="1" w:styleId="Heading3NoNumb">
    <w:name w:val="Heading 3NoNumb"/>
    <w:basedOn w:val="Heading3"/>
    <w:next w:val="Normal"/>
    <w:uiPriority w:val="23"/>
    <w:qFormat/>
    <w:rsid w:val="00781041"/>
    <w:pPr>
      <w:numPr>
        <w:ilvl w:val="0"/>
        <w:numId w:val="0"/>
      </w:numPr>
    </w:pPr>
  </w:style>
  <w:style w:type="paragraph" w:customStyle="1" w:styleId="Heading4NoNumb">
    <w:name w:val="Heading 4NoNumb"/>
    <w:basedOn w:val="Heading4"/>
    <w:next w:val="Normal"/>
    <w:uiPriority w:val="23"/>
    <w:qFormat/>
    <w:rsid w:val="00781041"/>
    <w:pPr>
      <w:numPr>
        <w:ilvl w:val="0"/>
        <w:numId w:val="0"/>
      </w:numPr>
    </w:pPr>
  </w:style>
  <w:style w:type="paragraph" w:customStyle="1" w:styleId="Heading5NoNumb">
    <w:name w:val="Heading 5NoNumb"/>
    <w:basedOn w:val="Heading5"/>
    <w:next w:val="Normal"/>
    <w:uiPriority w:val="23"/>
    <w:qFormat/>
    <w:rsid w:val="00781041"/>
    <w:pPr>
      <w:numPr>
        <w:ilvl w:val="0"/>
        <w:numId w:val="0"/>
      </w:numPr>
    </w:pPr>
  </w:style>
  <w:style w:type="paragraph" w:customStyle="1" w:styleId="Heading1NoTOC">
    <w:name w:val="Heading 1NoTOC"/>
    <w:basedOn w:val="Heading1"/>
    <w:next w:val="Normal"/>
    <w:uiPriority w:val="24"/>
    <w:qFormat/>
    <w:rsid w:val="00017172"/>
    <w:pPr>
      <w:numPr>
        <w:numId w:val="0"/>
      </w:numPr>
    </w:pPr>
  </w:style>
  <w:style w:type="paragraph" w:styleId="NoSpacing">
    <w:name w:val="No Spacing"/>
    <w:link w:val="NoSpacingChar"/>
    <w:uiPriority w:val="29"/>
    <w:semiHidden/>
    <w:qFormat/>
    <w:rsid w:val="00E1773F"/>
    <w:pPr>
      <w:spacing w:after="0" w:line="240" w:lineRule="auto"/>
      <w:contextualSpacing/>
    </w:pPr>
    <w:rPr>
      <w:rFonts w:eastAsia="Batang" w:cs="Arial"/>
      <w:color w:val="394A58"/>
      <w:sz w:val="20"/>
      <w:szCs w:val="20"/>
      <w:lang w:eastAsia="ko-KR"/>
    </w:rPr>
  </w:style>
  <w:style w:type="paragraph" w:styleId="BodyText">
    <w:name w:val="Body Text"/>
    <w:link w:val="BodyTextChar"/>
    <w:uiPriority w:val="29"/>
    <w:semiHidden/>
    <w:qFormat/>
    <w:rsid w:val="00E1773F"/>
    <w:pPr>
      <w:spacing w:after="240" w:line="240" w:lineRule="auto"/>
    </w:pPr>
    <w:rPr>
      <w:rFonts w:ascii="Arial" w:eastAsia="Batang" w:hAnsi="Arial" w:cs="Arial"/>
      <w:color w:val="394A58"/>
      <w:sz w:val="20"/>
      <w:szCs w:val="20"/>
      <w:lang w:eastAsia="ko-KR"/>
    </w:rPr>
  </w:style>
  <w:style w:type="character" w:customStyle="1" w:styleId="BodyTextChar">
    <w:name w:val="Body Text Char"/>
    <w:basedOn w:val="DefaultParagraphFont"/>
    <w:link w:val="BodyText"/>
    <w:uiPriority w:val="29"/>
    <w:semiHidden/>
    <w:rsid w:val="00215393"/>
    <w:rPr>
      <w:rFonts w:ascii="Arial" w:eastAsia="Batang" w:hAnsi="Arial" w:cs="Arial"/>
      <w:color w:val="394A58"/>
      <w:sz w:val="20"/>
      <w:szCs w:val="20"/>
      <w:lang w:eastAsia="ko-KR"/>
    </w:rPr>
  </w:style>
  <w:style w:type="character" w:customStyle="1" w:styleId="NoSpacingChar">
    <w:name w:val="No Spacing Char"/>
    <w:basedOn w:val="DefaultParagraphFont"/>
    <w:link w:val="NoSpacing"/>
    <w:uiPriority w:val="29"/>
    <w:semiHidden/>
    <w:rsid w:val="00215393"/>
    <w:rPr>
      <w:rFonts w:eastAsia="Batang" w:cs="Arial"/>
      <w:color w:val="394A58"/>
      <w:sz w:val="20"/>
      <w:szCs w:val="20"/>
      <w:lang w:eastAsia="ko-KR"/>
    </w:rPr>
  </w:style>
  <w:style w:type="table" w:customStyle="1" w:styleId="Atkins14pt">
    <w:name w:val="Atkins_1/4pt"/>
    <w:basedOn w:val="TableNormal"/>
    <w:uiPriority w:val="99"/>
    <w:qFormat/>
    <w:rsid w:val="00A157BE"/>
    <w:pPr>
      <w:spacing w:after="0" w:line="240" w:lineRule="auto"/>
    </w:pPr>
    <w:rPr>
      <w:rFonts w:ascii="Arial" w:eastAsia="Batang" w:hAnsi="Arial" w:cs="Arial"/>
      <w:sz w:val="20"/>
      <w:szCs w:val="20"/>
      <w:lang w:eastAsia="en-GB"/>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57" w:type="dxa"/>
        <w:bottom w:w="0"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IntroHeading">
    <w:name w:val="IntroHeading"/>
    <w:basedOn w:val="Normal"/>
    <w:next w:val="Normal"/>
    <w:uiPriority w:val="29"/>
    <w:semiHidden/>
    <w:qFormat/>
    <w:rsid w:val="0090784B"/>
    <w:pPr>
      <w:spacing w:before="1080" w:after="120"/>
      <w:ind w:right="1418"/>
    </w:pPr>
    <w:rPr>
      <w:b/>
      <w:color w:val="FFFFFF" w:themeColor="background1"/>
      <w:sz w:val="48"/>
    </w:rPr>
  </w:style>
  <w:style w:type="paragraph" w:customStyle="1" w:styleId="IntroText">
    <w:name w:val="IntroText"/>
    <w:basedOn w:val="IntroHeading"/>
    <w:uiPriority w:val="29"/>
    <w:semiHidden/>
    <w:qFormat/>
    <w:rsid w:val="00FD458C"/>
    <w:pPr>
      <w:spacing w:before="0"/>
    </w:pPr>
    <w:rPr>
      <w:b w:val="0"/>
    </w:rPr>
  </w:style>
  <w:style w:type="paragraph" w:customStyle="1" w:styleId="QuoteLarge">
    <w:name w:val="Quote Large"/>
    <w:basedOn w:val="Normal"/>
    <w:next w:val="Normal"/>
    <w:uiPriority w:val="29"/>
    <w:qFormat/>
    <w:rsid w:val="00FD458C"/>
    <w:pPr>
      <w:spacing w:before="240" w:after="480"/>
    </w:pPr>
    <w:rPr>
      <w:sz w:val="48"/>
    </w:rPr>
  </w:style>
  <w:style w:type="character" w:customStyle="1" w:styleId="Heading6Char">
    <w:name w:val="Heading 6 Char"/>
    <w:basedOn w:val="DefaultParagraphFont"/>
    <w:link w:val="Heading6"/>
    <w:uiPriority w:val="19"/>
    <w:rsid w:val="00E07757"/>
    <w:rPr>
      <w:rFonts w:ascii="Arial" w:eastAsia="Times New Roman" w:hAnsi="Arial" w:cs="Times New Roman"/>
      <w:b/>
      <w:iCs/>
      <w:color w:val="394A58" w:themeColor="accent2"/>
      <w:sz w:val="48"/>
    </w:rPr>
  </w:style>
  <w:style w:type="character" w:customStyle="1" w:styleId="Heading7Char">
    <w:name w:val="Heading 7 Char"/>
    <w:basedOn w:val="DefaultParagraphFont"/>
    <w:link w:val="Heading7"/>
    <w:uiPriority w:val="19"/>
    <w:rsid w:val="00E07757"/>
    <w:rPr>
      <w:rFonts w:ascii="Arial" w:eastAsia="Times New Roman" w:hAnsi="Arial" w:cs="Times New Roman"/>
      <w:b/>
      <w:iCs/>
      <w:color w:val="156570" w:themeColor="background2"/>
      <w:sz w:val="30"/>
    </w:rPr>
  </w:style>
  <w:style w:type="character" w:customStyle="1" w:styleId="Heading8Char">
    <w:name w:val="Heading 8 Char"/>
    <w:basedOn w:val="DefaultParagraphFont"/>
    <w:link w:val="Heading8"/>
    <w:uiPriority w:val="19"/>
    <w:rsid w:val="00E07757"/>
    <w:rPr>
      <w:rFonts w:ascii="Arial" w:eastAsia="Times New Roman" w:hAnsi="Arial" w:cs="Times New Roman"/>
      <w:b/>
      <w:color w:val="156570" w:themeColor="background2"/>
      <w:sz w:val="26"/>
      <w:szCs w:val="20"/>
    </w:rPr>
  </w:style>
  <w:style w:type="character" w:customStyle="1" w:styleId="Heading9Char">
    <w:name w:val="Heading 9 Char"/>
    <w:basedOn w:val="DefaultParagraphFont"/>
    <w:link w:val="Heading9"/>
    <w:uiPriority w:val="19"/>
    <w:rsid w:val="00E07757"/>
    <w:rPr>
      <w:rFonts w:ascii="Arial" w:eastAsia="Times New Roman" w:hAnsi="Arial" w:cs="Times New Roman"/>
      <w:b/>
      <w:iCs/>
      <w:color w:val="156570" w:themeColor="background2"/>
      <w:szCs w:val="20"/>
    </w:rPr>
  </w:style>
  <w:style w:type="paragraph" w:styleId="TOC2">
    <w:name w:val="toc 2"/>
    <w:basedOn w:val="Normal"/>
    <w:next w:val="Normal"/>
    <w:autoRedefine/>
    <w:uiPriority w:val="39"/>
    <w:rsid w:val="00E75D94"/>
    <w:pPr>
      <w:tabs>
        <w:tab w:val="right" w:pos="9639"/>
      </w:tabs>
      <w:spacing w:before="120" w:after="0"/>
    </w:pPr>
    <w:rPr>
      <w:b/>
      <w:color w:val="394A58" w:themeColor="accent2"/>
    </w:rPr>
  </w:style>
  <w:style w:type="paragraph" w:styleId="TOC3">
    <w:name w:val="toc 3"/>
    <w:basedOn w:val="Normal"/>
    <w:next w:val="Normal"/>
    <w:autoRedefine/>
    <w:uiPriority w:val="39"/>
    <w:rsid w:val="00B955C7"/>
    <w:pPr>
      <w:tabs>
        <w:tab w:val="left" w:pos="680"/>
        <w:tab w:val="right" w:pos="9639"/>
      </w:tabs>
      <w:spacing w:after="40"/>
      <w:ind w:right="284"/>
    </w:pPr>
  </w:style>
  <w:style w:type="character" w:styleId="Hyperlink">
    <w:name w:val="Hyperlink"/>
    <w:basedOn w:val="DefaultParagraphFont"/>
    <w:uiPriority w:val="99"/>
    <w:rsid w:val="004C1403"/>
    <w:rPr>
      <w:color w:val="394A58" w:themeColor="text2"/>
      <w:u w:val="single"/>
    </w:rPr>
  </w:style>
  <w:style w:type="paragraph" w:styleId="TOC1">
    <w:name w:val="toc 1"/>
    <w:basedOn w:val="Normal"/>
    <w:next w:val="Normal"/>
    <w:autoRedefine/>
    <w:uiPriority w:val="39"/>
    <w:rsid w:val="002618E5"/>
    <w:pPr>
      <w:tabs>
        <w:tab w:val="left" w:pos="680"/>
        <w:tab w:val="left" w:pos="1540"/>
        <w:tab w:val="right" w:pos="9639"/>
      </w:tabs>
      <w:spacing w:before="120" w:after="0"/>
      <w:ind w:right="284"/>
    </w:pPr>
    <w:rPr>
      <w:b/>
      <w:color w:val="394A58" w:themeColor="accent2"/>
    </w:rPr>
  </w:style>
  <w:style w:type="paragraph" w:styleId="TOC4">
    <w:name w:val="toc 4"/>
    <w:basedOn w:val="Normal"/>
    <w:next w:val="Normal"/>
    <w:autoRedefine/>
    <w:uiPriority w:val="39"/>
    <w:rsid w:val="00B7202B"/>
    <w:pPr>
      <w:tabs>
        <w:tab w:val="right" w:pos="9639"/>
      </w:tabs>
      <w:spacing w:after="40"/>
      <w:ind w:right="284"/>
    </w:pPr>
  </w:style>
  <w:style w:type="paragraph" w:customStyle="1" w:styleId="TableText">
    <w:name w:val="TableText"/>
    <w:basedOn w:val="BodyText"/>
    <w:uiPriority w:val="16"/>
    <w:qFormat/>
    <w:rsid w:val="00C02E1D"/>
    <w:pPr>
      <w:spacing w:before="40" w:after="40"/>
    </w:pPr>
    <w:rPr>
      <w:color w:val="394A58" w:themeColor="text2"/>
    </w:rPr>
  </w:style>
  <w:style w:type="paragraph" w:customStyle="1" w:styleId="TableHeading">
    <w:name w:val="TableHeading"/>
    <w:basedOn w:val="TableText"/>
    <w:uiPriority w:val="16"/>
    <w:qFormat/>
    <w:rsid w:val="00131877"/>
    <w:pPr>
      <w:spacing w:before="60" w:after="60"/>
    </w:pPr>
    <w:rPr>
      <w:b/>
    </w:rPr>
  </w:style>
  <w:style w:type="table" w:styleId="TableGrid">
    <w:name w:val="Table Grid"/>
    <w:basedOn w:val="TableNormal"/>
    <w:uiPriority w:val="59"/>
    <w:rsid w:val="00544B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Title">
    <w:name w:val="TableTitle"/>
    <w:basedOn w:val="Normal"/>
    <w:uiPriority w:val="15"/>
    <w:qFormat/>
    <w:rsid w:val="000F17C6"/>
    <w:pPr>
      <w:numPr>
        <w:numId w:val="5"/>
      </w:numPr>
      <w:spacing w:before="240" w:after="120"/>
      <w:ind w:left="1021" w:hanging="1021"/>
    </w:pPr>
    <w:rPr>
      <w:b/>
    </w:rPr>
  </w:style>
  <w:style w:type="paragraph" w:customStyle="1" w:styleId="NormalNoSpace">
    <w:name w:val="NormalNoSpace"/>
    <w:basedOn w:val="Normal"/>
    <w:qFormat/>
    <w:rsid w:val="0011708A"/>
    <w:pPr>
      <w:spacing w:after="0"/>
    </w:pPr>
  </w:style>
  <w:style w:type="paragraph" w:styleId="TOC5">
    <w:name w:val="toc 5"/>
    <w:basedOn w:val="Normal"/>
    <w:next w:val="Normal"/>
    <w:autoRedefine/>
    <w:uiPriority w:val="39"/>
    <w:rsid w:val="009C5684"/>
    <w:pPr>
      <w:tabs>
        <w:tab w:val="left" w:pos="1134"/>
        <w:tab w:val="right" w:pos="9639"/>
      </w:tabs>
      <w:spacing w:after="40"/>
      <w:ind w:left="680" w:right="284" w:hanging="680"/>
    </w:pPr>
  </w:style>
  <w:style w:type="paragraph" w:customStyle="1" w:styleId="FigureTitle">
    <w:name w:val="FigureTitle"/>
    <w:basedOn w:val="Normal"/>
    <w:next w:val="Normal"/>
    <w:uiPriority w:val="11"/>
    <w:qFormat/>
    <w:rsid w:val="000F17C6"/>
    <w:pPr>
      <w:numPr>
        <w:numId w:val="6"/>
      </w:numPr>
    </w:pPr>
    <w:rPr>
      <w:b/>
    </w:rPr>
  </w:style>
  <w:style w:type="paragraph" w:customStyle="1" w:styleId="ListBulletLast">
    <w:name w:val="List Bullet Last"/>
    <w:basedOn w:val="ListBullet"/>
    <w:next w:val="Normal"/>
    <w:uiPriority w:val="2"/>
    <w:qFormat/>
    <w:rsid w:val="00CE4679"/>
    <w:pPr>
      <w:spacing w:after="240"/>
    </w:pPr>
  </w:style>
  <w:style w:type="paragraph" w:customStyle="1" w:styleId="ListBullet2Last">
    <w:name w:val="List Bullet 2 Last"/>
    <w:basedOn w:val="ListBullet2"/>
    <w:next w:val="Normal"/>
    <w:uiPriority w:val="2"/>
    <w:qFormat/>
    <w:rsid w:val="00CE4679"/>
    <w:pPr>
      <w:spacing w:after="240"/>
    </w:pPr>
  </w:style>
  <w:style w:type="paragraph" w:styleId="ListNumber">
    <w:name w:val="List Number"/>
    <w:basedOn w:val="Normal"/>
    <w:uiPriority w:val="99"/>
    <w:semiHidden/>
    <w:rsid w:val="00B10262"/>
    <w:pPr>
      <w:numPr>
        <w:numId w:val="1"/>
      </w:numPr>
      <w:spacing w:after="0"/>
      <w:contextualSpacing/>
    </w:pPr>
  </w:style>
  <w:style w:type="paragraph" w:styleId="ListNumber2">
    <w:name w:val="List Number 2"/>
    <w:basedOn w:val="Normal"/>
    <w:uiPriority w:val="99"/>
    <w:semiHidden/>
    <w:rsid w:val="00080C64"/>
    <w:pPr>
      <w:numPr>
        <w:numId w:val="7"/>
      </w:numPr>
      <w:spacing w:after="0"/>
      <w:contextualSpacing/>
    </w:pPr>
  </w:style>
  <w:style w:type="paragraph" w:styleId="BalloonText">
    <w:name w:val="Balloon Text"/>
    <w:basedOn w:val="Normal"/>
    <w:link w:val="BalloonTextChar"/>
    <w:uiPriority w:val="99"/>
    <w:semiHidden/>
    <w:unhideWhenUsed/>
    <w:rsid w:val="005625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5D4"/>
    <w:rPr>
      <w:rFonts w:ascii="Tahoma" w:hAnsi="Tahoma" w:cs="Tahoma"/>
      <w:color w:val="394A58" w:themeColor="text2"/>
      <w:sz w:val="16"/>
      <w:szCs w:val="16"/>
    </w:rPr>
  </w:style>
  <w:style w:type="paragraph" w:customStyle="1" w:styleId="SubHeading">
    <w:name w:val="SubHeading"/>
    <w:basedOn w:val="Normal"/>
    <w:next w:val="Normal"/>
    <w:uiPriority w:val="1"/>
    <w:qFormat/>
    <w:rsid w:val="0011708A"/>
    <w:pPr>
      <w:keepNext/>
      <w:spacing w:before="240" w:after="40"/>
    </w:pPr>
    <w:rPr>
      <w:b/>
    </w:rPr>
  </w:style>
  <w:style w:type="paragraph" w:customStyle="1" w:styleId="Introduction">
    <w:name w:val="Introduction"/>
    <w:basedOn w:val="Normal"/>
    <w:uiPriority w:val="29"/>
    <w:semiHidden/>
    <w:qFormat/>
    <w:rsid w:val="00600103"/>
    <w:rPr>
      <w:sz w:val="24"/>
    </w:rPr>
  </w:style>
  <w:style w:type="paragraph" w:styleId="ListBullet">
    <w:name w:val="List Bullet"/>
    <w:basedOn w:val="Normal"/>
    <w:uiPriority w:val="2"/>
    <w:rsid w:val="0011708A"/>
    <w:pPr>
      <w:numPr>
        <w:numId w:val="10"/>
      </w:numPr>
      <w:spacing w:after="0"/>
    </w:pPr>
  </w:style>
  <w:style w:type="paragraph" w:styleId="ListBullet2">
    <w:name w:val="List Bullet 2"/>
    <w:basedOn w:val="Normal"/>
    <w:uiPriority w:val="2"/>
    <w:rsid w:val="0011708A"/>
    <w:pPr>
      <w:numPr>
        <w:numId w:val="11"/>
      </w:numPr>
      <w:spacing w:after="0"/>
    </w:pPr>
  </w:style>
  <w:style w:type="paragraph" w:customStyle="1" w:styleId="ListNumb1">
    <w:name w:val="ListNumb1"/>
    <w:basedOn w:val="Normal"/>
    <w:uiPriority w:val="4"/>
    <w:qFormat/>
    <w:rsid w:val="0011708A"/>
    <w:pPr>
      <w:numPr>
        <w:numId w:val="12"/>
      </w:numPr>
      <w:spacing w:after="0"/>
    </w:pPr>
  </w:style>
  <w:style w:type="paragraph" w:customStyle="1" w:styleId="ListNumb2">
    <w:name w:val="ListNumb2"/>
    <w:basedOn w:val="Normal"/>
    <w:uiPriority w:val="4"/>
    <w:qFormat/>
    <w:rsid w:val="0011708A"/>
    <w:pPr>
      <w:numPr>
        <w:ilvl w:val="1"/>
        <w:numId w:val="12"/>
      </w:numPr>
      <w:spacing w:after="0"/>
    </w:pPr>
  </w:style>
  <w:style w:type="paragraph" w:styleId="ListNumber5">
    <w:name w:val="List Number 5"/>
    <w:basedOn w:val="Normal"/>
    <w:uiPriority w:val="99"/>
    <w:semiHidden/>
    <w:rsid w:val="00080C64"/>
    <w:pPr>
      <w:numPr>
        <w:numId w:val="3"/>
      </w:numPr>
      <w:contextualSpacing/>
    </w:pPr>
  </w:style>
  <w:style w:type="paragraph" w:styleId="ListNumber4">
    <w:name w:val="List Number 4"/>
    <w:basedOn w:val="Normal"/>
    <w:uiPriority w:val="99"/>
    <w:semiHidden/>
    <w:rsid w:val="00080C64"/>
    <w:pPr>
      <w:numPr>
        <w:numId w:val="8"/>
      </w:numPr>
      <w:contextualSpacing/>
    </w:pPr>
  </w:style>
  <w:style w:type="paragraph" w:styleId="ListNumber3">
    <w:name w:val="List Number 3"/>
    <w:basedOn w:val="Normal"/>
    <w:uiPriority w:val="99"/>
    <w:semiHidden/>
    <w:rsid w:val="00080C64"/>
    <w:pPr>
      <w:numPr>
        <w:numId w:val="2"/>
      </w:numPr>
      <w:contextualSpacing/>
    </w:pPr>
  </w:style>
  <w:style w:type="paragraph" w:customStyle="1" w:styleId="ListNumb3">
    <w:name w:val="ListNumb3"/>
    <w:basedOn w:val="Normal"/>
    <w:uiPriority w:val="4"/>
    <w:unhideWhenUsed/>
    <w:qFormat/>
    <w:rsid w:val="0011708A"/>
    <w:pPr>
      <w:numPr>
        <w:ilvl w:val="2"/>
        <w:numId w:val="12"/>
      </w:numPr>
      <w:spacing w:after="0"/>
      <w:ind w:left="1020" w:hanging="340"/>
    </w:pPr>
  </w:style>
  <w:style w:type="paragraph" w:customStyle="1" w:styleId="ListNumb1Last">
    <w:name w:val="ListNumb1Last"/>
    <w:basedOn w:val="ListNumb1"/>
    <w:next w:val="Normal"/>
    <w:uiPriority w:val="4"/>
    <w:qFormat/>
    <w:rsid w:val="004D1435"/>
    <w:pPr>
      <w:spacing w:after="240"/>
    </w:pPr>
  </w:style>
  <w:style w:type="paragraph" w:customStyle="1" w:styleId="ListNumb2Last">
    <w:name w:val="ListNumb2Last"/>
    <w:basedOn w:val="ListNumb2"/>
    <w:next w:val="Normal"/>
    <w:uiPriority w:val="4"/>
    <w:qFormat/>
    <w:rsid w:val="004D1435"/>
    <w:pPr>
      <w:spacing w:after="240"/>
    </w:pPr>
  </w:style>
  <w:style w:type="paragraph" w:customStyle="1" w:styleId="ListNumb3Last">
    <w:name w:val="ListNumb3Last"/>
    <w:basedOn w:val="ListNumb3"/>
    <w:next w:val="Normal"/>
    <w:uiPriority w:val="4"/>
    <w:unhideWhenUsed/>
    <w:qFormat/>
    <w:rsid w:val="004D1435"/>
    <w:pPr>
      <w:spacing w:after="240"/>
    </w:pPr>
  </w:style>
  <w:style w:type="paragraph" w:customStyle="1" w:styleId="PictureText">
    <w:name w:val="PictureText"/>
    <w:basedOn w:val="Normal"/>
    <w:uiPriority w:val="29"/>
    <w:semiHidden/>
    <w:qFormat/>
    <w:rsid w:val="002D4CD7"/>
    <w:pPr>
      <w:spacing w:before="120" w:after="120"/>
    </w:pPr>
    <w:rPr>
      <w:color w:val="156570" w:themeColor="background2"/>
      <w:sz w:val="16"/>
    </w:rPr>
  </w:style>
  <w:style w:type="paragraph" w:customStyle="1" w:styleId="Heading2NoTOC">
    <w:name w:val="Heading 2NoTOC"/>
    <w:basedOn w:val="Heading2"/>
    <w:uiPriority w:val="29"/>
    <w:qFormat/>
    <w:rsid w:val="00B7202B"/>
    <w:pPr>
      <w:numPr>
        <w:ilvl w:val="0"/>
        <w:numId w:val="0"/>
      </w:numPr>
    </w:pPr>
  </w:style>
  <w:style w:type="paragraph" w:styleId="TOC6">
    <w:name w:val="toc 6"/>
    <w:basedOn w:val="Normal"/>
    <w:next w:val="Normal"/>
    <w:autoRedefine/>
    <w:uiPriority w:val="39"/>
    <w:rsid w:val="00B955C7"/>
    <w:pPr>
      <w:tabs>
        <w:tab w:val="right" w:pos="9639"/>
      </w:tabs>
      <w:spacing w:before="240" w:after="0"/>
      <w:ind w:right="284"/>
    </w:pPr>
    <w:rPr>
      <w:b/>
      <w:color w:val="156570" w:themeColor="background2"/>
      <w:sz w:val="22"/>
    </w:rPr>
  </w:style>
  <w:style w:type="paragraph" w:customStyle="1" w:styleId="FooterBold">
    <w:name w:val="FooterBold"/>
    <w:basedOn w:val="Footer"/>
    <w:uiPriority w:val="29"/>
    <w:semiHidden/>
    <w:rsid w:val="00350276"/>
    <w:pPr>
      <w:spacing w:before="80"/>
    </w:pPr>
    <w:rPr>
      <w:b/>
      <w:color w:val="156570" w:themeColor="background2"/>
    </w:rPr>
  </w:style>
  <w:style w:type="paragraph" w:customStyle="1" w:styleId="TableSource">
    <w:name w:val="TableSource"/>
    <w:basedOn w:val="Normal"/>
    <w:next w:val="Normal"/>
    <w:uiPriority w:val="17"/>
    <w:qFormat/>
    <w:rsid w:val="00FD7E5D"/>
    <w:pPr>
      <w:spacing w:before="120"/>
    </w:pPr>
    <w:rPr>
      <w:sz w:val="16"/>
    </w:rPr>
  </w:style>
  <w:style w:type="paragraph" w:customStyle="1" w:styleId="ClientName">
    <w:name w:val="ClientName"/>
    <w:basedOn w:val="DocSubTitle"/>
    <w:rsid w:val="00676F6C"/>
    <w:rPr>
      <w:sz w:val="32"/>
    </w:rPr>
  </w:style>
  <w:style w:type="paragraph" w:styleId="ListParagraph">
    <w:name w:val="List Paragraph"/>
    <w:basedOn w:val="Normal"/>
    <w:uiPriority w:val="34"/>
    <w:semiHidden/>
    <w:qFormat/>
    <w:rsid w:val="00322BB8"/>
    <w:pPr>
      <w:numPr>
        <w:numId w:val="13"/>
      </w:numPr>
      <w:ind w:left="357" w:hanging="357"/>
      <w:contextualSpacing/>
      <w:outlineLvl w:val="1"/>
    </w:pPr>
  </w:style>
  <w:style w:type="paragraph" w:customStyle="1" w:styleId="NormalParagraphNumbered">
    <w:name w:val="Normal Paragraph Numbered"/>
    <w:basedOn w:val="Heading2"/>
    <w:qFormat/>
    <w:rsid w:val="005C2FF5"/>
    <w:pPr>
      <w:keepNext w:val="0"/>
      <w:keepLines w:val="0"/>
      <w:spacing w:before="0" w:after="240"/>
    </w:pPr>
    <w:rPr>
      <w:b w:val="0"/>
      <w:color w:val="auto"/>
      <w:sz w:val="20"/>
    </w:rPr>
  </w:style>
  <w:style w:type="paragraph" w:styleId="BlockText">
    <w:name w:val="Block Text"/>
    <w:basedOn w:val="Normal"/>
    <w:uiPriority w:val="99"/>
    <w:semiHidden/>
    <w:unhideWhenUsed/>
    <w:rsid w:val="004C1403"/>
    <w:pPr>
      <w:pBdr>
        <w:top w:val="single" w:sz="2" w:space="10" w:color="394A58" w:themeColor="text2" w:shadow="1"/>
        <w:left w:val="single" w:sz="2" w:space="10" w:color="394A58" w:themeColor="text2" w:shadow="1"/>
        <w:bottom w:val="single" w:sz="2" w:space="10" w:color="394A58" w:themeColor="text2" w:shadow="1"/>
        <w:right w:val="single" w:sz="2" w:space="10" w:color="394A58" w:themeColor="text2" w:shadow="1"/>
      </w:pBdr>
      <w:ind w:left="1152" w:right="1152"/>
    </w:pPr>
    <w:rPr>
      <w:rFonts w:asciiTheme="minorHAnsi" w:eastAsiaTheme="minorEastAsia" w:hAnsiTheme="minorHAnsi"/>
      <w:i/>
      <w:iCs/>
    </w:rPr>
  </w:style>
  <w:style w:type="paragraph" w:styleId="Caption">
    <w:name w:val="caption"/>
    <w:basedOn w:val="Normal"/>
    <w:next w:val="Normal"/>
    <w:uiPriority w:val="35"/>
    <w:unhideWhenUsed/>
    <w:qFormat/>
    <w:rsid w:val="00851E96"/>
    <w:pPr>
      <w:spacing w:after="200"/>
    </w:pPr>
    <w:rPr>
      <w:b/>
      <w:bCs/>
      <w:szCs w:val="18"/>
    </w:rPr>
  </w:style>
  <w:style w:type="character" w:styleId="FollowedHyperlink">
    <w:name w:val="FollowedHyperlink"/>
    <w:basedOn w:val="DefaultParagraphFont"/>
    <w:uiPriority w:val="99"/>
    <w:semiHidden/>
    <w:unhideWhenUsed/>
    <w:rsid w:val="004C1403"/>
    <w:rPr>
      <w:color w:val="394A58" w:themeColor="text2"/>
      <w:u w:val="single"/>
    </w:rPr>
  </w:style>
  <w:style w:type="character" w:styleId="IntenseEmphasis">
    <w:name w:val="Intense Emphasis"/>
    <w:basedOn w:val="DefaultParagraphFont"/>
    <w:uiPriority w:val="29"/>
    <w:semiHidden/>
    <w:qFormat/>
    <w:rsid w:val="004C1403"/>
    <w:rPr>
      <w:b/>
      <w:bCs/>
      <w:i/>
      <w:iCs/>
      <w:color w:val="394A58" w:themeColor="text2"/>
    </w:rPr>
  </w:style>
  <w:style w:type="paragraph" w:styleId="IntenseQuote">
    <w:name w:val="Intense Quote"/>
    <w:basedOn w:val="Normal"/>
    <w:next w:val="Normal"/>
    <w:link w:val="IntenseQuoteChar"/>
    <w:uiPriority w:val="30"/>
    <w:semiHidden/>
    <w:qFormat/>
    <w:rsid w:val="004C1403"/>
    <w:pPr>
      <w:pBdr>
        <w:bottom w:val="single" w:sz="4" w:space="4" w:color="394A58" w:themeColor="text2"/>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4C1403"/>
    <w:rPr>
      <w:rFonts w:ascii="Arial" w:hAnsi="Arial"/>
      <w:b/>
      <w:bCs/>
      <w:i/>
      <w:iCs/>
      <w:color w:val="394A58" w:themeColor="text2"/>
      <w:sz w:val="20"/>
    </w:rPr>
  </w:style>
  <w:style w:type="paragraph" w:styleId="Subtitle">
    <w:name w:val="Subtitle"/>
    <w:basedOn w:val="Normal"/>
    <w:next w:val="Normal"/>
    <w:link w:val="SubtitleChar"/>
    <w:uiPriority w:val="29"/>
    <w:semiHidden/>
    <w:qFormat/>
    <w:rsid w:val="004C1403"/>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29"/>
    <w:semiHidden/>
    <w:rsid w:val="004C1403"/>
    <w:rPr>
      <w:rFonts w:asciiTheme="majorHAnsi" w:eastAsiaTheme="majorEastAsia" w:hAnsiTheme="majorHAnsi" w:cstheme="majorBidi"/>
      <w:i/>
      <w:iCs/>
      <w:color w:val="394A58" w:themeColor="text2"/>
      <w:spacing w:val="15"/>
      <w:sz w:val="24"/>
      <w:szCs w:val="24"/>
    </w:rPr>
  </w:style>
  <w:style w:type="paragraph" w:styleId="TOCHeading">
    <w:name w:val="TOC Heading"/>
    <w:basedOn w:val="Heading1"/>
    <w:next w:val="Normal"/>
    <w:uiPriority w:val="39"/>
    <w:semiHidden/>
    <w:unhideWhenUsed/>
    <w:qFormat/>
    <w:rsid w:val="004C1403"/>
    <w:pPr>
      <w:numPr>
        <w:numId w:val="0"/>
      </w:numPr>
      <w:spacing w:before="480" w:after="0"/>
      <w:outlineLvl w:val="9"/>
    </w:pPr>
    <w:rPr>
      <w:rFonts w:asciiTheme="majorHAnsi" w:eastAsiaTheme="majorEastAsia" w:hAnsiTheme="majorHAnsi" w:cstheme="majorBidi"/>
      <w:color w:val="394A58" w:themeColor="text2"/>
      <w:sz w:val="28"/>
    </w:rPr>
  </w:style>
  <w:style w:type="paragraph" w:styleId="TableofFigures">
    <w:name w:val="table of figures"/>
    <w:basedOn w:val="Normal"/>
    <w:next w:val="Normal"/>
    <w:uiPriority w:val="99"/>
    <w:unhideWhenUsed/>
    <w:rsid w:val="00D564B4"/>
    <w:pPr>
      <w:spacing w:after="0"/>
    </w:pPr>
  </w:style>
  <w:style w:type="paragraph" w:styleId="DocumentMap">
    <w:name w:val="Document Map"/>
    <w:basedOn w:val="Normal"/>
    <w:link w:val="DocumentMapChar"/>
    <w:uiPriority w:val="99"/>
    <w:semiHidden/>
    <w:unhideWhenUsed/>
    <w:rsid w:val="00CA72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A72B7"/>
    <w:rPr>
      <w:rFonts w:ascii="Tahoma" w:hAnsi="Tahoma" w:cs="Tahoma"/>
      <w:color w:val="394A58" w:themeColor="text2"/>
      <w:sz w:val="16"/>
      <w:szCs w:val="16"/>
    </w:rPr>
  </w:style>
  <w:style w:type="paragraph" w:styleId="CommentText">
    <w:name w:val="annotation text"/>
    <w:basedOn w:val="Normal"/>
    <w:link w:val="CommentTextChar"/>
    <w:uiPriority w:val="99"/>
    <w:semiHidden/>
    <w:unhideWhenUsed/>
    <w:rsid w:val="00515486"/>
    <w:rPr>
      <w:sz w:val="24"/>
      <w:szCs w:val="24"/>
    </w:rPr>
  </w:style>
  <w:style w:type="character" w:customStyle="1" w:styleId="CommentTextChar">
    <w:name w:val="Comment Text Char"/>
    <w:basedOn w:val="DefaultParagraphFont"/>
    <w:link w:val="CommentText"/>
    <w:uiPriority w:val="99"/>
    <w:semiHidden/>
    <w:rsid w:val="00515486"/>
    <w:rPr>
      <w:rFonts w:ascii="Arial" w:hAnsi="Arial"/>
      <w:color w:val="394A58" w:themeColor="text2"/>
      <w:sz w:val="24"/>
      <w:szCs w:val="24"/>
    </w:rPr>
  </w:style>
  <w:style w:type="character" w:styleId="CommentReference">
    <w:name w:val="annotation reference"/>
    <w:uiPriority w:val="99"/>
    <w:semiHidden/>
    <w:unhideWhenUsed/>
    <w:rsid w:val="00515486"/>
    <w:rPr>
      <w:sz w:val="16"/>
      <w:szCs w:val="16"/>
    </w:rPr>
  </w:style>
  <w:style w:type="paragraph" w:styleId="CommentSubject">
    <w:name w:val="annotation subject"/>
    <w:basedOn w:val="CommentText"/>
    <w:next w:val="CommentText"/>
    <w:link w:val="CommentSubjectChar"/>
    <w:uiPriority w:val="99"/>
    <w:semiHidden/>
    <w:unhideWhenUsed/>
    <w:rsid w:val="00515486"/>
    <w:rPr>
      <w:b/>
      <w:bCs/>
      <w:sz w:val="20"/>
      <w:szCs w:val="20"/>
    </w:rPr>
  </w:style>
  <w:style w:type="character" w:customStyle="1" w:styleId="CommentSubjectChar">
    <w:name w:val="Comment Subject Char"/>
    <w:basedOn w:val="CommentTextChar"/>
    <w:link w:val="CommentSubject"/>
    <w:uiPriority w:val="99"/>
    <w:semiHidden/>
    <w:rsid w:val="00515486"/>
    <w:rPr>
      <w:rFonts w:ascii="Arial" w:hAnsi="Arial"/>
      <w:b/>
      <w:bCs/>
      <w:color w:val="394A58" w:themeColor="text2"/>
      <w:sz w:val="20"/>
      <w:szCs w:val="20"/>
    </w:rPr>
  </w:style>
  <w:style w:type="paragraph" w:styleId="FootnoteText">
    <w:name w:val="footnote text"/>
    <w:basedOn w:val="Normal"/>
    <w:link w:val="FootnoteTextChar"/>
    <w:uiPriority w:val="99"/>
    <w:unhideWhenUsed/>
    <w:rsid w:val="00515486"/>
    <w:pPr>
      <w:spacing w:after="0"/>
    </w:pPr>
    <w:rPr>
      <w:sz w:val="24"/>
      <w:szCs w:val="24"/>
    </w:rPr>
  </w:style>
  <w:style w:type="character" w:customStyle="1" w:styleId="FootnoteTextChar">
    <w:name w:val="Footnote Text Char"/>
    <w:basedOn w:val="DefaultParagraphFont"/>
    <w:link w:val="FootnoteText"/>
    <w:uiPriority w:val="99"/>
    <w:rsid w:val="00515486"/>
    <w:rPr>
      <w:rFonts w:ascii="Arial" w:hAnsi="Arial"/>
      <w:color w:val="394A58" w:themeColor="text2"/>
      <w:sz w:val="24"/>
      <w:szCs w:val="24"/>
    </w:rPr>
  </w:style>
  <w:style w:type="character" w:styleId="FootnoteReference">
    <w:name w:val="footnote reference"/>
    <w:basedOn w:val="DefaultParagraphFont"/>
    <w:uiPriority w:val="99"/>
    <w:unhideWhenUsed/>
    <w:rsid w:val="00515486"/>
    <w:rPr>
      <w:vertAlign w:val="superscript"/>
    </w:rPr>
  </w:style>
  <w:style w:type="character" w:customStyle="1" w:styleId="apple-converted-space">
    <w:name w:val="apple-converted-space"/>
    <w:basedOn w:val="DefaultParagraphFont"/>
    <w:rsid w:val="00515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80293">
      <w:bodyDiv w:val="1"/>
      <w:marLeft w:val="0"/>
      <w:marRight w:val="0"/>
      <w:marTop w:val="0"/>
      <w:marBottom w:val="0"/>
      <w:divBdr>
        <w:top w:val="none" w:sz="0" w:space="0" w:color="auto"/>
        <w:left w:val="none" w:sz="0" w:space="0" w:color="auto"/>
        <w:bottom w:val="none" w:sz="0" w:space="0" w:color="auto"/>
        <w:right w:val="none" w:sz="0" w:space="0" w:color="auto"/>
      </w:divBdr>
    </w:div>
    <w:div w:id="1071655107">
      <w:bodyDiv w:val="1"/>
      <w:marLeft w:val="0"/>
      <w:marRight w:val="0"/>
      <w:marTop w:val="0"/>
      <w:marBottom w:val="0"/>
      <w:divBdr>
        <w:top w:val="none" w:sz="0" w:space="0" w:color="auto"/>
        <w:left w:val="none" w:sz="0" w:space="0" w:color="auto"/>
        <w:bottom w:val="none" w:sz="0" w:space="0" w:color="auto"/>
        <w:right w:val="none" w:sz="0" w:space="0" w:color="auto"/>
      </w:divBdr>
      <w:divsChild>
        <w:div w:id="1189565848">
          <w:marLeft w:val="0"/>
          <w:marRight w:val="0"/>
          <w:marTop w:val="0"/>
          <w:marBottom w:val="0"/>
          <w:divBdr>
            <w:top w:val="none" w:sz="0" w:space="0" w:color="auto"/>
            <w:left w:val="none" w:sz="0" w:space="0" w:color="auto"/>
            <w:bottom w:val="none" w:sz="0" w:space="0" w:color="auto"/>
            <w:right w:val="none" w:sz="0" w:space="0" w:color="auto"/>
          </w:divBdr>
          <w:divsChild>
            <w:div w:id="342171622">
              <w:marLeft w:val="0"/>
              <w:marRight w:val="0"/>
              <w:marTop w:val="0"/>
              <w:marBottom w:val="0"/>
              <w:divBdr>
                <w:top w:val="none" w:sz="0" w:space="0" w:color="auto"/>
                <w:left w:val="none" w:sz="0" w:space="0" w:color="auto"/>
                <w:bottom w:val="none" w:sz="0" w:space="0" w:color="auto"/>
                <w:right w:val="none" w:sz="0" w:space="0" w:color="auto"/>
              </w:divBdr>
              <w:divsChild>
                <w:div w:id="5774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30636">
      <w:bodyDiv w:val="1"/>
      <w:marLeft w:val="0"/>
      <w:marRight w:val="0"/>
      <w:marTop w:val="0"/>
      <w:marBottom w:val="0"/>
      <w:divBdr>
        <w:top w:val="none" w:sz="0" w:space="0" w:color="auto"/>
        <w:left w:val="none" w:sz="0" w:space="0" w:color="auto"/>
        <w:bottom w:val="none" w:sz="0" w:space="0" w:color="auto"/>
        <w:right w:val="none" w:sz="0" w:space="0" w:color="auto"/>
      </w:divBdr>
      <w:divsChild>
        <w:div w:id="742066986">
          <w:marLeft w:val="0"/>
          <w:marRight w:val="0"/>
          <w:marTop w:val="0"/>
          <w:marBottom w:val="0"/>
          <w:divBdr>
            <w:top w:val="none" w:sz="0" w:space="0" w:color="auto"/>
            <w:left w:val="none" w:sz="0" w:space="0" w:color="auto"/>
            <w:bottom w:val="none" w:sz="0" w:space="0" w:color="auto"/>
            <w:right w:val="none" w:sz="0" w:space="0" w:color="auto"/>
          </w:divBdr>
          <w:divsChild>
            <w:div w:id="1478885867">
              <w:marLeft w:val="0"/>
              <w:marRight w:val="0"/>
              <w:marTop w:val="0"/>
              <w:marBottom w:val="0"/>
              <w:divBdr>
                <w:top w:val="none" w:sz="0" w:space="0" w:color="auto"/>
                <w:left w:val="none" w:sz="0" w:space="0" w:color="auto"/>
                <w:bottom w:val="none" w:sz="0" w:space="0" w:color="auto"/>
                <w:right w:val="none" w:sz="0" w:space="0" w:color="auto"/>
              </w:divBdr>
              <w:divsChild>
                <w:div w:id="16808377">
                  <w:marLeft w:val="0"/>
                  <w:marRight w:val="0"/>
                  <w:marTop w:val="0"/>
                  <w:marBottom w:val="0"/>
                  <w:divBdr>
                    <w:top w:val="none" w:sz="0" w:space="0" w:color="auto"/>
                    <w:left w:val="none" w:sz="0" w:space="0" w:color="auto"/>
                    <w:bottom w:val="none" w:sz="0" w:space="0" w:color="auto"/>
                    <w:right w:val="none" w:sz="0" w:space="0" w:color="auto"/>
                  </w:divBdr>
                  <w:divsChild>
                    <w:div w:id="5095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image" Target="media/image50.emf"/><Relationship Id="rId50" Type="http://schemas.openxmlformats.org/officeDocument/2006/relationships/header" Target="header4.xm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7.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4.emf"/><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5.emf"/><Relationship Id="rId53"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28.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apho.org.uk/" TargetMode="External"/><Relationship Id="rId1" Type="http://schemas.openxmlformats.org/officeDocument/2006/relationships/hyperlink" Target="http://www.grimsbytelegraph.co.uk/Food-Town-heroes-scoop-award/story-11548325-detail/story.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gif"/></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tkins%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TEE4919\AppData\Local\Microsoft\Windows\Temporary%20Internet%20Files\Low\Content.IE5\L32PPBR2\nomis_2014_07_24_102309%5b1%5d.xls" TargetMode="External"/></Relationships>
</file>

<file path=word/charts/_rels/chart27.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wsatkins.com\Home\GBEMB\STEE4919\My%20Documents\skills%20mismatch%20NEL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TEE4919\AppData\Local\Microsoft\Windows\Temporary%20Internet%20Files\Low\Content.IE5\O5XNNSRU\nomis_2014_07_24_121354%5b1%5d.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077775715068"/>
          <c:y val="4.8219584569732896E-2"/>
          <c:w val="0.62745120057232662"/>
          <c:h val="0.77361562186032451"/>
        </c:manualLayout>
      </c:layout>
      <c:barChart>
        <c:barDir val="bar"/>
        <c:grouping val="clustered"/>
        <c:varyColors val="0"/>
        <c:ser>
          <c:idx val="0"/>
          <c:order val="0"/>
          <c:tx>
            <c:v>2011</c:v>
          </c:tx>
          <c:invertIfNegative val="0"/>
          <c:cat>
            <c:strRef>
              <c:f>Data!$K$2:$K$10</c:f>
              <c:strCache>
                <c:ptCount val="9"/>
                <c:pt idx="0">
                  <c:v>Age 0-9</c:v>
                </c:pt>
                <c:pt idx="1">
                  <c:v>Age 10-19</c:v>
                </c:pt>
                <c:pt idx="2">
                  <c:v>Age 20-29</c:v>
                </c:pt>
                <c:pt idx="3">
                  <c:v>Age 30-39</c:v>
                </c:pt>
                <c:pt idx="4">
                  <c:v>Age 40-49</c:v>
                </c:pt>
                <c:pt idx="5">
                  <c:v>Age 50-59</c:v>
                </c:pt>
                <c:pt idx="6">
                  <c:v>Age 60-69</c:v>
                </c:pt>
                <c:pt idx="7">
                  <c:v>Age 70-79</c:v>
                </c:pt>
                <c:pt idx="8">
                  <c:v>Age 80 and over </c:v>
                </c:pt>
              </c:strCache>
            </c:strRef>
          </c:cat>
          <c:val>
            <c:numRef>
              <c:f>Data!$L$2:$L$10</c:f>
              <c:numCache>
                <c:formatCode>#,##0</c:formatCode>
                <c:ptCount val="9"/>
                <c:pt idx="0">
                  <c:v>19001</c:v>
                </c:pt>
                <c:pt idx="1">
                  <c:v>19535</c:v>
                </c:pt>
                <c:pt idx="2">
                  <c:v>20508</c:v>
                </c:pt>
                <c:pt idx="3">
                  <c:v>18472</c:v>
                </c:pt>
                <c:pt idx="4">
                  <c:v>23303</c:v>
                </c:pt>
                <c:pt idx="5">
                  <c:v>20304</c:v>
                </c:pt>
                <c:pt idx="6">
                  <c:v>18051</c:v>
                </c:pt>
                <c:pt idx="7">
                  <c:v>12630</c:v>
                </c:pt>
                <c:pt idx="8">
                  <c:v>7842</c:v>
                </c:pt>
              </c:numCache>
            </c:numRef>
          </c:val>
        </c:ser>
        <c:ser>
          <c:idx val="1"/>
          <c:order val="1"/>
          <c:tx>
            <c:v>2001</c:v>
          </c:tx>
          <c:invertIfNegative val="0"/>
          <c:cat>
            <c:strRef>
              <c:f>Data!$K$2:$K$10</c:f>
              <c:strCache>
                <c:ptCount val="9"/>
                <c:pt idx="0">
                  <c:v>Age 0-9</c:v>
                </c:pt>
                <c:pt idx="1">
                  <c:v>Age 10-19</c:v>
                </c:pt>
                <c:pt idx="2">
                  <c:v>Age 20-29</c:v>
                </c:pt>
                <c:pt idx="3">
                  <c:v>Age 30-39</c:v>
                </c:pt>
                <c:pt idx="4">
                  <c:v>Age 40-49</c:v>
                </c:pt>
                <c:pt idx="5">
                  <c:v>Age 50-59</c:v>
                </c:pt>
                <c:pt idx="6">
                  <c:v>Age 60-69</c:v>
                </c:pt>
                <c:pt idx="7">
                  <c:v>Age 70-79</c:v>
                </c:pt>
                <c:pt idx="8">
                  <c:v>Age 80 and over </c:v>
                </c:pt>
              </c:strCache>
            </c:strRef>
          </c:cat>
          <c:val>
            <c:numRef>
              <c:f>Data!$M$2:$M$10</c:f>
              <c:numCache>
                <c:formatCode>#,##0</c:formatCode>
                <c:ptCount val="9"/>
                <c:pt idx="0">
                  <c:v>20540</c:v>
                </c:pt>
                <c:pt idx="1">
                  <c:v>22405</c:v>
                </c:pt>
                <c:pt idx="2">
                  <c:v>16896</c:v>
                </c:pt>
                <c:pt idx="3">
                  <c:v>23480</c:v>
                </c:pt>
                <c:pt idx="4">
                  <c:v>20773</c:v>
                </c:pt>
                <c:pt idx="5">
                  <c:v>19618</c:v>
                </c:pt>
                <c:pt idx="6">
                  <c:v>15628</c:v>
                </c:pt>
                <c:pt idx="7">
                  <c:v>11946</c:v>
                </c:pt>
                <c:pt idx="8">
                  <c:v>6688</c:v>
                </c:pt>
              </c:numCache>
            </c:numRef>
          </c:val>
        </c:ser>
        <c:dLbls>
          <c:showLegendKey val="0"/>
          <c:showVal val="0"/>
          <c:showCatName val="0"/>
          <c:showSerName val="0"/>
          <c:showPercent val="0"/>
          <c:showBubbleSize val="0"/>
        </c:dLbls>
        <c:gapWidth val="38"/>
        <c:axId val="58691584"/>
        <c:axId val="58693120"/>
      </c:barChart>
      <c:catAx>
        <c:axId val="58691584"/>
        <c:scaling>
          <c:orientation val="minMax"/>
        </c:scaling>
        <c:delete val="0"/>
        <c:axPos val="l"/>
        <c:numFmt formatCode="General" sourceLinked="1"/>
        <c:majorTickMark val="out"/>
        <c:minorTickMark val="none"/>
        <c:tickLblPos val="nextTo"/>
        <c:crossAx val="58693120"/>
        <c:crosses val="autoZero"/>
        <c:auto val="1"/>
        <c:lblAlgn val="ctr"/>
        <c:lblOffset val="100"/>
        <c:noMultiLvlLbl val="0"/>
      </c:catAx>
      <c:valAx>
        <c:axId val="58693120"/>
        <c:scaling>
          <c:orientation val="minMax"/>
        </c:scaling>
        <c:delete val="0"/>
        <c:axPos val="b"/>
        <c:title>
          <c:tx>
            <c:rich>
              <a:bodyPr/>
              <a:lstStyle/>
              <a:p>
                <a:pPr>
                  <a:defRPr/>
                </a:pPr>
                <a:r>
                  <a:rPr lang="en-US"/>
                  <a:t>Number of people</a:t>
                </a:r>
              </a:p>
            </c:rich>
          </c:tx>
          <c:overlay val="0"/>
        </c:title>
        <c:numFmt formatCode="#,##0" sourceLinked="1"/>
        <c:majorTickMark val="out"/>
        <c:minorTickMark val="none"/>
        <c:tickLblPos val="nextTo"/>
        <c:crossAx val="58691584"/>
        <c:crosses val="autoZero"/>
        <c:crossBetween val="between"/>
      </c:valAx>
    </c:plotArea>
    <c:legend>
      <c:legendPos val="r"/>
      <c:layout>
        <c:manualLayout>
          <c:xMode val="edge"/>
          <c:yMode val="edge"/>
          <c:x val="0.87971224157740469"/>
          <c:y val="0.43301030354637782"/>
          <c:w val="0.1064873507129124"/>
          <c:h val="0.13027077033055168"/>
        </c:manualLayout>
      </c:layout>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19193754626829"/>
          <c:y val="6.1196105702364355E-2"/>
          <c:w val="0.80964148797920765"/>
          <c:h val="0.86180732652506165"/>
        </c:manualLayout>
      </c:layout>
      <c:lineChart>
        <c:grouping val="standard"/>
        <c:varyColors val="0"/>
        <c:ser>
          <c:idx val="0"/>
          <c:order val="0"/>
          <c:tx>
            <c:strRef>
              <c:f>Sheet1!$A$34</c:f>
              <c:strCache>
                <c:ptCount val="1"/>
                <c:pt idx="0">
                  <c:v>East Riding of Yorkshire</c:v>
                </c:pt>
              </c:strCache>
            </c:strRef>
          </c:tx>
          <c:marker>
            <c:symbol val="none"/>
          </c:marker>
          <c:cat>
            <c:numRef>
              <c:f>Sheet1!$B$33:$M$33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Sheet1!$B$34:$M$34</c:f>
              <c:numCache>
                <c:formatCode>#,##0</c:formatCode>
                <c:ptCount val="12"/>
                <c:pt idx="0">
                  <c:v>18995</c:v>
                </c:pt>
                <c:pt idx="1">
                  <c:v>19575</c:v>
                </c:pt>
                <c:pt idx="2">
                  <c:v>20508</c:v>
                </c:pt>
                <c:pt idx="3">
                  <c:v>21360</c:v>
                </c:pt>
                <c:pt idx="4">
                  <c:v>22956</c:v>
                </c:pt>
                <c:pt idx="5">
                  <c:v>24470</c:v>
                </c:pt>
                <c:pt idx="6">
                  <c:v>23840</c:v>
                </c:pt>
                <c:pt idx="7">
                  <c:v>24271</c:v>
                </c:pt>
                <c:pt idx="8">
                  <c:v>24678</c:v>
                </c:pt>
                <c:pt idx="9">
                  <c:v>23510</c:v>
                </c:pt>
                <c:pt idx="10">
                  <c:v>24063</c:v>
                </c:pt>
                <c:pt idx="11">
                  <c:v>24752</c:v>
                </c:pt>
              </c:numCache>
            </c:numRef>
          </c:val>
          <c:smooth val="0"/>
        </c:ser>
        <c:ser>
          <c:idx val="1"/>
          <c:order val="1"/>
          <c:tx>
            <c:strRef>
              <c:f>Sheet1!$A$35</c:f>
              <c:strCache>
                <c:ptCount val="1"/>
                <c:pt idx="0">
                  <c:v>Kingston upon Hull, City of</c:v>
                </c:pt>
              </c:strCache>
            </c:strRef>
          </c:tx>
          <c:marker>
            <c:symbol val="none"/>
          </c:marker>
          <c:cat>
            <c:numRef>
              <c:f>Sheet1!$B$33:$M$33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Sheet1!$B$35:$M$35</c:f>
              <c:numCache>
                <c:formatCode>#,##0</c:formatCode>
                <c:ptCount val="12"/>
                <c:pt idx="0">
                  <c:v>17999</c:v>
                </c:pt>
                <c:pt idx="1">
                  <c:v>18328</c:v>
                </c:pt>
                <c:pt idx="2">
                  <c:v>19063</c:v>
                </c:pt>
                <c:pt idx="3">
                  <c:v>21049</c:v>
                </c:pt>
                <c:pt idx="4">
                  <c:v>21494</c:v>
                </c:pt>
                <c:pt idx="5">
                  <c:v>22114</c:v>
                </c:pt>
                <c:pt idx="6">
                  <c:v>23061</c:v>
                </c:pt>
                <c:pt idx="7">
                  <c:v>22580</c:v>
                </c:pt>
                <c:pt idx="8">
                  <c:v>22928</c:v>
                </c:pt>
                <c:pt idx="9">
                  <c:v>23858</c:v>
                </c:pt>
                <c:pt idx="10">
                  <c:v>23366</c:v>
                </c:pt>
                <c:pt idx="11">
                  <c:v>23650</c:v>
                </c:pt>
              </c:numCache>
            </c:numRef>
          </c:val>
          <c:smooth val="0"/>
        </c:ser>
        <c:ser>
          <c:idx val="2"/>
          <c:order val="2"/>
          <c:tx>
            <c:strRef>
              <c:f>Sheet1!$A$36</c:f>
              <c:strCache>
                <c:ptCount val="1"/>
                <c:pt idx="0">
                  <c:v>North East Lincolnshire</c:v>
                </c:pt>
              </c:strCache>
            </c:strRef>
          </c:tx>
          <c:marker>
            <c:symbol val="none"/>
          </c:marker>
          <c:cat>
            <c:numRef>
              <c:f>Sheet1!$B$33:$M$33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Sheet1!$B$36:$M$36</c:f>
              <c:numCache>
                <c:formatCode>#,##0</c:formatCode>
                <c:ptCount val="12"/>
                <c:pt idx="0">
                  <c:v>17907</c:v>
                </c:pt>
                <c:pt idx="1">
                  <c:v>19161</c:v>
                </c:pt>
                <c:pt idx="2">
                  <c:v>19196</c:v>
                </c:pt>
                <c:pt idx="3">
                  <c:v>20440</c:v>
                </c:pt>
                <c:pt idx="4">
                  <c:v>20146</c:v>
                </c:pt>
                <c:pt idx="5">
                  <c:v>20440</c:v>
                </c:pt>
                <c:pt idx="6">
                  <c:v>21429</c:v>
                </c:pt>
                <c:pt idx="7">
                  <c:v>23054</c:v>
                </c:pt>
                <c:pt idx="8">
                  <c:v>21911</c:v>
                </c:pt>
                <c:pt idx="9">
                  <c:v>22831</c:v>
                </c:pt>
                <c:pt idx="10">
                  <c:v>24946</c:v>
                </c:pt>
                <c:pt idx="11">
                  <c:v>24301</c:v>
                </c:pt>
              </c:numCache>
            </c:numRef>
          </c:val>
          <c:smooth val="0"/>
        </c:ser>
        <c:ser>
          <c:idx val="3"/>
          <c:order val="3"/>
          <c:tx>
            <c:strRef>
              <c:f>Sheet1!$A$37</c:f>
              <c:strCache>
                <c:ptCount val="1"/>
                <c:pt idx="0">
                  <c:v>North Lincolnshire</c:v>
                </c:pt>
              </c:strCache>
            </c:strRef>
          </c:tx>
          <c:marker>
            <c:symbol val="none"/>
          </c:marker>
          <c:cat>
            <c:numRef>
              <c:f>Sheet1!$B$33:$M$33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Sheet1!$B$37:$M$37</c:f>
              <c:numCache>
                <c:formatCode>#,##0</c:formatCode>
                <c:ptCount val="12"/>
                <c:pt idx="0">
                  <c:v>20970</c:v>
                </c:pt>
                <c:pt idx="1">
                  <c:v>22579</c:v>
                </c:pt>
                <c:pt idx="2">
                  <c:v>22929</c:v>
                </c:pt>
                <c:pt idx="3">
                  <c:v>24302</c:v>
                </c:pt>
                <c:pt idx="4">
                  <c:v>24364</c:v>
                </c:pt>
                <c:pt idx="5">
                  <c:v>22880</c:v>
                </c:pt>
                <c:pt idx="6">
                  <c:v>24655</c:v>
                </c:pt>
                <c:pt idx="7">
                  <c:v>24677</c:v>
                </c:pt>
                <c:pt idx="8">
                  <c:v>25862</c:v>
                </c:pt>
                <c:pt idx="9">
                  <c:v>25817</c:v>
                </c:pt>
                <c:pt idx="10">
                  <c:v>26313</c:v>
                </c:pt>
                <c:pt idx="11">
                  <c:v>27493</c:v>
                </c:pt>
              </c:numCache>
            </c:numRef>
          </c:val>
          <c:smooth val="0"/>
        </c:ser>
        <c:ser>
          <c:idx val="4"/>
          <c:order val="4"/>
          <c:tx>
            <c:strRef>
              <c:f>Sheet1!$A$38</c:f>
              <c:strCache>
                <c:ptCount val="1"/>
                <c:pt idx="0">
                  <c:v>England</c:v>
                </c:pt>
              </c:strCache>
            </c:strRef>
          </c:tx>
          <c:marker>
            <c:symbol val="none"/>
          </c:marker>
          <c:cat>
            <c:numRef>
              <c:f>Sheet1!$B$33:$M$33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Sheet1!$B$38:$M$38</c:f>
              <c:numCache>
                <c:formatCode>#,##0</c:formatCode>
                <c:ptCount val="12"/>
                <c:pt idx="0">
                  <c:v>20706</c:v>
                </c:pt>
                <c:pt idx="1">
                  <c:v>21500</c:v>
                </c:pt>
                <c:pt idx="2">
                  <c:v>22418</c:v>
                </c:pt>
                <c:pt idx="3">
                  <c:v>23280</c:v>
                </c:pt>
                <c:pt idx="4">
                  <c:v>23729</c:v>
                </c:pt>
                <c:pt idx="5">
                  <c:v>24480</c:v>
                </c:pt>
                <c:pt idx="6">
                  <c:v>25549</c:v>
                </c:pt>
                <c:pt idx="7">
                  <c:v>26133</c:v>
                </c:pt>
                <c:pt idx="8">
                  <c:v>26265</c:v>
                </c:pt>
                <c:pt idx="9">
                  <c:v>26488</c:v>
                </c:pt>
                <c:pt idx="10">
                  <c:v>26822</c:v>
                </c:pt>
                <c:pt idx="11">
                  <c:v>27376</c:v>
                </c:pt>
              </c:numCache>
            </c:numRef>
          </c:val>
          <c:smooth val="0"/>
        </c:ser>
        <c:dLbls>
          <c:showLegendKey val="0"/>
          <c:showVal val="0"/>
          <c:showCatName val="0"/>
          <c:showSerName val="0"/>
          <c:showPercent val="0"/>
          <c:showBubbleSize val="0"/>
        </c:dLbls>
        <c:marker val="1"/>
        <c:smooth val="0"/>
        <c:axId val="57860480"/>
        <c:axId val="57862016"/>
      </c:lineChart>
      <c:catAx>
        <c:axId val="57860480"/>
        <c:scaling>
          <c:orientation val="minMax"/>
        </c:scaling>
        <c:delete val="0"/>
        <c:axPos val="b"/>
        <c:numFmt formatCode="General" sourceLinked="1"/>
        <c:majorTickMark val="out"/>
        <c:minorTickMark val="none"/>
        <c:tickLblPos val="nextTo"/>
        <c:crossAx val="57862016"/>
        <c:crosses val="autoZero"/>
        <c:auto val="1"/>
        <c:lblAlgn val="ctr"/>
        <c:lblOffset val="100"/>
        <c:noMultiLvlLbl val="0"/>
      </c:catAx>
      <c:valAx>
        <c:axId val="57862016"/>
        <c:scaling>
          <c:orientation val="minMax"/>
          <c:min val="5000"/>
        </c:scaling>
        <c:delete val="0"/>
        <c:axPos val="l"/>
        <c:majorGridlines>
          <c:spPr>
            <a:ln>
              <a:noFill/>
            </a:ln>
          </c:spPr>
        </c:majorGridlines>
        <c:title>
          <c:tx>
            <c:rich>
              <a:bodyPr rot="-5400000" vert="horz"/>
              <a:lstStyle/>
              <a:p>
                <a:pPr>
                  <a:defRPr/>
                </a:pPr>
                <a:r>
                  <a:rPr lang="en-GB"/>
                  <a:t>£</a:t>
                </a:r>
              </a:p>
            </c:rich>
          </c:tx>
          <c:layout>
            <c:manualLayout>
              <c:xMode val="edge"/>
              <c:yMode val="edge"/>
              <c:x val="0"/>
              <c:y val="0.45988875147327957"/>
            </c:manualLayout>
          </c:layout>
          <c:overlay val="0"/>
        </c:title>
        <c:numFmt formatCode="#,##0" sourceLinked="1"/>
        <c:majorTickMark val="out"/>
        <c:minorTickMark val="none"/>
        <c:tickLblPos val="nextTo"/>
        <c:crossAx val="57860480"/>
        <c:crosses val="autoZero"/>
        <c:crossBetween val="between"/>
      </c:valAx>
    </c:plotArea>
    <c:legend>
      <c:legendPos val="r"/>
      <c:layout>
        <c:manualLayout>
          <c:xMode val="edge"/>
          <c:yMode val="edge"/>
          <c:x val="0.6269426575698539"/>
          <c:y val="0.56769003842729571"/>
          <c:w val="0.30497742040285997"/>
          <c:h val="0.31485593833035475"/>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16852270184767"/>
          <c:y val="3.3100404560500195E-2"/>
          <c:w val="0.84625893666638474"/>
          <c:h val="0.84827388485229249"/>
        </c:manualLayout>
      </c:layout>
      <c:lineChart>
        <c:grouping val="standard"/>
        <c:varyColors val="0"/>
        <c:ser>
          <c:idx val="0"/>
          <c:order val="0"/>
          <c:tx>
            <c:strRef>
              <c:f>'Table 3.1 (2)'!$B$13</c:f>
              <c:strCache>
                <c:ptCount val="1"/>
                <c:pt idx="0">
                  <c:v>Kingston upon Hull, City of</c:v>
                </c:pt>
              </c:strCache>
            </c:strRef>
          </c:tx>
          <c:marker>
            <c:symbol val="none"/>
          </c:marker>
          <c:cat>
            <c:strRef>
              <c:f>'Table 3.1 (2)'!$C$8:$Q$8</c:f>
              <c:strCach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strCache>
            </c:strRef>
          </c:cat>
          <c:val>
            <c:numRef>
              <c:f>'Table 3.1 (2)'!$C$13:$Q$13</c:f>
              <c:numCache>
                <c:formatCode>#,##0</c:formatCode>
                <c:ptCount val="15"/>
                <c:pt idx="0">
                  <c:v>2666</c:v>
                </c:pt>
                <c:pt idx="1">
                  <c:v>2797</c:v>
                </c:pt>
                <c:pt idx="2">
                  <c:v>2897</c:v>
                </c:pt>
                <c:pt idx="3">
                  <c:v>3024</c:v>
                </c:pt>
                <c:pt idx="4">
                  <c:v>3176</c:v>
                </c:pt>
                <c:pt idx="5">
                  <c:v>3382</c:v>
                </c:pt>
                <c:pt idx="6">
                  <c:v>3606</c:v>
                </c:pt>
                <c:pt idx="7">
                  <c:v>3775</c:v>
                </c:pt>
                <c:pt idx="8">
                  <c:v>3895</c:v>
                </c:pt>
                <c:pt idx="9">
                  <c:v>4036</c:v>
                </c:pt>
                <c:pt idx="10">
                  <c:v>4159</c:v>
                </c:pt>
                <c:pt idx="11">
                  <c:v>4142</c:v>
                </c:pt>
                <c:pt idx="12">
                  <c:v>4015</c:v>
                </c:pt>
                <c:pt idx="13">
                  <c:v>4145</c:v>
                </c:pt>
                <c:pt idx="14">
                  <c:v>4195</c:v>
                </c:pt>
              </c:numCache>
            </c:numRef>
          </c:val>
          <c:smooth val="0"/>
        </c:ser>
        <c:ser>
          <c:idx val="1"/>
          <c:order val="1"/>
          <c:tx>
            <c:strRef>
              <c:f>'Table 3.1 (2)'!$B$14</c:f>
              <c:strCache>
                <c:ptCount val="1"/>
                <c:pt idx="0">
                  <c:v>East Riding of Yorkshire</c:v>
                </c:pt>
              </c:strCache>
            </c:strRef>
          </c:tx>
          <c:marker>
            <c:symbol val="none"/>
          </c:marker>
          <c:cat>
            <c:strRef>
              <c:f>'Table 3.1 (2)'!$C$8:$Q$8</c:f>
              <c:strCach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strCache>
            </c:strRef>
          </c:cat>
          <c:val>
            <c:numRef>
              <c:f>'Table 3.1 (2)'!$C$14:$Q$14</c:f>
              <c:numCache>
                <c:formatCode>#,##0</c:formatCode>
                <c:ptCount val="15"/>
                <c:pt idx="0">
                  <c:v>3106</c:v>
                </c:pt>
                <c:pt idx="1">
                  <c:v>3122</c:v>
                </c:pt>
                <c:pt idx="2">
                  <c:v>3138</c:v>
                </c:pt>
                <c:pt idx="3">
                  <c:v>3214</c:v>
                </c:pt>
                <c:pt idx="4">
                  <c:v>3387</c:v>
                </c:pt>
                <c:pt idx="5">
                  <c:v>3610</c:v>
                </c:pt>
                <c:pt idx="6">
                  <c:v>3825</c:v>
                </c:pt>
                <c:pt idx="7">
                  <c:v>4069</c:v>
                </c:pt>
                <c:pt idx="8">
                  <c:v>4154</c:v>
                </c:pt>
                <c:pt idx="9">
                  <c:v>4387</c:v>
                </c:pt>
                <c:pt idx="10">
                  <c:v>4575</c:v>
                </c:pt>
                <c:pt idx="11">
                  <c:v>4641</c:v>
                </c:pt>
                <c:pt idx="12">
                  <c:v>4546</c:v>
                </c:pt>
                <c:pt idx="13">
                  <c:v>4752</c:v>
                </c:pt>
                <c:pt idx="14">
                  <c:v>4880</c:v>
                </c:pt>
              </c:numCache>
            </c:numRef>
          </c:val>
          <c:smooth val="0"/>
        </c:ser>
        <c:ser>
          <c:idx val="2"/>
          <c:order val="2"/>
          <c:tx>
            <c:strRef>
              <c:f>'Table 3.1 (2)'!$B$15</c:f>
              <c:strCache>
                <c:ptCount val="1"/>
                <c:pt idx="0">
                  <c:v>North and North East Lincolnshire</c:v>
                </c:pt>
              </c:strCache>
            </c:strRef>
          </c:tx>
          <c:marker>
            <c:symbol val="none"/>
          </c:marker>
          <c:cat>
            <c:strRef>
              <c:f>'Table 3.1 (2)'!$C$8:$Q$8</c:f>
              <c:strCach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strCache>
            </c:strRef>
          </c:cat>
          <c:val>
            <c:numRef>
              <c:f>'Table 3.1 (2)'!$C$15:$Q$15</c:f>
              <c:numCache>
                <c:formatCode>#,##0</c:formatCode>
                <c:ptCount val="15"/>
                <c:pt idx="0">
                  <c:v>3883</c:v>
                </c:pt>
                <c:pt idx="1">
                  <c:v>3948</c:v>
                </c:pt>
                <c:pt idx="2">
                  <c:v>3920</c:v>
                </c:pt>
                <c:pt idx="3">
                  <c:v>3914</c:v>
                </c:pt>
                <c:pt idx="4">
                  <c:v>4035</c:v>
                </c:pt>
                <c:pt idx="5">
                  <c:v>4261</c:v>
                </c:pt>
                <c:pt idx="6">
                  <c:v>4539</c:v>
                </c:pt>
                <c:pt idx="7">
                  <c:v>4790</c:v>
                </c:pt>
                <c:pt idx="8">
                  <c:v>4972</c:v>
                </c:pt>
                <c:pt idx="9">
                  <c:v>5256</c:v>
                </c:pt>
                <c:pt idx="10">
                  <c:v>5516</c:v>
                </c:pt>
                <c:pt idx="11">
                  <c:v>5504</c:v>
                </c:pt>
                <c:pt idx="12">
                  <c:v>5274</c:v>
                </c:pt>
                <c:pt idx="13">
                  <c:v>5416</c:v>
                </c:pt>
                <c:pt idx="14">
                  <c:v>5494</c:v>
                </c:pt>
              </c:numCache>
            </c:numRef>
          </c:val>
          <c:smooth val="0"/>
        </c:ser>
        <c:dLbls>
          <c:showLegendKey val="0"/>
          <c:showVal val="0"/>
          <c:showCatName val="0"/>
          <c:showSerName val="0"/>
          <c:showPercent val="0"/>
          <c:showBubbleSize val="0"/>
        </c:dLbls>
        <c:marker val="1"/>
        <c:smooth val="0"/>
        <c:axId val="58477952"/>
        <c:axId val="58483840"/>
      </c:lineChart>
      <c:catAx>
        <c:axId val="58477952"/>
        <c:scaling>
          <c:orientation val="minMax"/>
        </c:scaling>
        <c:delete val="0"/>
        <c:axPos val="b"/>
        <c:numFmt formatCode="General" sourceLinked="0"/>
        <c:majorTickMark val="out"/>
        <c:minorTickMark val="none"/>
        <c:tickLblPos val="nextTo"/>
        <c:crossAx val="58483840"/>
        <c:crosses val="autoZero"/>
        <c:auto val="1"/>
        <c:lblAlgn val="ctr"/>
        <c:lblOffset val="100"/>
        <c:noMultiLvlLbl val="0"/>
      </c:catAx>
      <c:valAx>
        <c:axId val="58483840"/>
        <c:scaling>
          <c:orientation val="minMax"/>
        </c:scaling>
        <c:delete val="0"/>
        <c:axPos val="l"/>
        <c:majorGridlines>
          <c:spPr>
            <a:ln>
              <a:noFill/>
            </a:ln>
          </c:spPr>
        </c:majorGridlines>
        <c:title>
          <c:tx>
            <c:rich>
              <a:bodyPr rot="-5400000" vert="horz"/>
              <a:lstStyle/>
              <a:p>
                <a:pPr>
                  <a:defRPr/>
                </a:pPr>
                <a:r>
                  <a:rPr lang="en-US"/>
                  <a:t>£ millions</a:t>
                </a:r>
              </a:p>
            </c:rich>
          </c:tx>
          <c:layout>
            <c:manualLayout>
              <c:xMode val="edge"/>
              <c:yMode val="edge"/>
              <c:x val="0"/>
              <c:y val="0.36290119398922344"/>
            </c:manualLayout>
          </c:layout>
          <c:overlay val="0"/>
        </c:title>
        <c:numFmt formatCode="#,##0" sourceLinked="1"/>
        <c:majorTickMark val="out"/>
        <c:minorTickMark val="none"/>
        <c:tickLblPos val="nextTo"/>
        <c:crossAx val="58477952"/>
        <c:crosses val="autoZero"/>
        <c:crossBetween val="between"/>
      </c:valAx>
    </c:plotArea>
    <c:legend>
      <c:legendPos val="r"/>
      <c:layout>
        <c:manualLayout>
          <c:xMode val="edge"/>
          <c:yMode val="edge"/>
          <c:x val="0.43753178859624986"/>
          <c:y val="0.42952053455727585"/>
          <c:w val="0.40436158936215527"/>
          <c:h val="0.42412834007804207"/>
        </c:manualLayout>
      </c:layout>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93131266747187"/>
          <c:y val="5.0023826127382612E-2"/>
          <c:w val="0.87652893629345296"/>
          <c:h val="0.87972803347280737"/>
        </c:manualLayout>
      </c:layout>
      <c:lineChart>
        <c:grouping val="standard"/>
        <c:varyColors val="0"/>
        <c:ser>
          <c:idx val="0"/>
          <c:order val="0"/>
          <c:tx>
            <c:strRef>
              <c:f>Sheet1!$A$8</c:f>
              <c:strCache>
                <c:ptCount val="1"/>
                <c:pt idx="0">
                  <c:v>North and North East Lincs. </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Sheet1!$B$8:$Q$8</c:f>
              <c:numCache>
                <c:formatCode>#,##0</c:formatCode>
                <c:ptCount val="16"/>
                <c:pt idx="0">
                  <c:v>12760</c:v>
                </c:pt>
                <c:pt idx="1">
                  <c:v>13200</c:v>
                </c:pt>
                <c:pt idx="2">
                  <c:v>12264</c:v>
                </c:pt>
                <c:pt idx="3">
                  <c:v>11923</c:v>
                </c:pt>
                <c:pt idx="4">
                  <c:v>12436</c:v>
                </c:pt>
                <c:pt idx="5">
                  <c:v>13540</c:v>
                </c:pt>
                <c:pt idx="6">
                  <c:v>14315</c:v>
                </c:pt>
                <c:pt idx="7">
                  <c:v>15047</c:v>
                </c:pt>
                <c:pt idx="8">
                  <c:v>16061</c:v>
                </c:pt>
                <c:pt idx="9">
                  <c:v>16654</c:v>
                </c:pt>
                <c:pt idx="10">
                  <c:v>18938</c:v>
                </c:pt>
                <c:pt idx="11">
                  <c:v>18566</c:v>
                </c:pt>
                <c:pt idx="12">
                  <c:v>18283</c:v>
                </c:pt>
                <c:pt idx="13">
                  <c:v>18131</c:v>
                </c:pt>
                <c:pt idx="14">
                  <c:v>17841</c:v>
                </c:pt>
                <c:pt idx="15">
                  <c:v>18237</c:v>
                </c:pt>
              </c:numCache>
            </c:numRef>
          </c:val>
          <c:smooth val="0"/>
        </c:ser>
        <c:ser>
          <c:idx val="1"/>
          <c:order val="1"/>
          <c:tx>
            <c:strRef>
              <c:f>Sheet1!$A$9</c:f>
              <c:strCache>
                <c:ptCount val="1"/>
                <c:pt idx="0">
                  <c:v>Kingston upon Hull</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Sheet1!$B$9:$Q$9</c:f>
              <c:numCache>
                <c:formatCode>#,##0</c:formatCode>
                <c:ptCount val="16"/>
                <c:pt idx="0">
                  <c:v>10414</c:v>
                </c:pt>
                <c:pt idx="1">
                  <c:v>10507</c:v>
                </c:pt>
                <c:pt idx="2">
                  <c:v>10485</c:v>
                </c:pt>
                <c:pt idx="3">
                  <c:v>11942</c:v>
                </c:pt>
                <c:pt idx="4">
                  <c:v>12012</c:v>
                </c:pt>
                <c:pt idx="5">
                  <c:v>12947</c:v>
                </c:pt>
                <c:pt idx="6">
                  <c:v>14420</c:v>
                </c:pt>
                <c:pt idx="7">
                  <c:v>15237</c:v>
                </c:pt>
                <c:pt idx="8">
                  <c:v>15370</c:v>
                </c:pt>
                <c:pt idx="9">
                  <c:v>16231</c:v>
                </c:pt>
                <c:pt idx="10">
                  <c:v>17685</c:v>
                </c:pt>
                <c:pt idx="11">
                  <c:v>17144</c:v>
                </c:pt>
                <c:pt idx="12">
                  <c:v>16934</c:v>
                </c:pt>
                <c:pt idx="13">
                  <c:v>17103</c:v>
                </c:pt>
                <c:pt idx="14">
                  <c:v>17305</c:v>
                </c:pt>
                <c:pt idx="15">
                  <c:v>18045</c:v>
                </c:pt>
              </c:numCache>
            </c:numRef>
          </c:val>
          <c:smooth val="0"/>
        </c:ser>
        <c:ser>
          <c:idx val="2"/>
          <c:order val="2"/>
          <c:tx>
            <c:strRef>
              <c:f>Sheet1!$A$10</c:f>
              <c:strCache>
                <c:ptCount val="1"/>
                <c:pt idx="0">
                  <c:v>East Riding of Yorks. </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Sheet1!$B$10:$Q$10</c:f>
              <c:numCache>
                <c:formatCode>#,##0</c:formatCode>
                <c:ptCount val="16"/>
                <c:pt idx="0">
                  <c:v>9500</c:v>
                </c:pt>
                <c:pt idx="1">
                  <c:v>9716</c:v>
                </c:pt>
                <c:pt idx="2">
                  <c:v>9159</c:v>
                </c:pt>
                <c:pt idx="3">
                  <c:v>9571</c:v>
                </c:pt>
                <c:pt idx="4">
                  <c:v>10389</c:v>
                </c:pt>
                <c:pt idx="5">
                  <c:v>11326</c:v>
                </c:pt>
                <c:pt idx="6">
                  <c:v>12027</c:v>
                </c:pt>
                <c:pt idx="7">
                  <c:v>12933</c:v>
                </c:pt>
                <c:pt idx="8">
                  <c:v>12821</c:v>
                </c:pt>
                <c:pt idx="9">
                  <c:v>13559</c:v>
                </c:pt>
                <c:pt idx="10">
                  <c:v>14115</c:v>
                </c:pt>
                <c:pt idx="11">
                  <c:v>14217</c:v>
                </c:pt>
                <c:pt idx="12">
                  <c:v>14510</c:v>
                </c:pt>
                <c:pt idx="13">
                  <c:v>14816</c:v>
                </c:pt>
                <c:pt idx="14">
                  <c:v>14228</c:v>
                </c:pt>
                <c:pt idx="15">
                  <c:v>13633</c:v>
                </c:pt>
              </c:numCache>
            </c:numRef>
          </c:val>
          <c:smooth val="0"/>
        </c:ser>
        <c:ser>
          <c:idx val="3"/>
          <c:order val="3"/>
          <c:tx>
            <c:strRef>
              <c:f>Sheet1!$A$11</c:f>
              <c:strCache>
                <c:ptCount val="1"/>
                <c:pt idx="0">
                  <c:v>Yorkshire &amp; Humber</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Sheet1!$B$11:$Q$11</c:f>
              <c:numCache>
                <c:formatCode>#,##0</c:formatCode>
                <c:ptCount val="16"/>
                <c:pt idx="0">
                  <c:v>10814</c:v>
                </c:pt>
                <c:pt idx="1">
                  <c:v>11372</c:v>
                </c:pt>
                <c:pt idx="2">
                  <c:v>11658</c:v>
                </c:pt>
                <c:pt idx="3">
                  <c:v>11946</c:v>
                </c:pt>
                <c:pt idx="4">
                  <c:v>12457</c:v>
                </c:pt>
                <c:pt idx="5">
                  <c:v>13420</c:v>
                </c:pt>
                <c:pt idx="6">
                  <c:v>14333</c:v>
                </c:pt>
                <c:pt idx="7">
                  <c:v>15236</c:v>
                </c:pt>
                <c:pt idx="8">
                  <c:v>15662</c:v>
                </c:pt>
                <c:pt idx="9">
                  <c:v>16437</c:v>
                </c:pt>
                <c:pt idx="10">
                  <c:v>17617</c:v>
                </c:pt>
                <c:pt idx="11">
                  <c:v>17482</c:v>
                </c:pt>
                <c:pt idx="12">
                  <c:v>17100</c:v>
                </c:pt>
                <c:pt idx="13">
                  <c:v>17318</c:v>
                </c:pt>
                <c:pt idx="14">
                  <c:v>17484</c:v>
                </c:pt>
                <c:pt idx="15">
                  <c:v>17556</c:v>
                </c:pt>
              </c:numCache>
            </c:numRef>
          </c:val>
          <c:smooth val="0"/>
        </c:ser>
        <c:ser>
          <c:idx val="4"/>
          <c:order val="4"/>
          <c:tx>
            <c:strRef>
              <c:f>Sheet1!$A$12</c:f>
              <c:strCache>
                <c:ptCount val="1"/>
                <c:pt idx="0">
                  <c:v>UK</c:v>
                </c:pt>
              </c:strCache>
            </c:strRef>
          </c:tx>
          <c:marker>
            <c:symbol val="none"/>
          </c:marker>
          <c:cat>
            <c:strRef>
              <c:f>Sheet1!$B$7:$Q$7</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Sheet1!$B$12:$Q$12</c:f>
              <c:numCache>
                <c:formatCode>#,##0</c:formatCode>
                <c:ptCount val="16"/>
                <c:pt idx="0">
                  <c:v>12930</c:v>
                </c:pt>
                <c:pt idx="1">
                  <c:v>13582</c:v>
                </c:pt>
                <c:pt idx="2">
                  <c:v>14179</c:v>
                </c:pt>
                <c:pt idx="3">
                  <c:v>14855</c:v>
                </c:pt>
                <c:pt idx="4">
                  <c:v>15524</c:v>
                </c:pt>
                <c:pt idx="5">
                  <c:v>16227</c:v>
                </c:pt>
                <c:pt idx="6">
                  <c:v>17175</c:v>
                </c:pt>
                <c:pt idx="7">
                  <c:v>18032</c:v>
                </c:pt>
                <c:pt idx="8">
                  <c:v>18858</c:v>
                </c:pt>
                <c:pt idx="9">
                  <c:v>19808</c:v>
                </c:pt>
                <c:pt idx="10">
                  <c:v>20791</c:v>
                </c:pt>
                <c:pt idx="11">
                  <c:v>21223</c:v>
                </c:pt>
                <c:pt idx="12">
                  <c:v>20563</c:v>
                </c:pt>
                <c:pt idx="13">
                  <c:v>21159</c:v>
                </c:pt>
                <c:pt idx="14">
                  <c:v>21505</c:v>
                </c:pt>
                <c:pt idx="15">
                  <c:v>21674</c:v>
                </c:pt>
              </c:numCache>
            </c:numRef>
          </c:val>
          <c:smooth val="0"/>
        </c:ser>
        <c:dLbls>
          <c:showLegendKey val="0"/>
          <c:showVal val="0"/>
          <c:showCatName val="0"/>
          <c:showSerName val="0"/>
          <c:showPercent val="0"/>
          <c:showBubbleSize val="0"/>
        </c:dLbls>
        <c:marker val="1"/>
        <c:smooth val="0"/>
        <c:axId val="58495360"/>
        <c:axId val="58496896"/>
      </c:lineChart>
      <c:catAx>
        <c:axId val="58495360"/>
        <c:scaling>
          <c:orientation val="minMax"/>
        </c:scaling>
        <c:delete val="0"/>
        <c:axPos val="b"/>
        <c:numFmt formatCode="General" sourceLinked="0"/>
        <c:majorTickMark val="out"/>
        <c:minorTickMark val="none"/>
        <c:tickLblPos val="nextTo"/>
        <c:crossAx val="58496896"/>
        <c:crosses val="autoZero"/>
        <c:auto val="1"/>
        <c:lblAlgn val="ctr"/>
        <c:lblOffset val="100"/>
        <c:noMultiLvlLbl val="0"/>
      </c:catAx>
      <c:valAx>
        <c:axId val="58496896"/>
        <c:scaling>
          <c:orientation val="minMax"/>
        </c:scaling>
        <c:delete val="0"/>
        <c:axPos val="l"/>
        <c:majorGridlines>
          <c:spPr>
            <a:ln>
              <a:noFill/>
            </a:ln>
          </c:spPr>
        </c:majorGridlines>
        <c:title>
          <c:tx>
            <c:rich>
              <a:bodyPr rot="-5400000" vert="horz"/>
              <a:lstStyle/>
              <a:p>
                <a:pPr>
                  <a:defRPr/>
                </a:pPr>
                <a:r>
                  <a:rPr lang="en-GB"/>
                  <a:t>£ </a:t>
                </a:r>
              </a:p>
            </c:rich>
          </c:tx>
          <c:overlay val="0"/>
        </c:title>
        <c:numFmt formatCode="#,##0" sourceLinked="1"/>
        <c:majorTickMark val="out"/>
        <c:minorTickMark val="none"/>
        <c:tickLblPos val="nextTo"/>
        <c:crossAx val="58495360"/>
        <c:crosses val="autoZero"/>
        <c:crossBetween val="between"/>
      </c:valAx>
    </c:plotArea>
    <c:legend>
      <c:legendPos val="r"/>
      <c:layout>
        <c:manualLayout>
          <c:xMode val="edge"/>
          <c:yMode val="edge"/>
          <c:x val="0.60225251787364398"/>
          <c:y val="0.52111750348674957"/>
          <c:w val="0.33687502237313832"/>
          <c:h val="0.3759248605299880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627999408550542"/>
          <c:y val="3.4407378614352911E-2"/>
          <c:w val="0.88361391977682957"/>
          <c:h val="0.89560086908565051"/>
        </c:manualLayout>
      </c:layout>
      <c:lineChart>
        <c:grouping val="standard"/>
        <c:varyColors val="0"/>
        <c:ser>
          <c:idx val="0"/>
          <c:order val="0"/>
          <c:tx>
            <c:strRef>
              <c:f>Sheet1!$A$21</c:f>
              <c:strCache>
                <c:ptCount val="1"/>
                <c:pt idx="0">
                  <c:v>North and North East Lincs. </c:v>
                </c:pt>
              </c:strCache>
            </c:strRef>
          </c:tx>
          <c:marker>
            <c:symbol val="none"/>
          </c:marker>
          <c:cat>
            <c:strRef>
              <c:f>Sheet1!$B$20:$Q$20</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Sheet1!$B$21:$Q$21</c:f>
              <c:numCache>
                <c:formatCode>#,##0.0</c:formatCode>
                <c:ptCount val="16"/>
                <c:pt idx="0">
                  <c:v>100.5</c:v>
                </c:pt>
                <c:pt idx="1">
                  <c:v>98.7</c:v>
                </c:pt>
                <c:pt idx="2">
                  <c:v>87.9</c:v>
                </c:pt>
                <c:pt idx="3">
                  <c:v>82.2</c:v>
                </c:pt>
                <c:pt idx="4">
                  <c:v>81.8</c:v>
                </c:pt>
                <c:pt idx="5">
                  <c:v>85.1</c:v>
                </c:pt>
                <c:pt idx="6">
                  <c:v>84.9</c:v>
                </c:pt>
                <c:pt idx="7">
                  <c:v>85</c:v>
                </c:pt>
                <c:pt idx="8">
                  <c:v>87</c:v>
                </c:pt>
                <c:pt idx="9">
                  <c:v>86</c:v>
                </c:pt>
                <c:pt idx="10">
                  <c:v>93</c:v>
                </c:pt>
                <c:pt idx="11">
                  <c:v>89.6</c:v>
                </c:pt>
                <c:pt idx="12">
                  <c:v>90.5</c:v>
                </c:pt>
                <c:pt idx="13">
                  <c:v>87.4</c:v>
                </c:pt>
                <c:pt idx="14">
                  <c:v>84.6</c:v>
                </c:pt>
                <c:pt idx="15">
                  <c:v>85.6</c:v>
                </c:pt>
              </c:numCache>
            </c:numRef>
          </c:val>
          <c:smooth val="0"/>
        </c:ser>
        <c:ser>
          <c:idx val="1"/>
          <c:order val="1"/>
          <c:tx>
            <c:strRef>
              <c:f>Sheet1!$A$22</c:f>
              <c:strCache>
                <c:ptCount val="1"/>
                <c:pt idx="0">
                  <c:v>Kingston upon Hull</c:v>
                </c:pt>
              </c:strCache>
            </c:strRef>
          </c:tx>
          <c:marker>
            <c:symbol val="none"/>
          </c:marker>
          <c:cat>
            <c:strRef>
              <c:f>Sheet1!$B$20:$Q$20</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Sheet1!$B$22:$Q$22</c:f>
              <c:numCache>
                <c:formatCode>#,##0.0</c:formatCode>
                <c:ptCount val="16"/>
                <c:pt idx="0">
                  <c:v>82.1</c:v>
                </c:pt>
                <c:pt idx="1">
                  <c:v>78.5</c:v>
                </c:pt>
                <c:pt idx="2">
                  <c:v>75.2</c:v>
                </c:pt>
                <c:pt idx="3">
                  <c:v>82.3</c:v>
                </c:pt>
                <c:pt idx="4">
                  <c:v>79</c:v>
                </c:pt>
                <c:pt idx="5">
                  <c:v>81.400000000000006</c:v>
                </c:pt>
                <c:pt idx="6">
                  <c:v>85.6</c:v>
                </c:pt>
                <c:pt idx="7">
                  <c:v>86.1</c:v>
                </c:pt>
                <c:pt idx="8">
                  <c:v>83.2</c:v>
                </c:pt>
                <c:pt idx="9">
                  <c:v>83.8</c:v>
                </c:pt>
                <c:pt idx="10">
                  <c:v>86.9</c:v>
                </c:pt>
                <c:pt idx="11">
                  <c:v>82.7</c:v>
                </c:pt>
                <c:pt idx="12">
                  <c:v>83.8</c:v>
                </c:pt>
                <c:pt idx="13">
                  <c:v>82.5</c:v>
                </c:pt>
                <c:pt idx="14">
                  <c:v>82.1</c:v>
                </c:pt>
                <c:pt idx="15">
                  <c:v>84.7</c:v>
                </c:pt>
              </c:numCache>
            </c:numRef>
          </c:val>
          <c:smooth val="0"/>
        </c:ser>
        <c:ser>
          <c:idx val="2"/>
          <c:order val="2"/>
          <c:tx>
            <c:strRef>
              <c:f>Sheet1!$A$23</c:f>
              <c:strCache>
                <c:ptCount val="1"/>
                <c:pt idx="0">
                  <c:v>East Riding of Yorks. </c:v>
                </c:pt>
              </c:strCache>
            </c:strRef>
          </c:tx>
          <c:marker>
            <c:symbol val="none"/>
          </c:marker>
          <c:cat>
            <c:strRef>
              <c:f>Sheet1!$B$20:$Q$20</c:f>
              <c:strCach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strCache>
            </c:strRef>
          </c:cat>
          <c:val>
            <c:numRef>
              <c:f>Sheet1!$B$23:$Q$23</c:f>
              <c:numCache>
                <c:formatCode>#,##0.0</c:formatCode>
                <c:ptCount val="16"/>
                <c:pt idx="0">
                  <c:v>74.900000000000006</c:v>
                </c:pt>
                <c:pt idx="1">
                  <c:v>72.599999999999994</c:v>
                </c:pt>
                <c:pt idx="2">
                  <c:v>65.7</c:v>
                </c:pt>
                <c:pt idx="3">
                  <c:v>66</c:v>
                </c:pt>
                <c:pt idx="4">
                  <c:v>68.400000000000006</c:v>
                </c:pt>
                <c:pt idx="5">
                  <c:v>71.2</c:v>
                </c:pt>
                <c:pt idx="6">
                  <c:v>71.400000000000006</c:v>
                </c:pt>
                <c:pt idx="7">
                  <c:v>73.099999999999994</c:v>
                </c:pt>
                <c:pt idx="8">
                  <c:v>69.400000000000006</c:v>
                </c:pt>
                <c:pt idx="9">
                  <c:v>70</c:v>
                </c:pt>
                <c:pt idx="10">
                  <c:v>69.400000000000006</c:v>
                </c:pt>
                <c:pt idx="11">
                  <c:v>68.599999999999994</c:v>
                </c:pt>
                <c:pt idx="12">
                  <c:v>71.8</c:v>
                </c:pt>
                <c:pt idx="13">
                  <c:v>71.400000000000006</c:v>
                </c:pt>
                <c:pt idx="14">
                  <c:v>67.5</c:v>
                </c:pt>
                <c:pt idx="15">
                  <c:v>64</c:v>
                </c:pt>
              </c:numCache>
            </c:numRef>
          </c:val>
          <c:smooth val="0"/>
        </c:ser>
        <c:dLbls>
          <c:showLegendKey val="0"/>
          <c:showVal val="0"/>
          <c:showCatName val="0"/>
          <c:showSerName val="0"/>
          <c:showPercent val="0"/>
          <c:showBubbleSize val="0"/>
        </c:dLbls>
        <c:marker val="1"/>
        <c:smooth val="0"/>
        <c:axId val="58506624"/>
        <c:axId val="58508416"/>
      </c:lineChart>
      <c:catAx>
        <c:axId val="58506624"/>
        <c:scaling>
          <c:orientation val="minMax"/>
        </c:scaling>
        <c:delete val="0"/>
        <c:axPos val="b"/>
        <c:numFmt formatCode="General" sourceLinked="0"/>
        <c:majorTickMark val="out"/>
        <c:minorTickMark val="none"/>
        <c:tickLblPos val="nextTo"/>
        <c:crossAx val="58508416"/>
        <c:crosses val="autoZero"/>
        <c:auto val="1"/>
        <c:lblAlgn val="ctr"/>
        <c:lblOffset val="100"/>
        <c:noMultiLvlLbl val="0"/>
      </c:catAx>
      <c:valAx>
        <c:axId val="58508416"/>
        <c:scaling>
          <c:orientation val="minMax"/>
        </c:scaling>
        <c:delete val="0"/>
        <c:axPos val="l"/>
        <c:majorGridlines>
          <c:spPr>
            <a:ln>
              <a:noFill/>
            </a:ln>
          </c:spPr>
        </c:majorGridlines>
        <c:title>
          <c:tx>
            <c:rich>
              <a:bodyPr rot="-5400000" vert="horz"/>
              <a:lstStyle/>
              <a:p>
                <a:pPr>
                  <a:defRPr/>
                </a:pPr>
                <a:r>
                  <a:rPr lang="en-US"/>
                  <a:t>UK = 100</a:t>
                </a:r>
              </a:p>
            </c:rich>
          </c:tx>
          <c:layout>
            <c:manualLayout>
              <c:xMode val="edge"/>
              <c:yMode val="edge"/>
              <c:x val="3.5748235927454308E-3"/>
              <c:y val="0.33627128655250138"/>
            </c:manualLayout>
          </c:layout>
          <c:overlay val="0"/>
        </c:title>
        <c:numFmt formatCode="#,##0.0" sourceLinked="1"/>
        <c:majorTickMark val="out"/>
        <c:minorTickMark val="none"/>
        <c:tickLblPos val="nextTo"/>
        <c:crossAx val="58506624"/>
        <c:crosses val="autoZero"/>
        <c:crossBetween val="between"/>
      </c:valAx>
    </c:plotArea>
    <c:legend>
      <c:legendPos val="r"/>
      <c:layout>
        <c:manualLayout>
          <c:xMode val="edge"/>
          <c:yMode val="edge"/>
          <c:x val="0.55737690117274319"/>
          <c:y val="0.4904080678477421"/>
          <c:w val="0.36473983378089531"/>
          <c:h val="0.35000586241986398"/>
        </c:manualLayout>
      </c:layout>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3049899037383246E-2"/>
          <c:y val="3.9577851510699612E-2"/>
          <c:w val="0.60268432355046564"/>
          <c:h val="0.84669080058647306"/>
        </c:manualLayout>
      </c:layout>
      <c:lineChart>
        <c:grouping val="standard"/>
        <c:varyColors val="0"/>
        <c:ser>
          <c:idx val="0"/>
          <c:order val="0"/>
          <c:tx>
            <c:strRef>
              <c:f>Sheet1!$B$76</c:f>
              <c:strCache>
                <c:ptCount val="1"/>
                <c:pt idx="0">
                  <c:v>Agriculture, forestry and fishing</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Sheet1!$C$76:$Q$76</c:f>
              <c:numCache>
                <c:formatCode>#,##0</c:formatCode>
                <c:ptCount val="15"/>
                <c:pt idx="0">
                  <c:v>57</c:v>
                </c:pt>
                <c:pt idx="1">
                  <c:v>54</c:v>
                </c:pt>
                <c:pt idx="2">
                  <c:v>61</c:v>
                </c:pt>
                <c:pt idx="3">
                  <c:v>61</c:v>
                </c:pt>
                <c:pt idx="4">
                  <c:v>47</c:v>
                </c:pt>
                <c:pt idx="5">
                  <c:v>51</c:v>
                </c:pt>
                <c:pt idx="6">
                  <c:v>56</c:v>
                </c:pt>
                <c:pt idx="7">
                  <c:v>60</c:v>
                </c:pt>
                <c:pt idx="8">
                  <c:v>47</c:v>
                </c:pt>
                <c:pt idx="9">
                  <c:v>45</c:v>
                </c:pt>
                <c:pt idx="10">
                  <c:v>50</c:v>
                </c:pt>
                <c:pt idx="11">
                  <c:v>56</c:v>
                </c:pt>
                <c:pt idx="12">
                  <c:v>43</c:v>
                </c:pt>
                <c:pt idx="13">
                  <c:v>53</c:v>
                </c:pt>
                <c:pt idx="14">
                  <c:v>53</c:v>
                </c:pt>
              </c:numCache>
            </c:numRef>
          </c:val>
          <c:smooth val="0"/>
        </c:ser>
        <c:ser>
          <c:idx val="1"/>
          <c:order val="1"/>
          <c:tx>
            <c:strRef>
              <c:f>Sheet1!$B$77</c:f>
              <c:strCache>
                <c:ptCount val="1"/>
                <c:pt idx="0">
                  <c:v>Production</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Sheet1!$C$77:$Q$77</c:f>
              <c:numCache>
                <c:formatCode>#,##0</c:formatCode>
                <c:ptCount val="15"/>
                <c:pt idx="0">
                  <c:v>1814</c:v>
                </c:pt>
                <c:pt idx="1">
                  <c:v>1818</c:v>
                </c:pt>
                <c:pt idx="2">
                  <c:v>1560</c:v>
                </c:pt>
                <c:pt idx="3">
                  <c:v>1496</c:v>
                </c:pt>
                <c:pt idx="4">
                  <c:v>1410</c:v>
                </c:pt>
                <c:pt idx="5">
                  <c:v>1375</c:v>
                </c:pt>
                <c:pt idx="6">
                  <c:v>1422</c:v>
                </c:pt>
                <c:pt idx="7">
                  <c:v>1499</c:v>
                </c:pt>
                <c:pt idx="8">
                  <c:v>1732</c:v>
                </c:pt>
                <c:pt idx="9">
                  <c:v>1795</c:v>
                </c:pt>
                <c:pt idx="10">
                  <c:v>2155</c:v>
                </c:pt>
                <c:pt idx="11">
                  <c:v>2065</c:v>
                </c:pt>
                <c:pt idx="12">
                  <c:v>2069</c:v>
                </c:pt>
                <c:pt idx="13">
                  <c:v>2078</c:v>
                </c:pt>
                <c:pt idx="14">
                  <c:v>2106</c:v>
                </c:pt>
              </c:numCache>
            </c:numRef>
          </c:val>
          <c:smooth val="0"/>
        </c:ser>
        <c:ser>
          <c:idx val="2"/>
          <c:order val="2"/>
          <c:tx>
            <c:strRef>
              <c:f>Sheet1!$B$78</c:f>
              <c:strCache>
                <c:ptCount val="1"/>
                <c:pt idx="0">
                  <c:v>Construction</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Sheet1!$C$78:$Q$78</c:f>
              <c:numCache>
                <c:formatCode>#,##0</c:formatCode>
                <c:ptCount val="15"/>
                <c:pt idx="0">
                  <c:v>226</c:v>
                </c:pt>
                <c:pt idx="1">
                  <c:v>232</c:v>
                </c:pt>
                <c:pt idx="2">
                  <c:v>242</c:v>
                </c:pt>
                <c:pt idx="3">
                  <c:v>214</c:v>
                </c:pt>
                <c:pt idx="4">
                  <c:v>273</c:v>
                </c:pt>
                <c:pt idx="5">
                  <c:v>317</c:v>
                </c:pt>
                <c:pt idx="6">
                  <c:v>365</c:v>
                </c:pt>
                <c:pt idx="7">
                  <c:v>400</c:v>
                </c:pt>
                <c:pt idx="8">
                  <c:v>445</c:v>
                </c:pt>
                <c:pt idx="9">
                  <c:v>488</c:v>
                </c:pt>
                <c:pt idx="10">
                  <c:v>453</c:v>
                </c:pt>
                <c:pt idx="11">
                  <c:v>467</c:v>
                </c:pt>
                <c:pt idx="12">
                  <c:v>366</c:v>
                </c:pt>
                <c:pt idx="13">
                  <c:v>428</c:v>
                </c:pt>
                <c:pt idx="14">
                  <c:v>431</c:v>
                </c:pt>
              </c:numCache>
            </c:numRef>
          </c:val>
          <c:smooth val="0"/>
        </c:ser>
        <c:ser>
          <c:idx val="3"/>
          <c:order val="3"/>
          <c:tx>
            <c:strRef>
              <c:f>Sheet1!$B$79</c:f>
              <c:strCache>
                <c:ptCount val="1"/>
                <c:pt idx="0">
                  <c:v>Distribution; transport; accommodation and food</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Sheet1!$C$79:$Q$79</c:f>
              <c:numCache>
                <c:formatCode>#,##0</c:formatCode>
                <c:ptCount val="15"/>
                <c:pt idx="0">
                  <c:v>739</c:v>
                </c:pt>
                <c:pt idx="1">
                  <c:v>826</c:v>
                </c:pt>
                <c:pt idx="2">
                  <c:v>812</c:v>
                </c:pt>
                <c:pt idx="3">
                  <c:v>801</c:v>
                </c:pt>
                <c:pt idx="4">
                  <c:v>868</c:v>
                </c:pt>
                <c:pt idx="5">
                  <c:v>1039</c:v>
                </c:pt>
                <c:pt idx="6">
                  <c:v>1058</c:v>
                </c:pt>
                <c:pt idx="7">
                  <c:v>1094</c:v>
                </c:pt>
                <c:pt idx="8">
                  <c:v>1112</c:v>
                </c:pt>
                <c:pt idx="9">
                  <c:v>1147</c:v>
                </c:pt>
                <c:pt idx="10">
                  <c:v>1314</c:v>
                </c:pt>
                <c:pt idx="11">
                  <c:v>1335</c:v>
                </c:pt>
                <c:pt idx="12">
                  <c:v>1280</c:v>
                </c:pt>
                <c:pt idx="13">
                  <c:v>1247</c:v>
                </c:pt>
                <c:pt idx="14">
                  <c:v>1242</c:v>
                </c:pt>
              </c:numCache>
            </c:numRef>
          </c:val>
          <c:smooth val="0"/>
        </c:ser>
        <c:ser>
          <c:idx val="4"/>
          <c:order val="4"/>
          <c:tx>
            <c:strRef>
              <c:f>Sheet1!$B$80</c:f>
              <c:strCache>
                <c:ptCount val="1"/>
                <c:pt idx="0">
                  <c:v>Information and communication</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Sheet1!$C$80:$Q$80</c:f>
              <c:numCache>
                <c:formatCode>#,##0</c:formatCode>
                <c:ptCount val="15"/>
                <c:pt idx="0">
                  <c:v>39</c:v>
                </c:pt>
                <c:pt idx="1">
                  <c:v>45</c:v>
                </c:pt>
                <c:pt idx="2">
                  <c:v>48</c:v>
                </c:pt>
                <c:pt idx="3">
                  <c:v>59</c:v>
                </c:pt>
                <c:pt idx="4">
                  <c:v>46</c:v>
                </c:pt>
                <c:pt idx="5">
                  <c:v>65</c:v>
                </c:pt>
                <c:pt idx="6">
                  <c:v>112</c:v>
                </c:pt>
                <c:pt idx="7">
                  <c:v>75</c:v>
                </c:pt>
                <c:pt idx="8">
                  <c:v>84</c:v>
                </c:pt>
                <c:pt idx="9">
                  <c:v>72</c:v>
                </c:pt>
                <c:pt idx="10">
                  <c:v>99</c:v>
                </c:pt>
                <c:pt idx="11">
                  <c:v>72</c:v>
                </c:pt>
                <c:pt idx="12">
                  <c:v>64</c:v>
                </c:pt>
                <c:pt idx="13">
                  <c:v>60</c:v>
                </c:pt>
                <c:pt idx="14">
                  <c:v>46</c:v>
                </c:pt>
              </c:numCache>
            </c:numRef>
          </c:val>
          <c:smooth val="0"/>
        </c:ser>
        <c:ser>
          <c:idx val="5"/>
          <c:order val="5"/>
          <c:tx>
            <c:strRef>
              <c:f>Sheet1!$B$81</c:f>
              <c:strCache>
                <c:ptCount val="1"/>
                <c:pt idx="0">
                  <c:v>Financial and insurance activities</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Sheet1!$C$81:$Q$81</c:f>
              <c:numCache>
                <c:formatCode>#,##0</c:formatCode>
                <c:ptCount val="15"/>
                <c:pt idx="0">
                  <c:v>61</c:v>
                </c:pt>
                <c:pt idx="1">
                  <c:v>61</c:v>
                </c:pt>
                <c:pt idx="2">
                  <c:v>62</c:v>
                </c:pt>
                <c:pt idx="3">
                  <c:v>49</c:v>
                </c:pt>
                <c:pt idx="4">
                  <c:v>61</c:v>
                </c:pt>
                <c:pt idx="5">
                  <c:v>50</c:v>
                </c:pt>
                <c:pt idx="6">
                  <c:v>70</c:v>
                </c:pt>
                <c:pt idx="7">
                  <c:v>77</c:v>
                </c:pt>
                <c:pt idx="8">
                  <c:v>91</c:v>
                </c:pt>
                <c:pt idx="9">
                  <c:v>79</c:v>
                </c:pt>
                <c:pt idx="10">
                  <c:v>95</c:v>
                </c:pt>
                <c:pt idx="11">
                  <c:v>99</c:v>
                </c:pt>
                <c:pt idx="12">
                  <c:v>157</c:v>
                </c:pt>
                <c:pt idx="13">
                  <c:v>95</c:v>
                </c:pt>
                <c:pt idx="14">
                  <c:v>83</c:v>
                </c:pt>
              </c:numCache>
            </c:numRef>
          </c:val>
          <c:smooth val="0"/>
        </c:ser>
        <c:ser>
          <c:idx val="6"/>
          <c:order val="6"/>
          <c:tx>
            <c:strRef>
              <c:f>Sheet1!$B$82</c:f>
              <c:strCache>
                <c:ptCount val="1"/>
                <c:pt idx="0">
                  <c:v>Real estate activities</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Sheet1!$C$82:$Q$82</c:f>
              <c:numCache>
                <c:formatCode>#,##0</c:formatCode>
                <c:ptCount val="15"/>
                <c:pt idx="0">
                  <c:v>246</c:v>
                </c:pt>
                <c:pt idx="1">
                  <c:v>239</c:v>
                </c:pt>
                <c:pt idx="2">
                  <c:v>198</c:v>
                </c:pt>
                <c:pt idx="3">
                  <c:v>182</c:v>
                </c:pt>
                <c:pt idx="4">
                  <c:v>214</c:v>
                </c:pt>
                <c:pt idx="5">
                  <c:v>254</c:v>
                </c:pt>
                <c:pt idx="6">
                  <c:v>277</c:v>
                </c:pt>
                <c:pt idx="7">
                  <c:v>293</c:v>
                </c:pt>
                <c:pt idx="8">
                  <c:v>288</c:v>
                </c:pt>
                <c:pt idx="9">
                  <c:v>330</c:v>
                </c:pt>
                <c:pt idx="10">
                  <c:v>378</c:v>
                </c:pt>
                <c:pt idx="11">
                  <c:v>375</c:v>
                </c:pt>
                <c:pt idx="12">
                  <c:v>443</c:v>
                </c:pt>
                <c:pt idx="13">
                  <c:v>443</c:v>
                </c:pt>
                <c:pt idx="14">
                  <c:v>405</c:v>
                </c:pt>
              </c:numCache>
            </c:numRef>
          </c:val>
          <c:smooth val="0"/>
        </c:ser>
        <c:ser>
          <c:idx val="7"/>
          <c:order val="7"/>
          <c:tx>
            <c:strRef>
              <c:f>Sheet1!$B$83</c:f>
              <c:strCache>
                <c:ptCount val="1"/>
                <c:pt idx="0">
                  <c:v>Business service activities</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Sheet1!$C$83:$Q$83</c:f>
              <c:numCache>
                <c:formatCode>#,##0</c:formatCode>
                <c:ptCount val="15"/>
                <c:pt idx="0">
                  <c:v>236</c:v>
                </c:pt>
                <c:pt idx="1">
                  <c:v>259</c:v>
                </c:pt>
                <c:pt idx="2">
                  <c:v>226</c:v>
                </c:pt>
                <c:pt idx="3">
                  <c:v>225</c:v>
                </c:pt>
                <c:pt idx="4">
                  <c:v>246</c:v>
                </c:pt>
                <c:pt idx="5">
                  <c:v>302</c:v>
                </c:pt>
                <c:pt idx="6">
                  <c:v>332</c:v>
                </c:pt>
                <c:pt idx="7">
                  <c:v>330</c:v>
                </c:pt>
                <c:pt idx="8">
                  <c:v>324</c:v>
                </c:pt>
                <c:pt idx="9">
                  <c:v>370</c:v>
                </c:pt>
                <c:pt idx="10">
                  <c:v>392</c:v>
                </c:pt>
                <c:pt idx="11">
                  <c:v>387</c:v>
                </c:pt>
                <c:pt idx="12">
                  <c:v>353</c:v>
                </c:pt>
                <c:pt idx="13">
                  <c:v>356</c:v>
                </c:pt>
                <c:pt idx="14">
                  <c:v>336</c:v>
                </c:pt>
              </c:numCache>
            </c:numRef>
          </c:val>
          <c:smooth val="0"/>
        </c:ser>
        <c:ser>
          <c:idx val="8"/>
          <c:order val="8"/>
          <c:tx>
            <c:strRef>
              <c:f>Sheet1!$B$84</c:f>
              <c:strCache>
                <c:ptCount val="1"/>
                <c:pt idx="0">
                  <c:v>Public administration; education; health </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Sheet1!$C$84:$Q$84</c:f>
              <c:numCache>
                <c:formatCode>#,##0</c:formatCode>
                <c:ptCount val="15"/>
                <c:pt idx="0">
                  <c:v>480</c:v>
                </c:pt>
                <c:pt idx="1">
                  <c:v>486</c:v>
                </c:pt>
                <c:pt idx="2">
                  <c:v>503</c:v>
                </c:pt>
                <c:pt idx="3">
                  <c:v>514</c:v>
                </c:pt>
                <c:pt idx="4">
                  <c:v>618</c:v>
                </c:pt>
                <c:pt idx="5">
                  <c:v>690</c:v>
                </c:pt>
                <c:pt idx="6">
                  <c:v>722</c:v>
                </c:pt>
                <c:pt idx="7">
                  <c:v>817</c:v>
                </c:pt>
                <c:pt idx="8">
                  <c:v>875</c:v>
                </c:pt>
                <c:pt idx="9">
                  <c:v>884</c:v>
                </c:pt>
                <c:pt idx="10">
                  <c:v>1023</c:v>
                </c:pt>
                <c:pt idx="11">
                  <c:v>1002</c:v>
                </c:pt>
                <c:pt idx="12">
                  <c:v>1005</c:v>
                </c:pt>
                <c:pt idx="13">
                  <c:v>1029</c:v>
                </c:pt>
                <c:pt idx="14">
                  <c:v>1035</c:v>
                </c:pt>
              </c:numCache>
            </c:numRef>
          </c:val>
          <c:smooth val="0"/>
        </c:ser>
        <c:ser>
          <c:idx val="9"/>
          <c:order val="9"/>
          <c:tx>
            <c:strRef>
              <c:f>Sheet1!$B$85</c:f>
              <c:strCache>
                <c:ptCount val="1"/>
                <c:pt idx="0">
                  <c:v>Other services and household activities</c:v>
                </c:pt>
              </c:strCache>
            </c:strRef>
          </c:tx>
          <c:marker>
            <c:symbol val="none"/>
          </c:marker>
          <c:cat>
            <c:numRef>
              <c:f>Sheet1!$C$75:$Q$75</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Sheet1!$C$85:$Q$85</c:f>
              <c:numCache>
                <c:formatCode>#,##0</c:formatCode>
                <c:ptCount val="15"/>
                <c:pt idx="0">
                  <c:v>67</c:v>
                </c:pt>
                <c:pt idx="1">
                  <c:v>73</c:v>
                </c:pt>
                <c:pt idx="2">
                  <c:v>90</c:v>
                </c:pt>
                <c:pt idx="3">
                  <c:v>97</c:v>
                </c:pt>
                <c:pt idx="4">
                  <c:v>85</c:v>
                </c:pt>
                <c:pt idx="5">
                  <c:v>85</c:v>
                </c:pt>
                <c:pt idx="6">
                  <c:v>89</c:v>
                </c:pt>
                <c:pt idx="7">
                  <c:v>121</c:v>
                </c:pt>
                <c:pt idx="8">
                  <c:v>115</c:v>
                </c:pt>
                <c:pt idx="9">
                  <c:v>115</c:v>
                </c:pt>
                <c:pt idx="10">
                  <c:v>127</c:v>
                </c:pt>
                <c:pt idx="11">
                  <c:v>143</c:v>
                </c:pt>
                <c:pt idx="12">
                  <c:v>148</c:v>
                </c:pt>
                <c:pt idx="13">
                  <c:v>113</c:v>
                </c:pt>
                <c:pt idx="14">
                  <c:v>102</c:v>
                </c:pt>
              </c:numCache>
            </c:numRef>
          </c:val>
          <c:smooth val="0"/>
        </c:ser>
        <c:dLbls>
          <c:showLegendKey val="0"/>
          <c:showVal val="0"/>
          <c:showCatName val="0"/>
          <c:showSerName val="0"/>
          <c:showPercent val="0"/>
          <c:showBubbleSize val="0"/>
        </c:dLbls>
        <c:marker val="1"/>
        <c:smooth val="0"/>
        <c:axId val="58679680"/>
        <c:axId val="58681216"/>
      </c:lineChart>
      <c:catAx>
        <c:axId val="58679680"/>
        <c:scaling>
          <c:orientation val="minMax"/>
        </c:scaling>
        <c:delete val="0"/>
        <c:axPos val="b"/>
        <c:numFmt formatCode="General" sourceLinked="1"/>
        <c:majorTickMark val="out"/>
        <c:minorTickMark val="none"/>
        <c:tickLblPos val="nextTo"/>
        <c:crossAx val="58681216"/>
        <c:crosses val="autoZero"/>
        <c:auto val="1"/>
        <c:lblAlgn val="ctr"/>
        <c:lblOffset val="100"/>
        <c:noMultiLvlLbl val="0"/>
      </c:catAx>
      <c:valAx>
        <c:axId val="58681216"/>
        <c:scaling>
          <c:orientation val="minMax"/>
        </c:scaling>
        <c:delete val="0"/>
        <c:axPos val="l"/>
        <c:majorGridlines>
          <c:spPr>
            <a:ln>
              <a:noFill/>
            </a:ln>
          </c:spPr>
        </c:majorGridlines>
        <c:title>
          <c:tx>
            <c:rich>
              <a:bodyPr rot="-5400000" vert="horz"/>
              <a:lstStyle/>
              <a:p>
                <a:pPr>
                  <a:defRPr/>
                </a:pPr>
                <a:r>
                  <a:rPr lang="en-US"/>
                  <a:t>£ millions</a:t>
                </a:r>
              </a:p>
            </c:rich>
          </c:tx>
          <c:layout>
            <c:manualLayout>
              <c:xMode val="edge"/>
              <c:yMode val="edge"/>
              <c:x val="0"/>
              <c:y val="0.36105096925777702"/>
            </c:manualLayout>
          </c:layout>
          <c:overlay val="0"/>
        </c:title>
        <c:numFmt formatCode="#,##0" sourceLinked="1"/>
        <c:majorTickMark val="out"/>
        <c:minorTickMark val="none"/>
        <c:tickLblPos val="nextTo"/>
        <c:crossAx val="58679680"/>
        <c:crosses val="autoZero"/>
        <c:crossBetween val="between"/>
      </c:valAx>
    </c:plotArea>
    <c:legend>
      <c:legendPos val="r"/>
      <c:layout>
        <c:manualLayout>
          <c:xMode val="edge"/>
          <c:yMode val="edge"/>
          <c:x val="0.68496271327685099"/>
          <c:y val="1.46497411094053E-2"/>
          <c:w val="0.27292731405568532"/>
          <c:h val="0.86760692649268145"/>
        </c:manualLayout>
      </c:layout>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6079207825301"/>
          <c:y val="1.7113519680547605E-2"/>
          <c:w val="0.89819104741871536"/>
          <c:h val="0.48118532794657232"/>
        </c:manualLayout>
      </c:layout>
      <c:barChart>
        <c:barDir val="col"/>
        <c:grouping val="clustered"/>
        <c:varyColors val="0"/>
        <c:ser>
          <c:idx val="0"/>
          <c:order val="0"/>
          <c:tx>
            <c:strRef>
              <c:f>Sheet1!$B$59</c:f>
              <c:strCache>
                <c:ptCount val="1"/>
                <c:pt idx="0">
                  <c:v>Change (2011-2001)</c:v>
                </c:pt>
              </c:strCache>
            </c:strRef>
          </c:tx>
          <c:invertIfNegative val="0"/>
          <c:cat>
            <c:strRef>
              <c:f>Sheet1!$A$59:$A$70</c:f>
              <c:strCache>
                <c:ptCount val="12"/>
                <c:pt idx="1">
                  <c:v>Agriculture, forestry and fishing</c:v>
                </c:pt>
                <c:pt idx="2">
                  <c:v>Non-Manufacturing Production</c:v>
                </c:pt>
                <c:pt idx="3">
                  <c:v>Manufacturing Production </c:v>
                </c:pt>
                <c:pt idx="4">
                  <c:v>Construction</c:v>
                </c:pt>
                <c:pt idx="5">
                  <c:v>Distribution, transport, accommodation and food</c:v>
                </c:pt>
                <c:pt idx="6">
                  <c:v>Information and communication</c:v>
                </c:pt>
                <c:pt idx="7">
                  <c:v>Finance and insurance</c:v>
                </c:pt>
                <c:pt idx="8">
                  <c:v>Real estate </c:v>
                </c:pt>
                <c:pt idx="9">
                  <c:v>Business services</c:v>
                </c:pt>
                <c:pt idx="10">
                  <c:v>Public admin., education and health </c:v>
                </c:pt>
                <c:pt idx="11">
                  <c:v>Other services and household activities</c:v>
                </c:pt>
              </c:strCache>
            </c:strRef>
          </c:cat>
          <c:val>
            <c:numRef>
              <c:f>Sheet1!$B$59:$B$70</c:f>
              <c:numCache>
                <c:formatCode>#,##0</c:formatCode>
                <c:ptCount val="12"/>
                <c:pt idx="0" formatCode="General">
                  <c:v>0</c:v>
                </c:pt>
                <c:pt idx="1">
                  <c:v>3</c:v>
                </c:pt>
                <c:pt idx="2">
                  <c:v>42</c:v>
                </c:pt>
                <c:pt idx="3">
                  <c:v>-91</c:v>
                </c:pt>
                <c:pt idx="4">
                  <c:v>-22</c:v>
                </c:pt>
                <c:pt idx="5">
                  <c:v>-72</c:v>
                </c:pt>
                <c:pt idx="6">
                  <c:v>-53</c:v>
                </c:pt>
                <c:pt idx="7">
                  <c:v>-12</c:v>
                </c:pt>
                <c:pt idx="8">
                  <c:v>27</c:v>
                </c:pt>
                <c:pt idx="9">
                  <c:v>-56</c:v>
                </c:pt>
                <c:pt idx="10">
                  <c:v>12</c:v>
                </c:pt>
                <c:pt idx="11">
                  <c:v>-25</c:v>
                </c:pt>
              </c:numCache>
            </c:numRef>
          </c:val>
        </c:ser>
        <c:dLbls>
          <c:showLegendKey val="0"/>
          <c:showVal val="0"/>
          <c:showCatName val="0"/>
          <c:showSerName val="0"/>
          <c:showPercent val="0"/>
          <c:showBubbleSize val="0"/>
        </c:dLbls>
        <c:gapWidth val="150"/>
        <c:axId val="58709888"/>
        <c:axId val="58711424"/>
      </c:barChart>
      <c:catAx>
        <c:axId val="58709888"/>
        <c:scaling>
          <c:orientation val="minMax"/>
        </c:scaling>
        <c:delete val="0"/>
        <c:axPos val="b"/>
        <c:numFmt formatCode="General" sourceLinked="1"/>
        <c:majorTickMark val="out"/>
        <c:minorTickMark val="none"/>
        <c:tickLblPos val="low"/>
        <c:txPr>
          <a:bodyPr rot="-5400000" vert="horz"/>
          <a:lstStyle/>
          <a:p>
            <a:pPr>
              <a:defRPr sz="1000"/>
            </a:pPr>
            <a:endParaRPr lang="en-US"/>
          </a:p>
        </c:txPr>
        <c:crossAx val="58711424"/>
        <c:crosses val="autoZero"/>
        <c:auto val="1"/>
        <c:lblAlgn val="ctr"/>
        <c:lblOffset val="100"/>
        <c:noMultiLvlLbl val="0"/>
      </c:catAx>
      <c:valAx>
        <c:axId val="58711424"/>
        <c:scaling>
          <c:orientation val="minMax"/>
        </c:scaling>
        <c:delete val="0"/>
        <c:axPos val="l"/>
        <c:majorGridlines>
          <c:spPr>
            <a:ln>
              <a:solidFill>
                <a:srgbClr val="FFFFFF"/>
              </a:solidFill>
            </a:ln>
          </c:spPr>
        </c:majorGridlines>
        <c:title>
          <c:tx>
            <c:rich>
              <a:bodyPr rot="-5400000" vert="horz"/>
              <a:lstStyle/>
              <a:p>
                <a:pPr>
                  <a:defRPr/>
                </a:pPr>
                <a:r>
                  <a:rPr lang="en-US"/>
                  <a:t>£ millions</a:t>
                </a:r>
              </a:p>
            </c:rich>
          </c:tx>
          <c:layout>
            <c:manualLayout>
              <c:xMode val="edge"/>
              <c:yMode val="edge"/>
              <c:x val="7.330331795065103E-3"/>
              <c:y val="0.17145849651647097"/>
            </c:manualLayout>
          </c:layout>
          <c:overlay val="0"/>
        </c:title>
        <c:numFmt formatCode="General" sourceLinked="1"/>
        <c:majorTickMark val="out"/>
        <c:minorTickMark val="none"/>
        <c:tickLblPos val="nextTo"/>
        <c:crossAx val="58709888"/>
        <c:crosses val="autoZero"/>
        <c:crossBetween val="between"/>
      </c:valAx>
    </c:plotArea>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752606172984869E-2"/>
          <c:y val="3.6871534402909689E-2"/>
          <c:w val="0.90124739382701458"/>
          <c:h val="0.87188089543414793"/>
        </c:manualLayout>
      </c:layout>
      <c:lineChart>
        <c:grouping val="standard"/>
        <c:varyColors val="0"/>
        <c:ser>
          <c:idx val="0"/>
          <c:order val="0"/>
          <c:tx>
            <c:strRef>
              <c:f>'Data (2)'!$A$9</c:f>
              <c:strCache>
                <c:ptCount val="1"/>
                <c:pt idx="0">
                  <c:v>Kingston upon Hull, City of</c:v>
                </c:pt>
              </c:strCache>
            </c:strRef>
          </c:tx>
          <c:marker>
            <c:symbol val="none"/>
          </c:marker>
          <c:cat>
            <c:numRef>
              <c:f>'Data (2)'!$B$8:$F$8</c:f>
              <c:numCache>
                <c:formatCode>General</c:formatCode>
                <c:ptCount val="5"/>
                <c:pt idx="0">
                  <c:v>2009</c:v>
                </c:pt>
                <c:pt idx="1">
                  <c:v>2010</c:v>
                </c:pt>
                <c:pt idx="2">
                  <c:v>2011</c:v>
                </c:pt>
                <c:pt idx="3">
                  <c:v>2012</c:v>
                </c:pt>
                <c:pt idx="4">
                  <c:v>2013</c:v>
                </c:pt>
              </c:numCache>
            </c:numRef>
          </c:cat>
          <c:val>
            <c:numRef>
              <c:f>'Data (2)'!$B$9:$F$9</c:f>
              <c:numCache>
                <c:formatCode>0.0%</c:formatCode>
                <c:ptCount val="5"/>
                <c:pt idx="0">
                  <c:v>0.19800000000000001</c:v>
                </c:pt>
                <c:pt idx="1">
                  <c:v>0.2</c:v>
                </c:pt>
                <c:pt idx="2">
                  <c:v>0.21700000000000033</c:v>
                </c:pt>
                <c:pt idx="3">
                  <c:v>0.22900000000000001</c:v>
                </c:pt>
                <c:pt idx="4">
                  <c:v>0.223</c:v>
                </c:pt>
              </c:numCache>
            </c:numRef>
          </c:val>
          <c:smooth val="0"/>
        </c:ser>
        <c:ser>
          <c:idx val="1"/>
          <c:order val="1"/>
          <c:tx>
            <c:strRef>
              <c:f>'Data (2)'!$A$10</c:f>
              <c:strCache>
                <c:ptCount val="1"/>
                <c:pt idx="0">
                  <c:v>North East Lincolnshire</c:v>
                </c:pt>
              </c:strCache>
            </c:strRef>
          </c:tx>
          <c:spPr>
            <a:ln>
              <a:solidFill>
                <a:schemeClr val="accent5"/>
              </a:solidFill>
            </a:ln>
          </c:spPr>
          <c:marker>
            <c:symbol val="none"/>
          </c:marker>
          <c:cat>
            <c:numRef>
              <c:f>'Data (2)'!$B$8:$F$8</c:f>
              <c:numCache>
                <c:formatCode>General</c:formatCode>
                <c:ptCount val="5"/>
                <c:pt idx="0">
                  <c:v>2009</c:v>
                </c:pt>
                <c:pt idx="1">
                  <c:v>2010</c:v>
                </c:pt>
                <c:pt idx="2">
                  <c:v>2011</c:v>
                </c:pt>
                <c:pt idx="3">
                  <c:v>2012</c:v>
                </c:pt>
                <c:pt idx="4">
                  <c:v>2013</c:v>
                </c:pt>
              </c:numCache>
            </c:numRef>
          </c:cat>
          <c:val>
            <c:numRef>
              <c:f>'Data (2)'!$B$10:$F$10</c:f>
              <c:numCache>
                <c:formatCode>0.0%</c:formatCode>
                <c:ptCount val="5"/>
                <c:pt idx="0">
                  <c:v>0.17300000000000001</c:v>
                </c:pt>
                <c:pt idx="1">
                  <c:v>0.18500000000000033</c:v>
                </c:pt>
                <c:pt idx="2">
                  <c:v>0.18900000000000036</c:v>
                </c:pt>
                <c:pt idx="3">
                  <c:v>0.20200000000000001</c:v>
                </c:pt>
                <c:pt idx="4">
                  <c:v>0.19900000000000001</c:v>
                </c:pt>
              </c:numCache>
            </c:numRef>
          </c:val>
          <c:smooth val="0"/>
        </c:ser>
        <c:ser>
          <c:idx val="2"/>
          <c:order val="2"/>
          <c:tx>
            <c:strRef>
              <c:f>'Data (2)'!$A$11</c:f>
              <c:strCache>
                <c:ptCount val="1"/>
                <c:pt idx="0">
                  <c:v>North Lincolnshire</c:v>
                </c:pt>
              </c:strCache>
            </c:strRef>
          </c:tx>
          <c:marker>
            <c:symbol val="none"/>
          </c:marker>
          <c:cat>
            <c:numRef>
              <c:f>'Data (2)'!$B$8:$F$8</c:f>
              <c:numCache>
                <c:formatCode>General</c:formatCode>
                <c:ptCount val="5"/>
                <c:pt idx="0">
                  <c:v>2009</c:v>
                </c:pt>
                <c:pt idx="1">
                  <c:v>2010</c:v>
                </c:pt>
                <c:pt idx="2">
                  <c:v>2011</c:v>
                </c:pt>
                <c:pt idx="3">
                  <c:v>2012</c:v>
                </c:pt>
                <c:pt idx="4">
                  <c:v>2013</c:v>
                </c:pt>
              </c:numCache>
            </c:numRef>
          </c:cat>
          <c:val>
            <c:numRef>
              <c:f>'Data (2)'!$B$11:$F$11</c:f>
              <c:numCache>
                <c:formatCode>0.0%</c:formatCode>
                <c:ptCount val="5"/>
                <c:pt idx="0">
                  <c:v>0.22700000000000001</c:v>
                </c:pt>
                <c:pt idx="1">
                  <c:v>0.24300000000000024</c:v>
                </c:pt>
                <c:pt idx="2">
                  <c:v>0.21100000000000024</c:v>
                </c:pt>
                <c:pt idx="3">
                  <c:v>0.24200000000000021</c:v>
                </c:pt>
                <c:pt idx="4">
                  <c:v>0.23500000000000001</c:v>
                </c:pt>
              </c:numCache>
            </c:numRef>
          </c:val>
          <c:smooth val="0"/>
        </c:ser>
        <c:ser>
          <c:idx val="3"/>
          <c:order val="3"/>
          <c:tx>
            <c:strRef>
              <c:f>'Data (2)'!$A$12</c:f>
              <c:strCache>
                <c:ptCount val="1"/>
                <c:pt idx="0">
                  <c:v>England</c:v>
                </c:pt>
              </c:strCache>
            </c:strRef>
          </c:tx>
          <c:marker>
            <c:symbol val="none"/>
          </c:marker>
          <c:cat>
            <c:numRef>
              <c:f>'Data (2)'!$B$8:$F$8</c:f>
              <c:numCache>
                <c:formatCode>General</c:formatCode>
                <c:ptCount val="5"/>
                <c:pt idx="0">
                  <c:v>2009</c:v>
                </c:pt>
                <c:pt idx="1">
                  <c:v>2010</c:v>
                </c:pt>
                <c:pt idx="2">
                  <c:v>2011</c:v>
                </c:pt>
                <c:pt idx="3">
                  <c:v>2012</c:v>
                </c:pt>
                <c:pt idx="4">
                  <c:v>2013</c:v>
                </c:pt>
              </c:numCache>
            </c:numRef>
          </c:cat>
          <c:val>
            <c:numRef>
              <c:f>'Data (2)'!$B$12:$F$12</c:f>
              <c:numCache>
                <c:formatCode>0.0%</c:formatCode>
                <c:ptCount val="5"/>
                <c:pt idx="0">
                  <c:v>0.29600000000000032</c:v>
                </c:pt>
                <c:pt idx="1">
                  <c:v>0.31100000000000066</c:v>
                </c:pt>
                <c:pt idx="2">
                  <c:v>0.32700000000000073</c:v>
                </c:pt>
                <c:pt idx="3">
                  <c:v>0.34200000000000008</c:v>
                </c:pt>
                <c:pt idx="4">
                  <c:v>0.35000000000000031</c:v>
                </c:pt>
              </c:numCache>
            </c:numRef>
          </c:val>
          <c:smooth val="0"/>
        </c:ser>
        <c:dLbls>
          <c:showLegendKey val="0"/>
          <c:showVal val="0"/>
          <c:showCatName val="0"/>
          <c:showSerName val="0"/>
          <c:showPercent val="0"/>
          <c:showBubbleSize val="0"/>
        </c:dLbls>
        <c:marker val="1"/>
        <c:smooth val="0"/>
        <c:axId val="59340672"/>
        <c:axId val="59342208"/>
      </c:lineChart>
      <c:catAx>
        <c:axId val="59340672"/>
        <c:scaling>
          <c:orientation val="minMax"/>
        </c:scaling>
        <c:delete val="0"/>
        <c:axPos val="b"/>
        <c:numFmt formatCode="General" sourceLinked="1"/>
        <c:majorTickMark val="out"/>
        <c:minorTickMark val="none"/>
        <c:tickLblPos val="nextTo"/>
        <c:crossAx val="59342208"/>
        <c:crosses val="autoZero"/>
        <c:auto val="1"/>
        <c:lblAlgn val="ctr"/>
        <c:lblOffset val="100"/>
        <c:noMultiLvlLbl val="0"/>
      </c:catAx>
      <c:valAx>
        <c:axId val="59342208"/>
        <c:scaling>
          <c:orientation val="minMax"/>
        </c:scaling>
        <c:delete val="0"/>
        <c:axPos val="l"/>
        <c:title>
          <c:tx>
            <c:rich>
              <a:bodyPr rot="-5400000" vert="horz"/>
              <a:lstStyle/>
              <a:p>
                <a:pPr>
                  <a:defRPr/>
                </a:pPr>
                <a:r>
                  <a:rPr lang="en-GB"/>
                  <a:t>% of Working Age Population</a:t>
                </a:r>
              </a:p>
            </c:rich>
          </c:tx>
          <c:overlay val="0"/>
        </c:title>
        <c:numFmt formatCode="0%" sourceLinked="0"/>
        <c:majorTickMark val="out"/>
        <c:minorTickMark val="none"/>
        <c:tickLblPos val="nextTo"/>
        <c:crossAx val="59340672"/>
        <c:crosses val="autoZero"/>
        <c:crossBetween val="between"/>
      </c:valAx>
    </c:plotArea>
    <c:legend>
      <c:legendPos val="r"/>
      <c:layout>
        <c:manualLayout>
          <c:xMode val="edge"/>
          <c:yMode val="edge"/>
          <c:x val="0.46773899531215424"/>
          <c:y val="0.54930208809222836"/>
          <c:w val="0.39074635571051131"/>
          <c:h val="0.3064011537806923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706528375097073E-2"/>
          <c:y val="2.8252405949256338E-2"/>
          <c:w val="0.9035536705151338"/>
          <c:h val="0.87891586468358562"/>
        </c:manualLayout>
      </c:layout>
      <c:lineChart>
        <c:grouping val="standard"/>
        <c:varyColors val="0"/>
        <c:ser>
          <c:idx val="0"/>
          <c:order val="0"/>
          <c:tx>
            <c:strRef>
              <c:f>'Data (2)'!$A$30</c:f>
              <c:strCache>
                <c:ptCount val="1"/>
                <c:pt idx="0">
                  <c:v>Kingston upon Hull, City of</c:v>
                </c:pt>
              </c:strCache>
            </c:strRef>
          </c:tx>
          <c:marker>
            <c:symbol val="none"/>
          </c:marker>
          <c:cat>
            <c:numRef>
              <c:f>'Data (2)'!$B$29:$F$29</c:f>
              <c:numCache>
                <c:formatCode>General</c:formatCode>
                <c:ptCount val="5"/>
                <c:pt idx="0">
                  <c:v>2009</c:v>
                </c:pt>
                <c:pt idx="1">
                  <c:v>2010</c:v>
                </c:pt>
                <c:pt idx="2">
                  <c:v>2011</c:v>
                </c:pt>
                <c:pt idx="3">
                  <c:v>2012</c:v>
                </c:pt>
                <c:pt idx="4">
                  <c:v>2013</c:v>
                </c:pt>
              </c:numCache>
            </c:numRef>
          </c:cat>
          <c:val>
            <c:numRef>
              <c:f>'Data (2)'!$B$30:$F$30</c:f>
              <c:numCache>
                <c:formatCode>0.0%</c:formatCode>
                <c:ptCount val="5"/>
                <c:pt idx="0">
                  <c:v>0.18200000000000024</c:v>
                </c:pt>
                <c:pt idx="1">
                  <c:v>0.17500000000000004</c:v>
                </c:pt>
                <c:pt idx="2">
                  <c:v>0.14900000000000024</c:v>
                </c:pt>
                <c:pt idx="3">
                  <c:v>0.16200000000000001</c:v>
                </c:pt>
                <c:pt idx="4">
                  <c:v>0.13700000000000001</c:v>
                </c:pt>
              </c:numCache>
            </c:numRef>
          </c:val>
          <c:smooth val="0"/>
        </c:ser>
        <c:ser>
          <c:idx val="1"/>
          <c:order val="1"/>
          <c:tx>
            <c:strRef>
              <c:f>'Data (2)'!$A$31</c:f>
              <c:strCache>
                <c:ptCount val="1"/>
                <c:pt idx="0">
                  <c:v>North East Lincolnshire</c:v>
                </c:pt>
              </c:strCache>
            </c:strRef>
          </c:tx>
          <c:spPr>
            <a:ln>
              <a:solidFill>
                <a:schemeClr val="accent5"/>
              </a:solidFill>
            </a:ln>
          </c:spPr>
          <c:marker>
            <c:symbol val="none"/>
          </c:marker>
          <c:cat>
            <c:numRef>
              <c:f>'Data (2)'!$B$29:$F$29</c:f>
              <c:numCache>
                <c:formatCode>General</c:formatCode>
                <c:ptCount val="5"/>
                <c:pt idx="0">
                  <c:v>2009</c:v>
                </c:pt>
                <c:pt idx="1">
                  <c:v>2010</c:v>
                </c:pt>
                <c:pt idx="2">
                  <c:v>2011</c:v>
                </c:pt>
                <c:pt idx="3">
                  <c:v>2012</c:v>
                </c:pt>
                <c:pt idx="4">
                  <c:v>2013</c:v>
                </c:pt>
              </c:numCache>
            </c:numRef>
          </c:cat>
          <c:val>
            <c:numRef>
              <c:f>'Data (2)'!$B$31:$F$31</c:f>
              <c:numCache>
                <c:formatCode>0.0%</c:formatCode>
                <c:ptCount val="5"/>
                <c:pt idx="0">
                  <c:v>0.129</c:v>
                </c:pt>
                <c:pt idx="1">
                  <c:v>0.115</c:v>
                </c:pt>
                <c:pt idx="2">
                  <c:v>0.10700000000000012</c:v>
                </c:pt>
                <c:pt idx="3">
                  <c:v>0.113</c:v>
                </c:pt>
                <c:pt idx="4">
                  <c:v>0.10300000000000002</c:v>
                </c:pt>
              </c:numCache>
            </c:numRef>
          </c:val>
          <c:smooth val="0"/>
        </c:ser>
        <c:ser>
          <c:idx val="2"/>
          <c:order val="2"/>
          <c:tx>
            <c:strRef>
              <c:f>'Data (2)'!$A$32</c:f>
              <c:strCache>
                <c:ptCount val="1"/>
                <c:pt idx="0">
                  <c:v>North Lincolnshire</c:v>
                </c:pt>
              </c:strCache>
            </c:strRef>
          </c:tx>
          <c:marker>
            <c:symbol val="none"/>
          </c:marker>
          <c:cat>
            <c:numRef>
              <c:f>'Data (2)'!$B$29:$F$29</c:f>
              <c:numCache>
                <c:formatCode>General</c:formatCode>
                <c:ptCount val="5"/>
                <c:pt idx="0">
                  <c:v>2009</c:v>
                </c:pt>
                <c:pt idx="1">
                  <c:v>2010</c:v>
                </c:pt>
                <c:pt idx="2">
                  <c:v>2011</c:v>
                </c:pt>
                <c:pt idx="3">
                  <c:v>2012</c:v>
                </c:pt>
                <c:pt idx="4">
                  <c:v>2013</c:v>
                </c:pt>
              </c:numCache>
            </c:numRef>
          </c:cat>
          <c:val>
            <c:numRef>
              <c:f>'Data (2)'!$B$32:$F$32</c:f>
              <c:numCache>
                <c:formatCode>0.0%</c:formatCode>
                <c:ptCount val="5"/>
                <c:pt idx="0">
                  <c:v>0.10199999999999998</c:v>
                </c:pt>
                <c:pt idx="1">
                  <c:v>0.10199999999999998</c:v>
                </c:pt>
                <c:pt idx="2">
                  <c:v>9.2000000000000026E-2</c:v>
                </c:pt>
                <c:pt idx="3">
                  <c:v>8.8000000000000064E-2</c:v>
                </c:pt>
                <c:pt idx="4">
                  <c:v>8.6000000000000021E-2</c:v>
                </c:pt>
              </c:numCache>
            </c:numRef>
          </c:val>
          <c:smooth val="0"/>
        </c:ser>
        <c:ser>
          <c:idx val="3"/>
          <c:order val="3"/>
          <c:tx>
            <c:strRef>
              <c:f>'Data (2)'!$A$33</c:f>
              <c:strCache>
                <c:ptCount val="1"/>
                <c:pt idx="0">
                  <c:v>England</c:v>
                </c:pt>
              </c:strCache>
            </c:strRef>
          </c:tx>
          <c:marker>
            <c:symbol val="none"/>
          </c:marker>
          <c:cat>
            <c:numRef>
              <c:f>'Data (2)'!$B$29:$F$29</c:f>
              <c:numCache>
                <c:formatCode>General</c:formatCode>
                <c:ptCount val="5"/>
                <c:pt idx="0">
                  <c:v>2009</c:v>
                </c:pt>
                <c:pt idx="1">
                  <c:v>2010</c:v>
                </c:pt>
                <c:pt idx="2">
                  <c:v>2011</c:v>
                </c:pt>
                <c:pt idx="3">
                  <c:v>2012</c:v>
                </c:pt>
                <c:pt idx="4">
                  <c:v>2013</c:v>
                </c:pt>
              </c:numCache>
            </c:numRef>
          </c:cat>
          <c:val>
            <c:numRef>
              <c:f>'Data (2)'!$B$33:$F$33</c:f>
              <c:numCache>
                <c:formatCode>0.0%</c:formatCode>
                <c:ptCount val="5"/>
                <c:pt idx="0">
                  <c:v>0.12100000000000002</c:v>
                </c:pt>
                <c:pt idx="1">
                  <c:v>0.111</c:v>
                </c:pt>
                <c:pt idx="2">
                  <c:v>0.10400000000000002</c:v>
                </c:pt>
                <c:pt idx="3">
                  <c:v>9.5000000000000043E-2</c:v>
                </c:pt>
                <c:pt idx="4">
                  <c:v>9.1000000000000025E-2</c:v>
                </c:pt>
              </c:numCache>
            </c:numRef>
          </c:val>
          <c:smooth val="0"/>
        </c:ser>
        <c:dLbls>
          <c:showLegendKey val="0"/>
          <c:showVal val="0"/>
          <c:showCatName val="0"/>
          <c:showSerName val="0"/>
          <c:showPercent val="0"/>
          <c:showBubbleSize val="0"/>
        </c:dLbls>
        <c:marker val="1"/>
        <c:smooth val="0"/>
        <c:axId val="61204352"/>
        <c:axId val="61205888"/>
      </c:lineChart>
      <c:catAx>
        <c:axId val="61204352"/>
        <c:scaling>
          <c:orientation val="minMax"/>
        </c:scaling>
        <c:delete val="0"/>
        <c:axPos val="b"/>
        <c:numFmt formatCode="General" sourceLinked="1"/>
        <c:majorTickMark val="out"/>
        <c:minorTickMark val="none"/>
        <c:tickLblPos val="nextTo"/>
        <c:crossAx val="61205888"/>
        <c:crosses val="autoZero"/>
        <c:auto val="1"/>
        <c:lblAlgn val="ctr"/>
        <c:lblOffset val="100"/>
        <c:noMultiLvlLbl val="0"/>
      </c:catAx>
      <c:valAx>
        <c:axId val="61205888"/>
        <c:scaling>
          <c:orientation val="minMax"/>
        </c:scaling>
        <c:delete val="0"/>
        <c:axPos val="l"/>
        <c:title>
          <c:tx>
            <c:rich>
              <a:bodyPr rot="-5400000" vert="horz"/>
              <a:lstStyle/>
              <a:p>
                <a:pPr>
                  <a:defRPr/>
                </a:pPr>
                <a:r>
                  <a:rPr lang="en-GB"/>
                  <a:t>% of</a:t>
                </a:r>
                <a:r>
                  <a:rPr lang="en-GB" baseline="0"/>
                  <a:t> Working Age Population</a:t>
                </a:r>
                <a:endParaRPr lang="en-GB"/>
              </a:p>
            </c:rich>
          </c:tx>
          <c:overlay val="0"/>
        </c:title>
        <c:numFmt formatCode="0%" sourceLinked="0"/>
        <c:majorTickMark val="out"/>
        <c:minorTickMark val="none"/>
        <c:tickLblPos val="nextTo"/>
        <c:crossAx val="61204352"/>
        <c:crosses val="autoZero"/>
        <c:crossBetween val="between"/>
      </c:valAx>
    </c:plotArea>
    <c:legend>
      <c:legendPos val="r"/>
      <c:layout>
        <c:manualLayout>
          <c:xMode val="edge"/>
          <c:yMode val="edge"/>
          <c:x val="0.47079376331248651"/>
          <c:y val="0.54089895013123368"/>
          <c:w val="0.38921315578830262"/>
          <c:h val="0.33486876640420143"/>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581073199183714E-2"/>
          <c:y val="4.9074280615659154E-2"/>
          <c:w val="0.90087015164771067"/>
          <c:h val="0.79238593391306789"/>
        </c:manualLayout>
      </c:layout>
      <c:barChart>
        <c:barDir val="col"/>
        <c:grouping val="clustered"/>
        <c:varyColors val="0"/>
        <c:ser>
          <c:idx val="0"/>
          <c:order val="0"/>
          <c:tx>
            <c:strRef>
              <c:f>'2'!$J$26</c:f>
              <c:strCache>
                <c:ptCount val="1"/>
                <c:pt idx="0">
                  <c:v>Kingston upon Hull</c:v>
                </c:pt>
              </c:strCache>
            </c:strRef>
          </c:tx>
          <c:invertIfNegative val="0"/>
          <c:cat>
            <c:strRef>
              <c:f>'2'!$I$27:$I$30</c:f>
              <c:strCache>
                <c:ptCount val="4"/>
                <c:pt idx="0">
                  <c:v>SSVs only</c:v>
                </c:pt>
                <c:pt idx="1">
                  <c:v>Skill gaps only</c:v>
                </c:pt>
                <c:pt idx="2">
                  <c:v>SSVs AND Skill gaps</c:v>
                </c:pt>
                <c:pt idx="3">
                  <c:v>SSVs OR Skill gaps</c:v>
                </c:pt>
              </c:strCache>
            </c:strRef>
          </c:cat>
          <c:val>
            <c:numRef>
              <c:f>'2'!$J$27:$J$30</c:f>
              <c:numCache>
                <c:formatCode>0%</c:formatCode>
                <c:ptCount val="4"/>
                <c:pt idx="0">
                  <c:v>0</c:v>
                </c:pt>
                <c:pt idx="1">
                  <c:v>0.12000000000000002</c:v>
                </c:pt>
                <c:pt idx="2">
                  <c:v>2.0000000000000011E-2</c:v>
                </c:pt>
                <c:pt idx="3">
                  <c:v>0.13</c:v>
                </c:pt>
              </c:numCache>
            </c:numRef>
          </c:val>
        </c:ser>
        <c:ser>
          <c:idx val="1"/>
          <c:order val="1"/>
          <c:tx>
            <c:strRef>
              <c:f>'2'!$K$26</c:f>
              <c:strCache>
                <c:ptCount val="1"/>
                <c:pt idx="0">
                  <c:v>East Riding of Yorkshire</c:v>
                </c:pt>
              </c:strCache>
            </c:strRef>
          </c:tx>
          <c:invertIfNegative val="0"/>
          <c:cat>
            <c:strRef>
              <c:f>'2'!$I$27:$I$30</c:f>
              <c:strCache>
                <c:ptCount val="4"/>
                <c:pt idx="0">
                  <c:v>SSVs only</c:v>
                </c:pt>
                <c:pt idx="1">
                  <c:v>Skill gaps only</c:v>
                </c:pt>
                <c:pt idx="2">
                  <c:v>SSVs AND Skill gaps</c:v>
                </c:pt>
                <c:pt idx="3">
                  <c:v>SSVs OR Skill gaps</c:v>
                </c:pt>
              </c:strCache>
            </c:strRef>
          </c:cat>
          <c:val>
            <c:numRef>
              <c:f>'2'!$K$27:$K$30</c:f>
              <c:numCache>
                <c:formatCode>0%</c:formatCode>
                <c:ptCount val="4"/>
                <c:pt idx="0">
                  <c:v>1.0000000000000005E-2</c:v>
                </c:pt>
                <c:pt idx="1">
                  <c:v>0.13</c:v>
                </c:pt>
                <c:pt idx="2">
                  <c:v>1.0000000000000005E-2</c:v>
                </c:pt>
                <c:pt idx="3">
                  <c:v>0.16</c:v>
                </c:pt>
              </c:numCache>
            </c:numRef>
          </c:val>
        </c:ser>
        <c:ser>
          <c:idx val="2"/>
          <c:order val="2"/>
          <c:tx>
            <c:strRef>
              <c:f>'2'!$L$26</c:f>
              <c:strCache>
                <c:ptCount val="1"/>
                <c:pt idx="0">
                  <c:v>North East Lincs.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'2'!$I$27:$I$30</c:f>
              <c:strCache>
                <c:ptCount val="4"/>
                <c:pt idx="0">
                  <c:v>SSVs only</c:v>
                </c:pt>
                <c:pt idx="1">
                  <c:v>Skill gaps only</c:v>
                </c:pt>
                <c:pt idx="2">
                  <c:v>SSVs AND Skill gaps</c:v>
                </c:pt>
                <c:pt idx="3">
                  <c:v>SSVs OR Skill gaps</c:v>
                </c:pt>
              </c:strCache>
            </c:strRef>
          </c:cat>
          <c:val>
            <c:numRef>
              <c:f>'2'!$L$27:$L$30</c:f>
              <c:numCache>
                <c:formatCode>0%</c:formatCode>
                <c:ptCount val="4"/>
                <c:pt idx="0">
                  <c:v>2.0000000000000011E-2</c:v>
                </c:pt>
                <c:pt idx="1">
                  <c:v>0.12000000000000002</c:v>
                </c:pt>
                <c:pt idx="2">
                  <c:v>1.0000000000000005E-2</c:v>
                </c:pt>
                <c:pt idx="3">
                  <c:v>0.15000000000000024</c:v>
                </c:pt>
              </c:numCache>
            </c:numRef>
          </c:val>
        </c:ser>
        <c:ser>
          <c:idx val="3"/>
          <c:order val="3"/>
          <c:tx>
            <c:strRef>
              <c:f>'2'!$M$26</c:f>
              <c:strCache>
                <c:ptCount val="1"/>
                <c:pt idx="0">
                  <c:v>North Lincs.</c:v>
                </c:pt>
              </c:strCache>
            </c:strRef>
          </c:tx>
          <c:invertIfNegative val="0"/>
          <c:cat>
            <c:strRef>
              <c:f>'2'!$I$27:$I$30</c:f>
              <c:strCache>
                <c:ptCount val="4"/>
                <c:pt idx="0">
                  <c:v>SSVs only</c:v>
                </c:pt>
                <c:pt idx="1">
                  <c:v>Skill gaps only</c:v>
                </c:pt>
                <c:pt idx="2">
                  <c:v>SSVs AND Skill gaps</c:v>
                </c:pt>
                <c:pt idx="3">
                  <c:v>SSVs OR Skill gaps</c:v>
                </c:pt>
              </c:strCache>
            </c:strRef>
          </c:cat>
          <c:val>
            <c:numRef>
              <c:f>'2'!$M$27:$M$30</c:f>
              <c:numCache>
                <c:formatCode>0%</c:formatCode>
                <c:ptCount val="4"/>
                <c:pt idx="0">
                  <c:v>3.0000000000000002E-2</c:v>
                </c:pt>
                <c:pt idx="1">
                  <c:v>0.12000000000000002</c:v>
                </c:pt>
                <c:pt idx="2">
                  <c:v>1.0000000000000005E-2</c:v>
                </c:pt>
                <c:pt idx="3">
                  <c:v>0.16</c:v>
                </c:pt>
              </c:numCache>
            </c:numRef>
          </c:val>
        </c:ser>
        <c:ser>
          <c:idx val="4"/>
          <c:order val="4"/>
          <c:tx>
            <c:strRef>
              <c:f>'2'!$N$26</c:f>
              <c:strCache>
                <c:ptCount val="1"/>
                <c:pt idx="0">
                  <c:v>England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'2'!$I$27:$I$30</c:f>
              <c:strCache>
                <c:ptCount val="4"/>
                <c:pt idx="0">
                  <c:v>SSVs only</c:v>
                </c:pt>
                <c:pt idx="1">
                  <c:v>Skill gaps only</c:v>
                </c:pt>
                <c:pt idx="2">
                  <c:v>SSVs AND Skill gaps</c:v>
                </c:pt>
                <c:pt idx="3">
                  <c:v>SSVs OR Skill gaps</c:v>
                </c:pt>
              </c:strCache>
            </c:strRef>
          </c:cat>
          <c:val>
            <c:numRef>
              <c:f>'2'!$N$27:$N$30</c:f>
              <c:numCache>
                <c:formatCode>0%</c:formatCode>
                <c:ptCount val="4"/>
                <c:pt idx="0">
                  <c:v>3.0000000000000002E-2</c:v>
                </c:pt>
                <c:pt idx="1">
                  <c:v>0.14000000000000001</c:v>
                </c:pt>
                <c:pt idx="2">
                  <c:v>1.0000000000000005E-2</c:v>
                </c:pt>
                <c:pt idx="3">
                  <c:v>0.18000000000000024</c:v>
                </c:pt>
              </c:numCache>
            </c:numRef>
          </c:val>
        </c:ser>
        <c:dLbls>
          <c:showLegendKey val="0"/>
          <c:showVal val="0"/>
          <c:showCatName val="0"/>
          <c:showSerName val="0"/>
          <c:showPercent val="0"/>
          <c:showBubbleSize val="0"/>
        </c:dLbls>
        <c:gapWidth val="150"/>
        <c:axId val="61799808"/>
        <c:axId val="61817984"/>
      </c:barChart>
      <c:catAx>
        <c:axId val="61799808"/>
        <c:scaling>
          <c:orientation val="minMax"/>
        </c:scaling>
        <c:delete val="0"/>
        <c:axPos val="b"/>
        <c:numFmt formatCode="General" sourceLinked="0"/>
        <c:majorTickMark val="out"/>
        <c:minorTickMark val="none"/>
        <c:tickLblPos val="nextTo"/>
        <c:crossAx val="61817984"/>
        <c:crosses val="autoZero"/>
        <c:auto val="1"/>
        <c:lblAlgn val="ctr"/>
        <c:lblOffset val="100"/>
        <c:noMultiLvlLbl val="0"/>
      </c:catAx>
      <c:valAx>
        <c:axId val="61817984"/>
        <c:scaling>
          <c:orientation val="minMax"/>
        </c:scaling>
        <c:delete val="0"/>
        <c:axPos val="l"/>
        <c:majorGridlines>
          <c:spPr>
            <a:ln>
              <a:noFill/>
            </a:ln>
          </c:spPr>
        </c:majorGridlines>
        <c:title>
          <c:tx>
            <c:rich>
              <a:bodyPr rot="-5400000" vert="horz"/>
              <a:lstStyle/>
              <a:p>
                <a:pPr>
                  <a:defRPr/>
                </a:pPr>
                <a:r>
                  <a:rPr lang="en-GB"/>
                  <a:t>% of Businesses</a:t>
                </a:r>
              </a:p>
            </c:rich>
          </c:tx>
          <c:overlay val="0"/>
        </c:title>
        <c:numFmt formatCode="0%" sourceLinked="1"/>
        <c:majorTickMark val="out"/>
        <c:minorTickMark val="none"/>
        <c:tickLblPos val="nextTo"/>
        <c:crossAx val="61799808"/>
        <c:crosses val="autoZero"/>
        <c:crossBetween val="between"/>
      </c:valAx>
    </c:plotArea>
    <c:legend>
      <c:legendPos val="r"/>
      <c:layout>
        <c:manualLayout>
          <c:xMode val="edge"/>
          <c:yMode val="edge"/>
          <c:x val="0.14046879556722186"/>
          <c:y val="4.2011729350248987E-2"/>
          <c:w val="0.64656824146981662"/>
          <c:h val="0.22893661268027429"/>
        </c:manualLayout>
      </c:layout>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39113563256208"/>
          <c:y val="5.4522924411400435E-2"/>
          <c:w val="0.62582617336670143"/>
          <c:h val="0.71233361629053005"/>
        </c:manualLayout>
      </c:layout>
      <c:barChart>
        <c:barDir val="col"/>
        <c:grouping val="percentStacked"/>
        <c:varyColors val="0"/>
        <c:ser>
          <c:idx val="0"/>
          <c:order val="0"/>
          <c:tx>
            <c:strRef>
              <c:f>'59'!$A$24</c:f>
              <c:strCache>
                <c:ptCount val="1"/>
                <c:pt idx="0">
                  <c:v>Yes - major impact</c:v>
                </c:pt>
              </c:strCache>
            </c:strRef>
          </c:tx>
          <c:invertIfNegative val="0"/>
          <c:cat>
            <c:strRef>
              <c:f>'59'!$B$23:$F$23</c:f>
              <c:strCache>
                <c:ptCount val="5"/>
                <c:pt idx="0">
                  <c:v>England</c:v>
                </c:pt>
                <c:pt idx="1">
                  <c:v>Kingston upon Hull</c:v>
                </c:pt>
                <c:pt idx="2">
                  <c:v>East Riding of Yorks.</c:v>
                </c:pt>
                <c:pt idx="3">
                  <c:v>North East Lincs.</c:v>
                </c:pt>
                <c:pt idx="4">
                  <c:v>North Lincs.</c:v>
                </c:pt>
              </c:strCache>
            </c:strRef>
          </c:cat>
          <c:val>
            <c:numRef>
              <c:f>'59'!$B$24:$F$24</c:f>
              <c:numCache>
                <c:formatCode>0%</c:formatCode>
                <c:ptCount val="5"/>
                <c:pt idx="0">
                  <c:v>0.16</c:v>
                </c:pt>
                <c:pt idx="1">
                  <c:v>0.13</c:v>
                </c:pt>
                <c:pt idx="2">
                  <c:v>0.12000000000000002</c:v>
                </c:pt>
                <c:pt idx="3">
                  <c:v>0.1</c:v>
                </c:pt>
                <c:pt idx="4">
                  <c:v>0.14000000000000001</c:v>
                </c:pt>
              </c:numCache>
            </c:numRef>
          </c:val>
        </c:ser>
        <c:ser>
          <c:idx val="1"/>
          <c:order val="1"/>
          <c:tx>
            <c:strRef>
              <c:f>'59'!$A$25</c:f>
              <c:strCache>
                <c:ptCount val="1"/>
                <c:pt idx="0">
                  <c:v>Yes - minor impact</c:v>
                </c:pt>
              </c:strCache>
            </c:strRef>
          </c:tx>
          <c:invertIfNegative val="0"/>
          <c:cat>
            <c:strRef>
              <c:f>'59'!$B$23:$F$23</c:f>
              <c:strCache>
                <c:ptCount val="5"/>
                <c:pt idx="0">
                  <c:v>England</c:v>
                </c:pt>
                <c:pt idx="1">
                  <c:v>Kingston upon Hull</c:v>
                </c:pt>
                <c:pt idx="2">
                  <c:v>East Riding of Yorks.</c:v>
                </c:pt>
                <c:pt idx="3">
                  <c:v>North East Lincs.</c:v>
                </c:pt>
                <c:pt idx="4">
                  <c:v>North Lincs.</c:v>
                </c:pt>
              </c:strCache>
            </c:strRef>
          </c:cat>
          <c:val>
            <c:numRef>
              <c:f>'59'!$B$25:$F$25</c:f>
              <c:numCache>
                <c:formatCode>0%</c:formatCode>
                <c:ptCount val="5"/>
                <c:pt idx="0">
                  <c:v>0.47000000000000008</c:v>
                </c:pt>
                <c:pt idx="1">
                  <c:v>0.39000000000000112</c:v>
                </c:pt>
                <c:pt idx="2">
                  <c:v>0.42000000000000032</c:v>
                </c:pt>
                <c:pt idx="3">
                  <c:v>0.36000000000000032</c:v>
                </c:pt>
                <c:pt idx="4">
                  <c:v>0.44</c:v>
                </c:pt>
              </c:numCache>
            </c:numRef>
          </c:val>
        </c:ser>
        <c:ser>
          <c:idx val="2"/>
          <c:order val="2"/>
          <c:tx>
            <c:strRef>
              <c:f>'59'!$A$26</c:f>
              <c:strCache>
                <c:ptCount val="1"/>
                <c:pt idx="0">
                  <c:v>No Impact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'59'!$B$23:$F$23</c:f>
              <c:strCache>
                <c:ptCount val="5"/>
                <c:pt idx="0">
                  <c:v>England</c:v>
                </c:pt>
                <c:pt idx="1">
                  <c:v>Kingston upon Hull</c:v>
                </c:pt>
                <c:pt idx="2">
                  <c:v>East Riding of Yorks.</c:v>
                </c:pt>
                <c:pt idx="3">
                  <c:v>North East Lincs.</c:v>
                </c:pt>
                <c:pt idx="4">
                  <c:v>North Lincs.</c:v>
                </c:pt>
              </c:strCache>
            </c:strRef>
          </c:cat>
          <c:val>
            <c:numRef>
              <c:f>'59'!$B$26:$F$26</c:f>
              <c:numCache>
                <c:formatCode>0%</c:formatCode>
                <c:ptCount val="5"/>
                <c:pt idx="0">
                  <c:v>0.37000000000000038</c:v>
                </c:pt>
                <c:pt idx="1">
                  <c:v>0.48000000000000032</c:v>
                </c:pt>
                <c:pt idx="2">
                  <c:v>0.46</c:v>
                </c:pt>
                <c:pt idx="3">
                  <c:v>0.54</c:v>
                </c:pt>
                <c:pt idx="4">
                  <c:v>0.42000000000000032</c:v>
                </c:pt>
              </c:numCache>
            </c:numRef>
          </c:val>
        </c:ser>
        <c:dLbls>
          <c:showLegendKey val="0"/>
          <c:showVal val="0"/>
          <c:showCatName val="0"/>
          <c:showSerName val="0"/>
          <c:showPercent val="0"/>
          <c:showBubbleSize val="0"/>
        </c:dLbls>
        <c:gapWidth val="46"/>
        <c:overlap val="100"/>
        <c:axId val="61848576"/>
        <c:axId val="61866752"/>
      </c:barChart>
      <c:catAx>
        <c:axId val="61848576"/>
        <c:scaling>
          <c:orientation val="minMax"/>
        </c:scaling>
        <c:delete val="0"/>
        <c:axPos val="b"/>
        <c:numFmt formatCode="General" sourceLinked="0"/>
        <c:majorTickMark val="out"/>
        <c:minorTickMark val="none"/>
        <c:tickLblPos val="nextTo"/>
        <c:crossAx val="61866752"/>
        <c:crosses val="autoZero"/>
        <c:auto val="1"/>
        <c:lblAlgn val="ctr"/>
        <c:lblOffset val="100"/>
        <c:noMultiLvlLbl val="0"/>
      </c:catAx>
      <c:valAx>
        <c:axId val="61866752"/>
        <c:scaling>
          <c:orientation val="minMax"/>
        </c:scaling>
        <c:delete val="0"/>
        <c:axPos val="l"/>
        <c:majorGridlines>
          <c:spPr>
            <a:ln>
              <a:noFill/>
            </a:ln>
          </c:spPr>
        </c:majorGridlines>
        <c:title>
          <c:tx>
            <c:rich>
              <a:bodyPr rot="-5400000" vert="horz"/>
              <a:lstStyle/>
              <a:p>
                <a:pPr>
                  <a:defRPr/>
                </a:pPr>
                <a:r>
                  <a:rPr lang="en-GB"/>
                  <a:t>% of Businesses</a:t>
                </a:r>
              </a:p>
            </c:rich>
          </c:tx>
          <c:overlay val="0"/>
        </c:title>
        <c:numFmt formatCode="0%" sourceLinked="1"/>
        <c:majorTickMark val="out"/>
        <c:minorTickMark val="none"/>
        <c:tickLblPos val="nextTo"/>
        <c:crossAx val="61848576"/>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23153033705821"/>
          <c:y val="6.6152149944873201E-2"/>
          <c:w val="0.62486060376473662"/>
          <c:h val="0.75364487928535195"/>
        </c:manualLayout>
      </c:layout>
      <c:barChart>
        <c:barDir val="bar"/>
        <c:grouping val="clustered"/>
        <c:varyColors val="0"/>
        <c:ser>
          <c:idx val="0"/>
          <c:order val="0"/>
          <c:tx>
            <c:strRef>
              <c:f>Data!$B$151</c:f>
              <c:strCache>
                <c:ptCount val="1"/>
                <c:pt idx="0">
                  <c:v>North East Lincolnshire</c:v>
                </c:pt>
              </c:strCache>
            </c:strRef>
          </c:tx>
          <c:invertIfNegative val="0"/>
          <c:cat>
            <c:strRef>
              <c:f>Data!$A$152:$A$160</c:f>
              <c:strCache>
                <c:ptCount val="9"/>
                <c:pt idx="0">
                  <c:v>Age 0-9</c:v>
                </c:pt>
                <c:pt idx="1">
                  <c:v>Age 10-19</c:v>
                </c:pt>
                <c:pt idx="2">
                  <c:v>Age 20-29</c:v>
                </c:pt>
                <c:pt idx="3">
                  <c:v>Age 30-39</c:v>
                </c:pt>
                <c:pt idx="4">
                  <c:v>Age 40-49</c:v>
                </c:pt>
                <c:pt idx="5">
                  <c:v>Age 50-59</c:v>
                </c:pt>
                <c:pt idx="6">
                  <c:v>Age 60-69</c:v>
                </c:pt>
                <c:pt idx="7">
                  <c:v>Age 70-79</c:v>
                </c:pt>
                <c:pt idx="8">
                  <c:v>Age 80 and over </c:v>
                </c:pt>
              </c:strCache>
            </c:strRef>
          </c:cat>
          <c:val>
            <c:numRef>
              <c:f>Data!$B$152:$B$160</c:f>
              <c:numCache>
                <c:formatCode>0%</c:formatCode>
                <c:ptCount val="9"/>
                <c:pt idx="0">
                  <c:v>0.11885399959903736</c:v>
                </c:pt>
                <c:pt idx="1">
                  <c:v>0.12238747995188502</c:v>
                </c:pt>
                <c:pt idx="2">
                  <c:v>0.12848336006415401</c:v>
                </c:pt>
                <c:pt idx="3">
                  <c:v>0.11572774659182022</c:v>
                </c:pt>
                <c:pt idx="4">
                  <c:v>0.14599413592622451</c:v>
                </c:pt>
                <c:pt idx="5">
                  <c:v>0.12720529270248696</c:v>
                </c:pt>
                <c:pt idx="6">
                  <c:v>0.11309016639935757</c:v>
                </c:pt>
                <c:pt idx="7">
                  <c:v>7.9127405773857212E-2</c:v>
                </c:pt>
                <c:pt idx="8">
                  <c:v>4.9130412991178984E-2</c:v>
                </c:pt>
              </c:numCache>
            </c:numRef>
          </c:val>
        </c:ser>
        <c:ser>
          <c:idx val="1"/>
          <c:order val="1"/>
          <c:tx>
            <c:strRef>
              <c:f>Data!$C$151</c:f>
              <c:strCache>
                <c:ptCount val="1"/>
                <c:pt idx="0">
                  <c:v>England </c:v>
                </c:pt>
              </c:strCache>
            </c:strRef>
          </c:tx>
          <c:invertIfNegative val="0"/>
          <c:cat>
            <c:strRef>
              <c:f>Data!$A$152:$A$160</c:f>
              <c:strCache>
                <c:ptCount val="9"/>
                <c:pt idx="0">
                  <c:v>Age 0-9</c:v>
                </c:pt>
                <c:pt idx="1">
                  <c:v>Age 10-19</c:v>
                </c:pt>
                <c:pt idx="2">
                  <c:v>Age 20-29</c:v>
                </c:pt>
                <c:pt idx="3">
                  <c:v>Age 30-39</c:v>
                </c:pt>
                <c:pt idx="4">
                  <c:v>Age 40-49</c:v>
                </c:pt>
                <c:pt idx="5">
                  <c:v>Age 50-59</c:v>
                </c:pt>
                <c:pt idx="6">
                  <c:v>Age 60-69</c:v>
                </c:pt>
                <c:pt idx="7">
                  <c:v>Age 70-79</c:v>
                </c:pt>
                <c:pt idx="8">
                  <c:v>Age 80 and over </c:v>
                </c:pt>
              </c:strCache>
            </c:strRef>
          </c:cat>
          <c:val>
            <c:numRef>
              <c:f>Data!$C$152:$C$160</c:f>
              <c:numCache>
                <c:formatCode>0%</c:formatCode>
                <c:ptCount val="9"/>
                <c:pt idx="0">
                  <c:v>0.11867175140876322</c:v>
                </c:pt>
                <c:pt idx="1">
                  <c:v>0.12112613684602747</c:v>
                </c:pt>
                <c:pt idx="2">
                  <c:v>0.13668866803680987</c:v>
                </c:pt>
                <c:pt idx="3">
                  <c:v>0.133144878252764</c:v>
                </c:pt>
                <c:pt idx="4">
                  <c:v>0.14648913832628407</c:v>
                </c:pt>
                <c:pt idx="5">
                  <c:v>0.120671394662417</c:v>
                </c:pt>
                <c:pt idx="6">
                  <c:v>0.10715276047576409</c:v>
                </c:pt>
                <c:pt idx="7">
                  <c:v>7.0049084313316828E-2</c:v>
                </c:pt>
                <c:pt idx="8">
                  <c:v>4.6006187677854395E-2</c:v>
                </c:pt>
              </c:numCache>
            </c:numRef>
          </c:val>
        </c:ser>
        <c:dLbls>
          <c:showLegendKey val="0"/>
          <c:showVal val="0"/>
          <c:showCatName val="0"/>
          <c:showSerName val="0"/>
          <c:showPercent val="0"/>
          <c:showBubbleSize val="0"/>
        </c:dLbls>
        <c:gapWidth val="38"/>
        <c:axId val="110656512"/>
        <c:axId val="111943680"/>
      </c:barChart>
      <c:catAx>
        <c:axId val="110656512"/>
        <c:scaling>
          <c:orientation val="minMax"/>
        </c:scaling>
        <c:delete val="0"/>
        <c:axPos val="l"/>
        <c:numFmt formatCode="General" sourceLinked="0"/>
        <c:majorTickMark val="out"/>
        <c:minorTickMark val="none"/>
        <c:tickLblPos val="nextTo"/>
        <c:crossAx val="111943680"/>
        <c:crosses val="autoZero"/>
        <c:auto val="1"/>
        <c:lblAlgn val="ctr"/>
        <c:lblOffset val="100"/>
        <c:noMultiLvlLbl val="0"/>
      </c:catAx>
      <c:valAx>
        <c:axId val="111943680"/>
        <c:scaling>
          <c:orientation val="minMax"/>
        </c:scaling>
        <c:delete val="0"/>
        <c:axPos val="b"/>
        <c:majorGridlines>
          <c:spPr>
            <a:ln>
              <a:noFill/>
            </a:ln>
          </c:spPr>
        </c:majorGridlines>
        <c:title>
          <c:tx>
            <c:rich>
              <a:bodyPr/>
              <a:lstStyle/>
              <a:p>
                <a:pPr>
                  <a:defRPr/>
                </a:pPr>
                <a:r>
                  <a:rPr lang="en-US"/>
                  <a:t>Proportion of population</a:t>
                </a:r>
              </a:p>
            </c:rich>
          </c:tx>
          <c:overlay val="0"/>
        </c:title>
        <c:numFmt formatCode="0%" sourceLinked="1"/>
        <c:majorTickMark val="out"/>
        <c:minorTickMark val="none"/>
        <c:tickLblPos val="nextTo"/>
        <c:crossAx val="110656512"/>
        <c:crosses val="autoZero"/>
        <c:crossBetween val="between"/>
      </c:valAx>
    </c:plotArea>
    <c:legend>
      <c:legendPos val="r"/>
      <c:layout>
        <c:manualLayout>
          <c:xMode val="edge"/>
          <c:yMode val="edge"/>
          <c:x val="0.79740599435380066"/>
          <c:y val="0.363824670758496"/>
          <c:w val="0.19343020266796596"/>
          <c:h val="0.23192434462781544"/>
        </c:manualLayout>
      </c:layout>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32660397859184"/>
          <c:y val="3.0431998817049458E-2"/>
          <c:w val="0.87803332930913469"/>
          <c:h val="0.86420967801560256"/>
        </c:manualLayout>
      </c:layout>
      <c:lineChart>
        <c:grouping val="standard"/>
        <c:varyColors val="0"/>
        <c:ser>
          <c:idx val="0"/>
          <c:order val="0"/>
          <c:tx>
            <c:strRef>
              <c:f>Sheet8!$E$41</c:f>
              <c:strCache>
                <c:ptCount val="1"/>
                <c:pt idx="0">
                  <c:v>Kingston-upon-Hull</c:v>
                </c:pt>
              </c:strCache>
            </c:strRef>
          </c:tx>
          <c:marker>
            <c:symbol val="none"/>
          </c:marker>
          <c:cat>
            <c:numRef>
              <c:f>Sheet8!$F$40:$P$40</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Sheet8!$F$41:$P$41</c:f>
              <c:numCache>
                <c:formatCode>General</c:formatCode>
                <c:ptCount val="11"/>
                <c:pt idx="0">
                  <c:v>112454</c:v>
                </c:pt>
                <c:pt idx="1">
                  <c:v>113209</c:v>
                </c:pt>
                <c:pt idx="2">
                  <c:v>114003</c:v>
                </c:pt>
                <c:pt idx="3">
                  <c:v>114841</c:v>
                </c:pt>
                <c:pt idx="4">
                  <c:v>115620</c:v>
                </c:pt>
                <c:pt idx="5">
                  <c:v>116465</c:v>
                </c:pt>
                <c:pt idx="6">
                  <c:v>117238</c:v>
                </c:pt>
                <c:pt idx="7">
                  <c:v>117966</c:v>
                </c:pt>
                <c:pt idx="8">
                  <c:v>118699</c:v>
                </c:pt>
                <c:pt idx="9">
                  <c:v>119332</c:v>
                </c:pt>
                <c:pt idx="10">
                  <c:v>119987</c:v>
                </c:pt>
              </c:numCache>
            </c:numRef>
          </c:val>
          <c:smooth val="0"/>
        </c:ser>
        <c:ser>
          <c:idx val="1"/>
          <c:order val="1"/>
          <c:tx>
            <c:strRef>
              <c:f>Sheet8!$E$42</c:f>
              <c:strCache>
                <c:ptCount val="1"/>
                <c:pt idx="0">
                  <c:v>North East Lincolnshire</c:v>
                </c:pt>
              </c:strCache>
            </c:strRef>
          </c:tx>
          <c:marker>
            <c:symbol val="none"/>
          </c:marker>
          <c:cat>
            <c:numRef>
              <c:f>Sheet8!$F$40:$P$40</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Sheet8!$F$42:$P$42</c:f>
              <c:numCache>
                <c:formatCode>General</c:formatCode>
                <c:ptCount val="11"/>
                <c:pt idx="0">
                  <c:v>69732</c:v>
                </c:pt>
                <c:pt idx="1">
                  <c:v>69909</c:v>
                </c:pt>
                <c:pt idx="2">
                  <c:v>70072</c:v>
                </c:pt>
                <c:pt idx="3">
                  <c:v>70262</c:v>
                </c:pt>
                <c:pt idx="4">
                  <c:v>70406</c:v>
                </c:pt>
                <c:pt idx="5">
                  <c:v>70603</c:v>
                </c:pt>
                <c:pt idx="6">
                  <c:v>70775</c:v>
                </c:pt>
                <c:pt idx="7">
                  <c:v>70910</c:v>
                </c:pt>
                <c:pt idx="8">
                  <c:v>71060</c:v>
                </c:pt>
                <c:pt idx="9">
                  <c:v>71174</c:v>
                </c:pt>
                <c:pt idx="10">
                  <c:v>71306</c:v>
                </c:pt>
              </c:numCache>
            </c:numRef>
          </c:val>
          <c:smooth val="0"/>
        </c:ser>
        <c:ser>
          <c:idx val="2"/>
          <c:order val="2"/>
          <c:tx>
            <c:strRef>
              <c:f>Sheet8!$E$43</c:f>
              <c:strCache>
                <c:ptCount val="1"/>
                <c:pt idx="0">
                  <c:v>North Lincolnshire</c:v>
                </c:pt>
              </c:strCache>
            </c:strRef>
          </c:tx>
          <c:marker>
            <c:symbol val="none"/>
          </c:marker>
          <c:cat>
            <c:numRef>
              <c:f>Sheet8!$F$40:$P$40</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Sheet8!$F$43:$P$43</c:f>
              <c:numCache>
                <c:formatCode>General</c:formatCode>
                <c:ptCount val="11"/>
                <c:pt idx="0">
                  <c:v>70690</c:v>
                </c:pt>
                <c:pt idx="1">
                  <c:v>71348</c:v>
                </c:pt>
                <c:pt idx="2">
                  <c:v>71978</c:v>
                </c:pt>
                <c:pt idx="3">
                  <c:v>72601</c:v>
                </c:pt>
                <c:pt idx="4">
                  <c:v>73255</c:v>
                </c:pt>
                <c:pt idx="5">
                  <c:v>73900</c:v>
                </c:pt>
                <c:pt idx="6">
                  <c:v>74513</c:v>
                </c:pt>
                <c:pt idx="7">
                  <c:v>75103</c:v>
                </c:pt>
                <c:pt idx="8">
                  <c:v>75710</c:v>
                </c:pt>
                <c:pt idx="9">
                  <c:v>76293</c:v>
                </c:pt>
                <c:pt idx="10">
                  <c:v>76856</c:v>
                </c:pt>
              </c:numCache>
            </c:numRef>
          </c:val>
          <c:smooth val="0"/>
        </c:ser>
        <c:dLbls>
          <c:showLegendKey val="0"/>
          <c:showVal val="0"/>
          <c:showCatName val="0"/>
          <c:showSerName val="0"/>
          <c:showPercent val="0"/>
          <c:showBubbleSize val="0"/>
        </c:dLbls>
        <c:marker val="1"/>
        <c:smooth val="0"/>
        <c:axId val="61884672"/>
        <c:axId val="61890560"/>
      </c:lineChart>
      <c:catAx>
        <c:axId val="61884672"/>
        <c:scaling>
          <c:orientation val="minMax"/>
        </c:scaling>
        <c:delete val="0"/>
        <c:axPos val="b"/>
        <c:numFmt formatCode="General" sourceLinked="1"/>
        <c:majorTickMark val="out"/>
        <c:minorTickMark val="none"/>
        <c:tickLblPos val="nextTo"/>
        <c:crossAx val="61890560"/>
        <c:crosses val="autoZero"/>
        <c:auto val="1"/>
        <c:lblAlgn val="ctr"/>
        <c:lblOffset val="100"/>
        <c:noMultiLvlLbl val="0"/>
      </c:catAx>
      <c:valAx>
        <c:axId val="61890560"/>
        <c:scaling>
          <c:orientation val="minMax"/>
          <c:min val="45000"/>
        </c:scaling>
        <c:delete val="0"/>
        <c:axPos val="l"/>
        <c:title>
          <c:tx>
            <c:rich>
              <a:bodyPr rot="-5400000" vert="horz"/>
              <a:lstStyle/>
              <a:p>
                <a:pPr>
                  <a:defRPr/>
                </a:pPr>
                <a:r>
                  <a:rPr lang="en-GB"/>
                  <a:t>Number of Households</a:t>
                </a:r>
              </a:p>
            </c:rich>
          </c:tx>
          <c:overlay val="0"/>
        </c:title>
        <c:numFmt formatCode="#,##0" sourceLinked="0"/>
        <c:majorTickMark val="out"/>
        <c:minorTickMark val="none"/>
        <c:tickLblPos val="nextTo"/>
        <c:crossAx val="61884672"/>
        <c:crosses val="autoZero"/>
        <c:crossBetween val="between"/>
      </c:valAx>
    </c:plotArea>
    <c:legend>
      <c:legendPos val="r"/>
      <c:layout>
        <c:manualLayout>
          <c:xMode val="edge"/>
          <c:yMode val="edge"/>
          <c:x val="0.3288462124877109"/>
          <c:y val="0.66860434320074902"/>
          <c:w val="0.28166959538916397"/>
          <c:h val="0.2037511367417104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116231046706938E-2"/>
          <c:y val="2.666312856392062E-2"/>
          <c:w val="0.59919134797971951"/>
          <c:h val="0.62076161437723865"/>
        </c:manualLayout>
      </c:layout>
      <c:barChart>
        <c:barDir val="col"/>
        <c:grouping val="clustered"/>
        <c:varyColors val="0"/>
        <c:ser>
          <c:idx val="0"/>
          <c:order val="0"/>
          <c:tx>
            <c:strRef>
              <c:f>'Sheet9 (2)'!$A$10</c:f>
              <c:strCache>
                <c:ptCount val="1"/>
                <c:pt idx="0">
                  <c:v>Whole house or bungalow: Detached</c:v>
                </c:pt>
              </c:strCache>
            </c:strRef>
          </c:tx>
          <c:invertIfNegative val="0"/>
          <c:cat>
            <c:strRef>
              <c:f>'Sheet9 (2)'!$B$9:$F$9</c:f>
              <c:strCache>
                <c:ptCount val="5"/>
                <c:pt idx="0">
                  <c:v>North East Lincolnshire</c:v>
                </c:pt>
                <c:pt idx="1">
                  <c:v>North Lincolnshire</c:v>
                </c:pt>
                <c:pt idx="2">
                  <c:v>Kingston upon Hull, City of</c:v>
                </c:pt>
                <c:pt idx="3">
                  <c:v>Yorkshire and The Humber</c:v>
                </c:pt>
                <c:pt idx="4">
                  <c:v>England</c:v>
                </c:pt>
              </c:strCache>
            </c:strRef>
          </c:cat>
          <c:val>
            <c:numRef>
              <c:f>'Sheet9 (2)'!$B$10:$F$10</c:f>
              <c:numCache>
                <c:formatCode>0.0%</c:formatCode>
                <c:ptCount val="5"/>
                <c:pt idx="0">
                  <c:v>0.20700000000000021</c:v>
                </c:pt>
                <c:pt idx="1">
                  <c:v>0.33700000000000102</c:v>
                </c:pt>
                <c:pt idx="2">
                  <c:v>7.0000000000000021E-2</c:v>
                </c:pt>
                <c:pt idx="3">
                  <c:v>0.20500000000000004</c:v>
                </c:pt>
                <c:pt idx="4">
                  <c:v>0.223</c:v>
                </c:pt>
              </c:numCache>
            </c:numRef>
          </c:val>
        </c:ser>
        <c:ser>
          <c:idx val="1"/>
          <c:order val="1"/>
          <c:tx>
            <c:strRef>
              <c:f>'Sheet9 (2)'!$A$11</c:f>
              <c:strCache>
                <c:ptCount val="1"/>
                <c:pt idx="0">
                  <c:v>Whole house or bungalow: Semi-detached</c:v>
                </c:pt>
              </c:strCache>
            </c:strRef>
          </c:tx>
          <c:invertIfNegative val="0"/>
          <c:cat>
            <c:strRef>
              <c:f>'Sheet9 (2)'!$B$9:$F$9</c:f>
              <c:strCache>
                <c:ptCount val="5"/>
                <c:pt idx="0">
                  <c:v>North East Lincolnshire</c:v>
                </c:pt>
                <c:pt idx="1">
                  <c:v>North Lincolnshire</c:v>
                </c:pt>
                <c:pt idx="2">
                  <c:v>Kingston upon Hull, City of</c:v>
                </c:pt>
                <c:pt idx="3">
                  <c:v>Yorkshire and The Humber</c:v>
                </c:pt>
                <c:pt idx="4">
                  <c:v>England</c:v>
                </c:pt>
              </c:strCache>
            </c:strRef>
          </c:cat>
          <c:val>
            <c:numRef>
              <c:f>'Sheet9 (2)'!$B$11:$F$11</c:f>
              <c:numCache>
                <c:formatCode>0.0%</c:formatCode>
                <c:ptCount val="5"/>
                <c:pt idx="0">
                  <c:v>0.3280000000000009</c:v>
                </c:pt>
                <c:pt idx="1">
                  <c:v>0.41300000000000031</c:v>
                </c:pt>
                <c:pt idx="2">
                  <c:v>0.26900000000000002</c:v>
                </c:pt>
                <c:pt idx="3">
                  <c:v>0.36500000000000032</c:v>
                </c:pt>
                <c:pt idx="4">
                  <c:v>0.30700000000000038</c:v>
                </c:pt>
              </c:numCache>
            </c:numRef>
          </c:val>
        </c:ser>
        <c:ser>
          <c:idx val="2"/>
          <c:order val="2"/>
          <c:tx>
            <c:strRef>
              <c:f>'Sheet9 (2)'!$A$12</c:f>
              <c:strCache>
                <c:ptCount val="1"/>
                <c:pt idx="0">
                  <c:v>Whole house or bungalow: Terraced </c:v>
                </c:pt>
              </c:strCache>
            </c:strRef>
          </c:tx>
          <c:invertIfNegative val="0"/>
          <c:cat>
            <c:strRef>
              <c:f>'Sheet9 (2)'!$B$9:$F$9</c:f>
              <c:strCache>
                <c:ptCount val="5"/>
                <c:pt idx="0">
                  <c:v>North East Lincolnshire</c:v>
                </c:pt>
                <c:pt idx="1">
                  <c:v>North Lincolnshire</c:v>
                </c:pt>
                <c:pt idx="2">
                  <c:v>Kingston upon Hull, City of</c:v>
                </c:pt>
                <c:pt idx="3">
                  <c:v>Yorkshire and The Humber</c:v>
                </c:pt>
                <c:pt idx="4">
                  <c:v>England</c:v>
                </c:pt>
              </c:strCache>
            </c:strRef>
          </c:cat>
          <c:val>
            <c:numRef>
              <c:f>'Sheet9 (2)'!$B$12:$F$12</c:f>
              <c:numCache>
                <c:formatCode>0.0%</c:formatCode>
                <c:ptCount val="5"/>
                <c:pt idx="0">
                  <c:v>0.33100000000000102</c:v>
                </c:pt>
                <c:pt idx="1">
                  <c:v>0.14700000000000021</c:v>
                </c:pt>
                <c:pt idx="2">
                  <c:v>0.49200000000000038</c:v>
                </c:pt>
                <c:pt idx="3">
                  <c:v>0.27700000000000002</c:v>
                </c:pt>
                <c:pt idx="4">
                  <c:v>0.24500000000000038</c:v>
                </c:pt>
              </c:numCache>
            </c:numRef>
          </c:val>
        </c:ser>
        <c:ser>
          <c:idx val="3"/>
          <c:order val="3"/>
          <c:tx>
            <c:strRef>
              <c:f>'Sheet9 (2)'!$A$13</c:f>
              <c:strCache>
                <c:ptCount val="1"/>
                <c:pt idx="0">
                  <c:v>Flat, maisonette or apartment: Flats or tenement</c:v>
                </c:pt>
              </c:strCache>
            </c:strRef>
          </c:tx>
          <c:invertIfNegative val="0"/>
          <c:cat>
            <c:strRef>
              <c:f>'Sheet9 (2)'!$B$9:$F$9</c:f>
              <c:strCache>
                <c:ptCount val="5"/>
                <c:pt idx="0">
                  <c:v>North East Lincolnshire</c:v>
                </c:pt>
                <c:pt idx="1">
                  <c:v>North Lincolnshire</c:v>
                </c:pt>
                <c:pt idx="2">
                  <c:v>Kingston upon Hull, City of</c:v>
                </c:pt>
                <c:pt idx="3">
                  <c:v>Yorkshire and The Humber</c:v>
                </c:pt>
                <c:pt idx="4">
                  <c:v>England</c:v>
                </c:pt>
              </c:strCache>
            </c:strRef>
          </c:cat>
          <c:val>
            <c:numRef>
              <c:f>'Sheet9 (2)'!$B$13:$F$13</c:f>
              <c:numCache>
                <c:formatCode>0.0%</c:formatCode>
                <c:ptCount val="5"/>
                <c:pt idx="0">
                  <c:v>9.6000000000000002E-2</c:v>
                </c:pt>
                <c:pt idx="1">
                  <c:v>7.5000000000000011E-2</c:v>
                </c:pt>
                <c:pt idx="2">
                  <c:v>0.126</c:v>
                </c:pt>
                <c:pt idx="3">
                  <c:v>0.11800000000000002</c:v>
                </c:pt>
                <c:pt idx="4">
                  <c:v>0.16700000000000001</c:v>
                </c:pt>
              </c:numCache>
            </c:numRef>
          </c:val>
        </c:ser>
        <c:ser>
          <c:idx val="4"/>
          <c:order val="4"/>
          <c:tx>
            <c:strRef>
              <c:f>'Sheet9 (2)'!$A$14</c:f>
              <c:strCache>
                <c:ptCount val="1"/>
                <c:pt idx="0">
                  <c:v>Flat, maisonette or apartment: Converted or shared house </c:v>
                </c:pt>
              </c:strCache>
            </c:strRef>
          </c:tx>
          <c:invertIfNegative val="0"/>
          <c:cat>
            <c:strRef>
              <c:f>'Sheet9 (2)'!$B$9:$F$9</c:f>
              <c:strCache>
                <c:ptCount val="5"/>
                <c:pt idx="0">
                  <c:v>North East Lincolnshire</c:v>
                </c:pt>
                <c:pt idx="1">
                  <c:v>North Lincolnshire</c:v>
                </c:pt>
                <c:pt idx="2">
                  <c:v>Kingston upon Hull, City of</c:v>
                </c:pt>
                <c:pt idx="3">
                  <c:v>Yorkshire and The Humber</c:v>
                </c:pt>
                <c:pt idx="4">
                  <c:v>England</c:v>
                </c:pt>
              </c:strCache>
            </c:strRef>
          </c:cat>
          <c:val>
            <c:numRef>
              <c:f>'Sheet9 (2)'!$B$14:$F$14</c:f>
              <c:numCache>
                <c:formatCode>0.0%</c:formatCode>
                <c:ptCount val="5"/>
                <c:pt idx="0">
                  <c:v>2.6000000000000002E-2</c:v>
                </c:pt>
                <c:pt idx="1">
                  <c:v>1.1000000000000038E-2</c:v>
                </c:pt>
                <c:pt idx="2">
                  <c:v>3.0000000000000002E-2</c:v>
                </c:pt>
                <c:pt idx="3">
                  <c:v>2.2000000000000016E-2</c:v>
                </c:pt>
                <c:pt idx="4">
                  <c:v>4.3000000000000003E-2</c:v>
                </c:pt>
              </c:numCache>
            </c:numRef>
          </c:val>
        </c:ser>
        <c:ser>
          <c:idx val="5"/>
          <c:order val="5"/>
          <c:tx>
            <c:strRef>
              <c:f>'Sheet9 (2)'!$A$15</c:f>
              <c:strCache>
                <c:ptCount val="1"/>
                <c:pt idx="0">
                  <c:v>Flat, maisonette or apartment: In a commercial building</c:v>
                </c:pt>
              </c:strCache>
            </c:strRef>
          </c:tx>
          <c:invertIfNegative val="0"/>
          <c:cat>
            <c:strRef>
              <c:f>'Sheet9 (2)'!$B$9:$F$9</c:f>
              <c:strCache>
                <c:ptCount val="5"/>
                <c:pt idx="0">
                  <c:v>North East Lincolnshire</c:v>
                </c:pt>
                <c:pt idx="1">
                  <c:v>North Lincolnshire</c:v>
                </c:pt>
                <c:pt idx="2">
                  <c:v>Kingston upon Hull, City of</c:v>
                </c:pt>
                <c:pt idx="3">
                  <c:v>Yorkshire and The Humber</c:v>
                </c:pt>
                <c:pt idx="4">
                  <c:v>England</c:v>
                </c:pt>
              </c:strCache>
            </c:strRef>
          </c:cat>
          <c:val>
            <c:numRef>
              <c:f>'Sheet9 (2)'!$B$15:$F$15</c:f>
              <c:numCache>
                <c:formatCode>0.0%</c:formatCode>
                <c:ptCount val="5"/>
                <c:pt idx="0">
                  <c:v>1.1000000000000038E-2</c:v>
                </c:pt>
                <c:pt idx="1">
                  <c:v>1.0000000000000005E-2</c:v>
                </c:pt>
                <c:pt idx="2">
                  <c:v>1.2E-2</c:v>
                </c:pt>
                <c:pt idx="3">
                  <c:v>9.0000000000000028E-3</c:v>
                </c:pt>
                <c:pt idx="4">
                  <c:v>1.1000000000000038E-2</c:v>
                </c:pt>
              </c:numCache>
            </c:numRef>
          </c:val>
        </c:ser>
        <c:ser>
          <c:idx val="6"/>
          <c:order val="6"/>
          <c:tx>
            <c:strRef>
              <c:f>'Sheet9 (2)'!$A$16</c:f>
              <c:strCache>
                <c:ptCount val="1"/>
                <c:pt idx="0">
                  <c:v>Caravan or temporary structure</c:v>
                </c:pt>
              </c:strCache>
            </c:strRef>
          </c:tx>
          <c:invertIfNegative val="0"/>
          <c:cat>
            <c:strRef>
              <c:f>'Sheet9 (2)'!$B$9:$F$9</c:f>
              <c:strCache>
                <c:ptCount val="5"/>
                <c:pt idx="0">
                  <c:v>North East Lincolnshire</c:v>
                </c:pt>
                <c:pt idx="1">
                  <c:v>North Lincolnshire</c:v>
                </c:pt>
                <c:pt idx="2">
                  <c:v>Kingston upon Hull, City of</c:v>
                </c:pt>
                <c:pt idx="3">
                  <c:v>Yorkshire and The Humber</c:v>
                </c:pt>
                <c:pt idx="4">
                  <c:v>England</c:v>
                </c:pt>
              </c:strCache>
            </c:strRef>
          </c:cat>
          <c:val>
            <c:numRef>
              <c:f>'Sheet9 (2)'!$B$16:$F$16</c:f>
              <c:numCache>
                <c:formatCode>0.0%</c:formatCode>
                <c:ptCount val="5"/>
                <c:pt idx="0">
                  <c:v>1.0000000000000033E-3</c:v>
                </c:pt>
                <c:pt idx="1">
                  <c:v>8.0000000000000227E-3</c:v>
                </c:pt>
                <c:pt idx="2">
                  <c:v>1.0000000000000033E-3</c:v>
                </c:pt>
                <c:pt idx="3">
                  <c:v>2.0000000000000052E-3</c:v>
                </c:pt>
                <c:pt idx="4">
                  <c:v>4.0000000000000114E-3</c:v>
                </c:pt>
              </c:numCache>
            </c:numRef>
          </c:val>
        </c:ser>
        <c:dLbls>
          <c:showLegendKey val="0"/>
          <c:showVal val="0"/>
          <c:showCatName val="0"/>
          <c:showSerName val="0"/>
          <c:showPercent val="0"/>
          <c:showBubbleSize val="0"/>
        </c:dLbls>
        <c:gapWidth val="7"/>
        <c:overlap val="5"/>
        <c:axId val="61907328"/>
        <c:axId val="61908864"/>
      </c:barChart>
      <c:catAx>
        <c:axId val="6190732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61908864"/>
        <c:crosses val="autoZero"/>
        <c:auto val="1"/>
        <c:lblAlgn val="ctr"/>
        <c:lblOffset val="100"/>
        <c:noMultiLvlLbl val="0"/>
      </c:catAx>
      <c:valAx>
        <c:axId val="61908864"/>
        <c:scaling>
          <c:orientation val="minMax"/>
        </c:scaling>
        <c:delete val="0"/>
        <c:axPos val="l"/>
        <c:title>
          <c:tx>
            <c:rich>
              <a:bodyPr rot="-5400000" vert="horz"/>
              <a:lstStyle/>
              <a:p>
                <a:pPr>
                  <a:defRPr/>
                </a:pPr>
                <a:r>
                  <a:rPr lang="en-GB"/>
                  <a:t>% of Housing</a:t>
                </a:r>
                <a:r>
                  <a:rPr lang="en-GB" baseline="0"/>
                  <a:t> Stock</a:t>
                </a:r>
                <a:endParaRPr lang="en-GB"/>
              </a:p>
            </c:rich>
          </c:tx>
          <c:overlay val="0"/>
        </c:title>
        <c:numFmt formatCode="0%" sourceLinked="0"/>
        <c:majorTickMark val="out"/>
        <c:minorTickMark val="none"/>
        <c:tickLblPos val="nextTo"/>
        <c:crossAx val="61907328"/>
        <c:crosses val="autoZero"/>
        <c:crossBetween val="between"/>
      </c:valAx>
    </c:plotArea>
    <c:legend>
      <c:legendPos val="r"/>
      <c:layout>
        <c:manualLayout>
          <c:xMode val="edge"/>
          <c:yMode val="edge"/>
          <c:x val="0.69907001745098185"/>
          <c:y val="2.5540250095346849E-4"/>
          <c:w val="0.30057801765715225"/>
          <c:h val="0.99974459749904665"/>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67203878442225"/>
          <c:y val="2.4829052381220882E-2"/>
          <c:w val="0.86415659874603856"/>
          <c:h val="0.75932202738237464"/>
        </c:manualLayout>
      </c:layout>
      <c:lineChart>
        <c:grouping val="standard"/>
        <c:varyColors val="0"/>
        <c:ser>
          <c:idx val="0"/>
          <c:order val="0"/>
          <c:tx>
            <c:strRef>
              <c:f>'House Price'!$B$3</c:f>
              <c:strCache>
                <c:ptCount val="1"/>
                <c:pt idx="0">
                  <c:v>England &amp; Wales</c:v>
                </c:pt>
              </c:strCache>
            </c:strRef>
          </c:tx>
          <c:marker>
            <c:symbol val="none"/>
          </c:marker>
          <c:cat>
            <c:numRef>
              <c:f>'House Price'!$A$4:$A$232</c:f>
              <c:numCache>
                <c:formatCode>mmm\-yyyy</c:formatCode>
                <c:ptCount val="229"/>
                <c:pt idx="0">
                  <c:v>34700</c:v>
                </c:pt>
                <c:pt idx="1">
                  <c:v>34731</c:v>
                </c:pt>
                <c:pt idx="2">
                  <c:v>34759</c:v>
                </c:pt>
                <c:pt idx="3">
                  <c:v>34790</c:v>
                </c:pt>
                <c:pt idx="4">
                  <c:v>34820</c:v>
                </c:pt>
                <c:pt idx="5">
                  <c:v>34851</c:v>
                </c:pt>
                <c:pt idx="6">
                  <c:v>34881</c:v>
                </c:pt>
                <c:pt idx="7">
                  <c:v>34912</c:v>
                </c:pt>
                <c:pt idx="8">
                  <c:v>34943</c:v>
                </c:pt>
                <c:pt idx="9">
                  <c:v>34973</c:v>
                </c:pt>
                <c:pt idx="10">
                  <c:v>35004</c:v>
                </c:pt>
                <c:pt idx="11">
                  <c:v>35034</c:v>
                </c:pt>
                <c:pt idx="12">
                  <c:v>35065</c:v>
                </c:pt>
                <c:pt idx="13">
                  <c:v>35096</c:v>
                </c:pt>
                <c:pt idx="14">
                  <c:v>35125</c:v>
                </c:pt>
                <c:pt idx="15">
                  <c:v>35156</c:v>
                </c:pt>
                <c:pt idx="16">
                  <c:v>35186</c:v>
                </c:pt>
                <c:pt idx="17">
                  <c:v>35217</c:v>
                </c:pt>
                <c:pt idx="18">
                  <c:v>35247</c:v>
                </c:pt>
                <c:pt idx="19">
                  <c:v>35278</c:v>
                </c:pt>
                <c:pt idx="20">
                  <c:v>35309</c:v>
                </c:pt>
                <c:pt idx="21">
                  <c:v>35339</c:v>
                </c:pt>
                <c:pt idx="22">
                  <c:v>35370</c:v>
                </c:pt>
                <c:pt idx="23">
                  <c:v>35400</c:v>
                </c:pt>
                <c:pt idx="24">
                  <c:v>35431</c:v>
                </c:pt>
                <c:pt idx="25">
                  <c:v>35462</c:v>
                </c:pt>
                <c:pt idx="26">
                  <c:v>35490</c:v>
                </c:pt>
                <c:pt idx="27">
                  <c:v>35521</c:v>
                </c:pt>
                <c:pt idx="28">
                  <c:v>35551</c:v>
                </c:pt>
                <c:pt idx="29">
                  <c:v>35582</c:v>
                </c:pt>
                <c:pt idx="30">
                  <c:v>35612</c:v>
                </c:pt>
                <c:pt idx="31">
                  <c:v>35643</c:v>
                </c:pt>
                <c:pt idx="32">
                  <c:v>35674</c:v>
                </c:pt>
                <c:pt idx="33">
                  <c:v>35704</c:v>
                </c:pt>
                <c:pt idx="34">
                  <c:v>35735</c:v>
                </c:pt>
                <c:pt idx="35">
                  <c:v>35765</c:v>
                </c:pt>
                <c:pt idx="36">
                  <c:v>35796</c:v>
                </c:pt>
                <c:pt idx="37">
                  <c:v>35827</c:v>
                </c:pt>
                <c:pt idx="38">
                  <c:v>35855</c:v>
                </c:pt>
                <c:pt idx="39">
                  <c:v>35886</c:v>
                </c:pt>
                <c:pt idx="40">
                  <c:v>35916</c:v>
                </c:pt>
                <c:pt idx="41">
                  <c:v>35947</c:v>
                </c:pt>
                <c:pt idx="42">
                  <c:v>35977</c:v>
                </c:pt>
                <c:pt idx="43">
                  <c:v>36008</c:v>
                </c:pt>
                <c:pt idx="44">
                  <c:v>36039</c:v>
                </c:pt>
                <c:pt idx="45">
                  <c:v>36069</c:v>
                </c:pt>
                <c:pt idx="46">
                  <c:v>36100</c:v>
                </c:pt>
                <c:pt idx="47">
                  <c:v>36130</c:v>
                </c:pt>
                <c:pt idx="48">
                  <c:v>36161</c:v>
                </c:pt>
                <c:pt idx="49">
                  <c:v>36192</c:v>
                </c:pt>
                <c:pt idx="50">
                  <c:v>36220</c:v>
                </c:pt>
                <c:pt idx="51">
                  <c:v>36251</c:v>
                </c:pt>
                <c:pt idx="52">
                  <c:v>36281</c:v>
                </c:pt>
                <c:pt idx="53">
                  <c:v>36312</c:v>
                </c:pt>
                <c:pt idx="54">
                  <c:v>36342</c:v>
                </c:pt>
                <c:pt idx="55">
                  <c:v>36373</c:v>
                </c:pt>
                <c:pt idx="56">
                  <c:v>36404</c:v>
                </c:pt>
                <c:pt idx="57">
                  <c:v>36434</c:v>
                </c:pt>
                <c:pt idx="58">
                  <c:v>36465</c:v>
                </c:pt>
                <c:pt idx="59">
                  <c:v>36495</c:v>
                </c:pt>
                <c:pt idx="60">
                  <c:v>36526</c:v>
                </c:pt>
                <c:pt idx="61">
                  <c:v>36557</c:v>
                </c:pt>
                <c:pt idx="62">
                  <c:v>36586</c:v>
                </c:pt>
                <c:pt idx="63">
                  <c:v>36617</c:v>
                </c:pt>
                <c:pt idx="64">
                  <c:v>36647</c:v>
                </c:pt>
                <c:pt idx="65">
                  <c:v>36678</c:v>
                </c:pt>
                <c:pt idx="66">
                  <c:v>36708</c:v>
                </c:pt>
                <c:pt idx="67">
                  <c:v>36739</c:v>
                </c:pt>
                <c:pt idx="68">
                  <c:v>36770</c:v>
                </c:pt>
                <c:pt idx="69">
                  <c:v>36800</c:v>
                </c:pt>
                <c:pt idx="70">
                  <c:v>36831</c:v>
                </c:pt>
                <c:pt idx="71">
                  <c:v>36861</c:v>
                </c:pt>
                <c:pt idx="72">
                  <c:v>36892</c:v>
                </c:pt>
                <c:pt idx="73">
                  <c:v>36923</c:v>
                </c:pt>
                <c:pt idx="74">
                  <c:v>36951</c:v>
                </c:pt>
                <c:pt idx="75">
                  <c:v>36982</c:v>
                </c:pt>
                <c:pt idx="76">
                  <c:v>37012</c:v>
                </c:pt>
                <c:pt idx="77">
                  <c:v>37043</c:v>
                </c:pt>
                <c:pt idx="78">
                  <c:v>37073</c:v>
                </c:pt>
                <c:pt idx="79">
                  <c:v>37104</c:v>
                </c:pt>
                <c:pt idx="80">
                  <c:v>37135</c:v>
                </c:pt>
                <c:pt idx="81">
                  <c:v>37165</c:v>
                </c:pt>
                <c:pt idx="82">
                  <c:v>37196</c:v>
                </c:pt>
                <c:pt idx="83">
                  <c:v>37226</c:v>
                </c:pt>
                <c:pt idx="84">
                  <c:v>37257</c:v>
                </c:pt>
                <c:pt idx="85">
                  <c:v>37288</c:v>
                </c:pt>
                <c:pt idx="86">
                  <c:v>37316</c:v>
                </c:pt>
                <c:pt idx="87">
                  <c:v>37347</c:v>
                </c:pt>
                <c:pt idx="88">
                  <c:v>37377</c:v>
                </c:pt>
                <c:pt idx="89">
                  <c:v>37408</c:v>
                </c:pt>
                <c:pt idx="90">
                  <c:v>37438</c:v>
                </c:pt>
                <c:pt idx="91">
                  <c:v>37469</c:v>
                </c:pt>
                <c:pt idx="92">
                  <c:v>37500</c:v>
                </c:pt>
                <c:pt idx="93">
                  <c:v>37530</c:v>
                </c:pt>
                <c:pt idx="94">
                  <c:v>37561</c:v>
                </c:pt>
                <c:pt idx="95">
                  <c:v>37591</c:v>
                </c:pt>
                <c:pt idx="96">
                  <c:v>37622</c:v>
                </c:pt>
                <c:pt idx="97">
                  <c:v>37653</c:v>
                </c:pt>
                <c:pt idx="98">
                  <c:v>37681</c:v>
                </c:pt>
                <c:pt idx="99">
                  <c:v>37712</c:v>
                </c:pt>
                <c:pt idx="100">
                  <c:v>37742</c:v>
                </c:pt>
                <c:pt idx="101">
                  <c:v>37773</c:v>
                </c:pt>
                <c:pt idx="102">
                  <c:v>37803</c:v>
                </c:pt>
                <c:pt idx="103">
                  <c:v>37834</c:v>
                </c:pt>
                <c:pt idx="104">
                  <c:v>37865</c:v>
                </c:pt>
                <c:pt idx="105">
                  <c:v>37895</c:v>
                </c:pt>
                <c:pt idx="106">
                  <c:v>37926</c:v>
                </c:pt>
                <c:pt idx="107">
                  <c:v>37956</c:v>
                </c:pt>
                <c:pt idx="108">
                  <c:v>37987</c:v>
                </c:pt>
                <c:pt idx="109">
                  <c:v>38018</c:v>
                </c:pt>
                <c:pt idx="110">
                  <c:v>38047</c:v>
                </c:pt>
                <c:pt idx="111">
                  <c:v>38078</c:v>
                </c:pt>
                <c:pt idx="112">
                  <c:v>38108</c:v>
                </c:pt>
                <c:pt idx="113">
                  <c:v>38139</c:v>
                </c:pt>
                <c:pt idx="114">
                  <c:v>38169</c:v>
                </c:pt>
                <c:pt idx="115">
                  <c:v>38200</c:v>
                </c:pt>
                <c:pt idx="116">
                  <c:v>38231</c:v>
                </c:pt>
                <c:pt idx="117">
                  <c:v>38261</c:v>
                </c:pt>
                <c:pt idx="118">
                  <c:v>38292</c:v>
                </c:pt>
                <c:pt idx="119">
                  <c:v>38322</c:v>
                </c:pt>
                <c:pt idx="120">
                  <c:v>38353</c:v>
                </c:pt>
                <c:pt idx="121">
                  <c:v>38384</c:v>
                </c:pt>
                <c:pt idx="122">
                  <c:v>38412</c:v>
                </c:pt>
                <c:pt idx="123">
                  <c:v>38443</c:v>
                </c:pt>
                <c:pt idx="124">
                  <c:v>38473</c:v>
                </c:pt>
                <c:pt idx="125">
                  <c:v>38504</c:v>
                </c:pt>
                <c:pt idx="126">
                  <c:v>38534</c:v>
                </c:pt>
                <c:pt idx="127">
                  <c:v>38565</c:v>
                </c:pt>
                <c:pt idx="128">
                  <c:v>38596</c:v>
                </c:pt>
                <c:pt idx="129">
                  <c:v>38626</c:v>
                </c:pt>
                <c:pt idx="130">
                  <c:v>38657</c:v>
                </c:pt>
                <c:pt idx="131">
                  <c:v>38687</c:v>
                </c:pt>
                <c:pt idx="132">
                  <c:v>38718</c:v>
                </c:pt>
                <c:pt idx="133">
                  <c:v>38749</c:v>
                </c:pt>
                <c:pt idx="134">
                  <c:v>38777</c:v>
                </c:pt>
                <c:pt idx="135">
                  <c:v>38808</c:v>
                </c:pt>
                <c:pt idx="136">
                  <c:v>38838</c:v>
                </c:pt>
                <c:pt idx="137">
                  <c:v>38869</c:v>
                </c:pt>
                <c:pt idx="138">
                  <c:v>38899</c:v>
                </c:pt>
                <c:pt idx="139">
                  <c:v>38930</c:v>
                </c:pt>
                <c:pt idx="140">
                  <c:v>38961</c:v>
                </c:pt>
                <c:pt idx="141">
                  <c:v>38991</c:v>
                </c:pt>
                <c:pt idx="142">
                  <c:v>39022</c:v>
                </c:pt>
                <c:pt idx="143">
                  <c:v>39052</c:v>
                </c:pt>
                <c:pt idx="144">
                  <c:v>39083</c:v>
                </c:pt>
                <c:pt idx="145">
                  <c:v>39114</c:v>
                </c:pt>
                <c:pt idx="146">
                  <c:v>39142</c:v>
                </c:pt>
                <c:pt idx="147">
                  <c:v>39173</c:v>
                </c:pt>
                <c:pt idx="148">
                  <c:v>39203</c:v>
                </c:pt>
                <c:pt idx="149">
                  <c:v>39234</c:v>
                </c:pt>
                <c:pt idx="150">
                  <c:v>39264</c:v>
                </c:pt>
                <c:pt idx="151">
                  <c:v>39295</c:v>
                </c:pt>
                <c:pt idx="152">
                  <c:v>39326</c:v>
                </c:pt>
                <c:pt idx="153">
                  <c:v>39356</c:v>
                </c:pt>
                <c:pt idx="154">
                  <c:v>39387</c:v>
                </c:pt>
                <c:pt idx="155">
                  <c:v>39417</c:v>
                </c:pt>
                <c:pt idx="156">
                  <c:v>39448</c:v>
                </c:pt>
                <c:pt idx="157">
                  <c:v>39479</c:v>
                </c:pt>
                <c:pt idx="158">
                  <c:v>39508</c:v>
                </c:pt>
                <c:pt idx="159">
                  <c:v>39539</c:v>
                </c:pt>
                <c:pt idx="160">
                  <c:v>39569</c:v>
                </c:pt>
                <c:pt idx="161">
                  <c:v>39600</c:v>
                </c:pt>
                <c:pt idx="162">
                  <c:v>39630</c:v>
                </c:pt>
                <c:pt idx="163">
                  <c:v>39661</c:v>
                </c:pt>
                <c:pt idx="164">
                  <c:v>39692</c:v>
                </c:pt>
                <c:pt idx="165">
                  <c:v>39722</c:v>
                </c:pt>
                <c:pt idx="166">
                  <c:v>39753</c:v>
                </c:pt>
                <c:pt idx="167">
                  <c:v>39783</c:v>
                </c:pt>
                <c:pt idx="168">
                  <c:v>39814</c:v>
                </c:pt>
                <c:pt idx="169">
                  <c:v>39845</c:v>
                </c:pt>
                <c:pt idx="170">
                  <c:v>39873</c:v>
                </c:pt>
                <c:pt idx="171">
                  <c:v>39904</c:v>
                </c:pt>
                <c:pt idx="172">
                  <c:v>39934</c:v>
                </c:pt>
                <c:pt idx="173">
                  <c:v>39965</c:v>
                </c:pt>
                <c:pt idx="174">
                  <c:v>39995</c:v>
                </c:pt>
                <c:pt idx="175">
                  <c:v>40026</c:v>
                </c:pt>
                <c:pt idx="176">
                  <c:v>40057</c:v>
                </c:pt>
                <c:pt idx="177">
                  <c:v>40087</c:v>
                </c:pt>
                <c:pt idx="178">
                  <c:v>40118</c:v>
                </c:pt>
                <c:pt idx="179">
                  <c:v>40148</c:v>
                </c:pt>
                <c:pt idx="180">
                  <c:v>40179</c:v>
                </c:pt>
                <c:pt idx="181">
                  <c:v>40210</c:v>
                </c:pt>
                <c:pt idx="182">
                  <c:v>40238</c:v>
                </c:pt>
                <c:pt idx="183">
                  <c:v>40269</c:v>
                </c:pt>
                <c:pt idx="184">
                  <c:v>40299</c:v>
                </c:pt>
                <c:pt idx="185">
                  <c:v>40330</c:v>
                </c:pt>
                <c:pt idx="186">
                  <c:v>40360</c:v>
                </c:pt>
                <c:pt idx="187">
                  <c:v>40391</c:v>
                </c:pt>
                <c:pt idx="188">
                  <c:v>40422</c:v>
                </c:pt>
                <c:pt idx="189">
                  <c:v>40452</c:v>
                </c:pt>
                <c:pt idx="190">
                  <c:v>40483</c:v>
                </c:pt>
                <c:pt idx="191">
                  <c:v>40513</c:v>
                </c:pt>
                <c:pt idx="192">
                  <c:v>40544</c:v>
                </c:pt>
                <c:pt idx="193">
                  <c:v>40575</c:v>
                </c:pt>
                <c:pt idx="194">
                  <c:v>40603</c:v>
                </c:pt>
                <c:pt idx="195">
                  <c:v>40634</c:v>
                </c:pt>
                <c:pt idx="196">
                  <c:v>40664</c:v>
                </c:pt>
                <c:pt idx="197">
                  <c:v>40695</c:v>
                </c:pt>
                <c:pt idx="198">
                  <c:v>40725</c:v>
                </c:pt>
                <c:pt idx="199">
                  <c:v>40756</c:v>
                </c:pt>
                <c:pt idx="200">
                  <c:v>40787</c:v>
                </c:pt>
                <c:pt idx="201">
                  <c:v>40817</c:v>
                </c:pt>
                <c:pt idx="202">
                  <c:v>40848</c:v>
                </c:pt>
                <c:pt idx="203">
                  <c:v>40878</c:v>
                </c:pt>
                <c:pt idx="204">
                  <c:v>40909</c:v>
                </c:pt>
                <c:pt idx="205">
                  <c:v>40940</c:v>
                </c:pt>
                <c:pt idx="206">
                  <c:v>40969</c:v>
                </c:pt>
                <c:pt idx="207">
                  <c:v>41000</c:v>
                </c:pt>
                <c:pt idx="208">
                  <c:v>41030</c:v>
                </c:pt>
                <c:pt idx="209">
                  <c:v>41061</c:v>
                </c:pt>
                <c:pt idx="210">
                  <c:v>41091</c:v>
                </c:pt>
                <c:pt idx="211">
                  <c:v>41122</c:v>
                </c:pt>
                <c:pt idx="212">
                  <c:v>41153</c:v>
                </c:pt>
                <c:pt idx="213">
                  <c:v>41183</c:v>
                </c:pt>
                <c:pt idx="214">
                  <c:v>41214</c:v>
                </c:pt>
                <c:pt idx="215">
                  <c:v>41244</c:v>
                </c:pt>
                <c:pt idx="216">
                  <c:v>41275</c:v>
                </c:pt>
                <c:pt idx="217">
                  <c:v>41306</c:v>
                </c:pt>
                <c:pt idx="218">
                  <c:v>41334</c:v>
                </c:pt>
                <c:pt idx="219">
                  <c:v>41365</c:v>
                </c:pt>
                <c:pt idx="220">
                  <c:v>41395</c:v>
                </c:pt>
                <c:pt idx="221">
                  <c:v>41426</c:v>
                </c:pt>
                <c:pt idx="222">
                  <c:v>41456</c:v>
                </c:pt>
                <c:pt idx="223">
                  <c:v>41487</c:v>
                </c:pt>
                <c:pt idx="224">
                  <c:v>41518</c:v>
                </c:pt>
                <c:pt idx="225">
                  <c:v>41548</c:v>
                </c:pt>
                <c:pt idx="226">
                  <c:v>41579</c:v>
                </c:pt>
                <c:pt idx="227">
                  <c:v>41609</c:v>
                </c:pt>
                <c:pt idx="228">
                  <c:v>41640</c:v>
                </c:pt>
              </c:numCache>
            </c:numRef>
          </c:cat>
          <c:val>
            <c:numRef>
              <c:f>'House Price'!$B$4:$B$232</c:f>
              <c:numCache>
                <c:formatCode>"£"#,##0</c:formatCode>
                <c:ptCount val="229"/>
                <c:pt idx="0">
                  <c:v>62226.070057845202</c:v>
                </c:pt>
                <c:pt idx="1">
                  <c:v>63231.023599467102</c:v>
                </c:pt>
                <c:pt idx="2">
                  <c:v>62881.441636029711</c:v>
                </c:pt>
                <c:pt idx="3">
                  <c:v>61987.886263201202</c:v>
                </c:pt>
                <c:pt idx="4">
                  <c:v>62104.769460274874</c:v>
                </c:pt>
                <c:pt idx="5">
                  <c:v>62057.443906055676</c:v>
                </c:pt>
                <c:pt idx="6">
                  <c:v>60970.212024164401</c:v>
                </c:pt>
                <c:pt idx="7">
                  <c:v>60375.271434595976</c:v>
                </c:pt>
                <c:pt idx="8">
                  <c:v>60961.030714204811</c:v>
                </c:pt>
                <c:pt idx="9">
                  <c:v>60804.694631394603</c:v>
                </c:pt>
                <c:pt idx="10">
                  <c:v>60795.276561862585</c:v>
                </c:pt>
                <c:pt idx="11">
                  <c:v>61147.524110840997</c:v>
                </c:pt>
                <c:pt idx="12">
                  <c:v>59870.728751742376</c:v>
                </c:pt>
                <c:pt idx="13">
                  <c:v>60578.769751243075</c:v>
                </c:pt>
                <c:pt idx="14">
                  <c:v>60701.188328211676</c:v>
                </c:pt>
                <c:pt idx="15">
                  <c:v>59893.545437322813</c:v>
                </c:pt>
                <c:pt idx="16">
                  <c:v>60046.9449425325</c:v>
                </c:pt>
                <c:pt idx="17">
                  <c:v>60183.4085739968</c:v>
                </c:pt>
                <c:pt idx="18">
                  <c:v>59459.071801258113</c:v>
                </c:pt>
                <c:pt idx="19">
                  <c:v>59671.875475171102</c:v>
                </c:pt>
                <c:pt idx="20">
                  <c:v>60255.411096175201</c:v>
                </c:pt>
                <c:pt idx="21">
                  <c:v>60448.838312759712</c:v>
                </c:pt>
                <c:pt idx="22">
                  <c:v>61082.236279144243</c:v>
                </c:pt>
                <c:pt idx="23">
                  <c:v>61246.511303318111</c:v>
                </c:pt>
                <c:pt idx="24">
                  <c:v>61378.992961488111</c:v>
                </c:pt>
                <c:pt idx="25">
                  <c:v>61902.445794307401</c:v>
                </c:pt>
                <c:pt idx="26">
                  <c:v>62687.293335850874</c:v>
                </c:pt>
                <c:pt idx="27">
                  <c:v>62427.482639191243</c:v>
                </c:pt>
                <c:pt idx="28">
                  <c:v>63184.083927185384</c:v>
                </c:pt>
                <c:pt idx="29">
                  <c:v>63679.568149000501</c:v>
                </c:pt>
                <c:pt idx="30">
                  <c:v>63786.050485802276</c:v>
                </c:pt>
                <c:pt idx="31">
                  <c:v>64570.12970371508</c:v>
                </c:pt>
                <c:pt idx="32">
                  <c:v>64906.256236455607</c:v>
                </c:pt>
                <c:pt idx="33">
                  <c:v>65687.920131318999</c:v>
                </c:pt>
                <c:pt idx="34">
                  <c:v>66067.677623257405</c:v>
                </c:pt>
                <c:pt idx="35">
                  <c:v>66521.813895651372</c:v>
                </c:pt>
                <c:pt idx="36">
                  <c:v>66756.774045116748</c:v>
                </c:pt>
                <c:pt idx="37">
                  <c:v>67321.132862034327</c:v>
                </c:pt>
                <c:pt idx="38">
                  <c:v>67624.455771328008</c:v>
                </c:pt>
                <c:pt idx="39">
                  <c:v>67848.391734995457</c:v>
                </c:pt>
                <c:pt idx="40">
                  <c:v>68381.882092208805</c:v>
                </c:pt>
                <c:pt idx="41">
                  <c:v>68448.758020325724</c:v>
                </c:pt>
                <c:pt idx="42">
                  <c:v>68733.2274540574</c:v>
                </c:pt>
                <c:pt idx="43">
                  <c:v>69005.449086032648</c:v>
                </c:pt>
                <c:pt idx="44">
                  <c:v>69239.067889304395</c:v>
                </c:pt>
                <c:pt idx="45">
                  <c:v>69582.479414616726</c:v>
                </c:pt>
                <c:pt idx="46">
                  <c:v>69532.780079312128</c:v>
                </c:pt>
                <c:pt idx="47">
                  <c:v>70038.009843144799</c:v>
                </c:pt>
                <c:pt idx="48">
                  <c:v>70107.410248237371</c:v>
                </c:pt>
                <c:pt idx="49">
                  <c:v>70449.254799349903</c:v>
                </c:pt>
                <c:pt idx="50">
                  <c:v>70783.336341892078</c:v>
                </c:pt>
                <c:pt idx="51">
                  <c:v>71279.048686683702</c:v>
                </c:pt>
                <c:pt idx="52">
                  <c:v>71843.671502702025</c:v>
                </c:pt>
                <c:pt idx="53">
                  <c:v>72401.909007459399</c:v>
                </c:pt>
                <c:pt idx="54">
                  <c:v>73213.176834665501</c:v>
                </c:pt>
                <c:pt idx="55">
                  <c:v>74107.026527014648</c:v>
                </c:pt>
                <c:pt idx="56">
                  <c:v>75107.759041988407</c:v>
                </c:pt>
                <c:pt idx="57">
                  <c:v>76089.397764871625</c:v>
                </c:pt>
                <c:pt idx="58">
                  <c:v>77215.526346396102</c:v>
                </c:pt>
                <c:pt idx="59">
                  <c:v>78352.044194071001</c:v>
                </c:pt>
                <c:pt idx="60">
                  <c:v>79368.610510286322</c:v>
                </c:pt>
                <c:pt idx="61">
                  <c:v>80036.540940497798</c:v>
                </c:pt>
                <c:pt idx="62">
                  <c:v>81069.904615295804</c:v>
                </c:pt>
                <c:pt idx="63">
                  <c:v>82251.268830524379</c:v>
                </c:pt>
                <c:pt idx="64">
                  <c:v>83057.649950561725</c:v>
                </c:pt>
                <c:pt idx="65">
                  <c:v>83791.925400203923</c:v>
                </c:pt>
                <c:pt idx="66">
                  <c:v>84446.148307139738</c:v>
                </c:pt>
                <c:pt idx="67">
                  <c:v>84835.306817274948</c:v>
                </c:pt>
                <c:pt idx="68">
                  <c:v>84880.674689247026</c:v>
                </c:pt>
                <c:pt idx="69">
                  <c:v>85048.189421450006</c:v>
                </c:pt>
                <c:pt idx="70">
                  <c:v>85500.638611852701</c:v>
                </c:pt>
                <c:pt idx="71">
                  <c:v>86290.841140805322</c:v>
                </c:pt>
                <c:pt idx="72">
                  <c:v>87200.416700216665</c:v>
                </c:pt>
                <c:pt idx="73">
                  <c:v>87578.286660348007</c:v>
                </c:pt>
                <c:pt idx="74">
                  <c:v>88081.911618857601</c:v>
                </c:pt>
                <c:pt idx="75">
                  <c:v>89361.838171805604</c:v>
                </c:pt>
                <c:pt idx="76">
                  <c:v>90327.555828908487</c:v>
                </c:pt>
                <c:pt idx="77">
                  <c:v>91172.698794418407</c:v>
                </c:pt>
                <c:pt idx="78">
                  <c:v>92306.192304270371</c:v>
                </c:pt>
                <c:pt idx="79">
                  <c:v>93706.3768823789</c:v>
                </c:pt>
                <c:pt idx="80">
                  <c:v>94597.407236750398</c:v>
                </c:pt>
                <c:pt idx="81">
                  <c:v>95286.131761387427</c:v>
                </c:pt>
                <c:pt idx="82">
                  <c:v>95776.281066070005</c:v>
                </c:pt>
                <c:pt idx="83">
                  <c:v>97155.296296131972</c:v>
                </c:pt>
                <c:pt idx="84">
                  <c:v>98143.221503392808</c:v>
                </c:pt>
                <c:pt idx="85">
                  <c:v>99233.475092003107</c:v>
                </c:pt>
                <c:pt idx="86">
                  <c:v>100410.43148327094</c:v>
                </c:pt>
                <c:pt idx="87">
                  <c:v>102365.75600282199</c:v>
                </c:pt>
                <c:pt idx="88">
                  <c:v>104467.089619523</c:v>
                </c:pt>
                <c:pt idx="89">
                  <c:v>107354.8811232834</c:v>
                </c:pt>
                <c:pt idx="90">
                  <c:v>109716.59106018602</c:v>
                </c:pt>
                <c:pt idx="91">
                  <c:v>112195.15589022802</c:v>
                </c:pt>
                <c:pt idx="92">
                  <c:v>113991.42142839551</c:v>
                </c:pt>
                <c:pt idx="93">
                  <c:v>115842.413366593</c:v>
                </c:pt>
                <c:pt idx="94">
                  <c:v>117834.25575538429</c:v>
                </c:pt>
                <c:pt idx="95">
                  <c:v>120191.01052639</c:v>
                </c:pt>
                <c:pt idx="96">
                  <c:v>122416.73254760065</c:v>
                </c:pt>
                <c:pt idx="97">
                  <c:v>123775.54481576897</c:v>
                </c:pt>
                <c:pt idx="98">
                  <c:v>124224.234743251</c:v>
                </c:pt>
                <c:pt idx="99">
                  <c:v>125788.230974547</c:v>
                </c:pt>
                <c:pt idx="100">
                  <c:v>126713.47015695328</c:v>
                </c:pt>
                <c:pt idx="101">
                  <c:v>128241.91937222073</c:v>
                </c:pt>
                <c:pt idx="102">
                  <c:v>129498.71326565197</c:v>
                </c:pt>
                <c:pt idx="103">
                  <c:v>130789.52277056899</c:v>
                </c:pt>
                <c:pt idx="104">
                  <c:v>131818.60441586701</c:v>
                </c:pt>
                <c:pt idx="105">
                  <c:v>133508.78011845099</c:v>
                </c:pt>
                <c:pt idx="106">
                  <c:v>135072.84332841355</c:v>
                </c:pt>
                <c:pt idx="107">
                  <c:v>136959.36399912799</c:v>
                </c:pt>
                <c:pt idx="108">
                  <c:v>138746.7090337871</c:v>
                </c:pt>
                <c:pt idx="109">
                  <c:v>140456.39162274307</c:v>
                </c:pt>
                <c:pt idx="110">
                  <c:v>141591.38316439762</c:v>
                </c:pt>
                <c:pt idx="111">
                  <c:v>144387.96714681911</c:v>
                </c:pt>
                <c:pt idx="112">
                  <c:v>146927.13931848211</c:v>
                </c:pt>
                <c:pt idx="113">
                  <c:v>148665.27626086056</c:v>
                </c:pt>
                <c:pt idx="114">
                  <c:v>150957.20203214799</c:v>
                </c:pt>
                <c:pt idx="115">
                  <c:v>152447.68559544298</c:v>
                </c:pt>
                <c:pt idx="116">
                  <c:v>153310.57712415355</c:v>
                </c:pt>
                <c:pt idx="117">
                  <c:v>154799.12577445811</c:v>
                </c:pt>
                <c:pt idx="118">
                  <c:v>155335.54245397</c:v>
                </c:pt>
                <c:pt idx="119">
                  <c:v>155186.48944760798</c:v>
                </c:pt>
                <c:pt idx="120">
                  <c:v>155015.72270868768</c:v>
                </c:pt>
                <c:pt idx="121">
                  <c:v>155776.13453964368</c:v>
                </c:pt>
                <c:pt idx="122">
                  <c:v>156102.11598217001</c:v>
                </c:pt>
                <c:pt idx="123">
                  <c:v>156786.24988366911</c:v>
                </c:pt>
                <c:pt idx="124">
                  <c:v>157088.54924052214</c:v>
                </c:pt>
                <c:pt idx="125">
                  <c:v>156997.327397138</c:v>
                </c:pt>
                <c:pt idx="126">
                  <c:v>157422.33766391999</c:v>
                </c:pt>
                <c:pt idx="127">
                  <c:v>157092.29208784201</c:v>
                </c:pt>
                <c:pt idx="128">
                  <c:v>157167.25816647298</c:v>
                </c:pt>
                <c:pt idx="129">
                  <c:v>157896.27803825511</c:v>
                </c:pt>
                <c:pt idx="130">
                  <c:v>158302.40024634398</c:v>
                </c:pt>
                <c:pt idx="131">
                  <c:v>158800.68519345447</c:v>
                </c:pt>
                <c:pt idx="132">
                  <c:v>159566.206095264</c:v>
                </c:pt>
                <c:pt idx="133">
                  <c:v>160386.53673790599</c:v>
                </c:pt>
                <c:pt idx="134">
                  <c:v>161517.502538881</c:v>
                </c:pt>
                <c:pt idx="135">
                  <c:v>162475.17583098568</c:v>
                </c:pt>
                <c:pt idx="136">
                  <c:v>163145.26269999001</c:v>
                </c:pt>
                <c:pt idx="137">
                  <c:v>163725.43191385444</c:v>
                </c:pt>
                <c:pt idx="138">
                  <c:v>164422.74657138783</c:v>
                </c:pt>
                <c:pt idx="139">
                  <c:v>165121.24949255798</c:v>
                </c:pt>
                <c:pt idx="140">
                  <c:v>166619.02398446811</c:v>
                </c:pt>
                <c:pt idx="141">
                  <c:v>167823.60408347598</c:v>
                </c:pt>
                <c:pt idx="142">
                  <c:v>169283.94666833399</c:v>
                </c:pt>
                <c:pt idx="143">
                  <c:v>170621.65244270701</c:v>
                </c:pt>
                <c:pt idx="144">
                  <c:v>172105.82240464937</c:v>
                </c:pt>
                <c:pt idx="145">
                  <c:v>173500.19731468259</c:v>
                </c:pt>
                <c:pt idx="146">
                  <c:v>174772.92660600037</c:v>
                </c:pt>
                <c:pt idx="147">
                  <c:v>176047.56761694298</c:v>
                </c:pt>
                <c:pt idx="148">
                  <c:v>177079.374343406</c:v>
                </c:pt>
                <c:pt idx="149">
                  <c:v>177940.98060949068</c:v>
                </c:pt>
                <c:pt idx="150">
                  <c:v>179185.1099003831</c:v>
                </c:pt>
                <c:pt idx="151">
                  <c:v>180131.77396595111</c:v>
                </c:pt>
                <c:pt idx="152">
                  <c:v>180758.05364881601</c:v>
                </c:pt>
                <c:pt idx="153">
                  <c:v>181466.66373669441</c:v>
                </c:pt>
                <c:pt idx="154">
                  <c:v>181702.172396546</c:v>
                </c:pt>
                <c:pt idx="155">
                  <c:v>181244.82821233268</c:v>
                </c:pt>
                <c:pt idx="156">
                  <c:v>181357.58031089162</c:v>
                </c:pt>
                <c:pt idx="157">
                  <c:v>181467.62953152441</c:v>
                </c:pt>
                <c:pt idx="158">
                  <c:v>179326.48192568801</c:v>
                </c:pt>
                <c:pt idx="159">
                  <c:v>179050.09933549</c:v>
                </c:pt>
                <c:pt idx="160">
                  <c:v>178314.55616604807</c:v>
                </c:pt>
                <c:pt idx="161">
                  <c:v>175008.61228111974</c:v>
                </c:pt>
                <c:pt idx="162">
                  <c:v>173130.39818134398</c:v>
                </c:pt>
                <c:pt idx="163">
                  <c:v>168995.92197845</c:v>
                </c:pt>
                <c:pt idx="164">
                  <c:v>165144.17948253395</c:v>
                </c:pt>
                <c:pt idx="165">
                  <c:v>162513.10967811604</c:v>
                </c:pt>
                <c:pt idx="166">
                  <c:v>158670.31296952101</c:v>
                </c:pt>
                <c:pt idx="167">
                  <c:v>155279.77440612298</c:v>
                </c:pt>
                <c:pt idx="168">
                  <c:v>154627.9841643711</c:v>
                </c:pt>
                <c:pt idx="169">
                  <c:v>152154.92065942899</c:v>
                </c:pt>
                <c:pt idx="170">
                  <c:v>150985.31342362444</c:v>
                </c:pt>
                <c:pt idx="171">
                  <c:v>150585.51129159098</c:v>
                </c:pt>
                <c:pt idx="172">
                  <c:v>150999.01646161999</c:v>
                </c:pt>
                <c:pt idx="173">
                  <c:v>151672.16611640068</c:v>
                </c:pt>
                <c:pt idx="174">
                  <c:v>154314.590234623</c:v>
                </c:pt>
                <c:pt idx="175">
                  <c:v>155104.77662021262</c:v>
                </c:pt>
                <c:pt idx="176">
                  <c:v>156465.29557238301</c:v>
                </c:pt>
                <c:pt idx="177">
                  <c:v>158231.69620923011</c:v>
                </c:pt>
                <c:pt idx="178">
                  <c:v>159209.109306161</c:v>
                </c:pt>
                <c:pt idx="179">
                  <c:v>159728.06665374798</c:v>
                </c:pt>
                <c:pt idx="180">
                  <c:v>162371.70739063274</c:v>
                </c:pt>
                <c:pt idx="181">
                  <c:v>162812.15121262925</c:v>
                </c:pt>
                <c:pt idx="182">
                  <c:v>162758.09968141501</c:v>
                </c:pt>
                <c:pt idx="183">
                  <c:v>163262.40110295068</c:v>
                </c:pt>
                <c:pt idx="184">
                  <c:v>163520.36613061701</c:v>
                </c:pt>
                <c:pt idx="185">
                  <c:v>163596.166595332</c:v>
                </c:pt>
                <c:pt idx="186">
                  <c:v>164584.19873023711</c:v>
                </c:pt>
                <c:pt idx="187">
                  <c:v>164644.9847908114</c:v>
                </c:pt>
                <c:pt idx="188">
                  <c:v>164432.973719061</c:v>
                </c:pt>
                <c:pt idx="189">
                  <c:v>163404.81575304398</c:v>
                </c:pt>
                <c:pt idx="190">
                  <c:v>162024.19173248447</c:v>
                </c:pt>
                <c:pt idx="191">
                  <c:v>161005.57394500411</c:v>
                </c:pt>
                <c:pt idx="192">
                  <c:v>161551.64772582811</c:v>
                </c:pt>
                <c:pt idx="193">
                  <c:v>161192.614139076</c:v>
                </c:pt>
                <c:pt idx="194">
                  <c:v>159918.03833728601</c:v>
                </c:pt>
                <c:pt idx="195">
                  <c:v>160786.78583337899</c:v>
                </c:pt>
                <c:pt idx="196">
                  <c:v>159815.61671503511</c:v>
                </c:pt>
                <c:pt idx="197">
                  <c:v>159315.63265884601</c:v>
                </c:pt>
                <c:pt idx="198">
                  <c:v>161111.7843333671</c:v>
                </c:pt>
                <c:pt idx="199">
                  <c:v>161126.91563950301</c:v>
                </c:pt>
                <c:pt idx="200">
                  <c:v>159842.72409096701</c:v>
                </c:pt>
                <c:pt idx="201">
                  <c:v>158928.39699899941</c:v>
                </c:pt>
                <c:pt idx="202">
                  <c:v>159246.748156421</c:v>
                </c:pt>
                <c:pt idx="203">
                  <c:v>158587.23012934517</c:v>
                </c:pt>
                <c:pt idx="204">
                  <c:v>160105.67551759098</c:v>
                </c:pt>
                <c:pt idx="205">
                  <c:v>160250.98958432325</c:v>
                </c:pt>
                <c:pt idx="206">
                  <c:v>159796.864990637</c:v>
                </c:pt>
                <c:pt idx="207">
                  <c:v>159724.02108120447</c:v>
                </c:pt>
                <c:pt idx="208">
                  <c:v>160573.42914875</c:v>
                </c:pt>
                <c:pt idx="209">
                  <c:v>160890.18783223</c:v>
                </c:pt>
                <c:pt idx="210">
                  <c:v>162349.44495851811</c:v>
                </c:pt>
                <c:pt idx="211">
                  <c:v>162243.95227024701</c:v>
                </c:pt>
                <c:pt idx="212">
                  <c:v>161275.58822583104</c:v>
                </c:pt>
                <c:pt idx="213">
                  <c:v>160394.11958094701</c:v>
                </c:pt>
                <c:pt idx="214">
                  <c:v>160139.99785842301</c:v>
                </c:pt>
                <c:pt idx="215">
                  <c:v>160218.96405229825</c:v>
                </c:pt>
                <c:pt idx="216">
                  <c:v>161633.17253370711</c:v>
                </c:pt>
                <c:pt idx="217">
                  <c:v>161485.89669743998</c:v>
                </c:pt>
                <c:pt idx="218">
                  <c:v>160282.20773130411</c:v>
                </c:pt>
                <c:pt idx="219">
                  <c:v>161395.15806309337</c:v>
                </c:pt>
                <c:pt idx="220">
                  <c:v>161407.27990238011</c:v>
                </c:pt>
                <c:pt idx="221">
                  <c:v>161940.77377244399</c:v>
                </c:pt>
                <c:pt idx="222">
                  <c:v>164191.98470297537</c:v>
                </c:pt>
                <c:pt idx="223">
                  <c:v>164456.06853972501</c:v>
                </c:pt>
                <c:pt idx="224">
                  <c:v>165711.95300603431</c:v>
                </c:pt>
                <c:pt idx="225">
                  <c:v>165199.63775547259</c:v>
                </c:pt>
                <c:pt idx="226">
                  <c:v>165395.13275665301</c:v>
                </c:pt>
                <c:pt idx="227">
                  <c:v>166770.94345991311</c:v>
                </c:pt>
                <c:pt idx="228">
                  <c:v>168356.436354801</c:v>
                </c:pt>
              </c:numCache>
            </c:numRef>
          </c:val>
          <c:smooth val="1"/>
        </c:ser>
        <c:ser>
          <c:idx val="1"/>
          <c:order val="1"/>
          <c:tx>
            <c:strRef>
              <c:f>'House Price'!$C$3</c:f>
              <c:strCache>
                <c:ptCount val="1"/>
                <c:pt idx="0">
                  <c:v>North East Lincolnshire</c:v>
                </c:pt>
              </c:strCache>
            </c:strRef>
          </c:tx>
          <c:marker>
            <c:symbol val="none"/>
          </c:marker>
          <c:cat>
            <c:numRef>
              <c:f>'House Price'!$A$4:$A$232</c:f>
              <c:numCache>
                <c:formatCode>mmm\-yyyy</c:formatCode>
                <c:ptCount val="229"/>
                <c:pt idx="0">
                  <c:v>34700</c:v>
                </c:pt>
                <c:pt idx="1">
                  <c:v>34731</c:v>
                </c:pt>
                <c:pt idx="2">
                  <c:v>34759</c:v>
                </c:pt>
                <c:pt idx="3">
                  <c:v>34790</c:v>
                </c:pt>
                <c:pt idx="4">
                  <c:v>34820</c:v>
                </c:pt>
                <c:pt idx="5">
                  <c:v>34851</c:v>
                </c:pt>
                <c:pt idx="6">
                  <c:v>34881</c:v>
                </c:pt>
                <c:pt idx="7">
                  <c:v>34912</c:v>
                </c:pt>
                <c:pt idx="8">
                  <c:v>34943</c:v>
                </c:pt>
                <c:pt idx="9">
                  <c:v>34973</c:v>
                </c:pt>
                <c:pt idx="10">
                  <c:v>35004</c:v>
                </c:pt>
                <c:pt idx="11">
                  <c:v>35034</c:v>
                </c:pt>
                <c:pt idx="12">
                  <c:v>35065</c:v>
                </c:pt>
                <c:pt idx="13">
                  <c:v>35096</c:v>
                </c:pt>
                <c:pt idx="14">
                  <c:v>35125</c:v>
                </c:pt>
                <c:pt idx="15">
                  <c:v>35156</c:v>
                </c:pt>
                <c:pt idx="16">
                  <c:v>35186</c:v>
                </c:pt>
                <c:pt idx="17">
                  <c:v>35217</c:v>
                </c:pt>
                <c:pt idx="18">
                  <c:v>35247</c:v>
                </c:pt>
                <c:pt idx="19">
                  <c:v>35278</c:v>
                </c:pt>
                <c:pt idx="20">
                  <c:v>35309</c:v>
                </c:pt>
                <c:pt idx="21">
                  <c:v>35339</c:v>
                </c:pt>
                <c:pt idx="22">
                  <c:v>35370</c:v>
                </c:pt>
                <c:pt idx="23">
                  <c:v>35400</c:v>
                </c:pt>
                <c:pt idx="24">
                  <c:v>35431</c:v>
                </c:pt>
                <c:pt idx="25">
                  <c:v>35462</c:v>
                </c:pt>
                <c:pt idx="26">
                  <c:v>35490</c:v>
                </c:pt>
                <c:pt idx="27">
                  <c:v>35521</c:v>
                </c:pt>
                <c:pt idx="28">
                  <c:v>35551</c:v>
                </c:pt>
                <c:pt idx="29">
                  <c:v>35582</c:v>
                </c:pt>
                <c:pt idx="30">
                  <c:v>35612</c:v>
                </c:pt>
                <c:pt idx="31">
                  <c:v>35643</c:v>
                </c:pt>
                <c:pt idx="32">
                  <c:v>35674</c:v>
                </c:pt>
                <c:pt idx="33">
                  <c:v>35704</c:v>
                </c:pt>
                <c:pt idx="34">
                  <c:v>35735</c:v>
                </c:pt>
                <c:pt idx="35">
                  <c:v>35765</c:v>
                </c:pt>
                <c:pt idx="36">
                  <c:v>35796</c:v>
                </c:pt>
                <c:pt idx="37">
                  <c:v>35827</c:v>
                </c:pt>
                <c:pt idx="38">
                  <c:v>35855</c:v>
                </c:pt>
                <c:pt idx="39">
                  <c:v>35886</c:v>
                </c:pt>
                <c:pt idx="40">
                  <c:v>35916</c:v>
                </c:pt>
                <c:pt idx="41">
                  <c:v>35947</c:v>
                </c:pt>
                <c:pt idx="42">
                  <c:v>35977</c:v>
                </c:pt>
                <c:pt idx="43">
                  <c:v>36008</c:v>
                </c:pt>
                <c:pt idx="44">
                  <c:v>36039</c:v>
                </c:pt>
                <c:pt idx="45">
                  <c:v>36069</c:v>
                </c:pt>
                <c:pt idx="46">
                  <c:v>36100</c:v>
                </c:pt>
                <c:pt idx="47">
                  <c:v>36130</c:v>
                </c:pt>
                <c:pt idx="48">
                  <c:v>36161</c:v>
                </c:pt>
                <c:pt idx="49">
                  <c:v>36192</c:v>
                </c:pt>
                <c:pt idx="50">
                  <c:v>36220</c:v>
                </c:pt>
                <c:pt idx="51">
                  <c:v>36251</c:v>
                </c:pt>
                <c:pt idx="52">
                  <c:v>36281</c:v>
                </c:pt>
                <c:pt idx="53">
                  <c:v>36312</c:v>
                </c:pt>
                <c:pt idx="54">
                  <c:v>36342</c:v>
                </c:pt>
                <c:pt idx="55">
                  <c:v>36373</c:v>
                </c:pt>
                <c:pt idx="56">
                  <c:v>36404</c:v>
                </c:pt>
                <c:pt idx="57">
                  <c:v>36434</c:v>
                </c:pt>
                <c:pt idx="58">
                  <c:v>36465</c:v>
                </c:pt>
                <c:pt idx="59">
                  <c:v>36495</c:v>
                </c:pt>
                <c:pt idx="60">
                  <c:v>36526</c:v>
                </c:pt>
                <c:pt idx="61">
                  <c:v>36557</c:v>
                </c:pt>
                <c:pt idx="62">
                  <c:v>36586</c:v>
                </c:pt>
                <c:pt idx="63">
                  <c:v>36617</c:v>
                </c:pt>
                <c:pt idx="64">
                  <c:v>36647</c:v>
                </c:pt>
                <c:pt idx="65">
                  <c:v>36678</c:v>
                </c:pt>
                <c:pt idx="66">
                  <c:v>36708</c:v>
                </c:pt>
                <c:pt idx="67">
                  <c:v>36739</c:v>
                </c:pt>
                <c:pt idx="68">
                  <c:v>36770</c:v>
                </c:pt>
                <c:pt idx="69">
                  <c:v>36800</c:v>
                </c:pt>
                <c:pt idx="70">
                  <c:v>36831</c:v>
                </c:pt>
                <c:pt idx="71">
                  <c:v>36861</c:v>
                </c:pt>
                <c:pt idx="72">
                  <c:v>36892</c:v>
                </c:pt>
                <c:pt idx="73">
                  <c:v>36923</c:v>
                </c:pt>
                <c:pt idx="74">
                  <c:v>36951</c:v>
                </c:pt>
                <c:pt idx="75">
                  <c:v>36982</c:v>
                </c:pt>
                <c:pt idx="76">
                  <c:v>37012</c:v>
                </c:pt>
                <c:pt idx="77">
                  <c:v>37043</c:v>
                </c:pt>
                <c:pt idx="78">
                  <c:v>37073</c:v>
                </c:pt>
                <c:pt idx="79">
                  <c:v>37104</c:v>
                </c:pt>
                <c:pt idx="80">
                  <c:v>37135</c:v>
                </c:pt>
                <c:pt idx="81">
                  <c:v>37165</c:v>
                </c:pt>
                <c:pt idx="82">
                  <c:v>37196</c:v>
                </c:pt>
                <c:pt idx="83">
                  <c:v>37226</c:v>
                </c:pt>
                <c:pt idx="84">
                  <c:v>37257</c:v>
                </c:pt>
                <c:pt idx="85">
                  <c:v>37288</c:v>
                </c:pt>
                <c:pt idx="86">
                  <c:v>37316</c:v>
                </c:pt>
                <c:pt idx="87">
                  <c:v>37347</c:v>
                </c:pt>
                <c:pt idx="88">
                  <c:v>37377</c:v>
                </c:pt>
                <c:pt idx="89">
                  <c:v>37408</c:v>
                </c:pt>
                <c:pt idx="90">
                  <c:v>37438</c:v>
                </c:pt>
                <c:pt idx="91">
                  <c:v>37469</c:v>
                </c:pt>
                <c:pt idx="92">
                  <c:v>37500</c:v>
                </c:pt>
                <c:pt idx="93">
                  <c:v>37530</c:v>
                </c:pt>
                <c:pt idx="94">
                  <c:v>37561</c:v>
                </c:pt>
                <c:pt idx="95">
                  <c:v>37591</c:v>
                </c:pt>
                <c:pt idx="96">
                  <c:v>37622</c:v>
                </c:pt>
                <c:pt idx="97">
                  <c:v>37653</c:v>
                </c:pt>
                <c:pt idx="98">
                  <c:v>37681</c:v>
                </c:pt>
                <c:pt idx="99">
                  <c:v>37712</c:v>
                </c:pt>
                <c:pt idx="100">
                  <c:v>37742</c:v>
                </c:pt>
                <c:pt idx="101">
                  <c:v>37773</c:v>
                </c:pt>
                <c:pt idx="102">
                  <c:v>37803</c:v>
                </c:pt>
                <c:pt idx="103">
                  <c:v>37834</c:v>
                </c:pt>
                <c:pt idx="104">
                  <c:v>37865</c:v>
                </c:pt>
                <c:pt idx="105">
                  <c:v>37895</c:v>
                </c:pt>
                <c:pt idx="106">
                  <c:v>37926</c:v>
                </c:pt>
                <c:pt idx="107">
                  <c:v>37956</c:v>
                </c:pt>
                <c:pt idx="108">
                  <c:v>37987</c:v>
                </c:pt>
                <c:pt idx="109">
                  <c:v>38018</c:v>
                </c:pt>
                <c:pt idx="110">
                  <c:v>38047</c:v>
                </c:pt>
                <c:pt idx="111">
                  <c:v>38078</c:v>
                </c:pt>
                <c:pt idx="112">
                  <c:v>38108</c:v>
                </c:pt>
                <c:pt idx="113">
                  <c:v>38139</c:v>
                </c:pt>
                <c:pt idx="114">
                  <c:v>38169</c:v>
                </c:pt>
                <c:pt idx="115">
                  <c:v>38200</c:v>
                </c:pt>
                <c:pt idx="116">
                  <c:v>38231</c:v>
                </c:pt>
                <c:pt idx="117">
                  <c:v>38261</c:v>
                </c:pt>
                <c:pt idx="118">
                  <c:v>38292</c:v>
                </c:pt>
                <c:pt idx="119">
                  <c:v>38322</c:v>
                </c:pt>
                <c:pt idx="120">
                  <c:v>38353</c:v>
                </c:pt>
                <c:pt idx="121">
                  <c:v>38384</c:v>
                </c:pt>
                <c:pt idx="122">
                  <c:v>38412</c:v>
                </c:pt>
                <c:pt idx="123">
                  <c:v>38443</c:v>
                </c:pt>
                <c:pt idx="124">
                  <c:v>38473</c:v>
                </c:pt>
                <c:pt idx="125">
                  <c:v>38504</c:v>
                </c:pt>
                <c:pt idx="126">
                  <c:v>38534</c:v>
                </c:pt>
                <c:pt idx="127">
                  <c:v>38565</c:v>
                </c:pt>
                <c:pt idx="128">
                  <c:v>38596</c:v>
                </c:pt>
                <c:pt idx="129">
                  <c:v>38626</c:v>
                </c:pt>
                <c:pt idx="130">
                  <c:v>38657</c:v>
                </c:pt>
                <c:pt idx="131">
                  <c:v>38687</c:v>
                </c:pt>
                <c:pt idx="132">
                  <c:v>38718</c:v>
                </c:pt>
                <c:pt idx="133">
                  <c:v>38749</c:v>
                </c:pt>
                <c:pt idx="134">
                  <c:v>38777</c:v>
                </c:pt>
                <c:pt idx="135">
                  <c:v>38808</c:v>
                </c:pt>
                <c:pt idx="136">
                  <c:v>38838</c:v>
                </c:pt>
                <c:pt idx="137">
                  <c:v>38869</c:v>
                </c:pt>
                <c:pt idx="138">
                  <c:v>38899</c:v>
                </c:pt>
                <c:pt idx="139">
                  <c:v>38930</c:v>
                </c:pt>
                <c:pt idx="140">
                  <c:v>38961</c:v>
                </c:pt>
                <c:pt idx="141">
                  <c:v>38991</c:v>
                </c:pt>
                <c:pt idx="142">
                  <c:v>39022</c:v>
                </c:pt>
                <c:pt idx="143">
                  <c:v>39052</c:v>
                </c:pt>
                <c:pt idx="144">
                  <c:v>39083</c:v>
                </c:pt>
                <c:pt idx="145">
                  <c:v>39114</c:v>
                </c:pt>
                <c:pt idx="146">
                  <c:v>39142</c:v>
                </c:pt>
                <c:pt idx="147">
                  <c:v>39173</c:v>
                </c:pt>
                <c:pt idx="148">
                  <c:v>39203</c:v>
                </c:pt>
                <c:pt idx="149">
                  <c:v>39234</c:v>
                </c:pt>
                <c:pt idx="150">
                  <c:v>39264</c:v>
                </c:pt>
                <c:pt idx="151">
                  <c:v>39295</c:v>
                </c:pt>
                <c:pt idx="152">
                  <c:v>39326</c:v>
                </c:pt>
                <c:pt idx="153">
                  <c:v>39356</c:v>
                </c:pt>
                <c:pt idx="154">
                  <c:v>39387</c:v>
                </c:pt>
                <c:pt idx="155">
                  <c:v>39417</c:v>
                </c:pt>
                <c:pt idx="156">
                  <c:v>39448</c:v>
                </c:pt>
                <c:pt idx="157">
                  <c:v>39479</c:v>
                </c:pt>
                <c:pt idx="158">
                  <c:v>39508</c:v>
                </c:pt>
                <c:pt idx="159">
                  <c:v>39539</c:v>
                </c:pt>
                <c:pt idx="160">
                  <c:v>39569</c:v>
                </c:pt>
                <c:pt idx="161">
                  <c:v>39600</c:v>
                </c:pt>
                <c:pt idx="162">
                  <c:v>39630</c:v>
                </c:pt>
                <c:pt idx="163">
                  <c:v>39661</c:v>
                </c:pt>
                <c:pt idx="164">
                  <c:v>39692</c:v>
                </c:pt>
                <c:pt idx="165">
                  <c:v>39722</c:v>
                </c:pt>
                <c:pt idx="166">
                  <c:v>39753</c:v>
                </c:pt>
                <c:pt idx="167">
                  <c:v>39783</c:v>
                </c:pt>
                <c:pt idx="168">
                  <c:v>39814</c:v>
                </c:pt>
                <c:pt idx="169">
                  <c:v>39845</c:v>
                </c:pt>
                <c:pt idx="170">
                  <c:v>39873</c:v>
                </c:pt>
                <c:pt idx="171">
                  <c:v>39904</c:v>
                </c:pt>
                <c:pt idx="172">
                  <c:v>39934</c:v>
                </c:pt>
                <c:pt idx="173">
                  <c:v>39965</c:v>
                </c:pt>
                <c:pt idx="174">
                  <c:v>39995</c:v>
                </c:pt>
                <c:pt idx="175">
                  <c:v>40026</c:v>
                </c:pt>
                <c:pt idx="176">
                  <c:v>40057</c:v>
                </c:pt>
                <c:pt idx="177">
                  <c:v>40087</c:v>
                </c:pt>
                <c:pt idx="178">
                  <c:v>40118</c:v>
                </c:pt>
                <c:pt idx="179">
                  <c:v>40148</c:v>
                </c:pt>
                <c:pt idx="180">
                  <c:v>40179</c:v>
                </c:pt>
                <c:pt idx="181">
                  <c:v>40210</c:v>
                </c:pt>
                <c:pt idx="182">
                  <c:v>40238</c:v>
                </c:pt>
                <c:pt idx="183">
                  <c:v>40269</c:v>
                </c:pt>
                <c:pt idx="184">
                  <c:v>40299</c:v>
                </c:pt>
                <c:pt idx="185">
                  <c:v>40330</c:v>
                </c:pt>
                <c:pt idx="186">
                  <c:v>40360</c:v>
                </c:pt>
                <c:pt idx="187">
                  <c:v>40391</c:v>
                </c:pt>
                <c:pt idx="188">
                  <c:v>40422</c:v>
                </c:pt>
                <c:pt idx="189">
                  <c:v>40452</c:v>
                </c:pt>
                <c:pt idx="190">
                  <c:v>40483</c:v>
                </c:pt>
                <c:pt idx="191">
                  <c:v>40513</c:v>
                </c:pt>
                <c:pt idx="192">
                  <c:v>40544</c:v>
                </c:pt>
                <c:pt idx="193">
                  <c:v>40575</c:v>
                </c:pt>
                <c:pt idx="194">
                  <c:v>40603</c:v>
                </c:pt>
                <c:pt idx="195">
                  <c:v>40634</c:v>
                </c:pt>
                <c:pt idx="196">
                  <c:v>40664</c:v>
                </c:pt>
                <c:pt idx="197">
                  <c:v>40695</c:v>
                </c:pt>
                <c:pt idx="198">
                  <c:v>40725</c:v>
                </c:pt>
                <c:pt idx="199">
                  <c:v>40756</c:v>
                </c:pt>
                <c:pt idx="200">
                  <c:v>40787</c:v>
                </c:pt>
                <c:pt idx="201">
                  <c:v>40817</c:v>
                </c:pt>
                <c:pt idx="202">
                  <c:v>40848</c:v>
                </c:pt>
                <c:pt idx="203">
                  <c:v>40878</c:v>
                </c:pt>
                <c:pt idx="204">
                  <c:v>40909</c:v>
                </c:pt>
                <c:pt idx="205">
                  <c:v>40940</c:v>
                </c:pt>
                <c:pt idx="206">
                  <c:v>40969</c:v>
                </c:pt>
                <c:pt idx="207">
                  <c:v>41000</c:v>
                </c:pt>
                <c:pt idx="208">
                  <c:v>41030</c:v>
                </c:pt>
                <c:pt idx="209">
                  <c:v>41061</c:v>
                </c:pt>
                <c:pt idx="210">
                  <c:v>41091</c:v>
                </c:pt>
                <c:pt idx="211">
                  <c:v>41122</c:v>
                </c:pt>
                <c:pt idx="212">
                  <c:v>41153</c:v>
                </c:pt>
                <c:pt idx="213">
                  <c:v>41183</c:v>
                </c:pt>
                <c:pt idx="214">
                  <c:v>41214</c:v>
                </c:pt>
                <c:pt idx="215">
                  <c:v>41244</c:v>
                </c:pt>
                <c:pt idx="216">
                  <c:v>41275</c:v>
                </c:pt>
                <c:pt idx="217">
                  <c:v>41306</c:v>
                </c:pt>
                <c:pt idx="218">
                  <c:v>41334</c:v>
                </c:pt>
                <c:pt idx="219">
                  <c:v>41365</c:v>
                </c:pt>
                <c:pt idx="220">
                  <c:v>41395</c:v>
                </c:pt>
                <c:pt idx="221">
                  <c:v>41426</c:v>
                </c:pt>
                <c:pt idx="222">
                  <c:v>41456</c:v>
                </c:pt>
                <c:pt idx="223">
                  <c:v>41487</c:v>
                </c:pt>
                <c:pt idx="224">
                  <c:v>41518</c:v>
                </c:pt>
                <c:pt idx="225">
                  <c:v>41548</c:v>
                </c:pt>
                <c:pt idx="226">
                  <c:v>41579</c:v>
                </c:pt>
                <c:pt idx="227">
                  <c:v>41609</c:v>
                </c:pt>
                <c:pt idx="228">
                  <c:v>41640</c:v>
                </c:pt>
              </c:numCache>
            </c:numRef>
          </c:cat>
          <c:val>
            <c:numRef>
              <c:f>'House Price'!$C$4:$C$232</c:f>
              <c:numCache>
                <c:formatCode>"£"#,##0</c:formatCode>
                <c:ptCount val="229"/>
                <c:pt idx="0">
                  <c:v>52026.214467024402</c:v>
                </c:pt>
                <c:pt idx="1">
                  <c:v>52344.781659274602</c:v>
                </c:pt>
                <c:pt idx="2">
                  <c:v>48835.347281968003</c:v>
                </c:pt>
                <c:pt idx="3">
                  <c:v>48041.546053145612</c:v>
                </c:pt>
                <c:pt idx="4">
                  <c:v>47552.524860559584</c:v>
                </c:pt>
                <c:pt idx="5">
                  <c:v>52470.883772772402</c:v>
                </c:pt>
                <c:pt idx="6">
                  <c:v>46842.971748980584</c:v>
                </c:pt>
                <c:pt idx="7">
                  <c:v>47713.543411386403</c:v>
                </c:pt>
                <c:pt idx="8">
                  <c:v>47968.378196300007</c:v>
                </c:pt>
                <c:pt idx="9">
                  <c:v>46749.538583611575</c:v>
                </c:pt>
                <c:pt idx="10">
                  <c:v>43424.914129855199</c:v>
                </c:pt>
                <c:pt idx="11">
                  <c:v>44965.611934796412</c:v>
                </c:pt>
                <c:pt idx="12">
                  <c:v>48047.286793608502</c:v>
                </c:pt>
                <c:pt idx="13">
                  <c:v>47384.069203295403</c:v>
                </c:pt>
                <c:pt idx="14">
                  <c:v>45241.608119543002</c:v>
                </c:pt>
                <c:pt idx="15">
                  <c:v>43762.216275077611</c:v>
                </c:pt>
                <c:pt idx="16">
                  <c:v>44664.708623659186</c:v>
                </c:pt>
                <c:pt idx="17">
                  <c:v>45204.277242869197</c:v>
                </c:pt>
                <c:pt idx="18">
                  <c:v>43667.381113025811</c:v>
                </c:pt>
                <c:pt idx="19">
                  <c:v>44011.175240595585</c:v>
                </c:pt>
                <c:pt idx="20">
                  <c:v>43082.9668641807</c:v>
                </c:pt>
                <c:pt idx="21">
                  <c:v>47068.592620034484</c:v>
                </c:pt>
                <c:pt idx="22">
                  <c:v>45180.009992568775</c:v>
                </c:pt>
                <c:pt idx="23">
                  <c:v>44885.104058542303</c:v>
                </c:pt>
                <c:pt idx="24">
                  <c:v>43011.459726696201</c:v>
                </c:pt>
                <c:pt idx="25">
                  <c:v>46514.270936125002</c:v>
                </c:pt>
                <c:pt idx="26">
                  <c:v>44071.746854280602</c:v>
                </c:pt>
                <c:pt idx="27">
                  <c:v>44230.591253197301</c:v>
                </c:pt>
                <c:pt idx="28">
                  <c:v>42602.292719300276</c:v>
                </c:pt>
                <c:pt idx="29">
                  <c:v>42917.250848581585</c:v>
                </c:pt>
                <c:pt idx="30">
                  <c:v>44207.144846089912</c:v>
                </c:pt>
                <c:pt idx="31">
                  <c:v>44015.575626017984</c:v>
                </c:pt>
                <c:pt idx="32">
                  <c:v>43213.929638858812</c:v>
                </c:pt>
                <c:pt idx="33">
                  <c:v>44602.388203373484</c:v>
                </c:pt>
                <c:pt idx="34">
                  <c:v>43498.466402360988</c:v>
                </c:pt>
                <c:pt idx="35">
                  <c:v>44601.268359563357</c:v>
                </c:pt>
                <c:pt idx="36">
                  <c:v>44090.801193800988</c:v>
                </c:pt>
                <c:pt idx="37">
                  <c:v>46016.784262980997</c:v>
                </c:pt>
                <c:pt idx="38">
                  <c:v>46642.720220390402</c:v>
                </c:pt>
                <c:pt idx="39">
                  <c:v>43527.968021984903</c:v>
                </c:pt>
                <c:pt idx="40">
                  <c:v>44932.415117398799</c:v>
                </c:pt>
                <c:pt idx="41">
                  <c:v>42695.728301800184</c:v>
                </c:pt>
                <c:pt idx="42">
                  <c:v>45579.615771544595</c:v>
                </c:pt>
                <c:pt idx="43">
                  <c:v>43112.741052977675</c:v>
                </c:pt>
                <c:pt idx="44">
                  <c:v>42797.060276005301</c:v>
                </c:pt>
                <c:pt idx="45">
                  <c:v>43256.743962294102</c:v>
                </c:pt>
                <c:pt idx="46">
                  <c:v>43059.1622111018</c:v>
                </c:pt>
                <c:pt idx="47">
                  <c:v>43008.621483412397</c:v>
                </c:pt>
                <c:pt idx="48">
                  <c:v>42628.819906745011</c:v>
                </c:pt>
                <c:pt idx="49">
                  <c:v>43014.309765221784</c:v>
                </c:pt>
                <c:pt idx="50">
                  <c:v>41925.529628532997</c:v>
                </c:pt>
                <c:pt idx="51">
                  <c:v>45022.660867580635</c:v>
                </c:pt>
                <c:pt idx="52">
                  <c:v>43589.708469702586</c:v>
                </c:pt>
                <c:pt idx="53">
                  <c:v>42763.607612047199</c:v>
                </c:pt>
                <c:pt idx="54">
                  <c:v>40746.6938334886</c:v>
                </c:pt>
                <c:pt idx="55">
                  <c:v>42816.411144333186</c:v>
                </c:pt>
                <c:pt idx="56">
                  <c:v>39996.500923358202</c:v>
                </c:pt>
                <c:pt idx="57">
                  <c:v>41014.286986867584</c:v>
                </c:pt>
                <c:pt idx="58">
                  <c:v>41758.305728827385</c:v>
                </c:pt>
                <c:pt idx="59">
                  <c:v>40631.626567121501</c:v>
                </c:pt>
                <c:pt idx="60">
                  <c:v>40628.194166415175</c:v>
                </c:pt>
                <c:pt idx="61">
                  <c:v>40601.881036270643</c:v>
                </c:pt>
                <c:pt idx="62">
                  <c:v>42509.510032615675</c:v>
                </c:pt>
                <c:pt idx="63">
                  <c:v>42467.090676366111</c:v>
                </c:pt>
                <c:pt idx="64">
                  <c:v>42833.771505649187</c:v>
                </c:pt>
                <c:pt idx="65">
                  <c:v>42059.460239868313</c:v>
                </c:pt>
                <c:pt idx="66">
                  <c:v>41701.413988958011</c:v>
                </c:pt>
                <c:pt idx="67">
                  <c:v>40570.296583532574</c:v>
                </c:pt>
                <c:pt idx="68">
                  <c:v>41642.4762036104</c:v>
                </c:pt>
                <c:pt idx="69">
                  <c:v>41576.042366079411</c:v>
                </c:pt>
                <c:pt idx="70">
                  <c:v>43565.9236055449</c:v>
                </c:pt>
                <c:pt idx="71">
                  <c:v>42163.708076207513</c:v>
                </c:pt>
                <c:pt idx="72">
                  <c:v>41209.4207757685</c:v>
                </c:pt>
                <c:pt idx="73">
                  <c:v>41709.616987304813</c:v>
                </c:pt>
                <c:pt idx="74">
                  <c:v>42175.076980386802</c:v>
                </c:pt>
                <c:pt idx="75">
                  <c:v>42671.673118145402</c:v>
                </c:pt>
                <c:pt idx="76">
                  <c:v>43831.454010922876</c:v>
                </c:pt>
                <c:pt idx="77">
                  <c:v>42703.477581892912</c:v>
                </c:pt>
                <c:pt idx="78">
                  <c:v>42793.801333735595</c:v>
                </c:pt>
                <c:pt idx="79">
                  <c:v>43926.189633165275</c:v>
                </c:pt>
                <c:pt idx="80">
                  <c:v>44356.315021289112</c:v>
                </c:pt>
                <c:pt idx="81">
                  <c:v>45121.912995624203</c:v>
                </c:pt>
                <c:pt idx="82">
                  <c:v>44426.904200715588</c:v>
                </c:pt>
                <c:pt idx="83">
                  <c:v>47474.576218041613</c:v>
                </c:pt>
                <c:pt idx="84">
                  <c:v>45357.605582443597</c:v>
                </c:pt>
                <c:pt idx="85">
                  <c:v>46347.167944380257</c:v>
                </c:pt>
                <c:pt idx="86">
                  <c:v>47155.627277637075</c:v>
                </c:pt>
                <c:pt idx="87">
                  <c:v>46987.139999089195</c:v>
                </c:pt>
                <c:pt idx="88">
                  <c:v>50078.072975810901</c:v>
                </c:pt>
                <c:pt idx="89">
                  <c:v>48416.574156388946</c:v>
                </c:pt>
                <c:pt idx="90">
                  <c:v>52008.579790191186</c:v>
                </c:pt>
                <c:pt idx="91">
                  <c:v>54159.197019455198</c:v>
                </c:pt>
                <c:pt idx="92">
                  <c:v>51936.386210611112</c:v>
                </c:pt>
                <c:pt idx="93">
                  <c:v>53504.247521086676</c:v>
                </c:pt>
                <c:pt idx="94">
                  <c:v>55936.027291402599</c:v>
                </c:pt>
                <c:pt idx="95">
                  <c:v>55015.636454314103</c:v>
                </c:pt>
                <c:pt idx="96">
                  <c:v>56597.964597720311</c:v>
                </c:pt>
                <c:pt idx="97">
                  <c:v>58304.917452870599</c:v>
                </c:pt>
                <c:pt idx="98">
                  <c:v>60562.6476491793</c:v>
                </c:pt>
                <c:pt idx="99">
                  <c:v>59261.610468384912</c:v>
                </c:pt>
                <c:pt idx="100">
                  <c:v>62554.514983046203</c:v>
                </c:pt>
                <c:pt idx="101">
                  <c:v>64348.183502586784</c:v>
                </c:pt>
                <c:pt idx="102">
                  <c:v>65275.909767085475</c:v>
                </c:pt>
                <c:pt idx="103">
                  <c:v>65524.617610148976</c:v>
                </c:pt>
                <c:pt idx="104">
                  <c:v>67269.108241368973</c:v>
                </c:pt>
                <c:pt idx="105">
                  <c:v>70518.231341626379</c:v>
                </c:pt>
                <c:pt idx="106">
                  <c:v>69392.494064639206</c:v>
                </c:pt>
                <c:pt idx="107">
                  <c:v>73348.120199166806</c:v>
                </c:pt>
                <c:pt idx="108">
                  <c:v>72794.2261666454</c:v>
                </c:pt>
                <c:pt idx="109">
                  <c:v>77378.460712334025</c:v>
                </c:pt>
                <c:pt idx="110">
                  <c:v>74717.524571829068</c:v>
                </c:pt>
                <c:pt idx="111">
                  <c:v>76586.804781749306</c:v>
                </c:pt>
                <c:pt idx="112">
                  <c:v>81622.805469064624</c:v>
                </c:pt>
                <c:pt idx="113">
                  <c:v>83159.866451715992</c:v>
                </c:pt>
                <c:pt idx="114">
                  <c:v>84271.875262292087</c:v>
                </c:pt>
                <c:pt idx="115">
                  <c:v>83502.081623524005</c:v>
                </c:pt>
                <c:pt idx="116">
                  <c:v>86470.466551913865</c:v>
                </c:pt>
                <c:pt idx="117">
                  <c:v>85948.574180842057</c:v>
                </c:pt>
                <c:pt idx="118">
                  <c:v>88436.6530430946</c:v>
                </c:pt>
                <c:pt idx="119">
                  <c:v>85065.366495918104</c:v>
                </c:pt>
                <c:pt idx="120">
                  <c:v>89126.119291672338</c:v>
                </c:pt>
                <c:pt idx="121">
                  <c:v>86772.551416126706</c:v>
                </c:pt>
                <c:pt idx="122">
                  <c:v>87319.932913318378</c:v>
                </c:pt>
                <c:pt idx="123">
                  <c:v>89704.658842764722</c:v>
                </c:pt>
                <c:pt idx="124">
                  <c:v>90126.021700851037</c:v>
                </c:pt>
                <c:pt idx="125">
                  <c:v>88934.603991837823</c:v>
                </c:pt>
                <c:pt idx="126">
                  <c:v>94344.931021353099</c:v>
                </c:pt>
                <c:pt idx="127">
                  <c:v>91921.785394170103</c:v>
                </c:pt>
                <c:pt idx="128">
                  <c:v>89842.663355467303</c:v>
                </c:pt>
                <c:pt idx="129">
                  <c:v>93024.6571381924</c:v>
                </c:pt>
                <c:pt idx="130">
                  <c:v>91751.523944727</c:v>
                </c:pt>
                <c:pt idx="131">
                  <c:v>92054.9957581778</c:v>
                </c:pt>
                <c:pt idx="132">
                  <c:v>90299.302147778391</c:v>
                </c:pt>
                <c:pt idx="133">
                  <c:v>91586.006909276373</c:v>
                </c:pt>
                <c:pt idx="134">
                  <c:v>92278.112682691499</c:v>
                </c:pt>
                <c:pt idx="135">
                  <c:v>95211.943497148968</c:v>
                </c:pt>
                <c:pt idx="136">
                  <c:v>95573.617328796157</c:v>
                </c:pt>
                <c:pt idx="137">
                  <c:v>96844.327391769548</c:v>
                </c:pt>
                <c:pt idx="138">
                  <c:v>94096.985360759907</c:v>
                </c:pt>
                <c:pt idx="139">
                  <c:v>96388.979249057302</c:v>
                </c:pt>
                <c:pt idx="140">
                  <c:v>100010.692815975</c:v>
                </c:pt>
                <c:pt idx="141">
                  <c:v>97669.499458828825</c:v>
                </c:pt>
                <c:pt idx="142">
                  <c:v>100281.68116796046</c:v>
                </c:pt>
                <c:pt idx="143">
                  <c:v>100647.519642421</c:v>
                </c:pt>
                <c:pt idx="144">
                  <c:v>101931.88934585702</c:v>
                </c:pt>
                <c:pt idx="145">
                  <c:v>98300.541774755606</c:v>
                </c:pt>
                <c:pt idx="146">
                  <c:v>101719.26033192191</c:v>
                </c:pt>
                <c:pt idx="147">
                  <c:v>102377.031514663</c:v>
                </c:pt>
                <c:pt idx="148">
                  <c:v>103906.567936868</c:v>
                </c:pt>
                <c:pt idx="149">
                  <c:v>102260.551741221</c:v>
                </c:pt>
                <c:pt idx="150">
                  <c:v>105441.07516923854</c:v>
                </c:pt>
                <c:pt idx="151">
                  <c:v>105476.99930808</c:v>
                </c:pt>
                <c:pt idx="152">
                  <c:v>105368.414470911</c:v>
                </c:pt>
                <c:pt idx="153">
                  <c:v>107681.78964856802</c:v>
                </c:pt>
                <c:pt idx="154">
                  <c:v>104433.23426276502</c:v>
                </c:pt>
                <c:pt idx="155">
                  <c:v>105546.82260085802</c:v>
                </c:pt>
                <c:pt idx="156">
                  <c:v>109426.17342722129</c:v>
                </c:pt>
                <c:pt idx="157">
                  <c:v>106023.27407288302</c:v>
                </c:pt>
                <c:pt idx="158">
                  <c:v>100684.888547839</c:v>
                </c:pt>
                <c:pt idx="159">
                  <c:v>103752.39051452599</c:v>
                </c:pt>
                <c:pt idx="160">
                  <c:v>106149.01136990802</c:v>
                </c:pt>
                <c:pt idx="161">
                  <c:v>101739.15825666828</c:v>
                </c:pt>
                <c:pt idx="162">
                  <c:v>105283.07091131502</c:v>
                </c:pt>
                <c:pt idx="163">
                  <c:v>98077.463175170444</c:v>
                </c:pt>
                <c:pt idx="164">
                  <c:v>98272.678424765589</c:v>
                </c:pt>
                <c:pt idx="165">
                  <c:v>101652.876654226</c:v>
                </c:pt>
                <c:pt idx="166">
                  <c:v>108370.08364959899</c:v>
                </c:pt>
                <c:pt idx="167">
                  <c:v>89589.172841997468</c:v>
                </c:pt>
                <c:pt idx="168">
                  <c:v>90743.241555516055</c:v>
                </c:pt>
                <c:pt idx="169">
                  <c:v>92755.672405214107</c:v>
                </c:pt>
                <c:pt idx="170">
                  <c:v>88656.328442678423</c:v>
                </c:pt>
                <c:pt idx="171">
                  <c:v>92974.626788225403</c:v>
                </c:pt>
                <c:pt idx="172">
                  <c:v>89483.805474569468</c:v>
                </c:pt>
                <c:pt idx="173">
                  <c:v>89119.354787146702</c:v>
                </c:pt>
                <c:pt idx="174">
                  <c:v>89909.989700528997</c:v>
                </c:pt>
                <c:pt idx="175">
                  <c:v>90259.48633848739</c:v>
                </c:pt>
                <c:pt idx="176">
                  <c:v>87080.075092016807</c:v>
                </c:pt>
                <c:pt idx="177">
                  <c:v>90227.3636601506</c:v>
                </c:pt>
                <c:pt idx="178">
                  <c:v>88739.871667789368</c:v>
                </c:pt>
                <c:pt idx="179">
                  <c:v>91101.691285196372</c:v>
                </c:pt>
                <c:pt idx="180">
                  <c:v>85006.909254252198</c:v>
                </c:pt>
                <c:pt idx="181">
                  <c:v>94788.668683454307</c:v>
                </c:pt>
                <c:pt idx="182">
                  <c:v>95684.972111924668</c:v>
                </c:pt>
                <c:pt idx="183">
                  <c:v>92202.151126592013</c:v>
                </c:pt>
                <c:pt idx="184">
                  <c:v>85950.297129814906</c:v>
                </c:pt>
                <c:pt idx="185">
                  <c:v>90924.164080816801</c:v>
                </c:pt>
                <c:pt idx="186">
                  <c:v>91400.42328981738</c:v>
                </c:pt>
                <c:pt idx="187">
                  <c:v>94713.062707660298</c:v>
                </c:pt>
                <c:pt idx="188">
                  <c:v>93717.760722282401</c:v>
                </c:pt>
                <c:pt idx="189">
                  <c:v>87402.639204623323</c:v>
                </c:pt>
                <c:pt idx="190">
                  <c:v>88582.670471929698</c:v>
                </c:pt>
                <c:pt idx="191">
                  <c:v>83863.968586530449</c:v>
                </c:pt>
                <c:pt idx="192">
                  <c:v>78622.481674213748</c:v>
                </c:pt>
                <c:pt idx="193">
                  <c:v>84537.450740725995</c:v>
                </c:pt>
                <c:pt idx="194">
                  <c:v>86849.911211214378</c:v>
                </c:pt>
                <c:pt idx="195">
                  <c:v>86447.460775493208</c:v>
                </c:pt>
                <c:pt idx="196">
                  <c:v>86740.332865455508</c:v>
                </c:pt>
                <c:pt idx="197">
                  <c:v>82269.259071380802</c:v>
                </c:pt>
                <c:pt idx="198">
                  <c:v>84957.32676289542</c:v>
                </c:pt>
                <c:pt idx="199">
                  <c:v>83754.616877919034</c:v>
                </c:pt>
                <c:pt idx="200">
                  <c:v>83162.166069123399</c:v>
                </c:pt>
                <c:pt idx="201">
                  <c:v>89851.951976650438</c:v>
                </c:pt>
                <c:pt idx="202">
                  <c:v>86137.372566187827</c:v>
                </c:pt>
                <c:pt idx="203">
                  <c:v>76876.1862826672</c:v>
                </c:pt>
                <c:pt idx="204">
                  <c:v>85423.576857268999</c:v>
                </c:pt>
                <c:pt idx="205">
                  <c:v>81416.325604132027</c:v>
                </c:pt>
                <c:pt idx="206">
                  <c:v>76079.085016151657</c:v>
                </c:pt>
                <c:pt idx="207">
                  <c:v>77644.608584746602</c:v>
                </c:pt>
                <c:pt idx="208">
                  <c:v>80004.103916244407</c:v>
                </c:pt>
                <c:pt idx="209">
                  <c:v>85862.302404147005</c:v>
                </c:pt>
                <c:pt idx="210">
                  <c:v>80218.288000864603</c:v>
                </c:pt>
                <c:pt idx="211">
                  <c:v>82040.021542298506</c:v>
                </c:pt>
                <c:pt idx="212">
                  <c:v>76069.121957245006</c:v>
                </c:pt>
                <c:pt idx="213">
                  <c:v>74420.793653041808</c:v>
                </c:pt>
                <c:pt idx="214">
                  <c:v>79951.892575902253</c:v>
                </c:pt>
                <c:pt idx="215">
                  <c:v>76654.550437671205</c:v>
                </c:pt>
                <c:pt idx="216">
                  <c:v>75184.488357347393</c:v>
                </c:pt>
                <c:pt idx="217">
                  <c:v>82108.800041371738</c:v>
                </c:pt>
                <c:pt idx="218">
                  <c:v>82859.864261545023</c:v>
                </c:pt>
                <c:pt idx="219">
                  <c:v>78607.2147951816</c:v>
                </c:pt>
                <c:pt idx="220">
                  <c:v>78394.963212378338</c:v>
                </c:pt>
                <c:pt idx="221">
                  <c:v>78951.146479515999</c:v>
                </c:pt>
                <c:pt idx="222">
                  <c:v>81704.057712345457</c:v>
                </c:pt>
                <c:pt idx="223">
                  <c:v>81567.601579889568</c:v>
                </c:pt>
                <c:pt idx="224">
                  <c:v>80877.538029289804</c:v>
                </c:pt>
                <c:pt idx="225">
                  <c:v>83737.319670755387</c:v>
                </c:pt>
                <c:pt idx="226">
                  <c:v>80198.030049390101</c:v>
                </c:pt>
                <c:pt idx="227">
                  <c:v>77077.789749396397</c:v>
                </c:pt>
                <c:pt idx="228">
                  <c:v>75821.851432822325</c:v>
                </c:pt>
              </c:numCache>
            </c:numRef>
          </c:val>
          <c:smooth val="1"/>
        </c:ser>
        <c:ser>
          <c:idx val="2"/>
          <c:order val="2"/>
          <c:tx>
            <c:strRef>
              <c:f>'House Price'!$D$3</c:f>
              <c:strCache>
                <c:ptCount val="1"/>
                <c:pt idx="0">
                  <c:v>North Lincolnshire</c:v>
                </c:pt>
              </c:strCache>
            </c:strRef>
          </c:tx>
          <c:marker>
            <c:symbol val="none"/>
          </c:marker>
          <c:cat>
            <c:numRef>
              <c:f>'House Price'!$A$4:$A$232</c:f>
              <c:numCache>
                <c:formatCode>mmm\-yyyy</c:formatCode>
                <c:ptCount val="229"/>
                <c:pt idx="0">
                  <c:v>34700</c:v>
                </c:pt>
                <c:pt idx="1">
                  <c:v>34731</c:v>
                </c:pt>
                <c:pt idx="2">
                  <c:v>34759</c:v>
                </c:pt>
                <c:pt idx="3">
                  <c:v>34790</c:v>
                </c:pt>
                <c:pt idx="4">
                  <c:v>34820</c:v>
                </c:pt>
                <c:pt idx="5">
                  <c:v>34851</c:v>
                </c:pt>
                <c:pt idx="6">
                  <c:v>34881</c:v>
                </c:pt>
                <c:pt idx="7">
                  <c:v>34912</c:v>
                </c:pt>
                <c:pt idx="8">
                  <c:v>34943</c:v>
                </c:pt>
                <c:pt idx="9">
                  <c:v>34973</c:v>
                </c:pt>
                <c:pt idx="10">
                  <c:v>35004</c:v>
                </c:pt>
                <c:pt idx="11">
                  <c:v>35034</c:v>
                </c:pt>
                <c:pt idx="12">
                  <c:v>35065</c:v>
                </c:pt>
                <c:pt idx="13">
                  <c:v>35096</c:v>
                </c:pt>
                <c:pt idx="14">
                  <c:v>35125</c:v>
                </c:pt>
                <c:pt idx="15">
                  <c:v>35156</c:v>
                </c:pt>
                <c:pt idx="16">
                  <c:v>35186</c:v>
                </c:pt>
                <c:pt idx="17">
                  <c:v>35217</c:v>
                </c:pt>
                <c:pt idx="18">
                  <c:v>35247</c:v>
                </c:pt>
                <c:pt idx="19">
                  <c:v>35278</c:v>
                </c:pt>
                <c:pt idx="20">
                  <c:v>35309</c:v>
                </c:pt>
                <c:pt idx="21">
                  <c:v>35339</c:v>
                </c:pt>
                <c:pt idx="22">
                  <c:v>35370</c:v>
                </c:pt>
                <c:pt idx="23">
                  <c:v>35400</c:v>
                </c:pt>
                <c:pt idx="24">
                  <c:v>35431</c:v>
                </c:pt>
                <c:pt idx="25">
                  <c:v>35462</c:v>
                </c:pt>
                <c:pt idx="26">
                  <c:v>35490</c:v>
                </c:pt>
                <c:pt idx="27">
                  <c:v>35521</c:v>
                </c:pt>
                <c:pt idx="28">
                  <c:v>35551</c:v>
                </c:pt>
                <c:pt idx="29">
                  <c:v>35582</c:v>
                </c:pt>
                <c:pt idx="30">
                  <c:v>35612</c:v>
                </c:pt>
                <c:pt idx="31">
                  <c:v>35643</c:v>
                </c:pt>
                <c:pt idx="32">
                  <c:v>35674</c:v>
                </c:pt>
                <c:pt idx="33">
                  <c:v>35704</c:v>
                </c:pt>
                <c:pt idx="34">
                  <c:v>35735</c:v>
                </c:pt>
                <c:pt idx="35">
                  <c:v>35765</c:v>
                </c:pt>
                <c:pt idx="36">
                  <c:v>35796</c:v>
                </c:pt>
                <c:pt idx="37">
                  <c:v>35827</c:v>
                </c:pt>
                <c:pt idx="38">
                  <c:v>35855</c:v>
                </c:pt>
                <c:pt idx="39">
                  <c:v>35886</c:v>
                </c:pt>
                <c:pt idx="40">
                  <c:v>35916</c:v>
                </c:pt>
                <c:pt idx="41">
                  <c:v>35947</c:v>
                </c:pt>
                <c:pt idx="42">
                  <c:v>35977</c:v>
                </c:pt>
                <c:pt idx="43">
                  <c:v>36008</c:v>
                </c:pt>
                <c:pt idx="44">
                  <c:v>36039</c:v>
                </c:pt>
                <c:pt idx="45">
                  <c:v>36069</c:v>
                </c:pt>
                <c:pt idx="46">
                  <c:v>36100</c:v>
                </c:pt>
                <c:pt idx="47">
                  <c:v>36130</c:v>
                </c:pt>
                <c:pt idx="48">
                  <c:v>36161</c:v>
                </c:pt>
                <c:pt idx="49">
                  <c:v>36192</c:v>
                </c:pt>
                <c:pt idx="50">
                  <c:v>36220</c:v>
                </c:pt>
                <c:pt idx="51">
                  <c:v>36251</c:v>
                </c:pt>
                <c:pt idx="52">
                  <c:v>36281</c:v>
                </c:pt>
                <c:pt idx="53">
                  <c:v>36312</c:v>
                </c:pt>
                <c:pt idx="54">
                  <c:v>36342</c:v>
                </c:pt>
                <c:pt idx="55">
                  <c:v>36373</c:v>
                </c:pt>
                <c:pt idx="56">
                  <c:v>36404</c:v>
                </c:pt>
                <c:pt idx="57">
                  <c:v>36434</c:v>
                </c:pt>
                <c:pt idx="58">
                  <c:v>36465</c:v>
                </c:pt>
                <c:pt idx="59">
                  <c:v>36495</c:v>
                </c:pt>
                <c:pt idx="60">
                  <c:v>36526</c:v>
                </c:pt>
                <c:pt idx="61">
                  <c:v>36557</c:v>
                </c:pt>
                <c:pt idx="62">
                  <c:v>36586</c:v>
                </c:pt>
                <c:pt idx="63">
                  <c:v>36617</c:v>
                </c:pt>
                <c:pt idx="64">
                  <c:v>36647</c:v>
                </c:pt>
                <c:pt idx="65">
                  <c:v>36678</c:v>
                </c:pt>
                <c:pt idx="66">
                  <c:v>36708</c:v>
                </c:pt>
                <c:pt idx="67">
                  <c:v>36739</c:v>
                </c:pt>
                <c:pt idx="68">
                  <c:v>36770</c:v>
                </c:pt>
                <c:pt idx="69">
                  <c:v>36800</c:v>
                </c:pt>
                <c:pt idx="70">
                  <c:v>36831</c:v>
                </c:pt>
                <c:pt idx="71">
                  <c:v>36861</c:v>
                </c:pt>
                <c:pt idx="72">
                  <c:v>36892</c:v>
                </c:pt>
                <c:pt idx="73">
                  <c:v>36923</c:v>
                </c:pt>
                <c:pt idx="74">
                  <c:v>36951</c:v>
                </c:pt>
                <c:pt idx="75">
                  <c:v>36982</c:v>
                </c:pt>
                <c:pt idx="76">
                  <c:v>37012</c:v>
                </c:pt>
                <c:pt idx="77">
                  <c:v>37043</c:v>
                </c:pt>
                <c:pt idx="78">
                  <c:v>37073</c:v>
                </c:pt>
                <c:pt idx="79">
                  <c:v>37104</c:v>
                </c:pt>
                <c:pt idx="80">
                  <c:v>37135</c:v>
                </c:pt>
                <c:pt idx="81">
                  <c:v>37165</c:v>
                </c:pt>
                <c:pt idx="82">
                  <c:v>37196</c:v>
                </c:pt>
                <c:pt idx="83">
                  <c:v>37226</c:v>
                </c:pt>
                <c:pt idx="84">
                  <c:v>37257</c:v>
                </c:pt>
                <c:pt idx="85">
                  <c:v>37288</c:v>
                </c:pt>
                <c:pt idx="86">
                  <c:v>37316</c:v>
                </c:pt>
                <c:pt idx="87">
                  <c:v>37347</c:v>
                </c:pt>
                <c:pt idx="88">
                  <c:v>37377</c:v>
                </c:pt>
                <c:pt idx="89">
                  <c:v>37408</c:v>
                </c:pt>
                <c:pt idx="90">
                  <c:v>37438</c:v>
                </c:pt>
                <c:pt idx="91">
                  <c:v>37469</c:v>
                </c:pt>
                <c:pt idx="92">
                  <c:v>37500</c:v>
                </c:pt>
                <c:pt idx="93">
                  <c:v>37530</c:v>
                </c:pt>
                <c:pt idx="94">
                  <c:v>37561</c:v>
                </c:pt>
                <c:pt idx="95">
                  <c:v>37591</c:v>
                </c:pt>
                <c:pt idx="96">
                  <c:v>37622</c:v>
                </c:pt>
                <c:pt idx="97">
                  <c:v>37653</c:v>
                </c:pt>
                <c:pt idx="98">
                  <c:v>37681</c:v>
                </c:pt>
                <c:pt idx="99">
                  <c:v>37712</c:v>
                </c:pt>
                <c:pt idx="100">
                  <c:v>37742</c:v>
                </c:pt>
                <c:pt idx="101">
                  <c:v>37773</c:v>
                </c:pt>
                <c:pt idx="102">
                  <c:v>37803</c:v>
                </c:pt>
                <c:pt idx="103">
                  <c:v>37834</c:v>
                </c:pt>
                <c:pt idx="104">
                  <c:v>37865</c:v>
                </c:pt>
                <c:pt idx="105">
                  <c:v>37895</c:v>
                </c:pt>
                <c:pt idx="106">
                  <c:v>37926</c:v>
                </c:pt>
                <c:pt idx="107">
                  <c:v>37956</c:v>
                </c:pt>
                <c:pt idx="108">
                  <c:v>37987</c:v>
                </c:pt>
                <c:pt idx="109">
                  <c:v>38018</c:v>
                </c:pt>
                <c:pt idx="110">
                  <c:v>38047</c:v>
                </c:pt>
                <c:pt idx="111">
                  <c:v>38078</c:v>
                </c:pt>
                <c:pt idx="112">
                  <c:v>38108</c:v>
                </c:pt>
                <c:pt idx="113">
                  <c:v>38139</c:v>
                </c:pt>
                <c:pt idx="114">
                  <c:v>38169</c:v>
                </c:pt>
                <c:pt idx="115">
                  <c:v>38200</c:v>
                </c:pt>
                <c:pt idx="116">
                  <c:v>38231</c:v>
                </c:pt>
                <c:pt idx="117">
                  <c:v>38261</c:v>
                </c:pt>
                <c:pt idx="118">
                  <c:v>38292</c:v>
                </c:pt>
                <c:pt idx="119">
                  <c:v>38322</c:v>
                </c:pt>
                <c:pt idx="120">
                  <c:v>38353</c:v>
                </c:pt>
                <c:pt idx="121">
                  <c:v>38384</c:v>
                </c:pt>
                <c:pt idx="122">
                  <c:v>38412</c:v>
                </c:pt>
                <c:pt idx="123">
                  <c:v>38443</c:v>
                </c:pt>
                <c:pt idx="124">
                  <c:v>38473</c:v>
                </c:pt>
                <c:pt idx="125">
                  <c:v>38504</c:v>
                </c:pt>
                <c:pt idx="126">
                  <c:v>38534</c:v>
                </c:pt>
                <c:pt idx="127">
                  <c:v>38565</c:v>
                </c:pt>
                <c:pt idx="128">
                  <c:v>38596</c:v>
                </c:pt>
                <c:pt idx="129">
                  <c:v>38626</c:v>
                </c:pt>
                <c:pt idx="130">
                  <c:v>38657</c:v>
                </c:pt>
                <c:pt idx="131">
                  <c:v>38687</c:v>
                </c:pt>
                <c:pt idx="132">
                  <c:v>38718</c:v>
                </c:pt>
                <c:pt idx="133">
                  <c:v>38749</c:v>
                </c:pt>
                <c:pt idx="134">
                  <c:v>38777</c:v>
                </c:pt>
                <c:pt idx="135">
                  <c:v>38808</c:v>
                </c:pt>
                <c:pt idx="136">
                  <c:v>38838</c:v>
                </c:pt>
                <c:pt idx="137">
                  <c:v>38869</c:v>
                </c:pt>
                <c:pt idx="138">
                  <c:v>38899</c:v>
                </c:pt>
                <c:pt idx="139">
                  <c:v>38930</c:v>
                </c:pt>
                <c:pt idx="140">
                  <c:v>38961</c:v>
                </c:pt>
                <c:pt idx="141">
                  <c:v>38991</c:v>
                </c:pt>
                <c:pt idx="142">
                  <c:v>39022</c:v>
                </c:pt>
                <c:pt idx="143">
                  <c:v>39052</c:v>
                </c:pt>
                <c:pt idx="144">
                  <c:v>39083</c:v>
                </c:pt>
                <c:pt idx="145">
                  <c:v>39114</c:v>
                </c:pt>
                <c:pt idx="146">
                  <c:v>39142</c:v>
                </c:pt>
                <c:pt idx="147">
                  <c:v>39173</c:v>
                </c:pt>
                <c:pt idx="148">
                  <c:v>39203</c:v>
                </c:pt>
                <c:pt idx="149">
                  <c:v>39234</c:v>
                </c:pt>
                <c:pt idx="150">
                  <c:v>39264</c:v>
                </c:pt>
                <c:pt idx="151">
                  <c:v>39295</c:v>
                </c:pt>
                <c:pt idx="152">
                  <c:v>39326</c:v>
                </c:pt>
                <c:pt idx="153">
                  <c:v>39356</c:v>
                </c:pt>
                <c:pt idx="154">
                  <c:v>39387</c:v>
                </c:pt>
                <c:pt idx="155">
                  <c:v>39417</c:v>
                </c:pt>
                <c:pt idx="156">
                  <c:v>39448</c:v>
                </c:pt>
                <c:pt idx="157">
                  <c:v>39479</c:v>
                </c:pt>
                <c:pt idx="158">
                  <c:v>39508</c:v>
                </c:pt>
                <c:pt idx="159">
                  <c:v>39539</c:v>
                </c:pt>
                <c:pt idx="160">
                  <c:v>39569</c:v>
                </c:pt>
                <c:pt idx="161">
                  <c:v>39600</c:v>
                </c:pt>
                <c:pt idx="162">
                  <c:v>39630</c:v>
                </c:pt>
                <c:pt idx="163">
                  <c:v>39661</c:v>
                </c:pt>
                <c:pt idx="164">
                  <c:v>39692</c:v>
                </c:pt>
                <c:pt idx="165">
                  <c:v>39722</c:v>
                </c:pt>
                <c:pt idx="166">
                  <c:v>39753</c:v>
                </c:pt>
                <c:pt idx="167">
                  <c:v>39783</c:v>
                </c:pt>
                <c:pt idx="168">
                  <c:v>39814</c:v>
                </c:pt>
                <c:pt idx="169">
                  <c:v>39845</c:v>
                </c:pt>
                <c:pt idx="170">
                  <c:v>39873</c:v>
                </c:pt>
                <c:pt idx="171">
                  <c:v>39904</c:v>
                </c:pt>
                <c:pt idx="172">
                  <c:v>39934</c:v>
                </c:pt>
                <c:pt idx="173">
                  <c:v>39965</c:v>
                </c:pt>
                <c:pt idx="174">
                  <c:v>39995</c:v>
                </c:pt>
                <c:pt idx="175">
                  <c:v>40026</c:v>
                </c:pt>
                <c:pt idx="176">
                  <c:v>40057</c:v>
                </c:pt>
                <c:pt idx="177">
                  <c:v>40087</c:v>
                </c:pt>
                <c:pt idx="178">
                  <c:v>40118</c:v>
                </c:pt>
                <c:pt idx="179">
                  <c:v>40148</c:v>
                </c:pt>
                <c:pt idx="180">
                  <c:v>40179</c:v>
                </c:pt>
                <c:pt idx="181">
                  <c:v>40210</c:v>
                </c:pt>
                <c:pt idx="182">
                  <c:v>40238</c:v>
                </c:pt>
                <c:pt idx="183">
                  <c:v>40269</c:v>
                </c:pt>
                <c:pt idx="184">
                  <c:v>40299</c:v>
                </c:pt>
                <c:pt idx="185">
                  <c:v>40330</c:v>
                </c:pt>
                <c:pt idx="186">
                  <c:v>40360</c:v>
                </c:pt>
                <c:pt idx="187">
                  <c:v>40391</c:v>
                </c:pt>
                <c:pt idx="188">
                  <c:v>40422</c:v>
                </c:pt>
                <c:pt idx="189">
                  <c:v>40452</c:v>
                </c:pt>
                <c:pt idx="190">
                  <c:v>40483</c:v>
                </c:pt>
                <c:pt idx="191">
                  <c:v>40513</c:v>
                </c:pt>
                <c:pt idx="192">
                  <c:v>40544</c:v>
                </c:pt>
                <c:pt idx="193">
                  <c:v>40575</c:v>
                </c:pt>
                <c:pt idx="194">
                  <c:v>40603</c:v>
                </c:pt>
                <c:pt idx="195">
                  <c:v>40634</c:v>
                </c:pt>
                <c:pt idx="196">
                  <c:v>40664</c:v>
                </c:pt>
                <c:pt idx="197">
                  <c:v>40695</c:v>
                </c:pt>
                <c:pt idx="198">
                  <c:v>40725</c:v>
                </c:pt>
                <c:pt idx="199">
                  <c:v>40756</c:v>
                </c:pt>
                <c:pt idx="200">
                  <c:v>40787</c:v>
                </c:pt>
                <c:pt idx="201">
                  <c:v>40817</c:v>
                </c:pt>
                <c:pt idx="202">
                  <c:v>40848</c:v>
                </c:pt>
                <c:pt idx="203">
                  <c:v>40878</c:v>
                </c:pt>
                <c:pt idx="204">
                  <c:v>40909</c:v>
                </c:pt>
                <c:pt idx="205">
                  <c:v>40940</c:v>
                </c:pt>
                <c:pt idx="206">
                  <c:v>40969</c:v>
                </c:pt>
                <c:pt idx="207">
                  <c:v>41000</c:v>
                </c:pt>
                <c:pt idx="208">
                  <c:v>41030</c:v>
                </c:pt>
                <c:pt idx="209">
                  <c:v>41061</c:v>
                </c:pt>
                <c:pt idx="210">
                  <c:v>41091</c:v>
                </c:pt>
                <c:pt idx="211">
                  <c:v>41122</c:v>
                </c:pt>
                <c:pt idx="212">
                  <c:v>41153</c:v>
                </c:pt>
                <c:pt idx="213">
                  <c:v>41183</c:v>
                </c:pt>
                <c:pt idx="214">
                  <c:v>41214</c:v>
                </c:pt>
                <c:pt idx="215">
                  <c:v>41244</c:v>
                </c:pt>
                <c:pt idx="216">
                  <c:v>41275</c:v>
                </c:pt>
                <c:pt idx="217">
                  <c:v>41306</c:v>
                </c:pt>
                <c:pt idx="218">
                  <c:v>41334</c:v>
                </c:pt>
                <c:pt idx="219">
                  <c:v>41365</c:v>
                </c:pt>
                <c:pt idx="220">
                  <c:v>41395</c:v>
                </c:pt>
                <c:pt idx="221">
                  <c:v>41426</c:v>
                </c:pt>
                <c:pt idx="222">
                  <c:v>41456</c:v>
                </c:pt>
                <c:pt idx="223">
                  <c:v>41487</c:v>
                </c:pt>
                <c:pt idx="224">
                  <c:v>41518</c:v>
                </c:pt>
                <c:pt idx="225">
                  <c:v>41548</c:v>
                </c:pt>
                <c:pt idx="226">
                  <c:v>41579</c:v>
                </c:pt>
                <c:pt idx="227">
                  <c:v>41609</c:v>
                </c:pt>
                <c:pt idx="228">
                  <c:v>41640</c:v>
                </c:pt>
              </c:numCache>
            </c:numRef>
          </c:cat>
          <c:val>
            <c:numRef>
              <c:f>'House Price'!$D$4:$D$232</c:f>
              <c:numCache>
                <c:formatCode>"£"#,##0</c:formatCode>
                <c:ptCount val="229"/>
                <c:pt idx="0">
                  <c:v>54578.486197680002</c:v>
                </c:pt>
                <c:pt idx="1">
                  <c:v>52801.170884378043</c:v>
                </c:pt>
                <c:pt idx="2">
                  <c:v>51448.239304490802</c:v>
                </c:pt>
                <c:pt idx="3">
                  <c:v>48648.712397198207</c:v>
                </c:pt>
                <c:pt idx="4">
                  <c:v>55964.210754500775</c:v>
                </c:pt>
                <c:pt idx="5">
                  <c:v>52866.4277474685</c:v>
                </c:pt>
                <c:pt idx="6">
                  <c:v>53770.436470811175</c:v>
                </c:pt>
                <c:pt idx="7">
                  <c:v>51067.842077683003</c:v>
                </c:pt>
                <c:pt idx="8">
                  <c:v>49434.951511371612</c:v>
                </c:pt>
                <c:pt idx="9">
                  <c:v>49107.803433477602</c:v>
                </c:pt>
                <c:pt idx="10">
                  <c:v>52449.252990857902</c:v>
                </c:pt>
                <c:pt idx="11">
                  <c:v>50852.984184867586</c:v>
                </c:pt>
                <c:pt idx="12">
                  <c:v>45362.003060864474</c:v>
                </c:pt>
                <c:pt idx="13">
                  <c:v>51422.974080335684</c:v>
                </c:pt>
                <c:pt idx="14">
                  <c:v>47049.000063388543</c:v>
                </c:pt>
                <c:pt idx="15">
                  <c:v>53475.8231411655</c:v>
                </c:pt>
                <c:pt idx="16">
                  <c:v>50442.676031001902</c:v>
                </c:pt>
                <c:pt idx="17">
                  <c:v>47119.818289793177</c:v>
                </c:pt>
                <c:pt idx="18">
                  <c:v>48715.441635715375</c:v>
                </c:pt>
                <c:pt idx="19">
                  <c:v>49856.805561540903</c:v>
                </c:pt>
                <c:pt idx="20">
                  <c:v>52334.778444543976</c:v>
                </c:pt>
                <c:pt idx="21">
                  <c:v>49738.473391253276</c:v>
                </c:pt>
                <c:pt idx="22">
                  <c:v>48402.532861072999</c:v>
                </c:pt>
                <c:pt idx="23">
                  <c:v>47827.549027361187</c:v>
                </c:pt>
                <c:pt idx="24">
                  <c:v>48320.019911193202</c:v>
                </c:pt>
                <c:pt idx="25">
                  <c:v>47124.113484620357</c:v>
                </c:pt>
                <c:pt idx="26">
                  <c:v>51037.047950598913</c:v>
                </c:pt>
                <c:pt idx="27">
                  <c:v>47720.898398662401</c:v>
                </c:pt>
                <c:pt idx="28">
                  <c:v>50142.245261003176</c:v>
                </c:pt>
                <c:pt idx="29">
                  <c:v>50600.008436548946</c:v>
                </c:pt>
                <c:pt idx="30">
                  <c:v>48611.498137410403</c:v>
                </c:pt>
                <c:pt idx="31">
                  <c:v>46305.845437083597</c:v>
                </c:pt>
                <c:pt idx="32">
                  <c:v>48621.307782321484</c:v>
                </c:pt>
                <c:pt idx="33">
                  <c:v>48710.613081174102</c:v>
                </c:pt>
                <c:pt idx="34">
                  <c:v>49906.155224871196</c:v>
                </c:pt>
                <c:pt idx="35">
                  <c:v>48708.580249061401</c:v>
                </c:pt>
                <c:pt idx="36">
                  <c:v>47884.194165059635</c:v>
                </c:pt>
                <c:pt idx="37">
                  <c:v>49885.179853444999</c:v>
                </c:pt>
                <c:pt idx="38">
                  <c:v>49747.756187625186</c:v>
                </c:pt>
                <c:pt idx="39">
                  <c:v>49355.8933546505</c:v>
                </c:pt>
                <c:pt idx="40">
                  <c:v>50329.502912915596</c:v>
                </c:pt>
                <c:pt idx="41">
                  <c:v>50804.024396378154</c:v>
                </c:pt>
                <c:pt idx="42">
                  <c:v>47869.306788291411</c:v>
                </c:pt>
                <c:pt idx="43">
                  <c:v>48520.353888799611</c:v>
                </c:pt>
                <c:pt idx="44">
                  <c:v>48408.693161298186</c:v>
                </c:pt>
                <c:pt idx="45">
                  <c:v>47733.909034086602</c:v>
                </c:pt>
                <c:pt idx="46">
                  <c:v>50593.719650601975</c:v>
                </c:pt>
                <c:pt idx="47">
                  <c:v>49191.542911603596</c:v>
                </c:pt>
                <c:pt idx="48">
                  <c:v>47069.002057915903</c:v>
                </c:pt>
                <c:pt idx="49">
                  <c:v>47458.840805544554</c:v>
                </c:pt>
                <c:pt idx="50">
                  <c:v>49401.225792743644</c:v>
                </c:pt>
                <c:pt idx="51">
                  <c:v>48340.1507177362</c:v>
                </c:pt>
                <c:pt idx="52">
                  <c:v>47829.292716634634</c:v>
                </c:pt>
                <c:pt idx="53">
                  <c:v>47906.263658755975</c:v>
                </c:pt>
                <c:pt idx="54">
                  <c:v>48125.810428093602</c:v>
                </c:pt>
                <c:pt idx="55">
                  <c:v>48142.822289083684</c:v>
                </c:pt>
                <c:pt idx="56">
                  <c:v>49664.638428428043</c:v>
                </c:pt>
                <c:pt idx="57">
                  <c:v>48090.428837164945</c:v>
                </c:pt>
                <c:pt idx="58">
                  <c:v>48597.0113371142</c:v>
                </c:pt>
                <c:pt idx="59">
                  <c:v>48484.99371059562</c:v>
                </c:pt>
                <c:pt idx="60">
                  <c:v>48275.349340769586</c:v>
                </c:pt>
                <c:pt idx="61">
                  <c:v>51605.310612438137</c:v>
                </c:pt>
                <c:pt idx="62">
                  <c:v>48588.367266680674</c:v>
                </c:pt>
                <c:pt idx="63">
                  <c:v>48821.995467300585</c:v>
                </c:pt>
                <c:pt idx="64">
                  <c:v>49888.7113866035</c:v>
                </c:pt>
                <c:pt idx="65">
                  <c:v>49494.581860771876</c:v>
                </c:pt>
                <c:pt idx="66">
                  <c:v>49235.405816778613</c:v>
                </c:pt>
                <c:pt idx="67">
                  <c:v>49040.850009079746</c:v>
                </c:pt>
                <c:pt idx="68">
                  <c:v>50001.285666528784</c:v>
                </c:pt>
                <c:pt idx="69">
                  <c:v>50077.535833358954</c:v>
                </c:pt>
                <c:pt idx="70">
                  <c:v>50521.7833195442</c:v>
                </c:pt>
                <c:pt idx="71">
                  <c:v>50853.710985006997</c:v>
                </c:pt>
                <c:pt idx="72">
                  <c:v>51009.4764471858</c:v>
                </c:pt>
                <c:pt idx="73">
                  <c:v>53014.508157383112</c:v>
                </c:pt>
                <c:pt idx="74">
                  <c:v>52060.544997309007</c:v>
                </c:pt>
                <c:pt idx="75">
                  <c:v>50582.13547081982</c:v>
                </c:pt>
                <c:pt idx="76">
                  <c:v>51279.278998969785</c:v>
                </c:pt>
                <c:pt idx="77">
                  <c:v>53257.984466784001</c:v>
                </c:pt>
                <c:pt idx="78">
                  <c:v>50058.024876306743</c:v>
                </c:pt>
                <c:pt idx="79">
                  <c:v>51663.238267297202</c:v>
                </c:pt>
                <c:pt idx="80">
                  <c:v>52976.577588430802</c:v>
                </c:pt>
                <c:pt idx="81">
                  <c:v>54201.044923292211</c:v>
                </c:pt>
                <c:pt idx="82">
                  <c:v>53228.356595719612</c:v>
                </c:pt>
                <c:pt idx="83">
                  <c:v>55339.796289581165</c:v>
                </c:pt>
                <c:pt idx="84">
                  <c:v>52950.250335458615</c:v>
                </c:pt>
                <c:pt idx="85">
                  <c:v>56923.924320535974</c:v>
                </c:pt>
                <c:pt idx="86">
                  <c:v>56611.683793079195</c:v>
                </c:pt>
                <c:pt idx="87">
                  <c:v>59526.411056012912</c:v>
                </c:pt>
                <c:pt idx="88">
                  <c:v>60579.515080176803</c:v>
                </c:pt>
                <c:pt idx="89">
                  <c:v>61521.264016788198</c:v>
                </c:pt>
                <c:pt idx="90">
                  <c:v>61853.939514792211</c:v>
                </c:pt>
                <c:pt idx="91">
                  <c:v>66042.7873949598</c:v>
                </c:pt>
                <c:pt idx="92">
                  <c:v>65844.110671325965</c:v>
                </c:pt>
                <c:pt idx="93">
                  <c:v>66390.708775918902</c:v>
                </c:pt>
                <c:pt idx="94">
                  <c:v>69163.890869905023</c:v>
                </c:pt>
                <c:pt idx="95">
                  <c:v>72414.432332744298</c:v>
                </c:pt>
                <c:pt idx="96">
                  <c:v>73955.224206826868</c:v>
                </c:pt>
                <c:pt idx="97">
                  <c:v>75634.363894267372</c:v>
                </c:pt>
                <c:pt idx="98">
                  <c:v>73104.429508569578</c:v>
                </c:pt>
                <c:pt idx="99">
                  <c:v>77726.875624744251</c:v>
                </c:pt>
                <c:pt idx="100">
                  <c:v>80667.649253781987</c:v>
                </c:pt>
                <c:pt idx="101">
                  <c:v>82070.395942408402</c:v>
                </c:pt>
                <c:pt idx="102">
                  <c:v>81931.609591957807</c:v>
                </c:pt>
                <c:pt idx="103">
                  <c:v>84743.724171664304</c:v>
                </c:pt>
                <c:pt idx="104">
                  <c:v>84571.679498385012</c:v>
                </c:pt>
                <c:pt idx="105">
                  <c:v>86990.013307775778</c:v>
                </c:pt>
                <c:pt idx="106">
                  <c:v>85732.549511398392</c:v>
                </c:pt>
                <c:pt idx="107">
                  <c:v>90767.495568071303</c:v>
                </c:pt>
                <c:pt idx="108">
                  <c:v>92375.417526048099</c:v>
                </c:pt>
                <c:pt idx="109">
                  <c:v>91169.896464032005</c:v>
                </c:pt>
                <c:pt idx="110">
                  <c:v>97947.017210698701</c:v>
                </c:pt>
                <c:pt idx="111">
                  <c:v>101002.30304635102</c:v>
                </c:pt>
                <c:pt idx="112">
                  <c:v>100091.350238037</c:v>
                </c:pt>
                <c:pt idx="113">
                  <c:v>103706.80797157773</c:v>
                </c:pt>
                <c:pt idx="114">
                  <c:v>105916.371877962</c:v>
                </c:pt>
                <c:pt idx="115">
                  <c:v>103745.737360728</c:v>
                </c:pt>
                <c:pt idx="116">
                  <c:v>110952.90803117753</c:v>
                </c:pt>
                <c:pt idx="117">
                  <c:v>107375.70466071002</c:v>
                </c:pt>
                <c:pt idx="118">
                  <c:v>109313.14486888431</c:v>
                </c:pt>
                <c:pt idx="119">
                  <c:v>108946.248409861</c:v>
                </c:pt>
                <c:pt idx="120">
                  <c:v>108652.32754238302</c:v>
                </c:pt>
                <c:pt idx="121">
                  <c:v>110523.399362109</c:v>
                </c:pt>
                <c:pt idx="122">
                  <c:v>114963.705574041</c:v>
                </c:pt>
                <c:pt idx="123">
                  <c:v>111873.563817733</c:v>
                </c:pt>
                <c:pt idx="124">
                  <c:v>114940.82099538128</c:v>
                </c:pt>
                <c:pt idx="125">
                  <c:v>113714.37382250829</c:v>
                </c:pt>
                <c:pt idx="126">
                  <c:v>116350.81272279428</c:v>
                </c:pt>
                <c:pt idx="127">
                  <c:v>112231.20764188599</c:v>
                </c:pt>
                <c:pt idx="128">
                  <c:v>109104.36098931199</c:v>
                </c:pt>
                <c:pt idx="129">
                  <c:v>113102.81732261402</c:v>
                </c:pt>
                <c:pt idx="130">
                  <c:v>113592.99880579794</c:v>
                </c:pt>
                <c:pt idx="131">
                  <c:v>111556.81196283548</c:v>
                </c:pt>
                <c:pt idx="132">
                  <c:v>112218.00075516199</c:v>
                </c:pt>
                <c:pt idx="133">
                  <c:v>112697.465148966</c:v>
                </c:pt>
                <c:pt idx="134">
                  <c:v>115535.96188764599</c:v>
                </c:pt>
                <c:pt idx="135">
                  <c:v>114978.086852883</c:v>
                </c:pt>
                <c:pt idx="136">
                  <c:v>114994.054308526</c:v>
                </c:pt>
                <c:pt idx="137">
                  <c:v>115583.10906797541</c:v>
                </c:pt>
                <c:pt idx="138">
                  <c:v>116527.965483971</c:v>
                </c:pt>
                <c:pt idx="139">
                  <c:v>117580.32534916502</c:v>
                </c:pt>
                <c:pt idx="140">
                  <c:v>115356.619699377</c:v>
                </c:pt>
                <c:pt idx="141">
                  <c:v>117279.72630816294</c:v>
                </c:pt>
                <c:pt idx="142">
                  <c:v>118052.900597985</c:v>
                </c:pt>
                <c:pt idx="143">
                  <c:v>116404.21706357773</c:v>
                </c:pt>
                <c:pt idx="144">
                  <c:v>121191.81867598199</c:v>
                </c:pt>
                <c:pt idx="145">
                  <c:v>120984.79205732056</c:v>
                </c:pt>
                <c:pt idx="146">
                  <c:v>122217.99289343356</c:v>
                </c:pt>
                <c:pt idx="147">
                  <c:v>121917.23111827402</c:v>
                </c:pt>
                <c:pt idx="148">
                  <c:v>126508.71059949197</c:v>
                </c:pt>
                <c:pt idx="149">
                  <c:v>120944.558512919</c:v>
                </c:pt>
                <c:pt idx="150">
                  <c:v>124553.68500622002</c:v>
                </c:pt>
                <c:pt idx="151">
                  <c:v>125070.06666846199</c:v>
                </c:pt>
                <c:pt idx="152">
                  <c:v>126959.436904305</c:v>
                </c:pt>
                <c:pt idx="153">
                  <c:v>126070.42034264505</c:v>
                </c:pt>
                <c:pt idx="154">
                  <c:v>122872.15023030102</c:v>
                </c:pt>
                <c:pt idx="155">
                  <c:v>119612.392962428</c:v>
                </c:pt>
                <c:pt idx="156">
                  <c:v>122709.78996608034</c:v>
                </c:pt>
                <c:pt idx="157">
                  <c:v>124129.61135620602</c:v>
                </c:pt>
                <c:pt idx="158">
                  <c:v>114661.059011526</c:v>
                </c:pt>
                <c:pt idx="159">
                  <c:v>121270.95046254543</c:v>
                </c:pt>
                <c:pt idx="160">
                  <c:v>125071.035396166</c:v>
                </c:pt>
                <c:pt idx="161">
                  <c:v>116805.55951131599</c:v>
                </c:pt>
                <c:pt idx="162">
                  <c:v>117853.28983191673</c:v>
                </c:pt>
                <c:pt idx="163">
                  <c:v>121330.17181564902</c:v>
                </c:pt>
                <c:pt idx="164">
                  <c:v>110332.80742618928</c:v>
                </c:pt>
                <c:pt idx="165">
                  <c:v>118380.82341322899</c:v>
                </c:pt>
                <c:pt idx="166">
                  <c:v>120363.421991607</c:v>
                </c:pt>
                <c:pt idx="167">
                  <c:v>108812.11198464427</c:v>
                </c:pt>
                <c:pt idx="168">
                  <c:v>98466.109187161826</c:v>
                </c:pt>
                <c:pt idx="169">
                  <c:v>106123.733865968</c:v>
                </c:pt>
                <c:pt idx="170">
                  <c:v>112166.81715620802</c:v>
                </c:pt>
                <c:pt idx="171">
                  <c:v>109351.164823425</c:v>
                </c:pt>
                <c:pt idx="172">
                  <c:v>109044.98999036</c:v>
                </c:pt>
                <c:pt idx="173">
                  <c:v>107909.19233496599</c:v>
                </c:pt>
                <c:pt idx="174">
                  <c:v>107736.51528149599</c:v>
                </c:pt>
                <c:pt idx="175">
                  <c:v>109200.41088917233</c:v>
                </c:pt>
                <c:pt idx="176">
                  <c:v>108733.96089142749</c:v>
                </c:pt>
                <c:pt idx="177">
                  <c:v>108928.78062280428</c:v>
                </c:pt>
                <c:pt idx="178">
                  <c:v>108840.03416209728</c:v>
                </c:pt>
                <c:pt idx="179">
                  <c:v>104729.22194691128</c:v>
                </c:pt>
                <c:pt idx="180">
                  <c:v>102252.488241638</c:v>
                </c:pt>
                <c:pt idx="181">
                  <c:v>117356.94934970397</c:v>
                </c:pt>
                <c:pt idx="182">
                  <c:v>103761.89683727044</c:v>
                </c:pt>
                <c:pt idx="183">
                  <c:v>110403.76929784199</c:v>
                </c:pt>
                <c:pt idx="184">
                  <c:v>110427.04671676502</c:v>
                </c:pt>
                <c:pt idx="185">
                  <c:v>108558.30959738302</c:v>
                </c:pt>
                <c:pt idx="186">
                  <c:v>104360.34157139265</c:v>
                </c:pt>
                <c:pt idx="187">
                  <c:v>112035.61065220502</c:v>
                </c:pt>
                <c:pt idx="188">
                  <c:v>114156.45423329073</c:v>
                </c:pt>
                <c:pt idx="189">
                  <c:v>104817.96720631894</c:v>
                </c:pt>
                <c:pt idx="190">
                  <c:v>105162.36351053002</c:v>
                </c:pt>
                <c:pt idx="191">
                  <c:v>105833.40378298805</c:v>
                </c:pt>
                <c:pt idx="192">
                  <c:v>106619.90486971899</c:v>
                </c:pt>
                <c:pt idx="193">
                  <c:v>108520.23716041102</c:v>
                </c:pt>
                <c:pt idx="194">
                  <c:v>102544.833358716</c:v>
                </c:pt>
                <c:pt idx="195">
                  <c:v>105596.445403695</c:v>
                </c:pt>
                <c:pt idx="196">
                  <c:v>108887.78954340199</c:v>
                </c:pt>
                <c:pt idx="197">
                  <c:v>107067.44606036197</c:v>
                </c:pt>
                <c:pt idx="198">
                  <c:v>106353.10348611402</c:v>
                </c:pt>
                <c:pt idx="199">
                  <c:v>100443.68855232402</c:v>
                </c:pt>
                <c:pt idx="200">
                  <c:v>100780.75062057</c:v>
                </c:pt>
                <c:pt idx="201">
                  <c:v>102294.32777763528</c:v>
                </c:pt>
                <c:pt idx="202">
                  <c:v>97066.851815012371</c:v>
                </c:pt>
                <c:pt idx="203">
                  <c:v>101180.23183327571</c:v>
                </c:pt>
                <c:pt idx="204">
                  <c:v>110199.55931359027</c:v>
                </c:pt>
                <c:pt idx="205">
                  <c:v>106380.091743207</c:v>
                </c:pt>
                <c:pt idx="206">
                  <c:v>105758.61926604428</c:v>
                </c:pt>
                <c:pt idx="207">
                  <c:v>101370.966086994</c:v>
                </c:pt>
                <c:pt idx="208">
                  <c:v>97108.717719721448</c:v>
                </c:pt>
                <c:pt idx="209">
                  <c:v>103920.58470468146</c:v>
                </c:pt>
                <c:pt idx="210">
                  <c:v>100935.12594077537</c:v>
                </c:pt>
                <c:pt idx="211">
                  <c:v>100316.85271179302</c:v>
                </c:pt>
                <c:pt idx="212">
                  <c:v>102921.82271421805</c:v>
                </c:pt>
                <c:pt idx="213">
                  <c:v>94818.866187216379</c:v>
                </c:pt>
                <c:pt idx="214">
                  <c:v>100400.731807334</c:v>
                </c:pt>
                <c:pt idx="215">
                  <c:v>98486.343487521168</c:v>
                </c:pt>
                <c:pt idx="216">
                  <c:v>98831.528462738468</c:v>
                </c:pt>
                <c:pt idx="217">
                  <c:v>99540.754486384423</c:v>
                </c:pt>
                <c:pt idx="218">
                  <c:v>97842.288940882412</c:v>
                </c:pt>
                <c:pt idx="219">
                  <c:v>91424.700498884427</c:v>
                </c:pt>
                <c:pt idx="220">
                  <c:v>101365.852206005</c:v>
                </c:pt>
                <c:pt idx="221">
                  <c:v>97510.652979565202</c:v>
                </c:pt>
                <c:pt idx="222">
                  <c:v>102304.194232621</c:v>
                </c:pt>
                <c:pt idx="223">
                  <c:v>100288.449245985</c:v>
                </c:pt>
                <c:pt idx="224">
                  <c:v>105977.808089642</c:v>
                </c:pt>
                <c:pt idx="225">
                  <c:v>97442.192996943704</c:v>
                </c:pt>
                <c:pt idx="226">
                  <c:v>100182.945367115</c:v>
                </c:pt>
                <c:pt idx="227">
                  <c:v>101684.03742183027</c:v>
                </c:pt>
                <c:pt idx="228">
                  <c:v>103264.09902303808</c:v>
                </c:pt>
              </c:numCache>
            </c:numRef>
          </c:val>
          <c:smooth val="1"/>
        </c:ser>
        <c:ser>
          <c:idx val="3"/>
          <c:order val="3"/>
          <c:tx>
            <c:strRef>
              <c:f>'House Price'!$E$3</c:f>
              <c:strCache>
                <c:ptCount val="1"/>
                <c:pt idx="0">
                  <c:v>East Riding of Yorkshire</c:v>
                </c:pt>
              </c:strCache>
            </c:strRef>
          </c:tx>
          <c:marker>
            <c:symbol val="none"/>
          </c:marker>
          <c:cat>
            <c:numRef>
              <c:f>'House Price'!$A$4:$A$232</c:f>
              <c:numCache>
                <c:formatCode>mmm\-yyyy</c:formatCode>
                <c:ptCount val="229"/>
                <c:pt idx="0">
                  <c:v>34700</c:v>
                </c:pt>
                <c:pt idx="1">
                  <c:v>34731</c:v>
                </c:pt>
                <c:pt idx="2">
                  <c:v>34759</c:v>
                </c:pt>
                <c:pt idx="3">
                  <c:v>34790</c:v>
                </c:pt>
                <c:pt idx="4">
                  <c:v>34820</c:v>
                </c:pt>
                <c:pt idx="5">
                  <c:v>34851</c:v>
                </c:pt>
                <c:pt idx="6">
                  <c:v>34881</c:v>
                </c:pt>
                <c:pt idx="7">
                  <c:v>34912</c:v>
                </c:pt>
                <c:pt idx="8">
                  <c:v>34943</c:v>
                </c:pt>
                <c:pt idx="9">
                  <c:v>34973</c:v>
                </c:pt>
                <c:pt idx="10">
                  <c:v>35004</c:v>
                </c:pt>
                <c:pt idx="11">
                  <c:v>35034</c:v>
                </c:pt>
                <c:pt idx="12">
                  <c:v>35065</c:v>
                </c:pt>
                <c:pt idx="13">
                  <c:v>35096</c:v>
                </c:pt>
                <c:pt idx="14">
                  <c:v>35125</c:v>
                </c:pt>
                <c:pt idx="15">
                  <c:v>35156</c:v>
                </c:pt>
                <c:pt idx="16">
                  <c:v>35186</c:v>
                </c:pt>
                <c:pt idx="17">
                  <c:v>35217</c:v>
                </c:pt>
                <c:pt idx="18">
                  <c:v>35247</c:v>
                </c:pt>
                <c:pt idx="19">
                  <c:v>35278</c:v>
                </c:pt>
                <c:pt idx="20">
                  <c:v>35309</c:v>
                </c:pt>
                <c:pt idx="21">
                  <c:v>35339</c:v>
                </c:pt>
                <c:pt idx="22">
                  <c:v>35370</c:v>
                </c:pt>
                <c:pt idx="23">
                  <c:v>35400</c:v>
                </c:pt>
                <c:pt idx="24">
                  <c:v>35431</c:v>
                </c:pt>
                <c:pt idx="25">
                  <c:v>35462</c:v>
                </c:pt>
                <c:pt idx="26">
                  <c:v>35490</c:v>
                </c:pt>
                <c:pt idx="27">
                  <c:v>35521</c:v>
                </c:pt>
                <c:pt idx="28">
                  <c:v>35551</c:v>
                </c:pt>
                <c:pt idx="29">
                  <c:v>35582</c:v>
                </c:pt>
                <c:pt idx="30">
                  <c:v>35612</c:v>
                </c:pt>
                <c:pt idx="31">
                  <c:v>35643</c:v>
                </c:pt>
                <c:pt idx="32">
                  <c:v>35674</c:v>
                </c:pt>
                <c:pt idx="33">
                  <c:v>35704</c:v>
                </c:pt>
                <c:pt idx="34">
                  <c:v>35735</c:v>
                </c:pt>
                <c:pt idx="35">
                  <c:v>35765</c:v>
                </c:pt>
                <c:pt idx="36">
                  <c:v>35796</c:v>
                </c:pt>
                <c:pt idx="37">
                  <c:v>35827</c:v>
                </c:pt>
                <c:pt idx="38">
                  <c:v>35855</c:v>
                </c:pt>
                <c:pt idx="39">
                  <c:v>35886</c:v>
                </c:pt>
                <c:pt idx="40">
                  <c:v>35916</c:v>
                </c:pt>
                <c:pt idx="41">
                  <c:v>35947</c:v>
                </c:pt>
                <c:pt idx="42">
                  <c:v>35977</c:v>
                </c:pt>
                <c:pt idx="43">
                  <c:v>36008</c:v>
                </c:pt>
                <c:pt idx="44">
                  <c:v>36039</c:v>
                </c:pt>
                <c:pt idx="45">
                  <c:v>36069</c:v>
                </c:pt>
                <c:pt idx="46">
                  <c:v>36100</c:v>
                </c:pt>
                <c:pt idx="47">
                  <c:v>36130</c:v>
                </c:pt>
                <c:pt idx="48">
                  <c:v>36161</c:v>
                </c:pt>
                <c:pt idx="49">
                  <c:v>36192</c:v>
                </c:pt>
                <c:pt idx="50">
                  <c:v>36220</c:v>
                </c:pt>
                <c:pt idx="51">
                  <c:v>36251</c:v>
                </c:pt>
                <c:pt idx="52">
                  <c:v>36281</c:v>
                </c:pt>
                <c:pt idx="53">
                  <c:v>36312</c:v>
                </c:pt>
                <c:pt idx="54">
                  <c:v>36342</c:v>
                </c:pt>
                <c:pt idx="55">
                  <c:v>36373</c:v>
                </c:pt>
                <c:pt idx="56">
                  <c:v>36404</c:v>
                </c:pt>
                <c:pt idx="57">
                  <c:v>36434</c:v>
                </c:pt>
                <c:pt idx="58">
                  <c:v>36465</c:v>
                </c:pt>
                <c:pt idx="59">
                  <c:v>36495</c:v>
                </c:pt>
                <c:pt idx="60">
                  <c:v>36526</c:v>
                </c:pt>
                <c:pt idx="61">
                  <c:v>36557</c:v>
                </c:pt>
                <c:pt idx="62">
                  <c:v>36586</c:v>
                </c:pt>
                <c:pt idx="63">
                  <c:v>36617</c:v>
                </c:pt>
                <c:pt idx="64">
                  <c:v>36647</c:v>
                </c:pt>
                <c:pt idx="65">
                  <c:v>36678</c:v>
                </c:pt>
                <c:pt idx="66">
                  <c:v>36708</c:v>
                </c:pt>
                <c:pt idx="67">
                  <c:v>36739</c:v>
                </c:pt>
                <c:pt idx="68">
                  <c:v>36770</c:v>
                </c:pt>
                <c:pt idx="69">
                  <c:v>36800</c:v>
                </c:pt>
                <c:pt idx="70">
                  <c:v>36831</c:v>
                </c:pt>
                <c:pt idx="71">
                  <c:v>36861</c:v>
                </c:pt>
                <c:pt idx="72">
                  <c:v>36892</c:v>
                </c:pt>
                <c:pt idx="73">
                  <c:v>36923</c:v>
                </c:pt>
                <c:pt idx="74">
                  <c:v>36951</c:v>
                </c:pt>
                <c:pt idx="75">
                  <c:v>36982</c:v>
                </c:pt>
                <c:pt idx="76">
                  <c:v>37012</c:v>
                </c:pt>
                <c:pt idx="77">
                  <c:v>37043</c:v>
                </c:pt>
                <c:pt idx="78">
                  <c:v>37073</c:v>
                </c:pt>
                <c:pt idx="79">
                  <c:v>37104</c:v>
                </c:pt>
                <c:pt idx="80">
                  <c:v>37135</c:v>
                </c:pt>
                <c:pt idx="81">
                  <c:v>37165</c:v>
                </c:pt>
                <c:pt idx="82">
                  <c:v>37196</c:v>
                </c:pt>
                <c:pt idx="83">
                  <c:v>37226</c:v>
                </c:pt>
                <c:pt idx="84">
                  <c:v>37257</c:v>
                </c:pt>
                <c:pt idx="85">
                  <c:v>37288</c:v>
                </c:pt>
                <c:pt idx="86">
                  <c:v>37316</c:v>
                </c:pt>
                <c:pt idx="87">
                  <c:v>37347</c:v>
                </c:pt>
                <c:pt idx="88">
                  <c:v>37377</c:v>
                </c:pt>
                <c:pt idx="89">
                  <c:v>37408</c:v>
                </c:pt>
                <c:pt idx="90">
                  <c:v>37438</c:v>
                </c:pt>
                <c:pt idx="91">
                  <c:v>37469</c:v>
                </c:pt>
                <c:pt idx="92">
                  <c:v>37500</c:v>
                </c:pt>
                <c:pt idx="93">
                  <c:v>37530</c:v>
                </c:pt>
                <c:pt idx="94">
                  <c:v>37561</c:v>
                </c:pt>
                <c:pt idx="95">
                  <c:v>37591</c:v>
                </c:pt>
                <c:pt idx="96">
                  <c:v>37622</c:v>
                </c:pt>
                <c:pt idx="97">
                  <c:v>37653</c:v>
                </c:pt>
                <c:pt idx="98">
                  <c:v>37681</c:v>
                </c:pt>
                <c:pt idx="99">
                  <c:v>37712</c:v>
                </c:pt>
                <c:pt idx="100">
                  <c:v>37742</c:v>
                </c:pt>
                <c:pt idx="101">
                  <c:v>37773</c:v>
                </c:pt>
                <c:pt idx="102">
                  <c:v>37803</c:v>
                </c:pt>
                <c:pt idx="103">
                  <c:v>37834</c:v>
                </c:pt>
                <c:pt idx="104">
                  <c:v>37865</c:v>
                </c:pt>
                <c:pt idx="105">
                  <c:v>37895</c:v>
                </c:pt>
                <c:pt idx="106">
                  <c:v>37926</c:v>
                </c:pt>
                <c:pt idx="107">
                  <c:v>37956</c:v>
                </c:pt>
                <c:pt idx="108">
                  <c:v>37987</c:v>
                </c:pt>
                <c:pt idx="109">
                  <c:v>38018</c:v>
                </c:pt>
                <c:pt idx="110">
                  <c:v>38047</c:v>
                </c:pt>
                <c:pt idx="111">
                  <c:v>38078</c:v>
                </c:pt>
                <c:pt idx="112">
                  <c:v>38108</c:v>
                </c:pt>
                <c:pt idx="113">
                  <c:v>38139</c:v>
                </c:pt>
                <c:pt idx="114">
                  <c:v>38169</c:v>
                </c:pt>
                <c:pt idx="115">
                  <c:v>38200</c:v>
                </c:pt>
                <c:pt idx="116">
                  <c:v>38231</c:v>
                </c:pt>
                <c:pt idx="117">
                  <c:v>38261</c:v>
                </c:pt>
                <c:pt idx="118">
                  <c:v>38292</c:v>
                </c:pt>
                <c:pt idx="119">
                  <c:v>38322</c:v>
                </c:pt>
                <c:pt idx="120">
                  <c:v>38353</c:v>
                </c:pt>
                <c:pt idx="121">
                  <c:v>38384</c:v>
                </c:pt>
                <c:pt idx="122">
                  <c:v>38412</c:v>
                </c:pt>
                <c:pt idx="123">
                  <c:v>38443</c:v>
                </c:pt>
                <c:pt idx="124">
                  <c:v>38473</c:v>
                </c:pt>
                <c:pt idx="125">
                  <c:v>38504</c:v>
                </c:pt>
                <c:pt idx="126">
                  <c:v>38534</c:v>
                </c:pt>
                <c:pt idx="127">
                  <c:v>38565</c:v>
                </c:pt>
                <c:pt idx="128">
                  <c:v>38596</c:v>
                </c:pt>
                <c:pt idx="129">
                  <c:v>38626</c:v>
                </c:pt>
                <c:pt idx="130">
                  <c:v>38657</c:v>
                </c:pt>
                <c:pt idx="131">
                  <c:v>38687</c:v>
                </c:pt>
                <c:pt idx="132">
                  <c:v>38718</c:v>
                </c:pt>
                <c:pt idx="133">
                  <c:v>38749</c:v>
                </c:pt>
                <c:pt idx="134">
                  <c:v>38777</c:v>
                </c:pt>
                <c:pt idx="135">
                  <c:v>38808</c:v>
                </c:pt>
                <c:pt idx="136">
                  <c:v>38838</c:v>
                </c:pt>
                <c:pt idx="137">
                  <c:v>38869</c:v>
                </c:pt>
                <c:pt idx="138">
                  <c:v>38899</c:v>
                </c:pt>
                <c:pt idx="139">
                  <c:v>38930</c:v>
                </c:pt>
                <c:pt idx="140">
                  <c:v>38961</c:v>
                </c:pt>
                <c:pt idx="141">
                  <c:v>38991</c:v>
                </c:pt>
                <c:pt idx="142">
                  <c:v>39022</c:v>
                </c:pt>
                <c:pt idx="143">
                  <c:v>39052</c:v>
                </c:pt>
                <c:pt idx="144">
                  <c:v>39083</c:v>
                </c:pt>
                <c:pt idx="145">
                  <c:v>39114</c:v>
                </c:pt>
                <c:pt idx="146">
                  <c:v>39142</c:v>
                </c:pt>
                <c:pt idx="147">
                  <c:v>39173</c:v>
                </c:pt>
                <c:pt idx="148">
                  <c:v>39203</c:v>
                </c:pt>
                <c:pt idx="149">
                  <c:v>39234</c:v>
                </c:pt>
                <c:pt idx="150">
                  <c:v>39264</c:v>
                </c:pt>
                <c:pt idx="151">
                  <c:v>39295</c:v>
                </c:pt>
                <c:pt idx="152">
                  <c:v>39326</c:v>
                </c:pt>
                <c:pt idx="153">
                  <c:v>39356</c:v>
                </c:pt>
                <c:pt idx="154">
                  <c:v>39387</c:v>
                </c:pt>
                <c:pt idx="155">
                  <c:v>39417</c:v>
                </c:pt>
                <c:pt idx="156">
                  <c:v>39448</c:v>
                </c:pt>
                <c:pt idx="157">
                  <c:v>39479</c:v>
                </c:pt>
                <c:pt idx="158">
                  <c:v>39508</c:v>
                </c:pt>
                <c:pt idx="159">
                  <c:v>39539</c:v>
                </c:pt>
                <c:pt idx="160">
                  <c:v>39569</c:v>
                </c:pt>
                <c:pt idx="161">
                  <c:v>39600</c:v>
                </c:pt>
                <c:pt idx="162">
                  <c:v>39630</c:v>
                </c:pt>
                <c:pt idx="163">
                  <c:v>39661</c:v>
                </c:pt>
                <c:pt idx="164">
                  <c:v>39692</c:v>
                </c:pt>
                <c:pt idx="165">
                  <c:v>39722</c:v>
                </c:pt>
                <c:pt idx="166">
                  <c:v>39753</c:v>
                </c:pt>
                <c:pt idx="167">
                  <c:v>39783</c:v>
                </c:pt>
                <c:pt idx="168">
                  <c:v>39814</c:v>
                </c:pt>
                <c:pt idx="169">
                  <c:v>39845</c:v>
                </c:pt>
                <c:pt idx="170">
                  <c:v>39873</c:v>
                </c:pt>
                <c:pt idx="171">
                  <c:v>39904</c:v>
                </c:pt>
                <c:pt idx="172">
                  <c:v>39934</c:v>
                </c:pt>
                <c:pt idx="173">
                  <c:v>39965</c:v>
                </c:pt>
                <c:pt idx="174">
                  <c:v>39995</c:v>
                </c:pt>
                <c:pt idx="175">
                  <c:v>40026</c:v>
                </c:pt>
                <c:pt idx="176">
                  <c:v>40057</c:v>
                </c:pt>
                <c:pt idx="177">
                  <c:v>40087</c:v>
                </c:pt>
                <c:pt idx="178">
                  <c:v>40118</c:v>
                </c:pt>
                <c:pt idx="179">
                  <c:v>40148</c:v>
                </c:pt>
                <c:pt idx="180">
                  <c:v>40179</c:v>
                </c:pt>
                <c:pt idx="181">
                  <c:v>40210</c:v>
                </c:pt>
                <c:pt idx="182">
                  <c:v>40238</c:v>
                </c:pt>
                <c:pt idx="183">
                  <c:v>40269</c:v>
                </c:pt>
                <c:pt idx="184">
                  <c:v>40299</c:v>
                </c:pt>
                <c:pt idx="185">
                  <c:v>40330</c:v>
                </c:pt>
                <c:pt idx="186">
                  <c:v>40360</c:v>
                </c:pt>
                <c:pt idx="187">
                  <c:v>40391</c:v>
                </c:pt>
                <c:pt idx="188">
                  <c:v>40422</c:v>
                </c:pt>
                <c:pt idx="189">
                  <c:v>40452</c:v>
                </c:pt>
                <c:pt idx="190">
                  <c:v>40483</c:v>
                </c:pt>
                <c:pt idx="191">
                  <c:v>40513</c:v>
                </c:pt>
                <c:pt idx="192">
                  <c:v>40544</c:v>
                </c:pt>
                <c:pt idx="193">
                  <c:v>40575</c:v>
                </c:pt>
                <c:pt idx="194">
                  <c:v>40603</c:v>
                </c:pt>
                <c:pt idx="195">
                  <c:v>40634</c:v>
                </c:pt>
                <c:pt idx="196">
                  <c:v>40664</c:v>
                </c:pt>
                <c:pt idx="197">
                  <c:v>40695</c:v>
                </c:pt>
                <c:pt idx="198">
                  <c:v>40725</c:v>
                </c:pt>
                <c:pt idx="199">
                  <c:v>40756</c:v>
                </c:pt>
                <c:pt idx="200">
                  <c:v>40787</c:v>
                </c:pt>
                <c:pt idx="201">
                  <c:v>40817</c:v>
                </c:pt>
                <c:pt idx="202">
                  <c:v>40848</c:v>
                </c:pt>
                <c:pt idx="203">
                  <c:v>40878</c:v>
                </c:pt>
                <c:pt idx="204">
                  <c:v>40909</c:v>
                </c:pt>
                <c:pt idx="205">
                  <c:v>40940</c:v>
                </c:pt>
                <c:pt idx="206">
                  <c:v>40969</c:v>
                </c:pt>
                <c:pt idx="207">
                  <c:v>41000</c:v>
                </c:pt>
                <c:pt idx="208">
                  <c:v>41030</c:v>
                </c:pt>
                <c:pt idx="209">
                  <c:v>41061</c:v>
                </c:pt>
                <c:pt idx="210">
                  <c:v>41091</c:v>
                </c:pt>
                <c:pt idx="211">
                  <c:v>41122</c:v>
                </c:pt>
                <c:pt idx="212">
                  <c:v>41153</c:v>
                </c:pt>
                <c:pt idx="213">
                  <c:v>41183</c:v>
                </c:pt>
                <c:pt idx="214">
                  <c:v>41214</c:v>
                </c:pt>
                <c:pt idx="215">
                  <c:v>41244</c:v>
                </c:pt>
                <c:pt idx="216">
                  <c:v>41275</c:v>
                </c:pt>
                <c:pt idx="217">
                  <c:v>41306</c:v>
                </c:pt>
                <c:pt idx="218">
                  <c:v>41334</c:v>
                </c:pt>
                <c:pt idx="219">
                  <c:v>41365</c:v>
                </c:pt>
                <c:pt idx="220">
                  <c:v>41395</c:v>
                </c:pt>
                <c:pt idx="221">
                  <c:v>41426</c:v>
                </c:pt>
                <c:pt idx="222">
                  <c:v>41456</c:v>
                </c:pt>
                <c:pt idx="223">
                  <c:v>41487</c:v>
                </c:pt>
                <c:pt idx="224">
                  <c:v>41518</c:v>
                </c:pt>
                <c:pt idx="225">
                  <c:v>41548</c:v>
                </c:pt>
                <c:pt idx="226">
                  <c:v>41579</c:v>
                </c:pt>
                <c:pt idx="227">
                  <c:v>41609</c:v>
                </c:pt>
                <c:pt idx="228">
                  <c:v>41640</c:v>
                </c:pt>
              </c:numCache>
            </c:numRef>
          </c:cat>
          <c:val>
            <c:numRef>
              <c:f>'House Price'!$E$4:$E$232</c:f>
              <c:numCache>
                <c:formatCode>"£"#,##0</c:formatCode>
                <c:ptCount val="229"/>
                <c:pt idx="0">
                  <c:v>60780.625581863744</c:v>
                </c:pt>
                <c:pt idx="1">
                  <c:v>66101.478573035478</c:v>
                </c:pt>
                <c:pt idx="2">
                  <c:v>61439.416395974069</c:v>
                </c:pt>
                <c:pt idx="3">
                  <c:v>63278.245801080084</c:v>
                </c:pt>
                <c:pt idx="4">
                  <c:v>62605.038529142454</c:v>
                </c:pt>
                <c:pt idx="5">
                  <c:v>61541.828073080513</c:v>
                </c:pt>
                <c:pt idx="6">
                  <c:v>59186.186210241096</c:v>
                </c:pt>
                <c:pt idx="7">
                  <c:v>60715.850220652603</c:v>
                </c:pt>
                <c:pt idx="8">
                  <c:v>61503.8207549293</c:v>
                </c:pt>
                <c:pt idx="9">
                  <c:v>60790.576303601374</c:v>
                </c:pt>
                <c:pt idx="10">
                  <c:v>61278.982861529999</c:v>
                </c:pt>
                <c:pt idx="11">
                  <c:v>59908.573031389598</c:v>
                </c:pt>
                <c:pt idx="12">
                  <c:v>59540.687764124676</c:v>
                </c:pt>
                <c:pt idx="13">
                  <c:v>59189.480582861775</c:v>
                </c:pt>
                <c:pt idx="14">
                  <c:v>59966.358254900384</c:v>
                </c:pt>
                <c:pt idx="15">
                  <c:v>59820.436655400088</c:v>
                </c:pt>
                <c:pt idx="16">
                  <c:v>60675.388149615275</c:v>
                </c:pt>
                <c:pt idx="17">
                  <c:v>58933.83804848008</c:v>
                </c:pt>
                <c:pt idx="18">
                  <c:v>59410.8450050338</c:v>
                </c:pt>
                <c:pt idx="19">
                  <c:v>56795.439388546802</c:v>
                </c:pt>
                <c:pt idx="20">
                  <c:v>58926.170336899813</c:v>
                </c:pt>
                <c:pt idx="21">
                  <c:v>57698.750076783501</c:v>
                </c:pt>
                <c:pt idx="22">
                  <c:v>58519.896435659903</c:v>
                </c:pt>
                <c:pt idx="23">
                  <c:v>60502.313833540611</c:v>
                </c:pt>
                <c:pt idx="24">
                  <c:v>57526.357712888312</c:v>
                </c:pt>
                <c:pt idx="25">
                  <c:v>57940.890508040146</c:v>
                </c:pt>
                <c:pt idx="26">
                  <c:v>57931.139888709375</c:v>
                </c:pt>
                <c:pt idx="27">
                  <c:v>58313.891241443598</c:v>
                </c:pt>
                <c:pt idx="28">
                  <c:v>56770.629244040902</c:v>
                </c:pt>
                <c:pt idx="29">
                  <c:v>58698.474654055601</c:v>
                </c:pt>
                <c:pt idx="30">
                  <c:v>57401.066114925685</c:v>
                </c:pt>
                <c:pt idx="31">
                  <c:v>57530.694709412186</c:v>
                </c:pt>
                <c:pt idx="32">
                  <c:v>58057.369421983974</c:v>
                </c:pt>
                <c:pt idx="33">
                  <c:v>57601.550854357854</c:v>
                </c:pt>
                <c:pt idx="34">
                  <c:v>58363.492351666675</c:v>
                </c:pt>
                <c:pt idx="35">
                  <c:v>58492.124030255196</c:v>
                </c:pt>
                <c:pt idx="36">
                  <c:v>58803.007335271701</c:v>
                </c:pt>
                <c:pt idx="37">
                  <c:v>57820.919777059011</c:v>
                </c:pt>
                <c:pt idx="38">
                  <c:v>57554.749547357402</c:v>
                </c:pt>
                <c:pt idx="39">
                  <c:v>58815.406008948696</c:v>
                </c:pt>
                <c:pt idx="40">
                  <c:v>58692.3308671657</c:v>
                </c:pt>
                <c:pt idx="41">
                  <c:v>57900.765723395176</c:v>
                </c:pt>
                <c:pt idx="42">
                  <c:v>58712.512799495613</c:v>
                </c:pt>
                <c:pt idx="43">
                  <c:v>57865.7789796418</c:v>
                </c:pt>
                <c:pt idx="44">
                  <c:v>57743.622546617735</c:v>
                </c:pt>
                <c:pt idx="45">
                  <c:v>58925.649758187275</c:v>
                </c:pt>
                <c:pt idx="46">
                  <c:v>56896.117887040302</c:v>
                </c:pt>
                <c:pt idx="47">
                  <c:v>58302.057435141913</c:v>
                </c:pt>
                <c:pt idx="48">
                  <c:v>57905.649252005802</c:v>
                </c:pt>
                <c:pt idx="49">
                  <c:v>57375.966053080112</c:v>
                </c:pt>
                <c:pt idx="50">
                  <c:v>58352.294596105385</c:v>
                </c:pt>
                <c:pt idx="51">
                  <c:v>56807.981184307384</c:v>
                </c:pt>
                <c:pt idx="52">
                  <c:v>56422.738785037596</c:v>
                </c:pt>
                <c:pt idx="53">
                  <c:v>58187.938884903284</c:v>
                </c:pt>
                <c:pt idx="54">
                  <c:v>56577.9734516975</c:v>
                </c:pt>
                <c:pt idx="55">
                  <c:v>57951.492573340845</c:v>
                </c:pt>
                <c:pt idx="56">
                  <c:v>57973.5066200863</c:v>
                </c:pt>
                <c:pt idx="57">
                  <c:v>57943.350490703902</c:v>
                </c:pt>
                <c:pt idx="58">
                  <c:v>57770.403245324713</c:v>
                </c:pt>
                <c:pt idx="59">
                  <c:v>58866.811000711576</c:v>
                </c:pt>
                <c:pt idx="60">
                  <c:v>59648.437879536512</c:v>
                </c:pt>
                <c:pt idx="61">
                  <c:v>59569.083707815575</c:v>
                </c:pt>
                <c:pt idx="62">
                  <c:v>59850.435174770595</c:v>
                </c:pt>
                <c:pt idx="63">
                  <c:v>60457.005563774197</c:v>
                </c:pt>
                <c:pt idx="64">
                  <c:v>60090.072793313586</c:v>
                </c:pt>
                <c:pt idx="65">
                  <c:v>59653.87850717728</c:v>
                </c:pt>
                <c:pt idx="66">
                  <c:v>60353.032333245013</c:v>
                </c:pt>
                <c:pt idx="67">
                  <c:v>60558.611770474599</c:v>
                </c:pt>
                <c:pt idx="68">
                  <c:v>62402.969646060075</c:v>
                </c:pt>
                <c:pt idx="69">
                  <c:v>62513.9108255053</c:v>
                </c:pt>
                <c:pt idx="70">
                  <c:v>61984.953274997213</c:v>
                </c:pt>
                <c:pt idx="71">
                  <c:v>63535.049617133103</c:v>
                </c:pt>
                <c:pt idx="72">
                  <c:v>62540.908380839101</c:v>
                </c:pt>
                <c:pt idx="73">
                  <c:v>62619.727227024385</c:v>
                </c:pt>
                <c:pt idx="74">
                  <c:v>63608.766375497813</c:v>
                </c:pt>
                <c:pt idx="75">
                  <c:v>64875.949006083676</c:v>
                </c:pt>
                <c:pt idx="76">
                  <c:v>63991.203562155584</c:v>
                </c:pt>
                <c:pt idx="77">
                  <c:v>64121.338464934597</c:v>
                </c:pt>
                <c:pt idx="78">
                  <c:v>66002.866223282908</c:v>
                </c:pt>
                <c:pt idx="79">
                  <c:v>66864.921344667804</c:v>
                </c:pt>
                <c:pt idx="80">
                  <c:v>67201.721704167227</c:v>
                </c:pt>
                <c:pt idx="81">
                  <c:v>68523.829162883892</c:v>
                </c:pt>
                <c:pt idx="82">
                  <c:v>69830.588380663394</c:v>
                </c:pt>
                <c:pt idx="83">
                  <c:v>71118.778383104538</c:v>
                </c:pt>
                <c:pt idx="84">
                  <c:v>70606.527604068324</c:v>
                </c:pt>
                <c:pt idx="85">
                  <c:v>72714.314485933326</c:v>
                </c:pt>
                <c:pt idx="86">
                  <c:v>75088.270298940406</c:v>
                </c:pt>
                <c:pt idx="87">
                  <c:v>75683.840314641624</c:v>
                </c:pt>
                <c:pt idx="88">
                  <c:v>79704.2562960332</c:v>
                </c:pt>
                <c:pt idx="89">
                  <c:v>78484.046680436368</c:v>
                </c:pt>
                <c:pt idx="90">
                  <c:v>83672.981490856604</c:v>
                </c:pt>
                <c:pt idx="91">
                  <c:v>84148.568607391499</c:v>
                </c:pt>
                <c:pt idx="92">
                  <c:v>88238.985010462391</c:v>
                </c:pt>
                <c:pt idx="93">
                  <c:v>86956.191148625687</c:v>
                </c:pt>
                <c:pt idx="94">
                  <c:v>91868.399209781404</c:v>
                </c:pt>
                <c:pt idx="95">
                  <c:v>94118.334615932705</c:v>
                </c:pt>
                <c:pt idx="96">
                  <c:v>95937.470787282102</c:v>
                </c:pt>
                <c:pt idx="97">
                  <c:v>95873.163952203598</c:v>
                </c:pt>
                <c:pt idx="98">
                  <c:v>97647.919567010278</c:v>
                </c:pt>
                <c:pt idx="99">
                  <c:v>99507.533698933825</c:v>
                </c:pt>
                <c:pt idx="100">
                  <c:v>100410.814793799</c:v>
                </c:pt>
                <c:pt idx="101">
                  <c:v>103816.97114279546</c:v>
                </c:pt>
                <c:pt idx="102">
                  <c:v>105077.940150549</c:v>
                </c:pt>
                <c:pt idx="103">
                  <c:v>105209.01837446199</c:v>
                </c:pt>
                <c:pt idx="104">
                  <c:v>106304.41359722233</c:v>
                </c:pt>
                <c:pt idx="105">
                  <c:v>109258.01150922597</c:v>
                </c:pt>
                <c:pt idx="106">
                  <c:v>110441.130572671</c:v>
                </c:pt>
                <c:pt idx="107">
                  <c:v>114503.89410205802</c:v>
                </c:pt>
                <c:pt idx="108">
                  <c:v>115762.794708113</c:v>
                </c:pt>
                <c:pt idx="109">
                  <c:v>119865.44856542244</c:v>
                </c:pt>
                <c:pt idx="110">
                  <c:v>122200.20231931773</c:v>
                </c:pt>
                <c:pt idx="111">
                  <c:v>123484.85761659902</c:v>
                </c:pt>
                <c:pt idx="112">
                  <c:v>125669.835501258</c:v>
                </c:pt>
                <c:pt idx="113">
                  <c:v>128327.423214144</c:v>
                </c:pt>
                <c:pt idx="114">
                  <c:v>130210.70182262899</c:v>
                </c:pt>
                <c:pt idx="115">
                  <c:v>131222.17072338611</c:v>
                </c:pt>
                <c:pt idx="116">
                  <c:v>136034.22672020711</c:v>
                </c:pt>
                <c:pt idx="117">
                  <c:v>135819.94690994755</c:v>
                </c:pt>
                <c:pt idx="118">
                  <c:v>138899.33549686641</c:v>
                </c:pt>
                <c:pt idx="119">
                  <c:v>136423.90725738514</c:v>
                </c:pt>
                <c:pt idx="120">
                  <c:v>136618.33345767422</c:v>
                </c:pt>
                <c:pt idx="121">
                  <c:v>138726.04956323165</c:v>
                </c:pt>
                <c:pt idx="122">
                  <c:v>139224.58129418895</c:v>
                </c:pt>
                <c:pt idx="123">
                  <c:v>138670.83848872647</c:v>
                </c:pt>
                <c:pt idx="124">
                  <c:v>138299.390440963</c:v>
                </c:pt>
                <c:pt idx="125">
                  <c:v>140184.35548085437</c:v>
                </c:pt>
                <c:pt idx="126">
                  <c:v>139434.89305672568</c:v>
                </c:pt>
                <c:pt idx="127">
                  <c:v>139126.36731597511</c:v>
                </c:pt>
                <c:pt idx="128">
                  <c:v>141541.98333097098</c:v>
                </c:pt>
                <c:pt idx="129">
                  <c:v>140499.72528451774</c:v>
                </c:pt>
                <c:pt idx="130">
                  <c:v>142469.24989462801</c:v>
                </c:pt>
                <c:pt idx="131">
                  <c:v>139066.02085624592</c:v>
                </c:pt>
                <c:pt idx="132">
                  <c:v>138126.3879927464</c:v>
                </c:pt>
                <c:pt idx="133">
                  <c:v>142878.57677109711</c:v>
                </c:pt>
                <c:pt idx="134">
                  <c:v>146042.00473994599</c:v>
                </c:pt>
                <c:pt idx="135">
                  <c:v>147451.315773993</c:v>
                </c:pt>
                <c:pt idx="136">
                  <c:v>144694.75020352899</c:v>
                </c:pt>
                <c:pt idx="137">
                  <c:v>145596.007682283</c:v>
                </c:pt>
                <c:pt idx="138">
                  <c:v>146949.53361159898</c:v>
                </c:pt>
                <c:pt idx="139">
                  <c:v>147794.80836896511</c:v>
                </c:pt>
                <c:pt idx="140">
                  <c:v>148927.52320484899</c:v>
                </c:pt>
                <c:pt idx="141">
                  <c:v>147194.35073482592</c:v>
                </c:pt>
                <c:pt idx="142">
                  <c:v>149999.07461796099</c:v>
                </c:pt>
                <c:pt idx="143">
                  <c:v>150269.936758861</c:v>
                </c:pt>
                <c:pt idx="144">
                  <c:v>152383.46065931811</c:v>
                </c:pt>
                <c:pt idx="145">
                  <c:v>153059.11154182756</c:v>
                </c:pt>
                <c:pt idx="146">
                  <c:v>154403.46359112338</c:v>
                </c:pt>
                <c:pt idx="147">
                  <c:v>153379.90148566201</c:v>
                </c:pt>
                <c:pt idx="148">
                  <c:v>155443.592918109</c:v>
                </c:pt>
                <c:pt idx="149">
                  <c:v>153305.06436787162</c:v>
                </c:pt>
                <c:pt idx="150">
                  <c:v>154304.49503761</c:v>
                </c:pt>
                <c:pt idx="151">
                  <c:v>155884.87006663368</c:v>
                </c:pt>
                <c:pt idx="152">
                  <c:v>157477.12668699565</c:v>
                </c:pt>
                <c:pt idx="153">
                  <c:v>155512.898031708</c:v>
                </c:pt>
                <c:pt idx="154">
                  <c:v>155329.88390000598</c:v>
                </c:pt>
                <c:pt idx="155">
                  <c:v>154660.67315188277</c:v>
                </c:pt>
                <c:pt idx="156">
                  <c:v>158698.06851797868</c:v>
                </c:pt>
                <c:pt idx="157">
                  <c:v>153283.25754741611</c:v>
                </c:pt>
                <c:pt idx="158">
                  <c:v>157543.24095194787</c:v>
                </c:pt>
                <c:pt idx="159">
                  <c:v>154591.67246811101</c:v>
                </c:pt>
                <c:pt idx="160">
                  <c:v>153767.28413904092</c:v>
                </c:pt>
                <c:pt idx="161">
                  <c:v>147822.91688733301</c:v>
                </c:pt>
                <c:pt idx="162">
                  <c:v>153435.27517987008</c:v>
                </c:pt>
                <c:pt idx="163">
                  <c:v>149116.74633403559</c:v>
                </c:pt>
                <c:pt idx="164">
                  <c:v>146630.83020536901</c:v>
                </c:pt>
                <c:pt idx="165">
                  <c:v>141847.83856003798</c:v>
                </c:pt>
                <c:pt idx="166">
                  <c:v>142956.63354065211</c:v>
                </c:pt>
                <c:pt idx="167">
                  <c:v>134649.19173396201</c:v>
                </c:pt>
                <c:pt idx="168">
                  <c:v>140199.40239919201</c:v>
                </c:pt>
                <c:pt idx="169">
                  <c:v>131423.3406813</c:v>
                </c:pt>
                <c:pt idx="170">
                  <c:v>132124.66275529511</c:v>
                </c:pt>
                <c:pt idx="171">
                  <c:v>135127.55810241998</c:v>
                </c:pt>
                <c:pt idx="172">
                  <c:v>130292.46693218373</c:v>
                </c:pt>
                <c:pt idx="173">
                  <c:v>131107.01675055211</c:v>
                </c:pt>
                <c:pt idx="174">
                  <c:v>134375.23397697011</c:v>
                </c:pt>
                <c:pt idx="175">
                  <c:v>136408.21711395611</c:v>
                </c:pt>
                <c:pt idx="176">
                  <c:v>131992.415550178</c:v>
                </c:pt>
                <c:pt idx="177">
                  <c:v>135721.86165098968</c:v>
                </c:pt>
                <c:pt idx="178">
                  <c:v>137568.36751046599</c:v>
                </c:pt>
                <c:pt idx="179">
                  <c:v>135911.99365693398</c:v>
                </c:pt>
                <c:pt idx="180">
                  <c:v>138408.465097782</c:v>
                </c:pt>
                <c:pt idx="181">
                  <c:v>134008.45346408122</c:v>
                </c:pt>
                <c:pt idx="182">
                  <c:v>137830.5824109294</c:v>
                </c:pt>
                <c:pt idx="183">
                  <c:v>140089.82144945444</c:v>
                </c:pt>
                <c:pt idx="184">
                  <c:v>134952.31727837014</c:v>
                </c:pt>
                <c:pt idx="185">
                  <c:v>135483.607690904</c:v>
                </c:pt>
                <c:pt idx="186">
                  <c:v>138045.726627027</c:v>
                </c:pt>
                <c:pt idx="187">
                  <c:v>137926.510291874</c:v>
                </c:pt>
                <c:pt idx="188">
                  <c:v>138984.33632198311</c:v>
                </c:pt>
                <c:pt idx="189">
                  <c:v>135770.35115009765</c:v>
                </c:pt>
                <c:pt idx="190">
                  <c:v>138236.28983849598</c:v>
                </c:pt>
                <c:pt idx="191">
                  <c:v>134957.67707714011</c:v>
                </c:pt>
                <c:pt idx="192">
                  <c:v>133817.99496335798</c:v>
                </c:pt>
                <c:pt idx="193">
                  <c:v>133809.56909044544</c:v>
                </c:pt>
                <c:pt idx="194">
                  <c:v>134148.06942619404</c:v>
                </c:pt>
                <c:pt idx="195">
                  <c:v>138249.40699305368</c:v>
                </c:pt>
                <c:pt idx="196">
                  <c:v>135233.80413828968</c:v>
                </c:pt>
                <c:pt idx="197">
                  <c:v>132914.63614802001</c:v>
                </c:pt>
                <c:pt idx="198">
                  <c:v>129501.70868509694</c:v>
                </c:pt>
                <c:pt idx="199">
                  <c:v>131818.05823840701</c:v>
                </c:pt>
                <c:pt idx="200">
                  <c:v>131942.06589871101</c:v>
                </c:pt>
                <c:pt idx="201">
                  <c:v>129799.063763825</c:v>
                </c:pt>
                <c:pt idx="202">
                  <c:v>135562.92106267382</c:v>
                </c:pt>
                <c:pt idx="203">
                  <c:v>128772.944784454</c:v>
                </c:pt>
                <c:pt idx="204">
                  <c:v>140063.33154251392</c:v>
                </c:pt>
                <c:pt idx="205">
                  <c:v>129595.90203214373</c:v>
                </c:pt>
                <c:pt idx="206">
                  <c:v>129515.09648520791</c:v>
                </c:pt>
                <c:pt idx="207">
                  <c:v>129463.35342138202</c:v>
                </c:pt>
                <c:pt idx="208">
                  <c:v>134033.65162817799</c:v>
                </c:pt>
                <c:pt idx="209">
                  <c:v>132775.432553102</c:v>
                </c:pt>
                <c:pt idx="210">
                  <c:v>133262.19721786401</c:v>
                </c:pt>
                <c:pt idx="211">
                  <c:v>131799.025794018</c:v>
                </c:pt>
                <c:pt idx="212">
                  <c:v>128349.68750644402</c:v>
                </c:pt>
                <c:pt idx="213">
                  <c:v>125461.182656209</c:v>
                </c:pt>
                <c:pt idx="214">
                  <c:v>123858.53541213146</c:v>
                </c:pt>
                <c:pt idx="215">
                  <c:v>131058.057594963</c:v>
                </c:pt>
                <c:pt idx="216">
                  <c:v>125372.17506976848</c:v>
                </c:pt>
                <c:pt idx="217">
                  <c:v>125794.66069804702</c:v>
                </c:pt>
                <c:pt idx="218">
                  <c:v>128340.571504059</c:v>
                </c:pt>
                <c:pt idx="219">
                  <c:v>132522.54393966956</c:v>
                </c:pt>
                <c:pt idx="220">
                  <c:v>129480.47188185297</c:v>
                </c:pt>
                <c:pt idx="221">
                  <c:v>128575.50068320599</c:v>
                </c:pt>
                <c:pt idx="222">
                  <c:v>126293.77052438605</c:v>
                </c:pt>
                <c:pt idx="223">
                  <c:v>127201.37873508008</c:v>
                </c:pt>
                <c:pt idx="224">
                  <c:v>128430.143884205</c:v>
                </c:pt>
                <c:pt idx="225">
                  <c:v>128937.13814868448</c:v>
                </c:pt>
                <c:pt idx="226">
                  <c:v>129749.17510828948</c:v>
                </c:pt>
                <c:pt idx="227">
                  <c:v>127437.44657186441</c:v>
                </c:pt>
                <c:pt idx="228">
                  <c:v>128288.56163115271</c:v>
                </c:pt>
              </c:numCache>
            </c:numRef>
          </c:val>
          <c:smooth val="1"/>
        </c:ser>
        <c:ser>
          <c:idx val="4"/>
          <c:order val="4"/>
          <c:tx>
            <c:strRef>
              <c:f>'House Price'!$F$3</c:f>
              <c:strCache>
                <c:ptCount val="1"/>
                <c:pt idx="0">
                  <c:v>Kingston Upon Hull</c:v>
                </c:pt>
              </c:strCache>
            </c:strRef>
          </c:tx>
          <c:marker>
            <c:symbol val="none"/>
          </c:marker>
          <c:cat>
            <c:numRef>
              <c:f>'House Price'!$A$4:$A$232</c:f>
              <c:numCache>
                <c:formatCode>mmm\-yyyy</c:formatCode>
                <c:ptCount val="229"/>
                <c:pt idx="0">
                  <c:v>34700</c:v>
                </c:pt>
                <c:pt idx="1">
                  <c:v>34731</c:v>
                </c:pt>
                <c:pt idx="2">
                  <c:v>34759</c:v>
                </c:pt>
                <c:pt idx="3">
                  <c:v>34790</c:v>
                </c:pt>
                <c:pt idx="4">
                  <c:v>34820</c:v>
                </c:pt>
                <c:pt idx="5">
                  <c:v>34851</c:v>
                </c:pt>
                <c:pt idx="6">
                  <c:v>34881</c:v>
                </c:pt>
                <c:pt idx="7">
                  <c:v>34912</c:v>
                </c:pt>
                <c:pt idx="8">
                  <c:v>34943</c:v>
                </c:pt>
                <c:pt idx="9">
                  <c:v>34973</c:v>
                </c:pt>
                <c:pt idx="10">
                  <c:v>35004</c:v>
                </c:pt>
                <c:pt idx="11">
                  <c:v>35034</c:v>
                </c:pt>
                <c:pt idx="12">
                  <c:v>35065</c:v>
                </c:pt>
                <c:pt idx="13">
                  <c:v>35096</c:v>
                </c:pt>
                <c:pt idx="14">
                  <c:v>35125</c:v>
                </c:pt>
                <c:pt idx="15">
                  <c:v>35156</c:v>
                </c:pt>
                <c:pt idx="16">
                  <c:v>35186</c:v>
                </c:pt>
                <c:pt idx="17">
                  <c:v>35217</c:v>
                </c:pt>
                <c:pt idx="18">
                  <c:v>35247</c:v>
                </c:pt>
                <c:pt idx="19">
                  <c:v>35278</c:v>
                </c:pt>
                <c:pt idx="20">
                  <c:v>35309</c:v>
                </c:pt>
                <c:pt idx="21">
                  <c:v>35339</c:v>
                </c:pt>
                <c:pt idx="22">
                  <c:v>35370</c:v>
                </c:pt>
                <c:pt idx="23">
                  <c:v>35400</c:v>
                </c:pt>
                <c:pt idx="24">
                  <c:v>35431</c:v>
                </c:pt>
                <c:pt idx="25">
                  <c:v>35462</c:v>
                </c:pt>
                <c:pt idx="26">
                  <c:v>35490</c:v>
                </c:pt>
                <c:pt idx="27">
                  <c:v>35521</c:v>
                </c:pt>
                <c:pt idx="28">
                  <c:v>35551</c:v>
                </c:pt>
                <c:pt idx="29">
                  <c:v>35582</c:v>
                </c:pt>
                <c:pt idx="30">
                  <c:v>35612</c:v>
                </c:pt>
                <c:pt idx="31">
                  <c:v>35643</c:v>
                </c:pt>
                <c:pt idx="32">
                  <c:v>35674</c:v>
                </c:pt>
                <c:pt idx="33">
                  <c:v>35704</c:v>
                </c:pt>
                <c:pt idx="34">
                  <c:v>35735</c:v>
                </c:pt>
                <c:pt idx="35">
                  <c:v>35765</c:v>
                </c:pt>
                <c:pt idx="36">
                  <c:v>35796</c:v>
                </c:pt>
                <c:pt idx="37">
                  <c:v>35827</c:v>
                </c:pt>
                <c:pt idx="38">
                  <c:v>35855</c:v>
                </c:pt>
                <c:pt idx="39">
                  <c:v>35886</c:v>
                </c:pt>
                <c:pt idx="40">
                  <c:v>35916</c:v>
                </c:pt>
                <c:pt idx="41">
                  <c:v>35947</c:v>
                </c:pt>
                <c:pt idx="42">
                  <c:v>35977</c:v>
                </c:pt>
                <c:pt idx="43">
                  <c:v>36008</c:v>
                </c:pt>
                <c:pt idx="44">
                  <c:v>36039</c:v>
                </c:pt>
                <c:pt idx="45">
                  <c:v>36069</c:v>
                </c:pt>
                <c:pt idx="46">
                  <c:v>36100</c:v>
                </c:pt>
                <c:pt idx="47">
                  <c:v>36130</c:v>
                </c:pt>
                <c:pt idx="48">
                  <c:v>36161</c:v>
                </c:pt>
                <c:pt idx="49">
                  <c:v>36192</c:v>
                </c:pt>
                <c:pt idx="50">
                  <c:v>36220</c:v>
                </c:pt>
                <c:pt idx="51">
                  <c:v>36251</c:v>
                </c:pt>
                <c:pt idx="52">
                  <c:v>36281</c:v>
                </c:pt>
                <c:pt idx="53">
                  <c:v>36312</c:v>
                </c:pt>
                <c:pt idx="54">
                  <c:v>36342</c:v>
                </c:pt>
                <c:pt idx="55">
                  <c:v>36373</c:v>
                </c:pt>
                <c:pt idx="56">
                  <c:v>36404</c:v>
                </c:pt>
                <c:pt idx="57">
                  <c:v>36434</c:v>
                </c:pt>
                <c:pt idx="58">
                  <c:v>36465</c:v>
                </c:pt>
                <c:pt idx="59">
                  <c:v>36495</c:v>
                </c:pt>
                <c:pt idx="60">
                  <c:v>36526</c:v>
                </c:pt>
                <c:pt idx="61">
                  <c:v>36557</c:v>
                </c:pt>
                <c:pt idx="62">
                  <c:v>36586</c:v>
                </c:pt>
                <c:pt idx="63">
                  <c:v>36617</c:v>
                </c:pt>
                <c:pt idx="64">
                  <c:v>36647</c:v>
                </c:pt>
                <c:pt idx="65">
                  <c:v>36678</c:v>
                </c:pt>
                <c:pt idx="66">
                  <c:v>36708</c:v>
                </c:pt>
                <c:pt idx="67">
                  <c:v>36739</c:v>
                </c:pt>
                <c:pt idx="68">
                  <c:v>36770</c:v>
                </c:pt>
                <c:pt idx="69">
                  <c:v>36800</c:v>
                </c:pt>
                <c:pt idx="70">
                  <c:v>36831</c:v>
                </c:pt>
                <c:pt idx="71">
                  <c:v>36861</c:v>
                </c:pt>
                <c:pt idx="72">
                  <c:v>36892</c:v>
                </c:pt>
                <c:pt idx="73">
                  <c:v>36923</c:v>
                </c:pt>
                <c:pt idx="74">
                  <c:v>36951</c:v>
                </c:pt>
                <c:pt idx="75">
                  <c:v>36982</c:v>
                </c:pt>
                <c:pt idx="76">
                  <c:v>37012</c:v>
                </c:pt>
                <c:pt idx="77">
                  <c:v>37043</c:v>
                </c:pt>
                <c:pt idx="78">
                  <c:v>37073</c:v>
                </c:pt>
                <c:pt idx="79">
                  <c:v>37104</c:v>
                </c:pt>
                <c:pt idx="80">
                  <c:v>37135</c:v>
                </c:pt>
                <c:pt idx="81">
                  <c:v>37165</c:v>
                </c:pt>
                <c:pt idx="82">
                  <c:v>37196</c:v>
                </c:pt>
                <c:pt idx="83">
                  <c:v>37226</c:v>
                </c:pt>
                <c:pt idx="84">
                  <c:v>37257</c:v>
                </c:pt>
                <c:pt idx="85">
                  <c:v>37288</c:v>
                </c:pt>
                <c:pt idx="86">
                  <c:v>37316</c:v>
                </c:pt>
                <c:pt idx="87">
                  <c:v>37347</c:v>
                </c:pt>
                <c:pt idx="88">
                  <c:v>37377</c:v>
                </c:pt>
                <c:pt idx="89">
                  <c:v>37408</c:v>
                </c:pt>
                <c:pt idx="90">
                  <c:v>37438</c:v>
                </c:pt>
                <c:pt idx="91">
                  <c:v>37469</c:v>
                </c:pt>
                <c:pt idx="92">
                  <c:v>37500</c:v>
                </c:pt>
                <c:pt idx="93">
                  <c:v>37530</c:v>
                </c:pt>
                <c:pt idx="94">
                  <c:v>37561</c:v>
                </c:pt>
                <c:pt idx="95">
                  <c:v>37591</c:v>
                </c:pt>
                <c:pt idx="96">
                  <c:v>37622</c:v>
                </c:pt>
                <c:pt idx="97">
                  <c:v>37653</c:v>
                </c:pt>
                <c:pt idx="98">
                  <c:v>37681</c:v>
                </c:pt>
                <c:pt idx="99">
                  <c:v>37712</c:v>
                </c:pt>
                <c:pt idx="100">
                  <c:v>37742</c:v>
                </c:pt>
                <c:pt idx="101">
                  <c:v>37773</c:v>
                </c:pt>
                <c:pt idx="102">
                  <c:v>37803</c:v>
                </c:pt>
                <c:pt idx="103">
                  <c:v>37834</c:v>
                </c:pt>
                <c:pt idx="104">
                  <c:v>37865</c:v>
                </c:pt>
                <c:pt idx="105">
                  <c:v>37895</c:v>
                </c:pt>
                <c:pt idx="106">
                  <c:v>37926</c:v>
                </c:pt>
                <c:pt idx="107">
                  <c:v>37956</c:v>
                </c:pt>
                <c:pt idx="108">
                  <c:v>37987</c:v>
                </c:pt>
                <c:pt idx="109">
                  <c:v>38018</c:v>
                </c:pt>
                <c:pt idx="110">
                  <c:v>38047</c:v>
                </c:pt>
                <c:pt idx="111">
                  <c:v>38078</c:v>
                </c:pt>
                <c:pt idx="112">
                  <c:v>38108</c:v>
                </c:pt>
                <c:pt idx="113">
                  <c:v>38139</c:v>
                </c:pt>
                <c:pt idx="114">
                  <c:v>38169</c:v>
                </c:pt>
                <c:pt idx="115">
                  <c:v>38200</c:v>
                </c:pt>
                <c:pt idx="116">
                  <c:v>38231</c:v>
                </c:pt>
                <c:pt idx="117">
                  <c:v>38261</c:v>
                </c:pt>
                <c:pt idx="118">
                  <c:v>38292</c:v>
                </c:pt>
                <c:pt idx="119">
                  <c:v>38322</c:v>
                </c:pt>
                <c:pt idx="120">
                  <c:v>38353</c:v>
                </c:pt>
                <c:pt idx="121">
                  <c:v>38384</c:v>
                </c:pt>
                <c:pt idx="122">
                  <c:v>38412</c:v>
                </c:pt>
                <c:pt idx="123">
                  <c:v>38443</c:v>
                </c:pt>
                <c:pt idx="124">
                  <c:v>38473</c:v>
                </c:pt>
                <c:pt idx="125">
                  <c:v>38504</c:v>
                </c:pt>
                <c:pt idx="126">
                  <c:v>38534</c:v>
                </c:pt>
                <c:pt idx="127">
                  <c:v>38565</c:v>
                </c:pt>
                <c:pt idx="128">
                  <c:v>38596</c:v>
                </c:pt>
                <c:pt idx="129">
                  <c:v>38626</c:v>
                </c:pt>
                <c:pt idx="130">
                  <c:v>38657</c:v>
                </c:pt>
                <c:pt idx="131">
                  <c:v>38687</c:v>
                </c:pt>
                <c:pt idx="132">
                  <c:v>38718</c:v>
                </c:pt>
                <c:pt idx="133">
                  <c:v>38749</c:v>
                </c:pt>
                <c:pt idx="134">
                  <c:v>38777</c:v>
                </c:pt>
                <c:pt idx="135">
                  <c:v>38808</c:v>
                </c:pt>
                <c:pt idx="136">
                  <c:v>38838</c:v>
                </c:pt>
                <c:pt idx="137">
                  <c:v>38869</c:v>
                </c:pt>
                <c:pt idx="138">
                  <c:v>38899</c:v>
                </c:pt>
                <c:pt idx="139">
                  <c:v>38930</c:v>
                </c:pt>
                <c:pt idx="140">
                  <c:v>38961</c:v>
                </c:pt>
                <c:pt idx="141">
                  <c:v>38991</c:v>
                </c:pt>
                <c:pt idx="142">
                  <c:v>39022</c:v>
                </c:pt>
                <c:pt idx="143">
                  <c:v>39052</c:v>
                </c:pt>
                <c:pt idx="144">
                  <c:v>39083</c:v>
                </c:pt>
                <c:pt idx="145">
                  <c:v>39114</c:v>
                </c:pt>
                <c:pt idx="146">
                  <c:v>39142</c:v>
                </c:pt>
                <c:pt idx="147">
                  <c:v>39173</c:v>
                </c:pt>
                <c:pt idx="148">
                  <c:v>39203</c:v>
                </c:pt>
                <c:pt idx="149">
                  <c:v>39234</c:v>
                </c:pt>
                <c:pt idx="150">
                  <c:v>39264</c:v>
                </c:pt>
                <c:pt idx="151">
                  <c:v>39295</c:v>
                </c:pt>
                <c:pt idx="152">
                  <c:v>39326</c:v>
                </c:pt>
                <c:pt idx="153">
                  <c:v>39356</c:v>
                </c:pt>
                <c:pt idx="154">
                  <c:v>39387</c:v>
                </c:pt>
                <c:pt idx="155">
                  <c:v>39417</c:v>
                </c:pt>
                <c:pt idx="156">
                  <c:v>39448</c:v>
                </c:pt>
                <c:pt idx="157">
                  <c:v>39479</c:v>
                </c:pt>
                <c:pt idx="158">
                  <c:v>39508</c:v>
                </c:pt>
                <c:pt idx="159">
                  <c:v>39539</c:v>
                </c:pt>
                <c:pt idx="160">
                  <c:v>39569</c:v>
                </c:pt>
                <c:pt idx="161">
                  <c:v>39600</c:v>
                </c:pt>
                <c:pt idx="162">
                  <c:v>39630</c:v>
                </c:pt>
                <c:pt idx="163">
                  <c:v>39661</c:v>
                </c:pt>
                <c:pt idx="164">
                  <c:v>39692</c:v>
                </c:pt>
                <c:pt idx="165">
                  <c:v>39722</c:v>
                </c:pt>
                <c:pt idx="166">
                  <c:v>39753</c:v>
                </c:pt>
                <c:pt idx="167">
                  <c:v>39783</c:v>
                </c:pt>
                <c:pt idx="168">
                  <c:v>39814</c:v>
                </c:pt>
                <c:pt idx="169">
                  <c:v>39845</c:v>
                </c:pt>
                <c:pt idx="170">
                  <c:v>39873</c:v>
                </c:pt>
                <c:pt idx="171">
                  <c:v>39904</c:v>
                </c:pt>
                <c:pt idx="172">
                  <c:v>39934</c:v>
                </c:pt>
                <c:pt idx="173">
                  <c:v>39965</c:v>
                </c:pt>
                <c:pt idx="174">
                  <c:v>39995</c:v>
                </c:pt>
                <c:pt idx="175">
                  <c:v>40026</c:v>
                </c:pt>
                <c:pt idx="176">
                  <c:v>40057</c:v>
                </c:pt>
                <c:pt idx="177">
                  <c:v>40087</c:v>
                </c:pt>
                <c:pt idx="178">
                  <c:v>40118</c:v>
                </c:pt>
                <c:pt idx="179">
                  <c:v>40148</c:v>
                </c:pt>
                <c:pt idx="180">
                  <c:v>40179</c:v>
                </c:pt>
                <c:pt idx="181">
                  <c:v>40210</c:v>
                </c:pt>
                <c:pt idx="182">
                  <c:v>40238</c:v>
                </c:pt>
                <c:pt idx="183">
                  <c:v>40269</c:v>
                </c:pt>
                <c:pt idx="184">
                  <c:v>40299</c:v>
                </c:pt>
                <c:pt idx="185">
                  <c:v>40330</c:v>
                </c:pt>
                <c:pt idx="186">
                  <c:v>40360</c:v>
                </c:pt>
                <c:pt idx="187">
                  <c:v>40391</c:v>
                </c:pt>
                <c:pt idx="188">
                  <c:v>40422</c:v>
                </c:pt>
                <c:pt idx="189">
                  <c:v>40452</c:v>
                </c:pt>
                <c:pt idx="190">
                  <c:v>40483</c:v>
                </c:pt>
                <c:pt idx="191">
                  <c:v>40513</c:v>
                </c:pt>
                <c:pt idx="192">
                  <c:v>40544</c:v>
                </c:pt>
                <c:pt idx="193">
                  <c:v>40575</c:v>
                </c:pt>
                <c:pt idx="194">
                  <c:v>40603</c:v>
                </c:pt>
                <c:pt idx="195">
                  <c:v>40634</c:v>
                </c:pt>
                <c:pt idx="196">
                  <c:v>40664</c:v>
                </c:pt>
                <c:pt idx="197">
                  <c:v>40695</c:v>
                </c:pt>
                <c:pt idx="198">
                  <c:v>40725</c:v>
                </c:pt>
                <c:pt idx="199">
                  <c:v>40756</c:v>
                </c:pt>
                <c:pt idx="200">
                  <c:v>40787</c:v>
                </c:pt>
                <c:pt idx="201">
                  <c:v>40817</c:v>
                </c:pt>
                <c:pt idx="202">
                  <c:v>40848</c:v>
                </c:pt>
                <c:pt idx="203">
                  <c:v>40878</c:v>
                </c:pt>
                <c:pt idx="204">
                  <c:v>40909</c:v>
                </c:pt>
                <c:pt idx="205">
                  <c:v>40940</c:v>
                </c:pt>
                <c:pt idx="206">
                  <c:v>40969</c:v>
                </c:pt>
                <c:pt idx="207">
                  <c:v>41000</c:v>
                </c:pt>
                <c:pt idx="208">
                  <c:v>41030</c:v>
                </c:pt>
                <c:pt idx="209">
                  <c:v>41061</c:v>
                </c:pt>
                <c:pt idx="210">
                  <c:v>41091</c:v>
                </c:pt>
                <c:pt idx="211">
                  <c:v>41122</c:v>
                </c:pt>
                <c:pt idx="212">
                  <c:v>41153</c:v>
                </c:pt>
                <c:pt idx="213">
                  <c:v>41183</c:v>
                </c:pt>
                <c:pt idx="214">
                  <c:v>41214</c:v>
                </c:pt>
                <c:pt idx="215">
                  <c:v>41244</c:v>
                </c:pt>
                <c:pt idx="216">
                  <c:v>41275</c:v>
                </c:pt>
                <c:pt idx="217">
                  <c:v>41306</c:v>
                </c:pt>
                <c:pt idx="218">
                  <c:v>41334</c:v>
                </c:pt>
                <c:pt idx="219">
                  <c:v>41365</c:v>
                </c:pt>
                <c:pt idx="220">
                  <c:v>41395</c:v>
                </c:pt>
                <c:pt idx="221">
                  <c:v>41426</c:v>
                </c:pt>
                <c:pt idx="222">
                  <c:v>41456</c:v>
                </c:pt>
                <c:pt idx="223">
                  <c:v>41487</c:v>
                </c:pt>
                <c:pt idx="224">
                  <c:v>41518</c:v>
                </c:pt>
                <c:pt idx="225">
                  <c:v>41548</c:v>
                </c:pt>
                <c:pt idx="226">
                  <c:v>41579</c:v>
                </c:pt>
                <c:pt idx="227">
                  <c:v>41609</c:v>
                </c:pt>
                <c:pt idx="228">
                  <c:v>41640</c:v>
                </c:pt>
              </c:numCache>
            </c:numRef>
          </c:cat>
          <c:val>
            <c:numRef>
              <c:f>'House Price'!$F$4:$F$232</c:f>
              <c:numCache>
                <c:formatCode>"£"#,##0</c:formatCode>
                <c:ptCount val="229"/>
                <c:pt idx="0">
                  <c:v>50215.215615220943</c:v>
                </c:pt>
                <c:pt idx="1">
                  <c:v>48594.055911797012</c:v>
                </c:pt>
                <c:pt idx="2">
                  <c:v>52789.895546980384</c:v>
                </c:pt>
                <c:pt idx="3">
                  <c:v>52660.630282741186</c:v>
                </c:pt>
                <c:pt idx="4">
                  <c:v>48192.3935485935</c:v>
                </c:pt>
                <c:pt idx="5">
                  <c:v>47827.879580794943</c:v>
                </c:pt>
                <c:pt idx="6">
                  <c:v>46061.226666791576</c:v>
                </c:pt>
                <c:pt idx="7">
                  <c:v>46067.249013554596</c:v>
                </c:pt>
                <c:pt idx="8">
                  <c:v>45441.126217716599</c:v>
                </c:pt>
                <c:pt idx="9">
                  <c:v>49756.585695631184</c:v>
                </c:pt>
                <c:pt idx="10">
                  <c:v>49982.602414898603</c:v>
                </c:pt>
                <c:pt idx="11">
                  <c:v>46132.969130957674</c:v>
                </c:pt>
                <c:pt idx="12">
                  <c:v>46508.399150904996</c:v>
                </c:pt>
                <c:pt idx="13">
                  <c:v>47005.781569110986</c:v>
                </c:pt>
                <c:pt idx="14">
                  <c:v>48233.992873109411</c:v>
                </c:pt>
                <c:pt idx="15">
                  <c:v>45140.807344269502</c:v>
                </c:pt>
                <c:pt idx="16">
                  <c:v>46739.545032684196</c:v>
                </c:pt>
                <c:pt idx="17">
                  <c:v>44502.682507007601</c:v>
                </c:pt>
                <c:pt idx="18">
                  <c:v>41710.031049425597</c:v>
                </c:pt>
                <c:pt idx="19">
                  <c:v>45197.2287742099</c:v>
                </c:pt>
                <c:pt idx="20">
                  <c:v>42738.0602995917</c:v>
                </c:pt>
                <c:pt idx="21">
                  <c:v>43555.079067983075</c:v>
                </c:pt>
                <c:pt idx="22">
                  <c:v>41296.615020935584</c:v>
                </c:pt>
                <c:pt idx="23">
                  <c:v>41620.864744054503</c:v>
                </c:pt>
                <c:pt idx="24">
                  <c:v>40475.723741976442</c:v>
                </c:pt>
                <c:pt idx="25">
                  <c:v>41540.156904421703</c:v>
                </c:pt>
                <c:pt idx="26">
                  <c:v>41439.055009225543</c:v>
                </c:pt>
                <c:pt idx="27">
                  <c:v>40990.965569752385</c:v>
                </c:pt>
                <c:pt idx="28">
                  <c:v>40854.150387751586</c:v>
                </c:pt>
                <c:pt idx="29">
                  <c:v>38587.849181456513</c:v>
                </c:pt>
                <c:pt idx="30">
                  <c:v>37877.521942397085</c:v>
                </c:pt>
                <c:pt idx="31">
                  <c:v>37647.826144621635</c:v>
                </c:pt>
                <c:pt idx="32">
                  <c:v>41295.757237105412</c:v>
                </c:pt>
                <c:pt idx="33">
                  <c:v>38655.649439733184</c:v>
                </c:pt>
                <c:pt idx="34">
                  <c:v>38095.576358832201</c:v>
                </c:pt>
                <c:pt idx="35">
                  <c:v>39436.369550864401</c:v>
                </c:pt>
                <c:pt idx="36">
                  <c:v>37693.738011738198</c:v>
                </c:pt>
                <c:pt idx="37">
                  <c:v>38370.675094478443</c:v>
                </c:pt>
                <c:pt idx="38">
                  <c:v>38613.818510035213</c:v>
                </c:pt>
                <c:pt idx="39">
                  <c:v>38585.286892987002</c:v>
                </c:pt>
                <c:pt idx="40">
                  <c:v>37719.468144878912</c:v>
                </c:pt>
                <c:pt idx="41">
                  <c:v>38582.302453047203</c:v>
                </c:pt>
                <c:pt idx="42">
                  <c:v>37551.431647530975</c:v>
                </c:pt>
                <c:pt idx="43">
                  <c:v>35416.723344337166</c:v>
                </c:pt>
                <c:pt idx="44">
                  <c:v>36349.374982071284</c:v>
                </c:pt>
                <c:pt idx="45">
                  <c:v>35574.729678764219</c:v>
                </c:pt>
                <c:pt idx="46">
                  <c:v>35517.126579861186</c:v>
                </c:pt>
                <c:pt idx="47">
                  <c:v>36406.783925648284</c:v>
                </c:pt>
                <c:pt idx="48">
                  <c:v>35744.628835999043</c:v>
                </c:pt>
                <c:pt idx="49">
                  <c:v>35173.316344003513</c:v>
                </c:pt>
                <c:pt idx="50">
                  <c:v>33978.897681351475</c:v>
                </c:pt>
                <c:pt idx="51">
                  <c:v>36677.083568066912</c:v>
                </c:pt>
                <c:pt idx="52">
                  <c:v>35574.012662820998</c:v>
                </c:pt>
                <c:pt idx="53">
                  <c:v>36235.331857513585</c:v>
                </c:pt>
                <c:pt idx="54">
                  <c:v>35306.991208093401</c:v>
                </c:pt>
                <c:pt idx="55">
                  <c:v>34184.437403840675</c:v>
                </c:pt>
                <c:pt idx="56">
                  <c:v>35524.612134933384</c:v>
                </c:pt>
                <c:pt idx="57">
                  <c:v>35253.720156622185</c:v>
                </c:pt>
                <c:pt idx="58">
                  <c:v>35436.808585770712</c:v>
                </c:pt>
                <c:pt idx="59">
                  <c:v>34460.358105155312</c:v>
                </c:pt>
                <c:pt idx="60">
                  <c:v>35168.719002788501</c:v>
                </c:pt>
                <c:pt idx="61">
                  <c:v>35078.162464410874</c:v>
                </c:pt>
                <c:pt idx="62">
                  <c:v>34605.912530776484</c:v>
                </c:pt>
                <c:pt idx="63">
                  <c:v>35926.766636483</c:v>
                </c:pt>
                <c:pt idx="64">
                  <c:v>35649.211925859476</c:v>
                </c:pt>
                <c:pt idx="65">
                  <c:v>34212.069744206376</c:v>
                </c:pt>
                <c:pt idx="66">
                  <c:v>35106.610195702902</c:v>
                </c:pt>
                <c:pt idx="67">
                  <c:v>33884.594425927884</c:v>
                </c:pt>
                <c:pt idx="68">
                  <c:v>34261.167588191187</c:v>
                </c:pt>
                <c:pt idx="69">
                  <c:v>34958.443417879513</c:v>
                </c:pt>
                <c:pt idx="70">
                  <c:v>33357.859386042612</c:v>
                </c:pt>
                <c:pt idx="71">
                  <c:v>34040.821621952775</c:v>
                </c:pt>
                <c:pt idx="72">
                  <c:v>35182.5761044912</c:v>
                </c:pt>
                <c:pt idx="73">
                  <c:v>33276.887568680198</c:v>
                </c:pt>
                <c:pt idx="74">
                  <c:v>35536.565145381574</c:v>
                </c:pt>
                <c:pt idx="75">
                  <c:v>33641.187133033774</c:v>
                </c:pt>
                <c:pt idx="76">
                  <c:v>35453.328536401954</c:v>
                </c:pt>
                <c:pt idx="77">
                  <c:v>34707.819181097511</c:v>
                </c:pt>
                <c:pt idx="78">
                  <c:v>35545.227363039565</c:v>
                </c:pt>
                <c:pt idx="79">
                  <c:v>35029.285141472996</c:v>
                </c:pt>
                <c:pt idx="80">
                  <c:v>34513.657262446613</c:v>
                </c:pt>
                <c:pt idx="81">
                  <c:v>36890.777772411857</c:v>
                </c:pt>
                <c:pt idx="82">
                  <c:v>36344.726042532842</c:v>
                </c:pt>
                <c:pt idx="83">
                  <c:v>35457.9249937926</c:v>
                </c:pt>
                <c:pt idx="84">
                  <c:v>35838.611205254943</c:v>
                </c:pt>
                <c:pt idx="85">
                  <c:v>36927.166079514674</c:v>
                </c:pt>
                <c:pt idx="86">
                  <c:v>36762.332321996946</c:v>
                </c:pt>
                <c:pt idx="87">
                  <c:v>38261.188613191203</c:v>
                </c:pt>
                <c:pt idx="88">
                  <c:v>40148.025693714975</c:v>
                </c:pt>
                <c:pt idx="89">
                  <c:v>38510.948649877602</c:v>
                </c:pt>
                <c:pt idx="90">
                  <c:v>39994.2818439408</c:v>
                </c:pt>
                <c:pt idx="91">
                  <c:v>40901.699575989674</c:v>
                </c:pt>
                <c:pt idx="92">
                  <c:v>42974.280914508512</c:v>
                </c:pt>
                <c:pt idx="93">
                  <c:v>42200.938997102712</c:v>
                </c:pt>
                <c:pt idx="94">
                  <c:v>44658.499640634996</c:v>
                </c:pt>
                <c:pt idx="95">
                  <c:v>46398.326612113</c:v>
                </c:pt>
                <c:pt idx="96">
                  <c:v>46725.990677346599</c:v>
                </c:pt>
                <c:pt idx="97">
                  <c:v>46687.033487488276</c:v>
                </c:pt>
                <c:pt idx="98">
                  <c:v>45813.74750556572</c:v>
                </c:pt>
                <c:pt idx="99">
                  <c:v>46954.608094474599</c:v>
                </c:pt>
                <c:pt idx="100">
                  <c:v>47969.304621624913</c:v>
                </c:pt>
                <c:pt idx="101">
                  <c:v>49393.812784194211</c:v>
                </c:pt>
                <c:pt idx="102">
                  <c:v>49121.6157526959</c:v>
                </c:pt>
                <c:pt idx="103">
                  <c:v>50558.198286417195</c:v>
                </c:pt>
                <c:pt idx="104">
                  <c:v>52798.967395461084</c:v>
                </c:pt>
                <c:pt idx="105">
                  <c:v>51217.193070847185</c:v>
                </c:pt>
                <c:pt idx="106">
                  <c:v>54006.359586034443</c:v>
                </c:pt>
                <c:pt idx="107">
                  <c:v>52687.582727741785</c:v>
                </c:pt>
                <c:pt idx="108">
                  <c:v>52988.178897127611</c:v>
                </c:pt>
                <c:pt idx="109">
                  <c:v>56779.199898117084</c:v>
                </c:pt>
                <c:pt idx="110">
                  <c:v>58469.834452339303</c:v>
                </c:pt>
                <c:pt idx="111">
                  <c:v>61460.747231774702</c:v>
                </c:pt>
                <c:pt idx="112">
                  <c:v>63199.911854073602</c:v>
                </c:pt>
                <c:pt idx="113">
                  <c:v>63957.213627030585</c:v>
                </c:pt>
                <c:pt idx="114">
                  <c:v>65092.766761923835</c:v>
                </c:pt>
                <c:pt idx="115">
                  <c:v>65757.655480939036</c:v>
                </c:pt>
                <c:pt idx="116">
                  <c:v>67936.093507960308</c:v>
                </c:pt>
                <c:pt idx="117">
                  <c:v>66011.878988104407</c:v>
                </c:pt>
                <c:pt idx="118">
                  <c:v>66084.693990280357</c:v>
                </c:pt>
                <c:pt idx="119">
                  <c:v>69936.874311112202</c:v>
                </c:pt>
                <c:pt idx="120">
                  <c:v>68855.162740250205</c:v>
                </c:pt>
                <c:pt idx="121">
                  <c:v>69292.257652980887</c:v>
                </c:pt>
                <c:pt idx="122">
                  <c:v>69211.408130072348</c:v>
                </c:pt>
                <c:pt idx="123">
                  <c:v>69893.129048359027</c:v>
                </c:pt>
                <c:pt idx="124">
                  <c:v>72035.083482589907</c:v>
                </c:pt>
                <c:pt idx="125">
                  <c:v>72012.498957844393</c:v>
                </c:pt>
                <c:pt idx="126">
                  <c:v>73048.227798960026</c:v>
                </c:pt>
                <c:pt idx="127">
                  <c:v>74137.112756874805</c:v>
                </c:pt>
                <c:pt idx="128">
                  <c:v>76000.372490146023</c:v>
                </c:pt>
                <c:pt idx="129">
                  <c:v>73684.763239668784</c:v>
                </c:pt>
                <c:pt idx="130">
                  <c:v>74168.978342790724</c:v>
                </c:pt>
                <c:pt idx="131">
                  <c:v>73645.108800999806</c:v>
                </c:pt>
                <c:pt idx="132">
                  <c:v>75928.775638119638</c:v>
                </c:pt>
                <c:pt idx="133">
                  <c:v>77669.797536033308</c:v>
                </c:pt>
                <c:pt idx="134">
                  <c:v>77748.914384525968</c:v>
                </c:pt>
                <c:pt idx="135">
                  <c:v>78987.470994516203</c:v>
                </c:pt>
                <c:pt idx="136">
                  <c:v>79273.150543371201</c:v>
                </c:pt>
                <c:pt idx="137">
                  <c:v>79152.847906514478</c:v>
                </c:pt>
                <c:pt idx="138">
                  <c:v>81424.665978224701</c:v>
                </c:pt>
                <c:pt idx="139">
                  <c:v>81509.514327142388</c:v>
                </c:pt>
                <c:pt idx="140">
                  <c:v>81400.898234467008</c:v>
                </c:pt>
                <c:pt idx="141">
                  <c:v>82611.207327428798</c:v>
                </c:pt>
                <c:pt idx="142">
                  <c:v>85194.678483839525</c:v>
                </c:pt>
                <c:pt idx="143">
                  <c:v>84534.288115224568</c:v>
                </c:pt>
                <c:pt idx="144">
                  <c:v>86319.26367592538</c:v>
                </c:pt>
                <c:pt idx="145">
                  <c:v>84800.368346244722</c:v>
                </c:pt>
                <c:pt idx="146">
                  <c:v>85356.341145782106</c:v>
                </c:pt>
                <c:pt idx="147">
                  <c:v>88587.139720056526</c:v>
                </c:pt>
                <c:pt idx="148">
                  <c:v>87965.303667630724</c:v>
                </c:pt>
                <c:pt idx="149">
                  <c:v>88229.646989520348</c:v>
                </c:pt>
                <c:pt idx="150">
                  <c:v>87999.11428345539</c:v>
                </c:pt>
                <c:pt idx="151">
                  <c:v>88966.752140652301</c:v>
                </c:pt>
                <c:pt idx="152">
                  <c:v>90293.836810155</c:v>
                </c:pt>
                <c:pt idx="153">
                  <c:v>91289.415158779899</c:v>
                </c:pt>
                <c:pt idx="154">
                  <c:v>88794.220829542101</c:v>
                </c:pt>
                <c:pt idx="155">
                  <c:v>91163.029611770224</c:v>
                </c:pt>
                <c:pt idx="156">
                  <c:v>90095.444498978904</c:v>
                </c:pt>
                <c:pt idx="157">
                  <c:v>87730.2983421479</c:v>
                </c:pt>
                <c:pt idx="158">
                  <c:v>91630.396319222244</c:v>
                </c:pt>
                <c:pt idx="159">
                  <c:v>92637.745494054601</c:v>
                </c:pt>
                <c:pt idx="160">
                  <c:v>91198.288930842449</c:v>
                </c:pt>
                <c:pt idx="161">
                  <c:v>87658.319113983423</c:v>
                </c:pt>
                <c:pt idx="162">
                  <c:v>88117.175431805968</c:v>
                </c:pt>
                <c:pt idx="163">
                  <c:v>90021.146309638396</c:v>
                </c:pt>
                <c:pt idx="164">
                  <c:v>82076.896403649938</c:v>
                </c:pt>
                <c:pt idx="165">
                  <c:v>80681.330370467549</c:v>
                </c:pt>
                <c:pt idx="166">
                  <c:v>77065.865771273748</c:v>
                </c:pt>
                <c:pt idx="167">
                  <c:v>78697.026723986404</c:v>
                </c:pt>
                <c:pt idx="168">
                  <c:v>77804.239059608997</c:v>
                </c:pt>
                <c:pt idx="169">
                  <c:v>78185.698403305025</c:v>
                </c:pt>
                <c:pt idx="170">
                  <c:v>72156.825260583297</c:v>
                </c:pt>
                <c:pt idx="171">
                  <c:v>74882.931905297708</c:v>
                </c:pt>
                <c:pt idx="172">
                  <c:v>77160.187603050508</c:v>
                </c:pt>
                <c:pt idx="173">
                  <c:v>74577.974504527738</c:v>
                </c:pt>
                <c:pt idx="174">
                  <c:v>75977.273852525905</c:v>
                </c:pt>
                <c:pt idx="175">
                  <c:v>70328.312721217299</c:v>
                </c:pt>
                <c:pt idx="176">
                  <c:v>75078.376960314825</c:v>
                </c:pt>
                <c:pt idx="177">
                  <c:v>74536.254079278908</c:v>
                </c:pt>
                <c:pt idx="178">
                  <c:v>73584.966318802399</c:v>
                </c:pt>
                <c:pt idx="179">
                  <c:v>75122.997337055844</c:v>
                </c:pt>
                <c:pt idx="180">
                  <c:v>69772.469070437306</c:v>
                </c:pt>
                <c:pt idx="181">
                  <c:v>73355.742458740904</c:v>
                </c:pt>
                <c:pt idx="182">
                  <c:v>79358.487367348702</c:v>
                </c:pt>
                <c:pt idx="183">
                  <c:v>76731.115585077379</c:v>
                </c:pt>
                <c:pt idx="184">
                  <c:v>76831.392558828971</c:v>
                </c:pt>
                <c:pt idx="185">
                  <c:v>73601.383093148004</c:v>
                </c:pt>
                <c:pt idx="186">
                  <c:v>80870.791866541927</c:v>
                </c:pt>
                <c:pt idx="187">
                  <c:v>76909.883312282807</c:v>
                </c:pt>
                <c:pt idx="188">
                  <c:v>75856.595493176399</c:v>
                </c:pt>
                <c:pt idx="189">
                  <c:v>79861.525042445457</c:v>
                </c:pt>
                <c:pt idx="190">
                  <c:v>74856.462043423104</c:v>
                </c:pt>
                <c:pt idx="191">
                  <c:v>72587.164526762601</c:v>
                </c:pt>
                <c:pt idx="192">
                  <c:v>76617.601041833157</c:v>
                </c:pt>
                <c:pt idx="193">
                  <c:v>69670.962514632978</c:v>
                </c:pt>
                <c:pt idx="194">
                  <c:v>75799.138554834106</c:v>
                </c:pt>
                <c:pt idx="195">
                  <c:v>71079.864545849399</c:v>
                </c:pt>
                <c:pt idx="196">
                  <c:v>70761.752294521371</c:v>
                </c:pt>
                <c:pt idx="197">
                  <c:v>69074.793126518125</c:v>
                </c:pt>
                <c:pt idx="198">
                  <c:v>71114.644676478303</c:v>
                </c:pt>
                <c:pt idx="199">
                  <c:v>69587.857351664701</c:v>
                </c:pt>
                <c:pt idx="200">
                  <c:v>65947.331063113204</c:v>
                </c:pt>
                <c:pt idx="201">
                  <c:v>69864.091440984907</c:v>
                </c:pt>
                <c:pt idx="202">
                  <c:v>72463.643936116248</c:v>
                </c:pt>
                <c:pt idx="203">
                  <c:v>70195.973086200698</c:v>
                </c:pt>
                <c:pt idx="204">
                  <c:v>71879.241653980804</c:v>
                </c:pt>
                <c:pt idx="205">
                  <c:v>65405.067451721174</c:v>
                </c:pt>
                <c:pt idx="206">
                  <c:v>69106.104829732503</c:v>
                </c:pt>
                <c:pt idx="207">
                  <c:v>65243.380642534998</c:v>
                </c:pt>
                <c:pt idx="208">
                  <c:v>65338.942720952196</c:v>
                </c:pt>
                <c:pt idx="209">
                  <c:v>67387.440494775306</c:v>
                </c:pt>
                <c:pt idx="210">
                  <c:v>68206.788259378678</c:v>
                </c:pt>
                <c:pt idx="211">
                  <c:v>68578.376179841405</c:v>
                </c:pt>
                <c:pt idx="212">
                  <c:v>67922.168550791626</c:v>
                </c:pt>
                <c:pt idx="213">
                  <c:v>68964.240747579228</c:v>
                </c:pt>
                <c:pt idx="214">
                  <c:v>69239.120503783604</c:v>
                </c:pt>
                <c:pt idx="215">
                  <c:v>71646.421348675125</c:v>
                </c:pt>
                <c:pt idx="216">
                  <c:v>67215.387108817624</c:v>
                </c:pt>
                <c:pt idx="217">
                  <c:v>68509.125415849368</c:v>
                </c:pt>
                <c:pt idx="218">
                  <c:v>71190.918494272148</c:v>
                </c:pt>
                <c:pt idx="219">
                  <c:v>65498.315121229403</c:v>
                </c:pt>
                <c:pt idx="220">
                  <c:v>69170.331504539805</c:v>
                </c:pt>
                <c:pt idx="221">
                  <c:v>68600.880721547423</c:v>
                </c:pt>
                <c:pt idx="222">
                  <c:v>61860.841167449813</c:v>
                </c:pt>
                <c:pt idx="223">
                  <c:v>66770.798331955768</c:v>
                </c:pt>
                <c:pt idx="224">
                  <c:v>71135.748994850394</c:v>
                </c:pt>
                <c:pt idx="225">
                  <c:v>71296.261734733605</c:v>
                </c:pt>
                <c:pt idx="226">
                  <c:v>68896.203265523378</c:v>
                </c:pt>
                <c:pt idx="227">
                  <c:v>68562.252663023435</c:v>
                </c:pt>
                <c:pt idx="228">
                  <c:v>68397.263088903099</c:v>
                </c:pt>
              </c:numCache>
            </c:numRef>
          </c:val>
          <c:smooth val="1"/>
        </c:ser>
        <c:dLbls>
          <c:showLegendKey val="0"/>
          <c:showVal val="0"/>
          <c:showCatName val="0"/>
          <c:showSerName val="0"/>
          <c:showPercent val="0"/>
          <c:showBubbleSize val="0"/>
        </c:dLbls>
        <c:marker val="1"/>
        <c:smooth val="0"/>
        <c:axId val="77022336"/>
        <c:axId val="77023872"/>
      </c:lineChart>
      <c:dateAx>
        <c:axId val="77022336"/>
        <c:scaling>
          <c:orientation val="minMax"/>
        </c:scaling>
        <c:delete val="0"/>
        <c:axPos val="b"/>
        <c:numFmt formatCode="mmm\-yyyy" sourceLinked="1"/>
        <c:majorTickMark val="out"/>
        <c:minorTickMark val="none"/>
        <c:tickLblPos val="nextTo"/>
        <c:crossAx val="77023872"/>
        <c:crosses val="autoZero"/>
        <c:auto val="1"/>
        <c:lblOffset val="100"/>
        <c:baseTimeUnit val="months"/>
      </c:dateAx>
      <c:valAx>
        <c:axId val="77023872"/>
        <c:scaling>
          <c:orientation val="minMax"/>
        </c:scaling>
        <c:delete val="0"/>
        <c:axPos val="l"/>
        <c:numFmt formatCode="&quot;£&quot;#,##0" sourceLinked="1"/>
        <c:majorTickMark val="out"/>
        <c:minorTickMark val="none"/>
        <c:tickLblPos val="nextTo"/>
        <c:crossAx val="77022336"/>
        <c:crosses val="autoZero"/>
        <c:crossBetween val="between"/>
      </c:valAx>
    </c:plotArea>
    <c:legend>
      <c:legendPos val="r"/>
      <c:layout>
        <c:manualLayout>
          <c:xMode val="edge"/>
          <c:yMode val="edge"/>
          <c:x val="0.12564226195478037"/>
          <c:y val="2.780461737976022E-3"/>
          <c:w val="0.34936661552515497"/>
          <c:h val="0.4126209704288824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481E-2"/>
          <c:y val="5.1400554097404488E-2"/>
          <c:w val="0.88841314654426229"/>
          <c:h val="0.70309820647419374"/>
        </c:manualLayout>
      </c:layout>
      <c:barChart>
        <c:barDir val="col"/>
        <c:grouping val="clustered"/>
        <c:varyColors val="0"/>
        <c:ser>
          <c:idx val="0"/>
          <c:order val="0"/>
          <c:tx>
            <c:strRef>
              <c:f>Sheet2!$A$7</c:f>
              <c:strCache>
                <c:ptCount val="1"/>
                <c:pt idx="0">
                  <c:v>North East Lincolnshire</c:v>
                </c:pt>
              </c:strCache>
            </c:strRef>
          </c:tx>
          <c:invertIfNegative val="0"/>
          <c:cat>
            <c:multiLvlStrRef>
              <c:f>Sheet2!$B$5:$G$6</c:f>
              <c:multiLvlStrCache>
                <c:ptCount val="6"/>
                <c:lvl>
                  <c:pt idx="0">
                    <c:v> student</c:v>
                  </c:pt>
                  <c:pt idx="1">
                    <c:v> looking after family/home</c:v>
                  </c:pt>
                  <c:pt idx="2">
                    <c:v> temporary sick</c:v>
                  </c:pt>
                  <c:pt idx="3">
                    <c:v> long-term sick</c:v>
                  </c:pt>
                  <c:pt idx="4">
                    <c:v> retired</c:v>
                  </c:pt>
                  <c:pt idx="5">
                    <c:v> other</c:v>
                  </c:pt>
                </c:lvl>
                <c:lvl>
                  <c:pt idx="0">
                    <c:v>% of economically inactive</c:v>
                  </c:pt>
                </c:lvl>
              </c:multiLvlStrCache>
            </c:multiLvlStrRef>
          </c:cat>
          <c:val>
            <c:numRef>
              <c:f>Sheet2!$B$7:$G$7</c:f>
              <c:numCache>
                <c:formatCode>0%</c:formatCode>
                <c:ptCount val="6"/>
                <c:pt idx="0">
                  <c:v>0.20500000000000004</c:v>
                </c:pt>
                <c:pt idx="1">
                  <c:v>0.28000000000000008</c:v>
                </c:pt>
                <c:pt idx="2">
                  <c:v>3.7000000000000012E-2</c:v>
                </c:pt>
                <c:pt idx="3">
                  <c:v>0.23500000000000001</c:v>
                </c:pt>
                <c:pt idx="4">
                  <c:v>0.17600000000000021</c:v>
                </c:pt>
                <c:pt idx="5">
                  <c:v>6.4000000000000112E-2</c:v>
                </c:pt>
              </c:numCache>
            </c:numRef>
          </c:val>
        </c:ser>
        <c:ser>
          <c:idx val="1"/>
          <c:order val="1"/>
          <c:tx>
            <c:strRef>
              <c:f>Sheet2!$A$8</c:f>
              <c:strCache>
                <c:ptCount val="1"/>
                <c:pt idx="0">
                  <c:v>North Lincolnshire</c:v>
                </c:pt>
              </c:strCache>
            </c:strRef>
          </c:tx>
          <c:invertIfNegative val="0"/>
          <c:cat>
            <c:multiLvlStrRef>
              <c:f>Sheet2!$B$5:$G$6</c:f>
              <c:multiLvlStrCache>
                <c:ptCount val="6"/>
                <c:lvl>
                  <c:pt idx="0">
                    <c:v> student</c:v>
                  </c:pt>
                  <c:pt idx="1">
                    <c:v> looking after family/home</c:v>
                  </c:pt>
                  <c:pt idx="2">
                    <c:v> temporary sick</c:v>
                  </c:pt>
                  <c:pt idx="3">
                    <c:v> long-term sick</c:v>
                  </c:pt>
                  <c:pt idx="4">
                    <c:v> retired</c:v>
                  </c:pt>
                  <c:pt idx="5">
                    <c:v> other</c:v>
                  </c:pt>
                </c:lvl>
                <c:lvl>
                  <c:pt idx="0">
                    <c:v>% of economically inactive</c:v>
                  </c:pt>
                </c:lvl>
              </c:multiLvlStrCache>
            </c:multiLvlStrRef>
          </c:cat>
          <c:val>
            <c:numRef>
              <c:f>Sheet2!$B$8:$G$8</c:f>
              <c:numCache>
                <c:formatCode>0%</c:formatCode>
                <c:ptCount val="6"/>
                <c:pt idx="0">
                  <c:v>0.1870000000000003</c:v>
                </c:pt>
                <c:pt idx="1">
                  <c:v>0.25900000000000001</c:v>
                </c:pt>
                <c:pt idx="2">
                  <c:v>2.8000000000000001E-2</c:v>
                </c:pt>
                <c:pt idx="3">
                  <c:v>0.24100000000000021</c:v>
                </c:pt>
                <c:pt idx="4">
                  <c:v>0.191</c:v>
                </c:pt>
                <c:pt idx="5">
                  <c:v>8.5000000000000006E-2</c:v>
                </c:pt>
              </c:numCache>
            </c:numRef>
          </c:val>
        </c:ser>
        <c:ser>
          <c:idx val="2"/>
          <c:order val="2"/>
          <c:tx>
            <c:strRef>
              <c:f>Sheet2!$A$9</c:f>
              <c:strCache>
                <c:ptCount val="1"/>
                <c:pt idx="0">
                  <c:v>Kingston upon Hull, City of</c:v>
                </c:pt>
              </c:strCache>
            </c:strRef>
          </c:tx>
          <c:invertIfNegative val="0"/>
          <c:cat>
            <c:multiLvlStrRef>
              <c:f>Sheet2!$B$5:$G$6</c:f>
              <c:multiLvlStrCache>
                <c:ptCount val="6"/>
                <c:lvl>
                  <c:pt idx="0">
                    <c:v> student</c:v>
                  </c:pt>
                  <c:pt idx="1">
                    <c:v> looking after family/home</c:v>
                  </c:pt>
                  <c:pt idx="2">
                    <c:v> temporary sick</c:v>
                  </c:pt>
                  <c:pt idx="3">
                    <c:v> long-term sick</c:v>
                  </c:pt>
                  <c:pt idx="4">
                    <c:v> retired</c:v>
                  </c:pt>
                  <c:pt idx="5">
                    <c:v> other</c:v>
                  </c:pt>
                </c:lvl>
                <c:lvl>
                  <c:pt idx="0">
                    <c:v>% of economically inactive</c:v>
                  </c:pt>
                </c:lvl>
              </c:multiLvlStrCache>
            </c:multiLvlStrRef>
          </c:cat>
          <c:val>
            <c:numRef>
              <c:f>Sheet2!$B$9:$G$9</c:f>
              <c:numCache>
                <c:formatCode>0%</c:formatCode>
                <c:ptCount val="6"/>
                <c:pt idx="0">
                  <c:v>0.28300000000000008</c:v>
                </c:pt>
                <c:pt idx="1">
                  <c:v>0.30100000000000032</c:v>
                </c:pt>
                <c:pt idx="2">
                  <c:v>1.0000000000000005E-2</c:v>
                </c:pt>
                <c:pt idx="3">
                  <c:v>0.224</c:v>
                </c:pt>
                <c:pt idx="4">
                  <c:v>0.11</c:v>
                </c:pt>
                <c:pt idx="5">
                  <c:v>6.5000000000000002E-2</c:v>
                </c:pt>
              </c:numCache>
            </c:numRef>
          </c:val>
        </c:ser>
        <c:ser>
          <c:idx val="3"/>
          <c:order val="3"/>
          <c:tx>
            <c:strRef>
              <c:f>Sheet2!$A$10</c:f>
              <c:strCache>
                <c:ptCount val="1"/>
                <c:pt idx="0">
                  <c:v>England</c:v>
                </c:pt>
              </c:strCache>
            </c:strRef>
          </c:tx>
          <c:invertIfNegative val="0"/>
          <c:cat>
            <c:multiLvlStrRef>
              <c:f>Sheet2!$B$5:$G$6</c:f>
              <c:multiLvlStrCache>
                <c:ptCount val="6"/>
                <c:lvl>
                  <c:pt idx="0">
                    <c:v> student</c:v>
                  </c:pt>
                  <c:pt idx="1">
                    <c:v> looking after family/home</c:v>
                  </c:pt>
                  <c:pt idx="2">
                    <c:v> temporary sick</c:v>
                  </c:pt>
                  <c:pt idx="3">
                    <c:v> long-term sick</c:v>
                  </c:pt>
                  <c:pt idx="4">
                    <c:v> retired</c:v>
                  </c:pt>
                  <c:pt idx="5">
                    <c:v> other</c:v>
                  </c:pt>
                </c:lvl>
                <c:lvl>
                  <c:pt idx="0">
                    <c:v>% of economically inactive</c:v>
                  </c:pt>
                </c:lvl>
              </c:multiLvlStrCache>
            </c:multiLvlStrRef>
          </c:cat>
          <c:val>
            <c:numRef>
              <c:f>Sheet2!$B$10:$G$10</c:f>
              <c:numCache>
                <c:formatCode>0%</c:formatCode>
                <c:ptCount val="6"/>
                <c:pt idx="0">
                  <c:v>0.26300000000000001</c:v>
                </c:pt>
                <c:pt idx="1">
                  <c:v>0.26400000000000001</c:v>
                </c:pt>
                <c:pt idx="2">
                  <c:v>2.1000000000000012E-2</c:v>
                </c:pt>
                <c:pt idx="3">
                  <c:v>0.20500000000000004</c:v>
                </c:pt>
                <c:pt idx="4">
                  <c:v>0.14800000000000021</c:v>
                </c:pt>
                <c:pt idx="5">
                  <c:v>9.2000000000000026E-2</c:v>
                </c:pt>
              </c:numCache>
            </c:numRef>
          </c:val>
        </c:ser>
        <c:dLbls>
          <c:showLegendKey val="0"/>
          <c:showVal val="0"/>
          <c:showCatName val="0"/>
          <c:showSerName val="0"/>
          <c:showPercent val="0"/>
          <c:showBubbleSize val="0"/>
        </c:dLbls>
        <c:gapWidth val="64"/>
        <c:axId val="77067008"/>
        <c:axId val="77068544"/>
      </c:barChart>
      <c:catAx>
        <c:axId val="77067008"/>
        <c:scaling>
          <c:orientation val="minMax"/>
        </c:scaling>
        <c:delete val="0"/>
        <c:axPos val="b"/>
        <c:numFmt formatCode="General" sourceLinked="0"/>
        <c:majorTickMark val="out"/>
        <c:minorTickMark val="none"/>
        <c:tickLblPos val="nextTo"/>
        <c:crossAx val="77068544"/>
        <c:crosses val="autoZero"/>
        <c:auto val="1"/>
        <c:lblAlgn val="ctr"/>
        <c:lblOffset val="100"/>
        <c:noMultiLvlLbl val="0"/>
      </c:catAx>
      <c:valAx>
        <c:axId val="77068544"/>
        <c:scaling>
          <c:orientation val="minMax"/>
        </c:scaling>
        <c:delete val="0"/>
        <c:axPos val="l"/>
        <c:title>
          <c:tx>
            <c:rich>
              <a:bodyPr rot="-5400000" vert="horz"/>
              <a:lstStyle/>
              <a:p>
                <a:pPr>
                  <a:defRPr/>
                </a:pPr>
                <a:r>
                  <a:rPr lang="en-GB"/>
                  <a:t>% of Inactive Population</a:t>
                </a:r>
              </a:p>
            </c:rich>
          </c:tx>
          <c:overlay val="0"/>
        </c:title>
        <c:numFmt formatCode="0%" sourceLinked="1"/>
        <c:majorTickMark val="out"/>
        <c:minorTickMark val="none"/>
        <c:tickLblPos val="nextTo"/>
        <c:crossAx val="77067008"/>
        <c:crosses val="autoZero"/>
        <c:crossBetween val="between"/>
      </c:valAx>
    </c:plotArea>
    <c:legend>
      <c:legendPos val="r"/>
      <c:layout>
        <c:manualLayout>
          <c:xMode val="edge"/>
          <c:yMode val="edge"/>
          <c:x val="0.39341035514214451"/>
          <c:y val="2.6242344706911724E-2"/>
          <c:w val="0.58158957513432319"/>
          <c:h val="0.18362642169728791"/>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163674537652528"/>
          <c:y val="4.6771444911787911E-2"/>
          <c:w val="0.87149926709098402"/>
          <c:h val="0.87954985766536786"/>
        </c:manualLayout>
      </c:layout>
      <c:lineChart>
        <c:grouping val="standard"/>
        <c:varyColors val="0"/>
        <c:ser>
          <c:idx val="0"/>
          <c:order val="0"/>
          <c:tx>
            <c:strRef>
              <c:f>Sheet1!$A$3</c:f>
              <c:strCache>
                <c:ptCount val="1"/>
                <c:pt idx="0">
                  <c:v>North East Lincs.</c:v>
                </c:pt>
              </c:strCache>
            </c:strRef>
          </c:tx>
          <c:marker>
            <c:symbol val="none"/>
          </c:marker>
          <c:cat>
            <c:numRef>
              <c:f>Sheet1!$B$2:$J$2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Sheet1!$B$3:$J$3</c:f>
              <c:numCache>
                <c:formatCode>#,##0.0</c:formatCode>
                <c:ptCount val="9"/>
                <c:pt idx="0">
                  <c:v>74.900000000000006</c:v>
                </c:pt>
                <c:pt idx="1">
                  <c:v>76.2</c:v>
                </c:pt>
                <c:pt idx="2">
                  <c:v>77</c:v>
                </c:pt>
                <c:pt idx="3">
                  <c:v>76.8</c:v>
                </c:pt>
                <c:pt idx="4">
                  <c:v>77.599999999999994</c:v>
                </c:pt>
                <c:pt idx="5">
                  <c:v>79.099999999999994</c:v>
                </c:pt>
                <c:pt idx="6">
                  <c:v>76.400000000000006</c:v>
                </c:pt>
                <c:pt idx="7">
                  <c:v>77.599999999999994</c:v>
                </c:pt>
                <c:pt idx="8">
                  <c:v>76.8</c:v>
                </c:pt>
              </c:numCache>
            </c:numRef>
          </c:val>
          <c:smooth val="0"/>
        </c:ser>
        <c:ser>
          <c:idx val="1"/>
          <c:order val="1"/>
          <c:tx>
            <c:strRef>
              <c:f>Sheet1!$A$5</c:f>
              <c:strCache>
                <c:ptCount val="1"/>
                <c:pt idx="0">
                  <c:v>Kingston upon Hull</c:v>
                </c:pt>
              </c:strCache>
            </c:strRef>
          </c:tx>
          <c:spPr>
            <a:ln>
              <a:solidFill>
                <a:schemeClr val="accent5"/>
              </a:solidFill>
            </a:ln>
          </c:spPr>
          <c:marker>
            <c:symbol val="none"/>
          </c:marker>
          <c:cat>
            <c:numRef>
              <c:f>Sheet1!$B$2:$J$2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Sheet1!$B$5:$J$5</c:f>
              <c:numCache>
                <c:formatCode>#,##0.0</c:formatCode>
                <c:ptCount val="9"/>
                <c:pt idx="0">
                  <c:v>70.5</c:v>
                </c:pt>
                <c:pt idx="1">
                  <c:v>70.3</c:v>
                </c:pt>
                <c:pt idx="2">
                  <c:v>70.900000000000006</c:v>
                </c:pt>
                <c:pt idx="3">
                  <c:v>66.599999999999994</c:v>
                </c:pt>
                <c:pt idx="4">
                  <c:v>72</c:v>
                </c:pt>
                <c:pt idx="5">
                  <c:v>71.900000000000006</c:v>
                </c:pt>
                <c:pt idx="6">
                  <c:v>73</c:v>
                </c:pt>
                <c:pt idx="7">
                  <c:v>72.5</c:v>
                </c:pt>
                <c:pt idx="8">
                  <c:v>73.8</c:v>
                </c:pt>
              </c:numCache>
            </c:numRef>
          </c:val>
          <c:smooth val="0"/>
        </c:ser>
        <c:ser>
          <c:idx val="2"/>
          <c:order val="2"/>
          <c:tx>
            <c:strRef>
              <c:f>Sheet1!$A$6</c:f>
              <c:strCache>
                <c:ptCount val="1"/>
                <c:pt idx="0">
                  <c:v>North Lincs.</c:v>
                </c:pt>
              </c:strCache>
            </c:strRef>
          </c:tx>
          <c:marker>
            <c:symbol val="none"/>
          </c:marker>
          <c:cat>
            <c:numRef>
              <c:f>Sheet1!$B$2:$J$2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Sheet1!$B$6:$J$6</c:f>
              <c:numCache>
                <c:formatCode>#,##0.0</c:formatCode>
                <c:ptCount val="9"/>
                <c:pt idx="0">
                  <c:v>77.2</c:v>
                </c:pt>
                <c:pt idx="1">
                  <c:v>78.900000000000006</c:v>
                </c:pt>
                <c:pt idx="2">
                  <c:v>78.2</c:v>
                </c:pt>
                <c:pt idx="3">
                  <c:v>77.7</c:v>
                </c:pt>
                <c:pt idx="4">
                  <c:v>77.599999999999994</c:v>
                </c:pt>
                <c:pt idx="5">
                  <c:v>77</c:v>
                </c:pt>
                <c:pt idx="6">
                  <c:v>77.7</c:v>
                </c:pt>
                <c:pt idx="7">
                  <c:v>78.3</c:v>
                </c:pt>
                <c:pt idx="8">
                  <c:v>79.3</c:v>
                </c:pt>
              </c:numCache>
            </c:numRef>
          </c:val>
          <c:smooth val="0"/>
        </c:ser>
        <c:ser>
          <c:idx val="3"/>
          <c:order val="3"/>
          <c:tx>
            <c:strRef>
              <c:f>Sheet1!$A$7</c:f>
              <c:strCache>
                <c:ptCount val="1"/>
                <c:pt idx="0">
                  <c:v>UK</c:v>
                </c:pt>
              </c:strCache>
            </c:strRef>
          </c:tx>
          <c:marker>
            <c:symbol val="none"/>
          </c:marker>
          <c:cat>
            <c:numRef>
              <c:f>Sheet1!$B$2:$J$2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Sheet1!$B$7:$J$7</c:f>
              <c:numCache>
                <c:formatCode>#,##0.0</c:formatCode>
                <c:ptCount val="9"/>
                <c:pt idx="0">
                  <c:v>76.3</c:v>
                </c:pt>
                <c:pt idx="1">
                  <c:v>76.5</c:v>
                </c:pt>
                <c:pt idx="2">
                  <c:v>76.400000000000006</c:v>
                </c:pt>
                <c:pt idx="3">
                  <c:v>76.5</c:v>
                </c:pt>
                <c:pt idx="4">
                  <c:v>76.5</c:v>
                </c:pt>
                <c:pt idx="5">
                  <c:v>76.099999999999994</c:v>
                </c:pt>
                <c:pt idx="6">
                  <c:v>76.2</c:v>
                </c:pt>
                <c:pt idx="7">
                  <c:v>76.8</c:v>
                </c:pt>
                <c:pt idx="8">
                  <c:v>77.3</c:v>
                </c:pt>
              </c:numCache>
            </c:numRef>
          </c:val>
          <c:smooth val="0"/>
        </c:ser>
        <c:dLbls>
          <c:showLegendKey val="0"/>
          <c:showVal val="0"/>
          <c:showCatName val="0"/>
          <c:showSerName val="0"/>
          <c:showPercent val="0"/>
          <c:showBubbleSize val="0"/>
        </c:dLbls>
        <c:marker val="1"/>
        <c:smooth val="0"/>
        <c:axId val="88883968"/>
        <c:axId val="88885504"/>
      </c:lineChart>
      <c:catAx>
        <c:axId val="88883968"/>
        <c:scaling>
          <c:orientation val="minMax"/>
        </c:scaling>
        <c:delete val="0"/>
        <c:axPos val="b"/>
        <c:numFmt formatCode="General" sourceLinked="1"/>
        <c:majorTickMark val="out"/>
        <c:minorTickMark val="none"/>
        <c:tickLblPos val="nextTo"/>
        <c:crossAx val="88885504"/>
        <c:crosses val="autoZero"/>
        <c:auto val="1"/>
        <c:lblAlgn val="ctr"/>
        <c:lblOffset val="100"/>
        <c:noMultiLvlLbl val="0"/>
      </c:catAx>
      <c:valAx>
        <c:axId val="88885504"/>
        <c:scaling>
          <c:orientation val="minMax"/>
        </c:scaling>
        <c:delete val="0"/>
        <c:axPos val="l"/>
        <c:majorGridlines>
          <c:spPr>
            <a:ln>
              <a:noFill/>
            </a:ln>
          </c:spPr>
        </c:majorGridlines>
        <c:title>
          <c:tx>
            <c:rich>
              <a:bodyPr rot="-5400000" vert="horz"/>
              <a:lstStyle/>
              <a:p>
                <a:pPr>
                  <a:defRPr/>
                </a:pPr>
                <a:r>
                  <a:rPr lang="en-US"/>
                  <a:t>% aged 16-64</a:t>
                </a:r>
              </a:p>
            </c:rich>
          </c:tx>
          <c:layout>
            <c:manualLayout>
              <c:xMode val="edge"/>
              <c:yMode val="edge"/>
              <c:x val="6.1107052340107007E-3"/>
              <c:y val="0.34019310017288701"/>
            </c:manualLayout>
          </c:layout>
          <c:overlay val="0"/>
        </c:title>
        <c:numFmt formatCode="#,##0.0" sourceLinked="1"/>
        <c:majorTickMark val="out"/>
        <c:minorTickMark val="none"/>
        <c:tickLblPos val="nextTo"/>
        <c:crossAx val="88883968"/>
        <c:crosses val="autoZero"/>
        <c:crossBetween val="between"/>
      </c:valAx>
    </c:plotArea>
    <c:legend>
      <c:legendPos val="r"/>
      <c:layout>
        <c:manualLayout>
          <c:xMode val="edge"/>
          <c:yMode val="edge"/>
          <c:x val="0.49687518594293439"/>
          <c:y val="0.51817744735865168"/>
          <c:w val="0.43630760420870296"/>
          <c:h val="0.35744299415139608"/>
        </c:manualLayout>
      </c:layout>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168530465363687"/>
          <c:y val="6.2836624775583674E-2"/>
          <c:w val="0.85001539916544699"/>
          <c:h val="0.84274374814459019"/>
        </c:manualLayout>
      </c:layout>
      <c:lineChart>
        <c:grouping val="standard"/>
        <c:varyColors val="0"/>
        <c:ser>
          <c:idx val="0"/>
          <c:order val="0"/>
          <c:tx>
            <c:strRef>
              <c:f>Sheet1!$A$13</c:f>
              <c:strCache>
                <c:ptCount val="1"/>
                <c:pt idx="0">
                  <c:v>North East Lincs.</c:v>
                </c:pt>
              </c:strCache>
            </c:strRef>
          </c:tx>
          <c:marker>
            <c:symbol val="none"/>
          </c:marker>
          <c:cat>
            <c:numRef>
              <c:f>Sheet1!$B$12:$J$12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Sheet1!$B$13:$J$13</c:f>
              <c:numCache>
                <c:formatCode>#,##0.0</c:formatCode>
                <c:ptCount val="9"/>
                <c:pt idx="0">
                  <c:v>5.8</c:v>
                </c:pt>
                <c:pt idx="1">
                  <c:v>6.2</c:v>
                </c:pt>
                <c:pt idx="2">
                  <c:v>7.1</c:v>
                </c:pt>
                <c:pt idx="3">
                  <c:v>8.4</c:v>
                </c:pt>
                <c:pt idx="4">
                  <c:v>11.4</c:v>
                </c:pt>
                <c:pt idx="5">
                  <c:v>11.4</c:v>
                </c:pt>
                <c:pt idx="6">
                  <c:v>12.1</c:v>
                </c:pt>
                <c:pt idx="7">
                  <c:v>12.2</c:v>
                </c:pt>
                <c:pt idx="8">
                  <c:v>11</c:v>
                </c:pt>
              </c:numCache>
            </c:numRef>
          </c:val>
          <c:smooth val="0"/>
        </c:ser>
        <c:ser>
          <c:idx val="1"/>
          <c:order val="1"/>
          <c:tx>
            <c:strRef>
              <c:f>Sheet1!$A$15</c:f>
              <c:strCache>
                <c:ptCount val="1"/>
                <c:pt idx="0">
                  <c:v>Kingston upon Hull</c:v>
                </c:pt>
              </c:strCache>
            </c:strRef>
          </c:tx>
          <c:marker>
            <c:symbol val="none"/>
          </c:marker>
          <c:cat>
            <c:numRef>
              <c:f>Sheet1!$B$12:$J$12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Sheet1!$B$15:$J$15</c:f>
              <c:numCache>
                <c:formatCode>#,##0.0</c:formatCode>
                <c:ptCount val="9"/>
                <c:pt idx="0">
                  <c:v>6.6</c:v>
                </c:pt>
                <c:pt idx="1">
                  <c:v>8</c:v>
                </c:pt>
                <c:pt idx="2">
                  <c:v>9</c:v>
                </c:pt>
                <c:pt idx="3">
                  <c:v>8.9</c:v>
                </c:pt>
                <c:pt idx="4">
                  <c:v>15.3</c:v>
                </c:pt>
                <c:pt idx="5">
                  <c:v>13.2</c:v>
                </c:pt>
                <c:pt idx="6">
                  <c:v>14.3</c:v>
                </c:pt>
                <c:pt idx="7">
                  <c:v>16.100000000000001</c:v>
                </c:pt>
                <c:pt idx="8">
                  <c:v>14.2</c:v>
                </c:pt>
              </c:numCache>
            </c:numRef>
          </c:val>
          <c:smooth val="0"/>
        </c:ser>
        <c:ser>
          <c:idx val="2"/>
          <c:order val="2"/>
          <c:tx>
            <c:strRef>
              <c:f>Sheet1!$A$16</c:f>
              <c:strCache>
                <c:ptCount val="1"/>
                <c:pt idx="0">
                  <c:v>North Lincs.</c:v>
                </c:pt>
              </c:strCache>
            </c:strRef>
          </c:tx>
          <c:marker>
            <c:symbol val="none"/>
          </c:marker>
          <c:cat>
            <c:numRef>
              <c:f>Sheet1!$B$12:$J$12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Sheet1!$B$16:$J$16</c:f>
              <c:numCache>
                <c:formatCode>#,##0.0</c:formatCode>
                <c:ptCount val="9"/>
                <c:pt idx="0">
                  <c:v>4.4000000000000004</c:v>
                </c:pt>
                <c:pt idx="1">
                  <c:v>5.7</c:v>
                </c:pt>
                <c:pt idx="2">
                  <c:v>5.5</c:v>
                </c:pt>
                <c:pt idx="3">
                  <c:v>6</c:v>
                </c:pt>
                <c:pt idx="4">
                  <c:v>9</c:v>
                </c:pt>
                <c:pt idx="5">
                  <c:v>7.3</c:v>
                </c:pt>
                <c:pt idx="6">
                  <c:v>6.2</c:v>
                </c:pt>
                <c:pt idx="7">
                  <c:v>7.9</c:v>
                </c:pt>
                <c:pt idx="8">
                  <c:v>6.2</c:v>
                </c:pt>
              </c:numCache>
            </c:numRef>
          </c:val>
          <c:smooth val="0"/>
        </c:ser>
        <c:ser>
          <c:idx val="3"/>
          <c:order val="3"/>
          <c:tx>
            <c:strRef>
              <c:f>Sheet1!$A$17</c:f>
              <c:strCache>
                <c:ptCount val="1"/>
                <c:pt idx="0">
                  <c:v>UK</c:v>
                </c:pt>
              </c:strCache>
            </c:strRef>
          </c:tx>
          <c:spPr>
            <a:ln>
              <a:solidFill>
                <a:srgbClr val="830051"/>
              </a:solidFill>
            </a:ln>
          </c:spPr>
          <c:marker>
            <c:symbol val="none"/>
          </c:marker>
          <c:cat>
            <c:numRef>
              <c:f>Sheet1!$B$12:$J$12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Sheet1!$B$17:$J$17</c:f>
              <c:numCache>
                <c:formatCode>#,##0.0</c:formatCode>
                <c:ptCount val="9"/>
                <c:pt idx="0">
                  <c:v>5</c:v>
                </c:pt>
                <c:pt idx="1">
                  <c:v>5.4</c:v>
                </c:pt>
                <c:pt idx="2">
                  <c:v>5.3</c:v>
                </c:pt>
                <c:pt idx="3">
                  <c:v>5.8</c:v>
                </c:pt>
                <c:pt idx="4">
                  <c:v>7.8</c:v>
                </c:pt>
                <c:pt idx="5">
                  <c:v>7.8</c:v>
                </c:pt>
                <c:pt idx="6">
                  <c:v>8.1</c:v>
                </c:pt>
                <c:pt idx="7">
                  <c:v>8</c:v>
                </c:pt>
                <c:pt idx="8">
                  <c:v>7.7</c:v>
                </c:pt>
              </c:numCache>
            </c:numRef>
          </c:val>
          <c:smooth val="0"/>
        </c:ser>
        <c:dLbls>
          <c:showLegendKey val="0"/>
          <c:showVal val="0"/>
          <c:showCatName val="0"/>
          <c:showSerName val="0"/>
          <c:showPercent val="0"/>
          <c:showBubbleSize val="0"/>
        </c:dLbls>
        <c:marker val="1"/>
        <c:smooth val="0"/>
        <c:axId val="91587328"/>
        <c:axId val="91588864"/>
      </c:lineChart>
      <c:catAx>
        <c:axId val="91587328"/>
        <c:scaling>
          <c:orientation val="minMax"/>
        </c:scaling>
        <c:delete val="0"/>
        <c:axPos val="b"/>
        <c:numFmt formatCode="General" sourceLinked="1"/>
        <c:majorTickMark val="out"/>
        <c:minorTickMark val="none"/>
        <c:tickLblPos val="nextTo"/>
        <c:crossAx val="91588864"/>
        <c:crosses val="autoZero"/>
        <c:auto val="1"/>
        <c:lblAlgn val="ctr"/>
        <c:lblOffset val="100"/>
        <c:noMultiLvlLbl val="0"/>
      </c:catAx>
      <c:valAx>
        <c:axId val="91588864"/>
        <c:scaling>
          <c:orientation val="minMax"/>
        </c:scaling>
        <c:delete val="0"/>
        <c:axPos val="l"/>
        <c:title>
          <c:tx>
            <c:rich>
              <a:bodyPr rot="-5400000" vert="horz"/>
              <a:lstStyle/>
              <a:p>
                <a:pPr>
                  <a:defRPr/>
                </a:pPr>
                <a:r>
                  <a:rPr lang="en-US"/>
                  <a:t>% aged 16-64</a:t>
                </a:r>
              </a:p>
            </c:rich>
          </c:tx>
          <c:overlay val="0"/>
        </c:title>
        <c:numFmt formatCode="#,##0.0" sourceLinked="1"/>
        <c:majorTickMark val="out"/>
        <c:minorTickMark val="none"/>
        <c:tickLblPos val="nextTo"/>
        <c:crossAx val="91587328"/>
        <c:crosses val="autoZero"/>
        <c:crossBetween val="between"/>
      </c:valAx>
    </c:plotArea>
    <c:legend>
      <c:legendPos val="r"/>
      <c:layout>
        <c:manualLayout>
          <c:xMode val="edge"/>
          <c:yMode val="edge"/>
          <c:x val="0.45095188646590517"/>
          <c:y val="0.66998897355065945"/>
          <c:w val="0.53520249221183802"/>
          <c:h val="0.1627150511033519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200484554815348E-2"/>
          <c:y val="4.5332783845044404E-2"/>
          <c:w val="0.89140318998586632"/>
          <c:h val="0.85560810668293541"/>
        </c:manualLayout>
      </c:layout>
      <c:barChart>
        <c:barDir val="col"/>
        <c:grouping val="clustered"/>
        <c:varyColors val="0"/>
        <c:ser>
          <c:idx val="0"/>
          <c:order val="0"/>
          <c:tx>
            <c:strRef>
              <c:f>Sheet1!$B$7</c:f>
              <c:strCache>
                <c:ptCount val="1"/>
                <c:pt idx="0">
                  <c:v>Aged 16-64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2009</c:v>
                </c:pt>
                <c:pt idx="1">
                  <c:v>2010</c:v>
                </c:pt>
                <c:pt idx="2">
                  <c:v>2011</c:v>
                </c:pt>
                <c:pt idx="3">
                  <c:v>2012</c:v>
                </c:pt>
                <c:pt idx="4">
                  <c:v>2013</c:v>
                </c:pt>
                <c:pt idx="5">
                  <c:v>2014</c:v>
                </c:pt>
              </c:strCache>
            </c:strRef>
          </c:cat>
          <c:val>
            <c:numRef>
              <c:f>Sheet1!$B$8:$B$13</c:f>
              <c:numCache>
                <c:formatCode>#,##0.0</c:formatCode>
                <c:ptCount val="6"/>
                <c:pt idx="0">
                  <c:v>5.8</c:v>
                </c:pt>
                <c:pt idx="1">
                  <c:v>5.7</c:v>
                </c:pt>
                <c:pt idx="2">
                  <c:v>6.2</c:v>
                </c:pt>
                <c:pt idx="3">
                  <c:v>6.7</c:v>
                </c:pt>
                <c:pt idx="4">
                  <c:v>6.1</c:v>
                </c:pt>
                <c:pt idx="5">
                  <c:v>4.5</c:v>
                </c:pt>
              </c:numCache>
            </c:numRef>
          </c:val>
        </c:ser>
        <c:ser>
          <c:idx val="1"/>
          <c:order val="1"/>
          <c:tx>
            <c:strRef>
              <c:f>Sheet1!$C$7</c:f>
              <c:strCache>
                <c:ptCount val="1"/>
                <c:pt idx="0">
                  <c:v>Aged 16-24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2009</c:v>
                </c:pt>
                <c:pt idx="1">
                  <c:v>2010</c:v>
                </c:pt>
                <c:pt idx="2">
                  <c:v>2011</c:v>
                </c:pt>
                <c:pt idx="3">
                  <c:v>2012</c:v>
                </c:pt>
                <c:pt idx="4">
                  <c:v>2013</c:v>
                </c:pt>
                <c:pt idx="5">
                  <c:v>2014</c:v>
                </c:pt>
              </c:strCache>
            </c:strRef>
          </c:cat>
          <c:val>
            <c:numRef>
              <c:f>Sheet1!$C$8:$C$13</c:f>
              <c:numCache>
                <c:formatCode>#,##0.0</c:formatCode>
                <c:ptCount val="6"/>
                <c:pt idx="0">
                  <c:v>9.6</c:v>
                </c:pt>
                <c:pt idx="1">
                  <c:v>9.4</c:v>
                </c:pt>
                <c:pt idx="2">
                  <c:v>10.6</c:v>
                </c:pt>
                <c:pt idx="3">
                  <c:v>10.8</c:v>
                </c:pt>
                <c:pt idx="4">
                  <c:v>8.9</c:v>
                </c:pt>
                <c:pt idx="5">
                  <c:v>6.5</c:v>
                </c:pt>
              </c:numCache>
            </c:numRef>
          </c:val>
        </c:ser>
        <c:ser>
          <c:idx val="2"/>
          <c:order val="2"/>
          <c:tx>
            <c:strRef>
              <c:f>Sheet1!$D$7</c:f>
              <c:strCache>
                <c:ptCount val="1"/>
                <c:pt idx="0">
                  <c:v>Aged 25-49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2009</c:v>
                </c:pt>
                <c:pt idx="1">
                  <c:v>2010</c:v>
                </c:pt>
                <c:pt idx="2">
                  <c:v>2011</c:v>
                </c:pt>
                <c:pt idx="3">
                  <c:v>2012</c:v>
                </c:pt>
                <c:pt idx="4">
                  <c:v>2013</c:v>
                </c:pt>
                <c:pt idx="5">
                  <c:v>2014</c:v>
                </c:pt>
              </c:strCache>
            </c:strRef>
          </c:cat>
          <c:val>
            <c:numRef>
              <c:f>Sheet1!$D$8:$D$13</c:f>
              <c:numCache>
                <c:formatCode>#,##0.0</c:formatCode>
                <c:ptCount val="6"/>
                <c:pt idx="0">
                  <c:v>6</c:v>
                </c:pt>
                <c:pt idx="1">
                  <c:v>6</c:v>
                </c:pt>
                <c:pt idx="2">
                  <c:v>6.6</c:v>
                </c:pt>
                <c:pt idx="3">
                  <c:v>7.2</c:v>
                </c:pt>
                <c:pt idx="4">
                  <c:v>6.8</c:v>
                </c:pt>
                <c:pt idx="5">
                  <c:v>4.9000000000000004</c:v>
                </c:pt>
              </c:numCache>
            </c:numRef>
          </c:val>
        </c:ser>
        <c:ser>
          <c:idx val="3"/>
          <c:order val="3"/>
          <c:tx>
            <c:strRef>
              <c:f>Sheet1!$E$7</c:f>
              <c:strCache>
                <c:ptCount val="1"/>
                <c:pt idx="0">
                  <c:v>Aged 50-64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Sheet1!$A$8:$A$13</c:f>
              <c:strCache>
                <c:ptCount val="6"/>
                <c:pt idx="0">
                  <c:v>2009</c:v>
                </c:pt>
                <c:pt idx="1">
                  <c:v>2010</c:v>
                </c:pt>
                <c:pt idx="2">
                  <c:v>2011</c:v>
                </c:pt>
                <c:pt idx="3">
                  <c:v>2012</c:v>
                </c:pt>
                <c:pt idx="4">
                  <c:v>2013</c:v>
                </c:pt>
                <c:pt idx="5">
                  <c:v>2014</c:v>
                </c:pt>
              </c:strCache>
            </c:strRef>
          </c:cat>
          <c:val>
            <c:numRef>
              <c:f>Sheet1!$E$8:$E$13</c:f>
              <c:numCache>
                <c:formatCode>#,##0.0</c:formatCode>
                <c:ptCount val="6"/>
                <c:pt idx="0">
                  <c:v>2.8</c:v>
                </c:pt>
                <c:pt idx="1">
                  <c:v>2.8</c:v>
                </c:pt>
                <c:pt idx="2">
                  <c:v>3</c:v>
                </c:pt>
                <c:pt idx="3">
                  <c:v>3.3</c:v>
                </c:pt>
                <c:pt idx="4">
                  <c:v>3.1</c:v>
                </c:pt>
                <c:pt idx="5">
                  <c:v>2.7</c:v>
                </c:pt>
              </c:numCache>
            </c:numRef>
          </c:val>
        </c:ser>
        <c:dLbls>
          <c:showLegendKey val="0"/>
          <c:showVal val="0"/>
          <c:showCatName val="0"/>
          <c:showSerName val="0"/>
          <c:showPercent val="0"/>
          <c:showBubbleSize val="0"/>
        </c:dLbls>
        <c:gapWidth val="11"/>
        <c:axId val="98044928"/>
        <c:axId val="98054912"/>
      </c:barChart>
      <c:catAx>
        <c:axId val="98044928"/>
        <c:scaling>
          <c:orientation val="minMax"/>
        </c:scaling>
        <c:delete val="0"/>
        <c:axPos val="b"/>
        <c:numFmt formatCode="General" sourceLinked="1"/>
        <c:majorTickMark val="out"/>
        <c:minorTickMark val="none"/>
        <c:tickLblPos val="nextTo"/>
        <c:crossAx val="98054912"/>
        <c:crosses val="autoZero"/>
        <c:auto val="1"/>
        <c:lblAlgn val="ctr"/>
        <c:lblOffset val="100"/>
        <c:noMultiLvlLbl val="0"/>
      </c:catAx>
      <c:valAx>
        <c:axId val="98054912"/>
        <c:scaling>
          <c:orientation val="minMax"/>
        </c:scaling>
        <c:delete val="0"/>
        <c:axPos val="l"/>
        <c:majorGridlines>
          <c:spPr>
            <a:ln>
              <a:noFill/>
            </a:ln>
          </c:spPr>
        </c:majorGridlines>
        <c:title>
          <c:tx>
            <c:rich>
              <a:bodyPr rot="-5400000" vert="horz"/>
              <a:lstStyle/>
              <a:p>
                <a:pPr>
                  <a:defRPr/>
                </a:pPr>
                <a:r>
                  <a:rPr lang="en-GB"/>
                  <a:t>% of residents in age group</a:t>
                </a:r>
              </a:p>
            </c:rich>
          </c:tx>
          <c:overlay val="0"/>
        </c:title>
        <c:numFmt formatCode="#,##0" sourceLinked="0"/>
        <c:majorTickMark val="out"/>
        <c:minorTickMark val="none"/>
        <c:tickLblPos val="nextTo"/>
        <c:crossAx val="98044928"/>
        <c:crosses val="autoZero"/>
        <c:crossBetween val="between"/>
      </c:valAx>
    </c:plotArea>
    <c:legend>
      <c:legendPos val="r"/>
      <c:layout>
        <c:manualLayout>
          <c:xMode val="edge"/>
          <c:yMode val="edge"/>
          <c:x val="0.80180025573726321"/>
          <c:y val="1.7302715586267781E-2"/>
          <c:w val="0.19606299212598424"/>
          <c:h val="0.28128132448311027"/>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76115369248252"/>
          <c:y val="0.13324235582545832"/>
          <c:w val="0.53484346588337894"/>
          <c:h val="0.76680928367100221"/>
        </c:manualLayout>
      </c:layout>
      <c:doughnut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dPt>
          <c:dLbls>
            <c:dLbl>
              <c:idx val="0"/>
              <c:layout>
                <c:manualLayout>
                  <c:x val="8.7248322147651033E-2"/>
                  <c:y val="-7.5678520320118978E-17"/>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0402684563758455E-2"/>
                  <c:y val="9.9071207430340522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1633109619686796"/>
                  <c:y val="-4.9535603715170295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9.7108582430330992E-2"/>
                  <c:y val="-5.1066088649031262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2.1104336879520938E-3"/>
                  <c:y val="-9.9025981302898997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Sheet10!$A$19:$A$23</c:f>
              <c:strCache>
                <c:ptCount val="5"/>
                <c:pt idx="0">
                  <c:v>Employed</c:v>
                </c:pt>
                <c:pt idx="1">
                  <c:v>Unemployed</c:v>
                </c:pt>
                <c:pt idx="2">
                  <c:v>Economically inactive</c:v>
                </c:pt>
                <c:pt idx="3">
                  <c:v>Inactive (want a job)</c:v>
                </c:pt>
                <c:pt idx="4">
                  <c:v>Inactive (in education)</c:v>
                </c:pt>
              </c:strCache>
            </c:strRef>
          </c:cat>
          <c:val>
            <c:numRef>
              <c:f>Sheet10!$B$19:$B$23</c:f>
              <c:numCache>
                <c:formatCode>General</c:formatCode>
                <c:ptCount val="5"/>
                <c:pt idx="0">
                  <c:v>0.53254473372781053</c:v>
                </c:pt>
                <c:pt idx="1">
                  <c:v>0.12426000000000004</c:v>
                </c:pt>
                <c:pt idx="2">
                  <c:v>0.1784615384615385</c:v>
                </c:pt>
                <c:pt idx="3">
                  <c:v>9.4378698224852106E-2</c:v>
                </c:pt>
                <c:pt idx="4">
                  <c:v>7.0355029585798812E-2</c:v>
                </c:pt>
              </c:numCache>
            </c:numRef>
          </c:val>
        </c:ser>
        <c:dLbls>
          <c:showLegendKey val="0"/>
          <c:showVal val="0"/>
          <c:showCatName val="0"/>
          <c:showSerName val="0"/>
          <c:showPercent val="0"/>
          <c:showBubbleSize val="0"/>
          <c:showLeaderLines val="0"/>
        </c:dLbls>
        <c:firstSliceAng val="0"/>
        <c:holeSize val="70"/>
      </c:doughnut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8653136098730526E-2"/>
          <c:y val="2.112991898148148E-2"/>
          <c:w val="0.73181679609636396"/>
          <c:h val="0.89329941805785862"/>
        </c:manualLayout>
      </c:layout>
      <c:lineChart>
        <c:grouping val="standard"/>
        <c:varyColors val="0"/>
        <c:ser>
          <c:idx val="0"/>
          <c:order val="0"/>
          <c:tx>
            <c:strRef>
              <c:f>Sheet1!$A$23</c:f>
              <c:strCache>
                <c:ptCount val="1"/>
                <c:pt idx="0">
                  <c:v>North East Lincs.</c:v>
                </c:pt>
              </c:strCache>
            </c:strRef>
          </c:tx>
          <c:marker>
            <c:symbol val="none"/>
          </c:marker>
          <c:cat>
            <c:numRef>
              <c:f>Sheet1!$B$22:$J$22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Sheet1!$B$23:$J$23</c:f>
              <c:numCache>
                <c:formatCode>#,##0.0</c:formatCode>
                <c:ptCount val="9"/>
                <c:pt idx="0">
                  <c:v>6.7</c:v>
                </c:pt>
                <c:pt idx="1">
                  <c:v>5.9</c:v>
                </c:pt>
                <c:pt idx="2">
                  <c:v>6.4</c:v>
                </c:pt>
                <c:pt idx="3">
                  <c:v>6.1</c:v>
                </c:pt>
                <c:pt idx="4">
                  <c:v>5.2</c:v>
                </c:pt>
                <c:pt idx="5">
                  <c:v>6.9</c:v>
                </c:pt>
                <c:pt idx="6">
                  <c:v>7.2</c:v>
                </c:pt>
                <c:pt idx="7">
                  <c:v>5.9</c:v>
                </c:pt>
                <c:pt idx="8">
                  <c:v>5.2</c:v>
                </c:pt>
              </c:numCache>
            </c:numRef>
          </c:val>
          <c:smooth val="0"/>
        </c:ser>
        <c:ser>
          <c:idx val="1"/>
          <c:order val="1"/>
          <c:tx>
            <c:strRef>
              <c:f>Sheet1!$A$25</c:f>
              <c:strCache>
                <c:ptCount val="1"/>
                <c:pt idx="0">
                  <c:v>Kingston upon Hull</c:v>
                </c:pt>
              </c:strCache>
            </c:strRef>
          </c:tx>
          <c:marker>
            <c:symbol val="none"/>
          </c:marker>
          <c:cat>
            <c:numRef>
              <c:f>Sheet1!$B$22:$J$22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Sheet1!$B$25:$J$25</c:f>
              <c:numCache>
                <c:formatCode>#,##0.0</c:formatCode>
                <c:ptCount val="9"/>
                <c:pt idx="0">
                  <c:v>5.2</c:v>
                </c:pt>
                <c:pt idx="1">
                  <c:v>4.5999999999999996</c:v>
                </c:pt>
                <c:pt idx="2">
                  <c:v>5.3</c:v>
                </c:pt>
                <c:pt idx="3">
                  <c:v>4</c:v>
                </c:pt>
                <c:pt idx="4">
                  <c:v>5.8</c:v>
                </c:pt>
                <c:pt idx="5">
                  <c:v>5.6</c:v>
                </c:pt>
                <c:pt idx="6">
                  <c:v>5.6</c:v>
                </c:pt>
                <c:pt idx="7">
                  <c:v>4.7</c:v>
                </c:pt>
                <c:pt idx="8">
                  <c:v>6</c:v>
                </c:pt>
              </c:numCache>
            </c:numRef>
          </c:val>
          <c:smooth val="0"/>
        </c:ser>
        <c:ser>
          <c:idx val="2"/>
          <c:order val="2"/>
          <c:tx>
            <c:strRef>
              <c:f>Sheet1!$A$26</c:f>
              <c:strCache>
                <c:ptCount val="1"/>
                <c:pt idx="0">
                  <c:v>North Lincs.</c:v>
                </c:pt>
              </c:strCache>
            </c:strRef>
          </c:tx>
          <c:marker>
            <c:symbol val="none"/>
          </c:marker>
          <c:cat>
            <c:numRef>
              <c:f>Sheet1!$B$22:$J$22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Sheet1!$B$26:$J$26</c:f>
              <c:numCache>
                <c:formatCode>#,##0.0</c:formatCode>
                <c:ptCount val="9"/>
                <c:pt idx="0">
                  <c:v>6.1</c:v>
                </c:pt>
                <c:pt idx="1">
                  <c:v>7.8</c:v>
                </c:pt>
                <c:pt idx="2">
                  <c:v>8</c:v>
                </c:pt>
                <c:pt idx="3">
                  <c:v>7.2</c:v>
                </c:pt>
                <c:pt idx="4">
                  <c:v>6.6</c:v>
                </c:pt>
                <c:pt idx="5">
                  <c:v>7.7</c:v>
                </c:pt>
                <c:pt idx="6">
                  <c:v>7</c:v>
                </c:pt>
                <c:pt idx="7">
                  <c:v>7.4</c:v>
                </c:pt>
                <c:pt idx="8">
                  <c:v>7.4</c:v>
                </c:pt>
              </c:numCache>
            </c:numRef>
          </c:val>
          <c:smooth val="0"/>
        </c:ser>
        <c:ser>
          <c:idx val="3"/>
          <c:order val="3"/>
          <c:tx>
            <c:strRef>
              <c:f>Sheet1!$A$27</c:f>
              <c:strCache>
                <c:ptCount val="1"/>
                <c:pt idx="0">
                  <c:v>UK</c:v>
                </c:pt>
              </c:strCache>
            </c:strRef>
          </c:tx>
          <c:spPr>
            <a:ln>
              <a:solidFill>
                <a:srgbClr val="830051"/>
              </a:solidFill>
            </a:ln>
          </c:spPr>
          <c:marker>
            <c:symbol val="none"/>
          </c:marker>
          <c:cat>
            <c:numRef>
              <c:f>Sheet1!$B$22:$J$22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Sheet1!$B$27:$J$27</c:f>
              <c:numCache>
                <c:formatCode>#,##0.0</c:formatCode>
                <c:ptCount val="9"/>
                <c:pt idx="0">
                  <c:v>9</c:v>
                </c:pt>
                <c:pt idx="1">
                  <c:v>9</c:v>
                </c:pt>
                <c:pt idx="2">
                  <c:v>9.1</c:v>
                </c:pt>
                <c:pt idx="3">
                  <c:v>8.9</c:v>
                </c:pt>
                <c:pt idx="4">
                  <c:v>9</c:v>
                </c:pt>
                <c:pt idx="5">
                  <c:v>9.1</c:v>
                </c:pt>
                <c:pt idx="6">
                  <c:v>9.2000000000000011</c:v>
                </c:pt>
                <c:pt idx="7">
                  <c:v>9.5</c:v>
                </c:pt>
                <c:pt idx="8">
                  <c:v>9.7000000000000011</c:v>
                </c:pt>
              </c:numCache>
            </c:numRef>
          </c:val>
          <c:smooth val="0"/>
        </c:ser>
        <c:dLbls>
          <c:showLegendKey val="0"/>
          <c:showVal val="0"/>
          <c:showCatName val="0"/>
          <c:showSerName val="0"/>
          <c:showPercent val="0"/>
          <c:showBubbleSize val="0"/>
        </c:dLbls>
        <c:marker val="1"/>
        <c:smooth val="0"/>
        <c:axId val="99229056"/>
        <c:axId val="99239040"/>
      </c:lineChart>
      <c:catAx>
        <c:axId val="99229056"/>
        <c:scaling>
          <c:orientation val="minMax"/>
        </c:scaling>
        <c:delete val="0"/>
        <c:axPos val="b"/>
        <c:numFmt formatCode="General" sourceLinked="1"/>
        <c:majorTickMark val="out"/>
        <c:minorTickMark val="none"/>
        <c:tickLblPos val="nextTo"/>
        <c:crossAx val="99239040"/>
        <c:crosses val="autoZero"/>
        <c:auto val="1"/>
        <c:lblAlgn val="ctr"/>
        <c:lblOffset val="100"/>
        <c:noMultiLvlLbl val="0"/>
      </c:catAx>
      <c:valAx>
        <c:axId val="99239040"/>
        <c:scaling>
          <c:orientation val="minMax"/>
        </c:scaling>
        <c:delete val="0"/>
        <c:axPos val="l"/>
        <c:majorGridlines>
          <c:spPr>
            <a:ln>
              <a:noFill/>
            </a:ln>
          </c:spPr>
        </c:majorGridlines>
        <c:title>
          <c:tx>
            <c:rich>
              <a:bodyPr rot="-5400000" vert="horz"/>
              <a:lstStyle/>
              <a:p>
                <a:pPr>
                  <a:defRPr/>
                </a:pPr>
                <a:r>
                  <a:rPr lang="en-US"/>
                  <a:t>% aged 16-64</a:t>
                </a:r>
              </a:p>
            </c:rich>
          </c:tx>
          <c:layout>
            <c:manualLayout>
              <c:xMode val="edge"/>
              <c:yMode val="edge"/>
              <c:x val="6.8728522336769723E-3"/>
              <c:y val="0.33130217873813311"/>
            </c:manualLayout>
          </c:layout>
          <c:overlay val="0"/>
        </c:title>
        <c:numFmt formatCode="#,##0.0" sourceLinked="1"/>
        <c:majorTickMark val="out"/>
        <c:minorTickMark val="none"/>
        <c:tickLblPos val="nextTo"/>
        <c:crossAx val="99229056"/>
        <c:crosses val="autoZero"/>
        <c:crossBetween val="between"/>
      </c:valAx>
    </c:plotArea>
    <c:legend>
      <c:legendPos val="r"/>
      <c:layout>
        <c:manualLayout>
          <c:xMode val="edge"/>
          <c:yMode val="edge"/>
          <c:x val="0.81901489117984005"/>
          <c:y val="0.23132446095836701"/>
          <c:w val="0.18098510882016114"/>
          <c:h val="0.46384868925563122"/>
        </c:manualLayout>
      </c:layout>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Analysis'!$B$38</c:f>
              <c:strCache>
                <c:ptCount val="1"/>
                <c:pt idx="0">
                  <c:v>Difference</c:v>
                </c:pt>
              </c:strCache>
            </c:strRef>
          </c:tx>
          <c:invertIfNegative val="0"/>
          <c:dPt>
            <c:idx val="6"/>
            <c:invertIfNegative val="0"/>
            <c:bubble3D val="0"/>
            <c:spPr>
              <a:solidFill>
                <a:schemeClr val="bg2"/>
              </a:solidFill>
            </c:spPr>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Analysis'!$A$39:$A$45</c:f>
              <c:strCache>
                <c:ptCount val="7"/>
                <c:pt idx="0">
                  <c:v>0-15</c:v>
                </c:pt>
                <c:pt idx="1">
                  <c:v>16-24</c:v>
                </c:pt>
                <c:pt idx="2">
                  <c:v>25-44</c:v>
                </c:pt>
                <c:pt idx="3">
                  <c:v>45-64</c:v>
                </c:pt>
                <c:pt idx="4">
                  <c:v>65+</c:v>
                </c:pt>
                <c:pt idx="5">
                  <c:v>All Ages</c:v>
                </c:pt>
                <c:pt idx="6">
                  <c:v>Working Age Population 16-64</c:v>
                </c:pt>
              </c:strCache>
            </c:strRef>
          </c:cat>
          <c:val>
            <c:numRef>
              <c:f>'Data Analysis'!$B$39:$B$45</c:f>
              <c:numCache>
                <c:formatCode>General</c:formatCode>
                <c:ptCount val="7"/>
                <c:pt idx="0">
                  <c:v>1600</c:v>
                </c:pt>
                <c:pt idx="1">
                  <c:v>-3400</c:v>
                </c:pt>
                <c:pt idx="2">
                  <c:v>-400</c:v>
                </c:pt>
                <c:pt idx="3">
                  <c:v>-800</c:v>
                </c:pt>
                <c:pt idx="4">
                  <c:v>5000</c:v>
                </c:pt>
                <c:pt idx="5">
                  <c:v>2000</c:v>
                </c:pt>
                <c:pt idx="6">
                  <c:v>-4600</c:v>
                </c:pt>
              </c:numCache>
            </c:numRef>
          </c:val>
        </c:ser>
        <c:dLbls>
          <c:showLegendKey val="0"/>
          <c:showVal val="0"/>
          <c:showCatName val="0"/>
          <c:showSerName val="0"/>
          <c:showPercent val="0"/>
          <c:showBubbleSize val="0"/>
        </c:dLbls>
        <c:gapWidth val="150"/>
        <c:axId val="131392256"/>
        <c:axId val="131394176"/>
      </c:barChart>
      <c:catAx>
        <c:axId val="131392256"/>
        <c:scaling>
          <c:orientation val="minMax"/>
        </c:scaling>
        <c:delete val="0"/>
        <c:axPos val="b"/>
        <c:title>
          <c:tx>
            <c:rich>
              <a:bodyPr/>
              <a:lstStyle/>
              <a:p>
                <a:pPr>
                  <a:defRPr/>
                </a:pPr>
                <a:r>
                  <a:rPr lang="en-US"/>
                  <a:t>Age Band</a:t>
                </a:r>
              </a:p>
            </c:rich>
          </c:tx>
          <c:overlay val="0"/>
        </c:title>
        <c:numFmt formatCode="General" sourceLinked="0"/>
        <c:majorTickMark val="out"/>
        <c:minorTickMark val="none"/>
        <c:tickLblPos val="low"/>
        <c:crossAx val="131394176"/>
        <c:crosses val="autoZero"/>
        <c:auto val="1"/>
        <c:lblAlgn val="ctr"/>
        <c:lblOffset val="100"/>
        <c:noMultiLvlLbl val="0"/>
      </c:catAx>
      <c:valAx>
        <c:axId val="131394176"/>
        <c:scaling>
          <c:orientation val="minMax"/>
        </c:scaling>
        <c:delete val="0"/>
        <c:axPos val="l"/>
        <c:majorGridlines>
          <c:spPr>
            <a:ln>
              <a:noFill/>
            </a:ln>
          </c:spPr>
        </c:majorGridlines>
        <c:title>
          <c:tx>
            <c:rich>
              <a:bodyPr rot="-5400000" vert="horz"/>
              <a:lstStyle/>
              <a:p>
                <a:pPr>
                  <a:defRPr/>
                </a:pPr>
                <a:r>
                  <a:rPr lang="en-US"/>
                  <a:t>Population</a:t>
                </a:r>
              </a:p>
            </c:rich>
          </c:tx>
          <c:overlay val="0"/>
        </c:title>
        <c:numFmt formatCode="#,##0" sourceLinked="0"/>
        <c:majorTickMark val="out"/>
        <c:minorTickMark val="none"/>
        <c:tickLblPos val="nextTo"/>
        <c:crossAx val="131392256"/>
        <c:crosses val="autoZero"/>
        <c:crossBetween val="between"/>
      </c:valAx>
    </c:plotArea>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'Business and Employment Density'!$N$12</c:f>
              <c:strCache>
                <c:ptCount val="1"/>
                <c:pt idx="0">
                  <c:v>Business Density</c:v>
                </c:pt>
              </c:strCache>
            </c:strRef>
          </c:tx>
          <c:invertIfNegative val="0"/>
          <c:cat>
            <c:strRef>
              <c:f>'Business and Employment Density'!$M$13:$M$17</c:f>
              <c:strCache>
                <c:ptCount val="5"/>
                <c:pt idx="0">
                  <c:v>East Riding of Yorkshire</c:v>
                </c:pt>
                <c:pt idx="1">
                  <c:v>Kingston upon Hull, City of</c:v>
                </c:pt>
                <c:pt idx="2">
                  <c:v>North East Lincolnshire</c:v>
                </c:pt>
                <c:pt idx="3">
                  <c:v>North Lincolnshire</c:v>
                </c:pt>
                <c:pt idx="4">
                  <c:v>England</c:v>
                </c:pt>
              </c:strCache>
            </c:strRef>
          </c:cat>
          <c:val>
            <c:numRef>
              <c:f>'Business and Employment Density'!$N$13:$N$17</c:f>
              <c:numCache>
                <c:formatCode>General</c:formatCode>
                <c:ptCount val="5"/>
                <c:pt idx="0">
                  <c:v>14.42307692307692</c:v>
                </c:pt>
                <c:pt idx="1">
                  <c:v>22.63750828363154</c:v>
                </c:pt>
                <c:pt idx="2">
                  <c:v>19.643916913946601</c:v>
                </c:pt>
                <c:pt idx="3">
                  <c:v>17.8117048346056</c:v>
                </c:pt>
                <c:pt idx="4">
                  <c:v>15.374431594400154</c:v>
                </c:pt>
              </c:numCache>
            </c:numRef>
          </c:val>
        </c:ser>
        <c:dLbls>
          <c:showLegendKey val="0"/>
          <c:showVal val="0"/>
          <c:showCatName val="0"/>
          <c:showSerName val="0"/>
          <c:showPercent val="0"/>
          <c:showBubbleSize val="0"/>
        </c:dLbls>
        <c:gapWidth val="150"/>
        <c:axId val="30010368"/>
        <c:axId val="56050432"/>
      </c:barChart>
      <c:catAx>
        <c:axId val="30010368"/>
        <c:scaling>
          <c:orientation val="minMax"/>
        </c:scaling>
        <c:delete val="0"/>
        <c:axPos val="b"/>
        <c:numFmt formatCode="General" sourceLinked="0"/>
        <c:majorTickMark val="out"/>
        <c:minorTickMark val="none"/>
        <c:tickLblPos val="nextTo"/>
        <c:crossAx val="56050432"/>
        <c:crosses val="autoZero"/>
        <c:auto val="1"/>
        <c:lblAlgn val="ctr"/>
        <c:lblOffset val="100"/>
        <c:noMultiLvlLbl val="0"/>
      </c:catAx>
      <c:valAx>
        <c:axId val="56050432"/>
        <c:scaling>
          <c:orientation val="minMax"/>
        </c:scaling>
        <c:delete val="0"/>
        <c:axPos val="l"/>
        <c:majorGridlines>
          <c:spPr>
            <a:ln>
              <a:noFill/>
            </a:ln>
          </c:spPr>
        </c:majorGridlines>
        <c:title>
          <c:tx>
            <c:rich>
              <a:bodyPr rot="-5400000" vert="horz"/>
              <a:lstStyle/>
              <a:p>
                <a:pPr>
                  <a:defRPr/>
                </a:pPr>
                <a:r>
                  <a:rPr lang="en-US"/>
                  <a:t>Business units: population</a:t>
                </a:r>
              </a:p>
            </c:rich>
          </c:tx>
          <c:overlay val="0"/>
        </c:title>
        <c:numFmt formatCode="General" sourceLinked="1"/>
        <c:majorTickMark val="out"/>
        <c:minorTickMark val="none"/>
        <c:tickLblPos val="nextTo"/>
        <c:crossAx val="30010368"/>
        <c:crosses val="autoZero"/>
        <c:crossBetween val="between"/>
      </c:valAx>
    </c:plotArea>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40938151961774"/>
          <c:y val="4.5963650114011323E-2"/>
          <c:w val="0.76404721044485246"/>
          <c:h val="0.85032426732210165"/>
        </c:manualLayout>
      </c:layout>
      <c:lineChart>
        <c:grouping val="standard"/>
        <c:varyColors val="0"/>
        <c:ser>
          <c:idx val="0"/>
          <c:order val="0"/>
          <c:tx>
            <c:strRef>
              <c:f>Sheet1!$A$43</c:f>
              <c:strCache>
                <c:ptCount val="1"/>
                <c:pt idx="0">
                  <c:v>N E Lincs.</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Sheet1!$B$43:$J$43</c:f>
              <c:numCache>
                <c:formatCode>General</c:formatCode>
                <c:ptCount val="9"/>
                <c:pt idx="0">
                  <c:v>0.13090551181102394</c:v>
                </c:pt>
                <c:pt idx="1">
                  <c:v>0.11365902293120655</c:v>
                </c:pt>
                <c:pt idx="2">
                  <c:v>0.11379657603222586</c:v>
                </c:pt>
                <c:pt idx="3">
                  <c:v>0.14313725490196091</c:v>
                </c:pt>
                <c:pt idx="4">
                  <c:v>0.20255474452554745</c:v>
                </c:pt>
                <c:pt idx="5">
                  <c:v>0.17264150943396225</c:v>
                </c:pt>
                <c:pt idx="6">
                  <c:v>0.15004935834155991</c:v>
                </c:pt>
                <c:pt idx="7">
                  <c:v>0.1489141675284392</c:v>
                </c:pt>
                <c:pt idx="8">
                  <c:v>0.1550468262226847</c:v>
                </c:pt>
              </c:numCache>
            </c:numRef>
          </c:val>
          <c:smooth val="0"/>
        </c:ser>
        <c:ser>
          <c:idx val="1"/>
          <c:order val="1"/>
          <c:tx>
            <c:strRef>
              <c:f>Sheet1!$A$44</c:f>
              <c:strCache>
                <c:ptCount val="1"/>
                <c:pt idx="0">
                  <c:v>Hull</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Sheet1!$B$44:$J$44</c:f>
              <c:numCache>
                <c:formatCode>General</c:formatCode>
                <c:ptCount val="9"/>
                <c:pt idx="0">
                  <c:v>0.14093959731543673</c:v>
                </c:pt>
                <c:pt idx="1">
                  <c:v>0.13591433278418519</c:v>
                </c:pt>
                <c:pt idx="2">
                  <c:v>0.11591836734693854</c:v>
                </c:pt>
                <c:pt idx="3">
                  <c:v>0.12589073634204276</c:v>
                </c:pt>
                <c:pt idx="4">
                  <c:v>0.12087912087912089</c:v>
                </c:pt>
                <c:pt idx="5">
                  <c:v>0.10836653386454199</c:v>
                </c:pt>
                <c:pt idx="6">
                  <c:v>0.10048622366288502</c:v>
                </c:pt>
                <c:pt idx="7">
                  <c:v>0.1152570480928687</c:v>
                </c:pt>
                <c:pt idx="8">
                  <c:v>0.11452282157676349</c:v>
                </c:pt>
              </c:numCache>
            </c:numRef>
          </c:val>
          <c:smooth val="0"/>
        </c:ser>
        <c:ser>
          <c:idx val="2"/>
          <c:order val="2"/>
          <c:tx>
            <c:strRef>
              <c:f>Sheet1!$A$45</c:f>
              <c:strCache>
                <c:ptCount val="1"/>
                <c:pt idx="0">
                  <c:v>North Lincs.</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Sheet1!$B$45:$J$45</c:f>
              <c:numCache>
                <c:formatCode>General</c:formatCode>
                <c:ptCount val="9"/>
                <c:pt idx="0">
                  <c:v>0.13658536585365855</c:v>
                </c:pt>
                <c:pt idx="1">
                  <c:v>0.11904761904761912</c:v>
                </c:pt>
                <c:pt idx="2">
                  <c:v>0.10511363636363664</c:v>
                </c:pt>
                <c:pt idx="3">
                  <c:v>0.11933395004625375</c:v>
                </c:pt>
                <c:pt idx="4">
                  <c:v>0.10280373831775701</c:v>
                </c:pt>
                <c:pt idx="5">
                  <c:v>8.4761904761904761E-2</c:v>
                </c:pt>
                <c:pt idx="6">
                  <c:v>8.5937500000000028E-2</c:v>
                </c:pt>
                <c:pt idx="7">
                  <c:v>9.2292089249492948E-2</c:v>
                </c:pt>
                <c:pt idx="8">
                  <c:v>0.10141987829614595</c:v>
                </c:pt>
              </c:numCache>
            </c:numRef>
          </c:val>
          <c:smooth val="0"/>
        </c:ser>
        <c:ser>
          <c:idx val="3"/>
          <c:order val="3"/>
          <c:tx>
            <c:strRef>
              <c:f>Sheet1!$A$46</c:f>
              <c:strCache>
                <c:ptCount val="1"/>
                <c:pt idx="0">
                  <c:v>York &amp; Humber</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Sheet1!$B$46:$J$46</c:f>
              <c:numCache>
                <c:formatCode>General</c:formatCode>
                <c:ptCount val="9"/>
                <c:pt idx="0">
                  <c:v>0.13044032371120926</c:v>
                </c:pt>
                <c:pt idx="1">
                  <c:v>0.12487468671679212</c:v>
                </c:pt>
                <c:pt idx="2">
                  <c:v>0.11542409256321762</c:v>
                </c:pt>
                <c:pt idx="3">
                  <c:v>0.12309410947737118</c:v>
                </c:pt>
                <c:pt idx="4">
                  <c:v>0.11171262786385119</c:v>
                </c:pt>
                <c:pt idx="5">
                  <c:v>0.10193316349468012</c:v>
                </c:pt>
                <c:pt idx="6">
                  <c:v>9.9440906508804994E-2</c:v>
                </c:pt>
                <c:pt idx="7">
                  <c:v>0.10469566273842819</c:v>
                </c:pt>
                <c:pt idx="8">
                  <c:v>0.10847805113362277</c:v>
                </c:pt>
              </c:numCache>
            </c:numRef>
          </c:val>
          <c:smooth val="0"/>
        </c:ser>
        <c:ser>
          <c:idx val="4"/>
          <c:order val="4"/>
          <c:tx>
            <c:strRef>
              <c:f>Sheet1!$A$47</c:f>
              <c:strCache>
                <c:ptCount val="1"/>
                <c:pt idx="0">
                  <c:v>England</c:v>
                </c:pt>
              </c:strCache>
            </c:strRef>
          </c:tx>
          <c:marker>
            <c:symbol val="none"/>
          </c:marker>
          <c:cat>
            <c:numRef>
              <c:f>Sheet1!$B$42:$J$42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Sheet1!$B$47:$J$47</c:f>
              <c:numCache>
                <c:formatCode>General</c:formatCode>
                <c:ptCount val="9"/>
                <c:pt idx="0">
                  <c:v>0.13178518669789194</c:v>
                </c:pt>
                <c:pt idx="1">
                  <c:v>0.12675834475371359</c:v>
                </c:pt>
                <c:pt idx="2">
                  <c:v>0.11697674962392554</c:v>
                </c:pt>
                <c:pt idx="3">
                  <c:v>0.12412016562772002</c:v>
                </c:pt>
                <c:pt idx="4">
                  <c:v>0.11671415661311942</c:v>
                </c:pt>
                <c:pt idx="5">
                  <c:v>0.10246060338700592</c:v>
                </c:pt>
                <c:pt idx="6">
                  <c:v>0.1014118095498725</c:v>
                </c:pt>
                <c:pt idx="7">
                  <c:v>0.11389626551950539</c:v>
                </c:pt>
                <c:pt idx="8">
                  <c:v>0.11590755409582666</c:v>
                </c:pt>
              </c:numCache>
            </c:numRef>
          </c:val>
          <c:smooth val="0"/>
        </c:ser>
        <c:dLbls>
          <c:showLegendKey val="0"/>
          <c:showVal val="0"/>
          <c:showCatName val="0"/>
          <c:showSerName val="0"/>
          <c:showPercent val="0"/>
          <c:showBubbleSize val="0"/>
        </c:dLbls>
        <c:marker val="1"/>
        <c:smooth val="0"/>
        <c:axId val="56070144"/>
        <c:axId val="56071680"/>
      </c:lineChart>
      <c:catAx>
        <c:axId val="56070144"/>
        <c:scaling>
          <c:orientation val="minMax"/>
        </c:scaling>
        <c:delete val="0"/>
        <c:axPos val="b"/>
        <c:numFmt formatCode="General" sourceLinked="1"/>
        <c:majorTickMark val="out"/>
        <c:minorTickMark val="none"/>
        <c:tickLblPos val="nextTo"/>
        <c:txPr>
          <a:bodyPr rot="0" vert="horz"/>
          <a:lstStyle/>
          <a:p>
            <a:pPr>
              <a:defRPr/>
            </a:pPr>
            <a:endParaRPr lang="en-US"/>
          </a:p>
        </c:txPr>
        <c:crossAx val="56071680"/>
        <c:crosses val="autoZero"/>
        <c:auto val="1"/>
        <c:lblAlgn val="ctr"/>
        <c:lblOffset val="100"/>
        <c:noMultiLvlLbl val="0"/>
      </c:catAx>
      <c:valAx>
        <c:axId val="56071680"/>
        <c:scaling>
          <c:orientation val="minMax"/>
        </c:scaling>
        <c:delete val="0"/>
        <c:axPos val="l"/>
        <c:majorGridlines>
          <c:spPr>
            <a:ln>
              <a:noFill/>
            </a:ln>
          </c:spPr>
        </c:majorGridlines>
        <c:title>
          <c:tx>
            <c:rich>
              <a:bodyPr/>
              <a:lstStyle/>
              <a:p>
                <a:pPr>
                  <a:defRPr/>
                </a:pPr>
                <a:r>
                  <a:rPr lang="en-GB"/>
                  <a:t>Business birth rate</a:t>
                </a:r>
              </a:p>
            </c:rich>
          </c:tx>
          <c:layout>
            <c:manualLayout>
              <c:xMode val="edge"/>
              <c:yMode val="edge"/>
              <c:x val="6.4102564102564248E-3"/>
              <c:y val="0.29826302244200426"/>
            </c:manualLayout>
          </c:layout>
          <c:overlay val="0"/>
        </c:title>
        <c:numFmt formatCode="General" sourceLinked="1"/>
        <c:majorTickMark val="out"/>
        <c:minorTickMark val="none"/>
        <c:tickLblPos val="nextTo"/>
        <c:txPr>
          <a:bodyPr rot="0" vert="horz"/>
          <a:lstStyle/>
          <a:p>
            <a:pPr>
              <a:defRPr/>
            </a:pPr>
            <a:endParaRPr lang="en-US"/>
          </a:p>
        </c:txPr>
        <c:crossAx val="56070144"/>
        <c:crosses val="autoZero"/>
        <c:crossBetween val="between"/>
      </c:valAx>
    </c:plotArea>
    <c:legend>
      <c:legendPos val="r"/>
      <c:layout>
        <c:manualLayout>
          <c:xMode val="edge"/>
          <c:yMode val="edge"/>
          <c:x val="0.83745591897166649"/>
          <c:y val="0.20145875472872871"/>
          <c:w val="0.16149774547412418"/>
          <c:h val="0.56261219779735905"/>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270475805908917"/>
          <c:y val="4.6015477933486974E-2"/>
          <c:w val="0.75979524194091164"/>
          <c:h val="0.85343362094379493"/>
        </c:manualLayout>
      </c:layout>
      <c:lineChart>
        <c:grouping val="standard"/>
        <c:varyColors val="0"/>
        <c:ser>
          <c:idx val="0"/>
          <c:order val="0"/>
          <c:tx>
            <c:strRef>
              <c:f>Sheet1!$A$51</c:f>
              <c:strCache>
                <c:ptCount val="1"/>
                <c:pt idx="0">
                  <c:v>N E Lincs.</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Sheet1!$B$51:$J$51</c:f>
              <c:numCache>
                <c:formatCode>General</c:formatCode>
                <c:ptCount val="9"/>
                <c:pt idx="0">
                  <c:v>0.125</c:v>
                </c:pt>
                <c:pt idx="1">
                  <c:v>0.12462612163509502</c:v>
                </c:pt>
                <c:pt idx="2">
                  <c:v>0.1178247734138976</c:v>
                </c:pt>
                <c:pt idx="3">
                  <c:v>0.14019607843137274</c:v>
                </c:pt>
                <c:pt idx="4">
                  <c:v>0.20985401459854014</c:v>
                </c:pt>
                <c:pt idx="5">
                  <c:v>0.20094339622641577</c:v>
                </c:pt>
                <c:pt idx="6">
                  <c:v>0.17472852912142198</c:v>
                </c:pt>
                <c:pt idx="7">
                  <c:v>0.14994829369183135</c:v>
                </c:pt>
                <c:pt idx="8">
                  <c:v>0.1685744016649324</c:v>
                </c:pt>
              </c:numCache>
            </c:numRef>
          </c:val>
          <c:smooth val="0"/>
        </c:ser>
        <c:ser>
          <c:idx val="1"/>
          <c:order val="1"/>
          <c:tx>
            <c:strRef>
              <c:f>Sheet1!$A$52</c:f>
              <c:strCache>
                <c:ptCount val="1"/>
                <c:pt idx="0">
                  <c:v>Hull</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Sheet1!$B$52:$J$52</c:f>
              <c:numCache>
                <c:formatCode>General</c:formatCode>
                <c:ptCount val="9"/>
                <c:pt idx="0">
                  <c:v>0.11241610738255042</c:v>
                </c:pt>
                <c:pt idx="1">
                  <c:v>0.11202635914332784</c:v>
                </c:pt>
                <c:pt idx="2">
                  <c:v>9.6326530612244943E-2</c:v>
                </c:pt>
                <c:pt idx="3">
                  <c:v>9.9762470308788598E-2</c:v>
                </c:pt>
                <c:pt idx="4">
                  <c:v>0.11067503924646782</c:v>
                </c:pt>
                <c:pt idx="5">
                  <c:v>0.12988047808764938</c:v>
                </c:pt>
                <c:pt idx="6">
                  <c:v>0.11102106969205806</c:v>
                </c:pt>
                <c:pt idx="7">
                  <c:v>0.10364842454394693</c:v>
                </c:pt>
                <c:pt idx="8">
                  <c:v>0.11037344398340262</c:v>
                </c:pt>
              </c:numCache>
            </c:numRef>
          </c:val>
          <c:smooth val="0"/>
        </c:ser>
        <c:ser>
          <c:idx val="2"/>
          <c:order val="2"/>
          <c:tx>
            <c:strRef>
              <c:f>Sheet1!$A$53</c:f>
              <c:strCache>
                <c:ptCount val="1"/>
                <c:pt idx="0">
                  <c:v>North Lincs.</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Sheet1!$B$53:$J$53</c:f>
              <c:numCache>
                <c:formatCode>General</c:formatCode>
                <c:ptCount val="9"/>
                <c:pt idx="0">
                  <c:v>0.10048780487804848</c:v>
                </c:pt>
                <c:pt idx="1">
                  <c:v>9.8095238095238402E-2</c:v>
                </c:pt>
                <c:pt idx="2">
                  <c:v>9.753787878787934E-2</c:v>
                </c:pt>
                <c:pt idx="3">
                  <c:v>9.9907493061980018E-2</c:v>
                </c:pt>
                <c:pt idx="4">
                  <c:v>0.1</c:v>
                </c:pt>
                <c:pt idx="5">
                  <c:v>0.12095238095238096</c:v>
                </c:pt>
                <c:pt idx="6">
                  <c:v>0.1123046875</c:v>
                </c:pt>
                <c:pt idx="7">
                  <c:v>9.533468559837753E-2</c:v>
                </c:pt>
                <c:pt idx="8">
                  <c:v>0.11257606490872211</c:v>
                </c:pt>
              </c:numCache>
            </c:numRef>
          </c:val>
          <c:smooth val="0"/>
        </c:ser>
        <c:ser>
          <c:idx val="3"/>
          <c:order val="3"/>
          <c:tx>
            <c:strRef>
              <c:f>Sheet1!$A$54</c:f>
              <c:strCache>
                <c:ptCount val="1"/>
                <c:pt idx="0">
                  <c:v>York &amp; Humber</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Sheet1!$B$54:$J$54</c:f>
              <c:numCache>
                <c:formatCode>General</c:formatCode>
                <c:ptCount val="9"/>
                <c:pt idx="0">
                  <c:v>0.10797807939845791</c:v>
                </c:pt>
                <c:pt idx="1">
                  <c:v>0.10720551378446116</c:v>
                </c:pt>
                <c:pt idx="2">
                  <c:v>9.6015676028739394E-2</c:v>
                </c:pt>
                <c:pt idx="3">
                  <c:v>0.10135563539748195</c:v>
                </c:pt>
                <c:pt idx="4">
                  <c:v>0.10366692588383121</c:v>
                </c:pt>
                <c:pt idx="5">
                  <c:v>0.12126479844148111</c:v>
                </c:pt>
                <c:pt idx="6">
                  <c:v>0.11083206266630788</c:v>
                </c:pt>
                <c:pt idx="7">
                  <c:v>0.10026120762969262</c:v>
                </c:pt>
                <c:pt idx="8">
                  <c:v>0.10974433188615566</c:v>
                </c:pt>
              </c:numCache>
            </c:numRef>
          </c:val>
          <c:smooth val="0"/>
        </c:ser>
        <c:ser>
          <c:idx val="4"/>
          <c:order val="4"/>
          <c:tx>
            <c:strRef>
              <c:f>Sheet1!$A$55</c:f>
              <c:strCache>
                <c:ptCount val="1"/>
                <c:pt idx="0">
                  <c:v>England</c:v>
                </c:pt>
              </c:strCache>
            </c:strRef>
          </c:tx>
          <c:marker>
            <c:symbol val="none"/>
          </c:marker>
          <c:cat>
            <c:numRef>
              <c:f>Sheet1!$B$50:$J$50</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Sheet1!$B$55:$J$55</c:f>
              <c:numCache>
                <c:formatCode>General</c:formatCode>
                <c:ptCount val="9"/>
                <c:pt idx="0">
                  <c:v>0.11457010022463704</c:v>
                </c:pt>
                <c:pt idx="1">
                  <c:v>0.10617540653928373</c:v>
                </c:pt>
                <c:pt idx="2">
                  <c:v>9.4986450920635943E-2</c:v>
                </c:pt>
                <c:pt idx="3">
                  <c:v>0.10027218893232509</c:v>
                </c:pt>
                <c:pt idx="4">
                  <c:v>9.7133813006483993E-2</c:v>
                </c:pt>
                <c:pt idx="5">
                  <c:v>0.12114305320687226</c:v>
                </c:pt>
                <c:pt idx="6">
                  <c:v>0.10703656826189609</c:v>
                </c:pt>
                <c:pt idx="7">
                  <c:v>9.9106801634508926E-2</c:v>
                </c:pt>
                <c:pt idx="8">
                  <c:v>0.10809505409582702</c:v>
                </c:pt>
              </c:numCache>
            </c:numRef>
          </c:val>
          <c:smooth val="0"/>
        </c:ser>
        <c:dLbls>
          <c:showLegendKey val="0"/>
          <c:showVal val="0"/>
          <c:showCatName val="0"/>
          <c:showSerName val="0"/>
          <c:showPercent val="0"/>
          <c:showBubbleSize val="0"/>
        </c:dLbls>
        <c:marker val="1"/>
        <c:smooth val="0"/>
        <c:axId val="56186368"/>
        <c:axId val="56187904"/>
      </c:lineChart>
      <c:catAx>
        <c:axId val="56186368"/>
        <c:scaling>
          <c:orientation val="minMax"/>
        </c:scaling>
        <c:delete val="0"/>
        <c:axPos val="b"/>
        <c:numFmt formatCode="General" sourceLinked="1"/>
        <c:majorTickMark val="out"/>
        <c:minorTickMark val="none"/>
        <c:tickLblPos val="nextTo"/>
        <c:txPr>
          <a:bodyPr rot="0" vert="horz"/>
          <a:lstStyle/>
          <a:p>
            <a:pPr>
              <a:defRPr/>
            </a:pPr>
            <a:endParaRPr lang="en-US"/>
          </a:p>
        </c:txPr>
        <c:crossAx val="56187904"/>
        <c:crosses val="autoZero"/>
        <c:auto val="1"/>
        <c:lblAlgn val="ctr"/>
        <c:lblOffset val="100"/>
        <c:noMultiLvlLbl val="0"/>
      </c:catAx>
      <c:valAx>
        <c:axId val="56187904"/>
        <c:scaling>
          <c:orientation val="minMax"/>
        </c:scaling>
        <c:delete val="0"/>
        <c:axPos val="l"/>
        <c:majorGridlines>
          <c:spPr>
            <a:ln>
              <a:noFill/>
            </a:ln>
          </c:spPr>
        </c:majorGridlines>
        <c:title>
          <c:tx>
            <c:rich>
              <a:bodyPr/>
              <a:lstStyle/>
              <a:p>
                <a:pPr>
                  <a:defRPr/>
                </a:pPr>
                <a:r>
                  <a:rPr lang="en-GB"/>
                  <a:t>Business death rate</a:t>
                </a:r>
              </a:p>
            </c:rich>
          </c:tx>
          <c:layout>
            <c:manualLayout>
              <c:xMode val="edge"/>
              <c:yMode val="edge"/>
              <c:x val="6.4102564102564248E-3"/>
              <c:y val="0.25305021352565188"/>
            </c:manualLayout>
          </c:layout>
          <c:overlay val="0"/>
        </c:title>
        <c:numFmt formatCode="General" sourceLinked="1"/>
        <c:majorTickMark val="out"/>
        <c:minorTickMark val="none"/>
        <c:tickLblPos val="nextTo"/>
        <c:txPr>
          <a:bodyPr rot="0" vert="horz"/>
          <a:lstStyle/>
          <a:p>
            <a:pPr>
              <a:defRPr/>
            </a:pPr>
            <a:endParaRPr lang="en-US"/>
          </a:p>
        </c:txPr>
        <c:crossAx val="56186368"/>
        <c:crosses val="autoZero"/>
        <c:crossBetween val="between"/>
      </c:valAx>
    </c:plotArea>
    <c:legend>
      <c:legendPos val="r"/>
      <c:layout>
        <c:manualLayout>
          <c:xMode val="edge"/>
          <c:yMode val="edge"/>
          <c:x val="0.83226613500235258"/>
          <c:y val="0.24285302550943944"/>
          <c:w val="0.16607342351436841"/>
          <c:h val="0.53567648846236826"/>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9929007384019"/>
          <c:y val="1.6277807921866502E-2"/>
          <c:w val="0.87231876599322256"/>
          <c:h val="0.59175727694917402"/>
        </c:manualLayout>
      </c:layout>
      <c:barChart>
        <c:barDir val="col"/>
        <c:grouping val="clustered"/>
        <c:varyColors val="0"/>
        <c:ser>
          <c:idx val="0"/>
          <c:order val="0"/>
          <c:invertIfNegative val="0"/>
          <c:cat>
            <c:strRef>
              <c:f>'BRES Change'!$AA$90:$AA$107</c:f>
              <c:strCache>
                <c:ptCount val="18"/>
                <c:pt idx="0">
                  <c:v>Agriculture, forestry &amp; fishing</c:v>
                </c:pt>
                <c:pt idx="1">
                  <c:v>Mining, quarrying &amp; utilities</c:v>
                </c:pt>
                <c:pt idx="2">
                  <c:v>Manufacturing</c:v>
                </c:pt>
                <c:pt idx="3">
                  <c:v>Construction</c:v>
                </c:pt>
                <c:pt idx="4">
                  <c:v>Motor trades</c:v>
                </c:pt>
                <c:pt idx="5">
                  <c:v>Wholesale </c:v>
                </c:pt>
                <c:pt idx="6">
                  <c:v>Retail </c:v>
                </c:pt>
                <c:pt idx="7">
                  <c:v>Transport &amp; storage</c:v>
                </c:pt>
                <c:pt idx="8">
                  <c:v>Accommodation &amp; food </c:v>
                </c:pt>
                <c:pt idx="9">
                  <c:v>Information &amp; communication</c:v>
                </c:pt>
                <c:pt idx="10">
                  <c:v>Financial &amp; insurance</c:v>
                </c:pt>
                <c:pt idx="11">
                  <c:v>Property</c:v>
                </c:pt>
                <c:pt idx="12">
                  <c:v>Professional, scientific &amp; technical</c:v>
                </c:pt>
                <c:pt idx="13">
                  <c:v>Business admin. &amp; support </c:v>
                </c:pt>
                <c:pt idx="14">
                  <c:v>Public admin. &amp; defence </c:v>
                </c:pt>
                <c:pt idx="15">
                  <c:v>Education </c:v>
                </c:pt>
                <c:pt idx="16">
                  <c:v>Health</c:v>
                </c:pt>
                <c:pt idx="17">
                  <c:v>Arts, ent., recreation &amp; other </c:v>
                </c:pt>
              </c:strCache>
            </c:strRef>
          </c:cat>
          <c:val>
            <c:numRef>
              <c:f>'BRES Change'!$AB$90:$AB$107</c:f>
              <c:numCache>
                <c:formatCode>0.0%</c:formatCode>
                <c:ptCount val="18"/>
                <c:pt idx="0">
                  <c:v>0</c:v>
                </c:pt>
                <c:pt idx="1">
                  <c:v>0.4</c:v>
                </c:pt>
                <c:pt idx="2">
                  <c:v>2.1505376344086009E-2</c:v>
                </c:pt>
                <c:pt idx="3">
                  <c:v>-0.13333333333333341</c:v>
                </c:pt>
                <c:pt idx="4">
                  <c:v>-0.18750000000000044</c:v>
                </c:pt>
                <c:pt idx="5">
                  <c:v>-0.25925925925925902</c:v>
                </c:pt>
                <c:pt idx="6">
                  <c:v>-9.8765432098766065E-2</c:v>
                </c:pt>
                <c:pt idx="7">
                  <c:v>9.8039215686274522E-2</c:v>
                </c:pt>
                <c:pt idx="8">
                  <c:v>-0.10256410256410339</c:v>
                </c:pt>
                <c:pt idx="9">
                  <c:v>-0.125</c:v>
                </c:pt>
                <c:pt idx="10">
                  <c:v>-0.2</c:v>
                </c:pt>
                <c:pt idx="11">
                  <c:v>-0.4</c:v>
                </c:pt>
                <c:pt idx="12">
                  <c:v>4.1666666666666713E-2</c:v>
                </c:pt>
                <c:pt idx="13">
                  <c:v>0.13953488372093081</c:v>
                </c:pt>
                <c:pt idx="14">
                  <c:v>-0.22580645161290341</c:v>
                </c:pt>
                <c:pt idx="15">
                  <c:v>-0.13698630136986381</c:v>
                </c:pt>
                <c:pt idx="16">
                  <c:v>-0.11111111111111102</c:v>
                </c:pt>
                <c:pt idx="17">
                  <c:v>-0.107142857142857</c:v>
                </c:pt>
              </c:numCache>
            </c:numRef>
          </c:val>
        </c:ser>
        <c:dLbls>
          <c:showLegendKey val="0"/>
          <c:showVal val="0"/>
          <c:showCatName val="0"/>
          <c:showSerName val="0"/>
          <c:showPercent val="0"/>
          <c:showBubbleSize val="0"/>
        </c:dLbls>
        <c:gapWidth val="150"/>
        <c:axId val="56962048"/>
        <c:axId val="56967936"/>
      </c:barChart>
      <c:catAx>
        <c:axId val="56962048"/>
        <c:scaling>
          <c:orientation val="minMax"/>
        </c:scaling>
        <c:delete val="0"/>
        <c:axPos val="b"/>
        <c:numFmt formatCode="General" sourceLinked="0"/>
        <c:majorTickMark val="out"/>
        <c:minorTickMark val="none"/>
        <c:tickLblPos val="low"/>
        <c:txPr>
          <a:bodyPr rot="-5400000" vert="horz"/>
          <a:lstStyle/>
          <a:p>
            <a:pPr>
              <a:defRPr/>
            </a:pPr>
            <a:endParaRPr lang="en-US"/>
          </a:p>
        </c:txPr>
        <c:crossAx val="56967936"/>
        <c:crosses val="autoZero"/>
        <c:auto val="1"/>
        <c:lblAlgn val="ctr"/>
        <c:lblOffset val="100"/>
        <c:noMultiLvlLbl val="0"/>
      </c:catAx>
      <c:valAx>
        <c:axId val="56967936"/>
        <c:scaling>
          <c:orientation val="minMax"/>
        </c:scaling>
        <c:delete val="0"/>
        <c:axPos val="l"/>
        <c:title>
          <c:tx>
            <c:rich>
              <a:bodyPr rot="-5400000" vert="horz"/>
              <a:lstStyle/>
              <a:p>
                <a:pPr>
                  <a:defRPr/>
                </a:pPr>
                <a:r>
                  <a:rPr lang="en-US"/>
                  <a:t>% change</a:t>
                </a:r>
              </a:p>
            </c:rich>
          </c:tx>
          <c:layout>
            <c:manualLayout>
              <c:xMode val="edge"/>
              <c:yMode val="edge"/>
              <c:x val="0"/>
              <c:y val="0.23195919012565144"/>
            </c:manualLayout>
          </c:layout>
          <c:overlay val="0"/>
        </c:title>
        <c:numFmt formatCode="0.0%" sourceLinked="1"/>
        <c:majorTickMark val="out"/>
        <c:minorTickMark val="none"/>
        <c:tickLblPos val="nextTo"/>
        <c:crossAx val="56962048"/>
        <c:crosses val="autoZero"/>
        <c:crossBetween val="between"/>
      </c:valAx>
    </c:plotArea>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772237646911577E-2"/>
          <c:y val="3.6371936108258292E-2"/>
          <c:w val="0.7035652510649284"/>
          <c:h val="0.8708476853311049"/>
        </c:manualLayout>
      </c:layout>
      <c:bubbleChart>
        <c:varyColors val="0"/>
        <c:ser>
          <c:idx val="0"/>
          <c:order val="0"/>
          <c:tx>
            <c:v>Energy and water</c:v>
          </c:tx>
          <c:invertIfNegative val="0"/>
          <c:xVal>
            <c:numRef>
              <c:f>Sheet1!$R$3</c:f>
              <c:numCache>
                <c:formatCode>0.0%</c:formatCode>
                <c:ptCount val="1"/>
                <c:pt idx="0">
                  <c:v>2.6508804450912152E-2</c:v>
                </c:pt>
              </c:numCache>
            </c:numRef>
          </c:xVal>
          <c:yVal>
            <c:numRef>
              <c:f>Sheet1!$Q$3</c:f>
              <c:numCache>
                <c:formatCode>General</c:formatCode>
                <c:ptCount val="1"/>
                <c:pt idx="0">
                  <c:v>0.81383353256152924</c:v>
                </c:pt>
              </c:numCache>
            </c:numRef>
          </c:yVal>
          <c:bubbleSize>
            <c:numRef>
              <c:f>Sheet1!$S$3</c:f>
              <c:numCache>
                <c:formatCode>#,##0.0</c:formatCode>
                <c:ptCount val="1"/>
                <c:pt idx="0">
                  <c:v>1.1000000000000001</c:v>
                </c:pt>
              </c:numCache>
            </c:numRef>
          </c:bubbleSize>
          <c:bubble3D val="0"/>
        </c:ser>
        <c:ser>
          <c:idx val="1"/>
          <c:order val="1"/>
          <c:tx>
            <c:v>Manufacturing</c:v>
          </c:tx>
          <c:invertIfNegative val="0"/>
          <c:xVal>
            <c:numRef>
              <c:f>Sheet1!$R$4</c:f>
              <c:numCache>
                <c:formatCode>0.0%</c:formatCode>
                <c:ptCount val="1"/>
                <c:pt idx="0">
                  <c:v>-2.2296428436584876E-2</c:v>
                </c:pt>
              </c:numCache>
            </c:numRef>
          </c:xVal>
          <c:yVal>
            <c:numRef>
              <c:f>Sheet1!$Q$4</c:f>
              <c:numCache>
                <c:formatCode>General</c:formatCode>
                <c:ptCount val="1"/>
                <c:pt idx="0">
                  <c:v>1.4420899816200961</c:v>
                </c:pt>
              </c:numCache>
            </c:numRef>
          </c:yVal>
          <c:bubbleSize>
            <c:numRef>
              <c:f>Sheet1!$S$4</c:f>
              <c:numCache>
                <c:formatCode>#,##0.0</c:formatCode>
                <c:ptCount val="1"/>
                <c:pt idx="0">
                  <c:v>17.600000000000001</c:v>
                </c:pt>
              </c:numCache>
            </c:numRef>
          </c:bubbleSize>
          <c:bubble3D val="0"/>
        </c:ser>
        <c:ser>
          <c:idx val="2"/>
          <c:order val="2"/>
          <c:tx>
            <c:v>Construction</c:v>
          </c:tx>
          <c:invertIfNegative val="0"/>
          <c:xVal>
            <c:numRef>
              <c:f>Sheet1!$R$5</c:f>
              <c:numCache>
                <c:formatCode>0.0%</c:formatCode>
                <c:ptCount val="1"/>
                <c:pt idx="0">
                  <c:v>-1.6124894617468365E-2</c:v>
                </c:pt>
              </c:numCache>
            </c:numRef>
          </c:xVal>
          <c:yVal>
            <c:numRef>
              <c:f>Sheet1!$Q$5</c:f>
              <c:numCache>
                <c:formatCode>General</c:formatCode>
                <c:ptCount val="1"/>
                <c:pt idx="0">
                  <c:v>0.87282233461785541</c:v>
                </c:pt>
              </c:numCache>
            </c:numRef>
          </c:yVal>
          <c:bubbleSize>
            <c:numRef>
              <c:f>Sheet1!$S$5</c:f>
              <c:numCache>
                <c:formatCode>#,##0.0</c:formatCode>
                <c:ptCount val="1"/>
                <c:pt idx="0">
                  <c:v>6</c:v>
                </c:pt>
              </c:numCache>
            </c:numRef>
          </c:bubbleSize>
          <c:bubble3D val="0"/>
        </c:ser>
        <c:ser>
          <c:idx val="3"/>
          <c:order val="3"/>
          <c:tx>
            <c:v>Distribution, hotels and restaurants</c:v>
          </c:tx>
          <c:invertIfNegative val="0"/>
          <c:dPt>
            <c:idx val="0"/>
            <c:invertIfNegative val="0"/>
            <c:bubble3D val="0"/>
            <c:spPr>
              <a:solidFill>
                <a:srgbClr val="156570">
                  <a:alpha val="71000"/>
                </a:srgbClr>
              </a:solidFill>
            </c:spPr>
          </c:dPt>
          <c:xVal>
            <c:numRef>
              <c:f>Sheet1!$R$6</c:f>
              <c:numCache>
                <c:formatCode>0.0%</c:formatCode>
                <c:ptCount val="1"/>
                <c:pt idx="0">
                  <c:v>9.4357909559592554E-4</c:v>
                </c:pt>
              </c:numCache>
            </c:numRef>
          </c:xVal>
          <c:yVal>
            <c:numRef>
              <c:f>Sheet1!$Q$6</c:f>
              <c:numCache>
                <c:formatCode>General</c:formatCode>
                <c:ptCount val="1"/>
                <c:pt idx="0">
                  <c:v>1.1953024206161389</c:v>
                </c:pt>
              </c:numCache>
            </c:numRef>
          </c:yVal>
          <c:bubbleSize>
            <c:numRef>
              <c:f>Sheet1!$S$6</c:f>
              <c:numCache>
                <c:formatCode>#,##0.0</c:formatCode>
                <c:ptCount val="1"/>
                <c:pt idx="0">
                  <c:v>23.5</c:v>
                </c:pt>
              </c:numCache>
            </c:numRef>
          </c:bubbleSize>
          <c:bubble3D val="0"/>
        </c:ser>
        <c:ser>
          <c:idx val="4"/>
          <c:order val="4"/>
          <c:tx>
            <c:v>Transport and communications</c:v>
          </c:tx>
          <c:invertIfNegative val="0"/>
          <c:xVal>
            <c:numRef>
              <c:f>Sheet1!$R$7</c:f>
              <c:numCache>
                <c:formatCode>0.0%</c:formatCode>
                <c:ptCount val="1"/>
                <c:pt idx="0">
                  <c:v>2.7056865676539392E-3</c:v>
                </c:pt>
              </c:numCache>
            </c:numRef>
          </c:xVal>
          <c:yVal>
            <c:numRef>
              <c:f>Sheet1!$Q$7</c:f>
              <c:numCache>
                <c:formatCode>General</c:formatCode>
                <c:ptCount val="1"/>
                <c:pt idx="0">
                  <c:v>1.3881946853738998</c:v>
                </c:pt>
              </c:numCache>
            </c:numRef>
          </c:yVal>
          <c:bubbleSize>
            <c:numRef>
              <c:f>Sheet1!$S$7</c:f>
              <c:numCache>
                <c:formatCode>#,##0.0</c:formatCode>
                <c:ptCount val="1"/>
                <c:pt idx="0">
                  <c:v>11</c:v>
                </c:pt>
              </c:numCache>
            </c:numRef>
          </c:bubbleSize>
          <c:bubble3D val="0"/>
        </c:ser>
        <c:ser>
          <c:idx val="5"/>
          <c:order val="5"/>
          <c:tx>
            <c:v>Banking, finance and insurance</c:v>
          </c:tx>
          <c:invertIfNegative val="0"/>
          <c:xVal>
            <c:numRef>
              <c:f>Sheet1!$R$8</c:f>
              <c:numCache>
                <c:formatCode>0.0%</c:formatCode>
                <c:ptCount val="1"/>
                <c:pt idx="0">
                  <c:v>1.9482501028918329E-2</c:v>
                </c:pt>
              </c:numCache>
            </c:numRef>
          </c:xVal>
          <c:yVal>
            <c:numRef>
              <c:f>Sheet1!$Q$8</c:f>
              <c:numCache>
                <c:formatCode>General</c:formatCode>
                <c:ptCount val="1"/>
                <c:pt idx="0">
                  <c:v>0.53725919545597633</c:v>
                </c:pt>
              </c:numCache>
            </c:numRef>
          </c:yVal>
          <c:bubbleSize>
            <c:numRef>
              <c:f>Sheet1!$S$8</c:f>
              <c:numCache>
                <c:formatCode>#,##0.0</c:formatCode>
                <c:ptCount val="1"/>
                <c:pt idx="0">
                  <c:v>7.3</c:v>
                </c:pt>
              </c:numCache>
            </c:numRef>
          </c:bubbleSize>
          <c:bubble3D val="0"/>
        </c:ser>
        <c:ser>
          <c:idx val="6"/>
          <c:order val="6"/>
          <c:tx>
            <c:v>Public admin., education and health</c:v>
          </c:tx>
          <c:invertIfNegative val="0"/>
          <c:xVal>
            <c:numRef>
              <c:f>Sheet1!$R$9</c:f>
              <c:numCache>
                <c:formatCode>0.0%</c:formatCode>
                <c:ptCount val="1"/>
                <c:pt idx="0">
                  <c:v>1.9853195815034343E-2</c:v>
                </c:pt>
              </c:numCache>
            </c:numRef>
          </c:xVal>
          <c:yVal>
            <c:numRef>
              <c:f>Sheet1!$Q$9</c:f>
              <c:numCache>
                <c:formatCode>General</c:formatCode>
                <c:ptCount val="1"/>
                <c:pt idx="0">
                  <c:v>0.89938271328554431</c:v>
                </c:pt>
              </c:numCache>
            </c:numRef>
          </c:yVal>
          <c:bubbleSize>
            <c:numRef>
              <c:f>Sheet1!$S$9</c:f>
              <c:numCache>
                <c:formatCode>#,##0.0</c:formatCode>
                <c:ptCount val="1"/>
                <c:pt idx="0">
                  <c:v>28</c:v>
                </c:pt>
              </c:numCache>
            </c:numRef>
          </c:bubbleSize>
          <c:bubble3D val="0"/>
        </c:ser>
        <c:ser>
          <c:idx val="7"/>
          <c:order val="7"/>
          <c:tx>
            <c:v>Other services</c:v>
          </c:tx>
          <c:invertIfNegative val="0"/>
          <c:xVal>
            <c:numRef>
              <c:f>Sheet1!$R$10</c:f>
              <c:numCache>
                <c:formatCode>0.0%</c:formatCode>
                <c:ptCount val="1"/>
                <c:pt idx="0">
                  <c:v>1.7576806638610401E-2</c:v>
                </c:pt>
              </c:numCache>
            </c:numRef>
          </c:xVal>
          <c:yVal>
            <c:numRef>
              <c:f>Sheet1!$Q$10</c:f>
              <c:numCache>
                <c:formatCode>General</c:formatCode>
                <c:ptCount val="1"/>
                <c:pt idx="0">
                  <c:v>0.77195933507602865</c:v>
                </c:pt>
              </c:numCache>
            </c:numRef>
          </c:yVal>
          <c:bubbleSize>
            <c:numRef>
              <c:f>Sheet1!$S$10</c:f>
              <c:numCache>
                <c:formatCode>#,##0.0</c:formatCode>
                <c:ptCount val="1"/>
                <c:pt idx="0">
                  <c:v>4</c:v>
                </c:pt>
              </c:numCache>
            </c:numRef>
          </c:bubbleSize>
          <c:bubble3D val="0"/>
        </c:ser>
        <c:dLbls>
          <c:showLegendKey val="0"/>
          <c:showVal val="0"/>
          <c:showCatName val="0"/>
          <c:showSerName val="0"/>
          <c:showPercent val="0"/>
          <c:showBubbleSize val="0"/>
        </c:dLbls>
        <c:bubbleScale val="100"/>
        <c:showNegBubbles val="0"/>
        <c:axId val="57010816"/>
        <c:axId val="57389824"/>
      </c:bubbleChart>
      <c:valAx>
        <c:axId val="57010816"/>
        <c:scaling>
          <c:orientation val="minMax"/>
        </c:scaling>
        <c:delete val="0"/>
        <c:axPos val="b"/>
        <c:title>
          <c:tx>
            <c:rich>
              <a:bodyPr/>
              <a:lstStyle/>
              <a:p>
                <a:pPr>
                  <a:defRPr/>
                </a:pPr>
                <a:r>
                  <a:rPr lang="en-GB"/>
                  <a:t>Average annual growth in Yorks. &amp; Humber, 2004-2013</a:t>
                </a:r>
              </a:p>
            </c:rich>
          </c:tx>
          <c:layout>
            <c:manualLayout>
              <c:xMode val="edge"/>
              <c:yMode val="edge"/>
              <c:x val="0.18732435207607054"/>
              <c:y val="0.92313553528539305"/>
            </c:manualLayout>
          </c:layout>
          <c:overlay val="0"/>
        </c:title>
        <c:numFmt formatCode="0.0%" sourceLinked="1"/>
        <c:majorTickMark val="out"/>
        <c:minorTickMark val="none"/>
        <c:tickLblPos val="nextTo"/>
        <c:crossAx val="57389824"/>
        <c:crossesAt val="1"/>
        <c:crossBetween val="midCat"/>
      </c:valAx>
      <c:valAx>
        <c:axId val="57389824"/>
        <c:scaling>
          <c:orientation val="minMax"/>
        </c:scaling>
        <c:delete val="0"/>
        <c:axPos val="l"/>
        <c:majorGridlines>
          <c:spPr>
            <a:ln>
              <a:noFill/>
            </a:ln>
          </c:spPr>
        </c:majorGridlines>
        <c:title>
          <c:tx>
            <c:rich>
              <a:bodyPr rot="-5400000" vert="horz"/>
              <a:lstStyle/>
              <a:p>
                <a:pPr>
                  <a:defRPr/>
                </a:pPr>
                <a:r>
                  <a:rPr lang="en-GB"/>
                  <a:t>LQ</a:t>
                </a:r>
              </a:p>
            </c:rich>
          </c:tx>
          <c:layout>
            <c:manualLayout>
              <c:xMode val="edge"/>
              <c:yMode val="edge"/>
              <c:x val="7.0627752959104874E-3"/>
              <c:y val="0.40315824366010877"/>
            </c:manualLayout>
          </c:layout>
          <c:overlay val="0"/>
        </c:title>
        <c:numFmt formatCode="General" sourceLinked="1"/>
        <c:majorTickMark val="out"/>
        <c:minorTickMark val="none"/>
        <c:tickLblPos val="nextTo"/>
        <c:crossAx val="57010816"/>
        <c:crosses val="autoZero"/>
        <c:crossBetween val="midCat"/>
      </c:valAx>
    </c:plotArea>
    <c:legend>
      <c:legendPos val="r"/>
      <c:layout>
        <c:manualLayout>
          <c:xMode val="edge"/>
          <c:yMode val="edge"/>
          <c:x val="0.7881870205866589"/>
          <c:y val="5.6996973738938418E-4"/>
          <c:w val="0.2098972427254345"/>
          <c:h val="0.99943015793546019"/>
        </c:manualLayout>
      </c:layout>
      <c:overlay val="0"/>
      <c:txPr>
        <a:bodyPr/>
        <a:lstStyle/>
        <a:p>
          <a:pPr>
            <a:defRPr sz="1100"/>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249315193549746E-2"/>
          <c:y val="4.0565135935309499E-2"/>
          <c:w val="0.78851107329146819"/>
          <c:h val="0.88185701791370363"/>
        </c:manualLayout>
      </c:layout>
      <c:lineChart>
        <c:grouping val="standard"/>
        <c:varyColors val="0"/>
        <c:ser>
          <c:idx val="0"/>
          <c:order val="0"/>
          <c:tx>
            <c:strRef>
              <c:f>Sheet1!$A$13</c:f>
              <c:strCache>
                <c:ptCount val="1"/>
                <c:pt idx="0">
                  <c:v>East Riding of Yorkshire</c:v>
                </c:pt>
              </c:strCache>
            </c:strRef>
          </c:tx>
          <c:marker>
            <c:symbol val="none"/>
          </c:marker>
          <c:cat>
            <c:numRef>
              <c:f>Sheet1!$B$3:$M$3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Sheet1!$B$4:$M$4</c:f>
              <c:numCache>
                <c:formatCode>#,##0</c:formatCode>
                <c:ptCount val="12"/>
                <c:pt idx="0">
                  <c:v>20313</c:v>
                </c:pt>
                <c:pt idx="1">
                  <c:v>21052</c:v>
                </c:pt>
                <c:pt idx="2">
                  <c:v>22439</c:v>
                </c:pt>
                <c:pt idx="3">
                  <c:v>23956</c:v>
                </c:pt>
                <c:pt idx="4">
                  <c:v>24868</c:v>
                </c:pt>
                <c:pt idx="5">
                  <c:v>26839</c:v>
                </c:pt>
                <c:pt idx="6">
                  <c:v>27407</c:v>
                </c:pt>
                <c:pt idx="7">
                  <c:v>27798</c:v>
                </c:pt>
                <c:pt idx="8">
                  <c:v>27485</c:v>
                </c:pt>
                <c:pt idx="9">
                  <c:v>26706</c:v>
                </c:pt>
                <c:pt idx="10">
                  <c:v>26474</c:v>
                </c:pt>
                <c:pt idx="11">
                  <c:v>26693</c:v>
                </c:pt>
              </c:numCache>
            </c:numRef>
          </c:val>
          <c:smooth val="0"/>
        </c:ser>
        <c:ser>
          <c:idx val="1"/>
          <c:order val="1"/>
          <c:tx>
            <c:strRef>
              <c:f>Sheet1!$A$14</c:f>
              <c:strCache>
                <c:ptCount val="1"/>
                <c:pt idx="0">
                  <c:v>Kingston upon Hull, City of</c:v>
                </c:pt>
              </c:strCache>
            </c:strRef>
          </c:tx>
          <c:marker>
            <c:symbol val="none"/>
          </c:marker>
          <c:cat>
            <c:numRef>
              <c:f>Sheet1!$B$3:$M$3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Sheet1!$B$5:$M$5</c:f>
              <c:numCache>
                <c:formatCode>#,##0</c:formatCode>
                <c:ptCount val="12"/>
                <c:pt idx="0">
                  <c:v>16789</c:v>
                </c:pt>
                <c:pt idx="1">
                  <c:v>17321</c:v>
                </c:pt>
                <c:pt idx="2">
                  <c:v>17642</c:v>
                </c:pt>
                <c:pt idx="3">
                  <c:v>19280</c:v>
                </c:pt>
                <c:pt idx="4">
                  <c:v>19371</c:v>
                </c:pt>
                <c:pt idx="5">
                  <c:v>20169</c:v>
                </c:pt>
                <c:pt idx="6">
                  <c:v>21472</c:v>
                </c:pt>
                <c:pt idx="7">
                  <c:v>20236</c:v>
                </c:pt>
                <c:pt idx="8">
                  <c:v>21065</c:v>
                </c:pt>
                <c:pt idx="9">
                  <c:v>21171</c:v>
                </c:pt>
                <c:pt idx="10">
                  <c:v>22235</c:v>
                </c:pt>
                <c:pt idx="11">
                  <c:v>22775</c:v>
                </c:pt>
              </c:numCache>
            </c:numRef>
          </c:val>
          <c:smooth val="0"/>
        </c:ser>
        <c:ser>
          <c:idx val="2"/>
          <c:order val="2"/>
          <c:tx>
            <c:strRef>
              <c:f>Sheet1!$A$15</c:f>
              <c:strCache>
                <c:ptCount val="1"/>
                <c:pt idx="0">
                  <c:v>North East Lincolnshire</c:v>
                </c:pt>
              </c:strCache>
            </c:strRef>
          </c:tx>
          <c:marker>
            <c:symbol val="none"/>
          </c:marker>
          <c:cat>
            <c:numRef>
              <c:f>Sheet1!$B$3:$M$3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Sheet1!$B$6:$M$6</c:f>
              <c:numCache>
                <c:formatCode>#,##0</c:formatCode>
                <c:ptCount val="12"/>
                <c:pt idx="0">
                  <c:v>18145</c:v>
                </c:pt>
                <c:pt idx="1">
                  <c:v>19087</c:v>
                </c:pt>
                <c:pt idx="2">
                  <c:v>19244</c:v>
                </c:pt>
                <c:pt idx="3">
                  <c:v>20087</c:v>
                </c:pt>
                <c:pt idx="4">
                  <c:v>20209</c:v>
                </c:pt>
                <c:pt idx="5">
                  <c:v>20651</c:v>
                </c:pt>
                <c:pt idx="6">
                  <c:v>21877</c:v>
                </c:pt>
                <c:pt idx="7">
                  <c:v>23453</c:v>
                </c:pt>
                <c:pt idx="8">
                  <c:v>22493</c:v>
                </c:pt>
                <c:pt idx="9">
                  <c:v>23213</c:v>
                </c:pt>
                <c:pt idx="10">
                  <c:v>24804</c:v>
                </c:pt>
                <c:pt idx="11">
                  <c:v>24420</c:v>
                </c:pt>
              </c:numCache>
            </c:numRef>
          </c:val>
          <c:smooth val="0"/>
        </c:ser>
        <c:ser>
          <c:idx val="3"/>
          <c:order val="3"/>
          <c:tx>
            <c:strRef>
              <c:f>Sheet1!$A$16</c:f>
              <c:strCache>
                <c:ptCount val="1"/>
                <c:pt idx="0">
                  <c:v>North Lincolnshire</c:v>
                </c:pt>
              </c:strCache>
            </c:strRef>
          </c:tx>
          <c:marker>
            <c:symbol val="none"/>
          </c:marker>
          <c:cat>
            <c:numRef>
              <c:f>Sheet1!$B$3:$M$3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Sheet1!$B$7:$M$7</c:f>
              <c:numCache>
                <c:formatCode>#,##0</c:formatCode>
                <c:ptCount val="12"/>
                <c:pt idx="0">
                  <c:v>21639</c:v>
                </c:pt>
                <c:pt idx="1">
                  <c:v>21665</c:v>
                </c:pt>
                <c:pt idx="2">
                  <c:v>21892</c:v>
                </c:pt>
                <c:pt idx="3">
                  <c:v>25620</c:v>
                </c:pt>
                <c:pt idx="4">
                  <c:v>24780</c:v>
                </c:pt>
                <c:pt idx="5">
                  <c:v>25195</c:v>
                </c:pt>
                <c:pt idx="6">
                  <c:v>24936</c:v>
                </c:pt>
                <c:pt idx="7">
                  <c:v>24681</c:v>
                </c:pt>
                <c:pt idx="8">
                  <c:v>25517</c:v>
                </c:pt>
                <c:pt idx="9">
                  <c:v>26255</c:v>
                </c:pt>
                <c:pt idx="10">
                  <c:v>26327</c:v>
                </c:pt>
                <c:pt idx="11">
                  <c:v>27351</c:v>
                </c:pt>
              </c:numCache>
            </c:numRef>
          </c:val>
          <c:smooth val="0"/>
        </c:ser>
        <c:ser>
          <c:idx val="4"/>
          <c:order val="4"/>
          <c:tx>
            <c:strRef>
              <c:f>Sheet1!$A$17</c:f>
              <c:strCache>
                <c:ptCount val="1"/>
                <c:pt idx="0">
                  <c:v>England</c:v>
                </c:pt>
              </c:strCache>
            </c:strRef>
          </c:tx>
          <c:marker>
            <c:symbol val="none"/>
          </c:marker>
          <c:cat>
            <c:numRef>
              <c:f>Sheet1!$B$3:$M$3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Sheet1!$B$8:$M$8</c:f>
              <c:numCache>
                <c:formatCode>#,##0</c:formatCode>
                <c:ptCount val="12"/>
                <c:pt idx="0">
                  <c:v>20739</c:v>
                </c:pt>
                <c:pt idx="1">
                  <c:v>21518</c:v>
                </c:pt>
                <c:pt idx="2">
                  <c:v>22438</c:v>
                </c:pt>
                <c:pt idx="3">
                  <c:v>23313</c:v>
                </c:pt>
                <c:pt idx="4">
                  <c:v>23757</c:v>
                </c:pt>
                <c:pt idx="5">
                  <c:v>24500</c:v>
                </c:pt>
                <c:pt idx="6">
                  <c:v>25558</c:v>
                </c:pt>
                <c:pt idx="7">
                  <c:v>26145</c:v>
                </c:pt>
                <c:pt idx="8">
                  <c:v>26276</c:v>
                </c:pt>
                <c:pt idx="9">
                  <c:v>26500</c:v>
                </c:pt>
                <c:pt idx="10">
                  <c:v>26826</c:v>
                </c:pt>
                <c:pt idx="11">
                  <c:v>27375</c:v>
                </c:pt>
              </c:numCache>
            </c:numRef>
          </c:val>
          <c:smooth val="0"/>
        </c:ser>
        <c:dLbls>
          <c:showLegendKey val="0"/>
          <c:showVal val="0"/>
          <c:showCatName val="0"/>
          <c:showSerName val="0"/>
          <c:showPercent val="0"/>
          <c:showBubbleSize val="0"/>
        </c:dLbls>
        <c:marker val="1"/>
        <c:smooth val="0"/>
        <c:axId val="57613312"/>
        <c:axId val="57615104"/>
      </c:lineChart>
      <c:catAx>
        <c:axId val="57613312"/>
        <c:scaling>
          <c:orientation val="minMax"/>
        </c:scaling>
        <c:delete val="0"/>
        <c:axPos val="b"/>
        <c:numFmt formatCode="General" sourceLinked="1"/>
        <c:majorTickMark val="out"/>
        <c:minorTickMark val="none"/>
        <c:tickLblPos val="nextTo"/>
        <c:crossAx val="57615104"/>
        <c:crosses val="autoZero"/>
        <c:auto val="1"/>
        <c:lblAlgn val="ctr"/>
        <c:lblOffset val="100"/>
        <c:noMultiLvlLbl val="0"/>
      </c:catAx>
      <c:valAx>
        <c:axId val="57615104"/>
        <c:scaling>
          <c:orientation val="minMax"/>
          <c:min val="5000"/>
        </c:scaling>
        <c:delete val="0"/>
        <c:axPos val="l"/>
        <c:majorGridlines>
          <c:spPr>
            <a:ln>
              <a:noFill/>
            </a:ln>
          </c:spPr>
        </c:majorGridlines>
        <c:title>
          <c:tx>
            <c:rich>
              <a:bodyPr rot="-5400000" vert="horz"/>
              <a:lstStyle/>
              <a:p>
                <a:pPr>
                  <a:defRPr/>
                </a:pPr>
                <a:r>
                  <a:rPr lang="en-GB"/>
                  <a:t>£</a:t>
                </a:r>
              </a:p>
            </c:rich>
          </c:tx>
          <c:overlay val="0"/>
        </c:title>
        <c:numFmt formatCode="#,##0" sourceLinked="1"/>
        <c:majorTickMark val="out"/>
        <c:minorTickMark val="none"/>
        <c:tickLblPos val="nextTo"/>
        <c:crossAx val="57613312"/>
        <c:crosses val="autoZero"/>
        <c:crossBetween val="between"/>
      </c:valAx>
    </c:plotArea>
    <c:legend>
      <c:legendPos val="r"/>
      <c:layout>
        <c:manualLayout>
          <c:xMode val="edge"/>
          <c:yMode val="edge"/>
          <c:x val="0.65376871369770706"/>
          <c:y val="0.53076271747500769"/>
          <c:w val="0.30497152507935743"/>
          <c:h val="0.3146237169860193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94A58"/>
      </a:dk2>
      <a:lt2>
        <a:srgbClr val="156570"/>
      </a:lt2>
      <a:accent1>
        <a:srgbClr val="BED600"/>
      </a:accent1>
      <a:accent2>
        <a:srgbClr val="394A58"/>
      </a:accent2>
      <a:accent3>
        <a:srgbClr val="FAE700"/>
      </a:accent3>
      <a:accent4>
        <a:srgbClr val="156570"/>
      </a:accent4>
      <a:accent5>
        <a:srgbClr val="830051"/>
      </a:accent5>
      <a:accent6>
        <a:srgbClr val="E6E4DE"/>
      </a:accent6>
      <a:hlink>
        <a:srgbClr val="BED600"/>
      </a:hlink>
      <a:folHlink>
        <a:srgbClr val="BED6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57B61B58CE504E89AF038B48D626E3" ma:contentTypeVersion="0" ma:contentTypeDescription="Create a new document." ma:contentTypeScope="" ma:versionID="75077dbcbb45ae266484b62209e80b06">
  <xsd:schema xmlns:xsd="http://www.w3.org/2001/XMLSchema" xmlns:xs="http://www.w3.org/2001/XMLSchema" xmlns:p="http://schemas.microsoft.com/office/2006/metadata/properties" targetNamespace="http://schemas.microsoft.com/office/2006/metadata/properties" ma:root="true" ma:fieldsID="fb3b56a6e82d46d59efc061c79f753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36091-9E33-4D90-8482-6D7B53C4D411}">
  <ds:schemaRefs>
    <ds:schemaRef ds:uri="http://schemas.microsoft.com/office/infopath/2007/PartnerControls"/>
    <ds:schemaRef ds:uri="http://purl.org/dc/elements/1.1/"/>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A92A9AF-33FE-4749-9742-25BF9E8009C3}">
  <ds:schemaRefs>
    <ds:schemaRef ds:uri="http://schemas.microsoft.com/sharepoint/v3/contenttype/forms"/>
  </ds:schemaRefs>
</ds:datastoreItem>
</file>

<file path=customXml/itemProps3.xml><?xml version="1.0" encoding="utf-8"?>
<ds:datastoreItem xmlns:ds="http://schemas.openxmlformats.org/officeDocument/2006/customXml" ds:itemID="{1C8B3A5A-0486-47C0-A89F-9E95EED1E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866A9E-4A66-47B2-9836-FCE3B5ED6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Atkins Report</Template>
  <TotalTime>0</TotalTime>
  <Pages>10</Pages>
  <Words>12292</Words>
  <Characters>70071</Characters>
  <Application>Microsoft Office Word</Application>
  <DocSecurity>4</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Atkins Global</Company>
  <LinksUpToDate>false</LinksUpToDate>
  <CharactersWithSpaces>82199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GUES2091</dc:creator>
  <cp:lastModifiedBy>Wheeler, Diane</cp:lastModifiedBy>
  <cp:revision>2</cp:revision>
  <cp:lastPrinted>2011-02-23T15:51:00Z</cp:lastPrinted>
  <dcterms:created xsi:type="dcterms:W3CDTF">2014-08-28T10:05:00Z</dcterms:created>
  <dcterms:modified xsi:type="dcterms:W3CDTF">2014-08-28T10:05:00Z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0x0101005157B61B58CE504E89AF038B48D626E3</vt:lpwstr>
  </property>
</Properties>
</file>